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124460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76"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146050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460" w:space="720"/>
            <w:col w:w="3180"/>
          </w:cols>
          <w:pgMar w:left="240" w:top="368" w:right="29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00" w:space="720"/>
            <w:col w:w="3840"/>
          </w:cols>
          <w:pgMar w:left="240" w:top="368" w:right="299" w:bottom="1440" w:gutter="0" w:footer="0" w:header="0"/>
          <w:type w:val="continuous"/>
        </w:sectPr>
      </w:pP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225 S. Lake Avenue, Suite 1050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139700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39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68" w:right="299" w:bottom="1440" w:gutter="0" w:footer="0" w:header="0"/>
          <w:type w:val="continuous"/>
        </w:sectPr>
      </w:pP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700" w:space="720"/>
            <w:col w:w="4920" w:space="720"/>
            <w:col w:w="2380" w:space="720"/>
            <w:col w:w="200"/>
          </w:cols>
          <w:pgMar w:left="240" w:top="368"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5">
            <w:col w:w="1700" w:space="720"/>
            <w:col w:w="160" w:space="80"/>
            <w:col w:w="4680" w:space="720"/>
            <w:col w:w="2380" w:space="720"/>
            <w:col w:w="200"/>
          </w:cols>
          <w:pgMar w:left="240" w:top="368" w:right="29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00"/>
          </w:cols>
          <w:pgMar w:left="240" w:top="368" w:right="29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August 11, 2014 was 52,908,567.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00" w:type="dxa"/>
            <w:vAlign w:val="bottom"/>
            <w:gridSpan w:val="10"/>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80" w:type="dxa"/>
            <w:vAlign w:val="bottom"/>
            <w:gridSpan w:val="10"/>
            <w:vMerge w:val="restart"/>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10"/>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680" w:type="dxa"/>
            <w:vAlign w:val="bottom"/>
            <w:tcBorders>
              <w:bottom w:val="single" w:sz="8" w:color="0000EE"/>
            </w:tcBorders>
            <w:gridSpan w:val="10"/>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Consolidated Statements of Operations</w:t>
              </w:r>
            </w:hyperlink>
          </w:p>
        </w:tc>
        <w:tc>
          <w:tcPr>
            <w:tcW w:w="766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300" w:type="dxa"/>
            <w:vAlign w:val="bottom"/>
            <w:tcBorders>
              <w:top w:val="single" w:sz="8" w:color="0000EE"/>
            </w:tcBorders>
            <w:gridSpan w:val="15"/>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60" w:type="dxa"/>
            <w:vAlign w:val="bottom"/>
            <w:tcBorders>
              <w:bottom w:val="single" w:sz="8" w:color="0000EE"/>
            </w:tcBorders>
            <w:gridSpan w:val="19"/>
          </w:tcPr>
          <w:p>
            <w:pPr>
              <w:spacing w:after="0"/>
              <w:rPr>
                <w:rFonts w:ascii="Arial" w:cs="Arial" w:eastAsia="Arial" w:hAnsi="Arial"/>
                <w:sz w:val="17"/>
                <w:szCs w:val="17"/>
                <w:color w:val="0000EE"/>
                <w:w w:val="98"/>
              </w:rPr>
            </w:pPr>
            <w:hyperlink w:anchor="page22">
              <w:r>
                <w:rPr>
                  <w:rFonts w:ascii="Arial" w:cs="Arial" w:eastAsia="Arial" w:hAnsi="Arial"/>
                  <w:sz w:val="17"/>
                  <w:szCs w:val="17"/>
                  <w:color w:val="0000EE"/>
                  <w:w w:val="98"/>
                </w:rPr>
                <w:t>ITEM 2. MANAGEMENT’S DISCUSSION AND ANALYSIS OF FINANCIAL CONDITION AND RESULTS OF</w:t>
              </w:r>
            </w:hyperlink>
          </w:p>
        </w:tc>
        <w:tc>
          <w:tcPr>
            <w:tcW w:w="2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Borders>
              <w:bottom w:val="single" w:sz="8" w:color="0000EE"/>
            </w:tcBorders>
            <w:gridSpan w:val="3"/>
          </w:tcPr>
          <w:p>
            <w:pPr>
              <w:spacing w:after="0" w:line="183" w:lineRule="exact"/>
              <w:rPr>
                <w:rFonts w:ascii="Arial" w:cs="Arial" w:eastAsia="Arial" w:hAnsi="Arial"/>
                <w:sz w:val="17"/>
                <w:szCs w:val="17"/>
                <w:color w:val="0000EE"/>
                <w:w w:val="93"/>
              </w:rPr>
            </w:pPr>
            <w:hyperlink w:anchor="page22">
              <w:r>
                <w:rPr>
                  <w:rFonts w:ascii="Arial" w:cs="Arial" w:eastAsia="Arial" w:hAnsi="Arial"/>
                  <w:sz w:val="17"/>
                  <w:szCs w:val="17"/>
                  <w:color w:val="0000EE"/>
                  <w:w w:val="93"/>
                </w:rPr>
                <w:t>OPERATIONS</w:t>
              </w:r>
            </w:hyperlink>
          </w:p>
        </w:tc>
        <w:tc>
          <w:tcPr>
            <w:tcW w:w="9020" w:type="dxa"/>
            <w:vAlign w:val="bottom"/>
            <w:gridSpan w:val="15"/>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8"/>
          </w:tcPr>
          <w:p>
            <w:pPr>
              <w:spacing w:after="0"/>
              <w:rPr>
                <w:rFonts w:ascii="Arial" w:cs="Arial" w:eastAsia="Arial" w:hAnsi="Arial"/>
                <w:sz w:val="17"/>
                <w:szCs w:val="17"/>
                <w:color w:val="0000EE"/>
                <w:w w:val="98"/>
              </w:rPr>
            </w:pPr>
            <w:hyperlink w:anchor="page30">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20"/>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4. CONTROLS AND PROCEDURES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507"/>
        </w:trPr>
        <w:tc>
          <w:tcPr>
            <w:tcW w:w="3100" w:type="dxa"/>
            <w:vAlign w:val="bottom"/>
            <w:tcBorders>
              <w:top w:val="single" w:sz="8" w:color="0000EE"/>
            </w:tcBorders>
            <w:gridSpan w:val="10"/>
          </w:tcPr>
          <w:p>
            <w:pPr>
              <w:spacing w:after="0"/>
              <w:rPr>
                <w:rFonts w:ascii="Arial" w:cs="Arial" w:eastAsia="Arial" w:hAnsi="Arial"/>
                <w:sz w:val="17"/>
                <w:szCs w:val="17"/>
                <w:b w:val="1"/>
                <w:bCs w:val="1"/>
                <w:color w:val="0000EE"/>
              </w:rPr>
            </w:pPr>
            <w:hyperlink w:anchor="page31">
              <w:r>
                <w:rPr>
                  <w:rFonts w:ascii="Arial" w:cs="Arial" w:eastAsia="Arial" w:hAnsi="Arial"/>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96"/>
              </w:rPr>
            </w:pPr>
            <w:hyperlink w:anchor="page31">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20"/>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1A. RISK FACTORS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20"/>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2. UNREGISTERED SALES OF EQUITY SECURITIES AND USE OF PROCEEDS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7"/>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6"/>
              </w:rPr>
            </w:pPr>
            <w:hyperlink w:anchor="page31">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20"/>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5. OTHER INFORMATION</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2">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3"/>
          </w:tcPr>
          <w:p>
            <w:pPr>
              <w:spacing w:after="0"/>
              <w:rPr>
                <w:sz w:val="24"/>
                <w:szCs w:val="24"/>
                <w:color w:val="auto"/>
              </w:rPr>
            </w:pPr>
          </w:p>
        </w:tc>
        <w:tc>
          <w:tcPr>
            <w:tcW w:w="836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4"/>
        </w:trPr>
        <w:tc>
          <w:tcPr>
            <w:tcW w:w="960" w:type="dxa"/>
            <w:vAlign w:val="bottom"/>
            <w:tcBorders>
              <w:bottom w:val="single" w:sz="8" w:color="0000EE"/>
            </w:tcBorders>
            <w:gridSpan w:val="3"/>
          </w:tcPr>
          <w:p>
            <w:pPr>
              <w:spacing w:after="0"/>
              <w:rPr>
                <w:rFonts w:ascii="Arial" w:cs="Arial" w:eastAsia="Arial" w:hAnsi="Arial"/>
                <w:sz w:val="17"/>
                <w:szCs w:val="17"/>
                <w:color w:val="0000EE"/>
                <w:w w:val="94"/>
              </w:rPr>
            </w:pPr>
            <w:hyperlink w:anchor="page33">
              <w:r>
                <w:rPr>
                  <w:rFonts w:ascii="Arial" w:cs="Arial" w:eastAsia="Arial" w:hAnsi="Arial"/>
                  <w:sz w:val="17"/>
                  <w:szCs w:val="17"/>
                  <w:color w:val="0000EE"/>
                  <w:w w:val="94"/>
                </w:rPr>
                <w:t>SIGNATURE</w:t>
              </w:r>
            </w:hyperlink>
          </w:p>
        </w:tc>
        <w:tc>
          <w:tcPr>
            <w:tcW w:w="9820" w:type="dxa"/>
            <w:vAlign w:val="bottom"/>
            <w:gridSpan w:val="1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84" w:right="23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47"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June 30, 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2"/>
              </w:rPr>
              <w:t>September 30, 2013</w:t>
            </w:r>
          </w:p>
        </w:tc>
      </w:tr>
      <w:tr>
        <w:trPr>
          <w:trHeight w:val="209"/>
        </w:trPr>
        <w:tc>
          <w:tcPr>
            <w:tcW w:w="7660" w:type="dxa"/>
            <w:vAlign w:val="bottom"/>
          </w:tcPr>
          <w:p>
            <w:pPr>
              <w:jc w:val="center"/>
              <w:spacing w:after="0"/>
              <w:rPr>
                <w:sz w:val="20"/>
                <w:szCs w:val="20"/>
                <w:color w:val="auto"/>
              </w:rPr>
            </w:pPr>
            <w:r>
              <w:rPr>
                <w:rFonts w:ascii="Arial" w:cs="Arial" w:eastAsia="Arial" w:hAnsi="Arial"/>
                <w:sz w:val="16"/>
                <w:szCs w:val="16"/>
                <w:b w:val="1"/>
                <w:bCs w:val="1"/>
                <w:color w:val="auto"/>
                <w:w w:val="96"/>
              </w:rPr>
              <w:t>ASSETS</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66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138,349,733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19,114,444</w:t>
            </w:r>
          </w:p>
        </w:tc>
      </w:tr>
      <w:tr>
        <w:trPr>
          <w:trHeight w:val="213"/>
        </w:trPr>
        <w:tc>
          <w:tcPr>
            <w:tcW w:w="7660" w:type="dxa"/>
            <w:vAlign w:val="bottom"/>
          </w:tcPr>
          <w:p>
            <w:pPr>
              <w:ind w:left="500"/>
              <w:spacing w:after="0"/>
              <w:rPr>
                <w:sz w:val="20"/>
                <w:szCs w:val="20"/>
                <w:color w:val="auto"/>
              </w:rPr>
            </w:pPr>
            <w:r>
              <w:rPr>
                <w:rFonts w:ascii="Arial" w:cs="Arial" w:eastAsia="Arial" w:hAnsi="Arial"/>
                <w:sz w:val="16"/>
                <w:szCs w:val="16"/>
                <w:color w:val="auto"/>
              </w:rPr>
              <w:t>Trade receivable</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75,000</w:t>
            </w:r>
          </w:p>
        </w:tc>
      </w:tr>
      <w:tr>
        <w:trPr>
          <w:trHeight w:val="21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700,063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532,354</w:t>
            </w:r>
          </w:p>
        </w:tc>
      </w:tr>
      <w:tr>
        <w:trPr>
          <w:trHeight w:val="213"/>
        </w:trPr>
        <w:tc>
          <w:tcPr>
            <w:tcW w:w="7660" w:type="dxa"/>
            <w:vAlign w:val="bottom"/>
          </w:tcPr>
          <w:p>
            <w:pPr>
              <w:ind w:left="50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538,742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91,660</w:t>
            </w:r>
          </w:p>
        </w:tc>
      </w:tr>
      <w:tr>
        <w:trPr>
          <w:trHeight w:val="21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Short term investments</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23,834,408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9,030,261</w:t>
            </w:r>
          </w:p>
        </w:tc>
        <w:tc>
          <w:tcPr>
            <w:tcW w:w="100" w:type="dxa"/>
            <w:vAlign w:val="bottom"/>
            <w:shd w:val="clear" w:color="auto" w:fill="CFF0FC"/>
          </w:tcPr>
          <w:p>
            <w:pPr>
              <w:spacing w:after="0"/>
              <w:rPr>
                <w:sz w:val="19"/>
                <w:szCs w:val="19"/>
                <w:color w:val="auto"/>
              </w:rPr>
            </w:pPr>
          </w:p>
        </w:tc>
      </w:tr>
      <w:tr>
        <w:trPr>
          <w:trHeight w:val="207"/>
        </w:trPr>
        <w:tc>
          <w:tcPr>
            <w:tcW w:w="76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163,422,946</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28,843,719</w:t>
            </w:r>
          </w:p>
        </w:tc>
        <w:tc>
          <w:tcPr>
            <w:tcW w:w="100" w:type="dxa"/>
            <w:vAlign w:val="bottom"/>
            <w:tcBorders>
              <w:bottom w:val="single" w:sz="8" w:color="CFF0FC"/>
            </w:tcBorders>
          </w:tcPr>
          <w:p>
            <w:pPr>
              <w:spacing w:after="0"/>
              <w:rPr>
                <w:sz w:val="17"/>
                <w:szCs w:val="17"/>
                <w:color w:val="auto"/>
              </w:rPr>
            </w:pPr>
          </w:p>
        </w:tc>
      </w:tr>
      <w:tr>
        <w:trPr>
          <w:trHeight w:val="213"/>
        </w:trPr>
        <w:tc>
          <w:tcPr>
            <w:tcW w:w="7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3,674,131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3,513,235</w:t>
            </w: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Patents and other intangible assets, net</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3,199,523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3,240,513</w:t>
            </w:r>
          </w:p>
        </w:tc>
      </w:tr>
      <w:tr>
        <w:trPr>
          <w:trHeight w:val="219"/>
        </w:trPr>
        <w:tc>
          <w:tcPr>
            <w:tcW w:w="7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Investments</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26,284,862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1,702,153</w:t>
            </w: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41,414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30,011</w:t>
            </w:r>
          </w:p>
        </w:tc>
      </w:tr>
      <w:tr>
        <w:trPr>
          <w:trHeight w:val="210"/>
        </w:trPr>
        <w:tc>
          <w:tcPr>
            <w:tcW w:w="7660" w:type="dxa"/>
            <w:vAlign w:val="bottom"/>
            <w:tcBorders>
              <w:top w:val="single" w:sz="8" w:color="CFF0FC"/>
              <w:bottom w:val="single" w:sz="8" w:color="CFF0FC"/>
            </w:tcBorders>
            <w:shd w:val="clear" w:color="auto" w:fill="CFF0FC"/>
          </w:tcPr>
          <w:p>
            <w:pPr>
              <w:ind w:left="11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196,622,876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37,329,631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6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2,158,133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1,199,632</w:t>
            </w:r>
          </w:p>
        </w:tc>
      </w:tr>
      <w:tr>
        <w:trPr>
          <w:trHeight w:val="21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1,068,667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638,884</w:t>
            </w:r>
          </w:p>
        </w:tc>
      </w:tr>
      <w:tr>
        <w:trPr>
          <w:trHeight w:val="213"/>
        </w:trPr>
        <w:tc>
          <w:tcPr>
            <w:tcW w:w="7660" w:type="dxa"/>
            <w:vAlign w:val="bottom"/>
          </w:tcPr>
          <w:p>
            <w:pPr>
              <w:ind w:left="500"/>
              <w:spacing w:after="0"/>
              <w:rPr>
                <w:sz w:val="20"/>
                <w:szCs w:val="20"/>
                <w:color w:val="auto"/>
              </w:rPr>
            </w:pPr>
            <w:r>
              <w:rPr>
                <w:rFonts w:ascii="Arial" w:cs="Arial" w:eastAsia="Arial" w:hAnsi="Arial"/>
                <w:sz w:val="16"/>
                <w:szCs w:val="16"/>
                <w:color w:val="auto"/>
              </w:rPr>
              <w:t>Accrued payroll and benefits</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611,092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905,771</w:t>
            </w:r>
          </w:p>
        </w:tc>
      </w:tr>
      <w:tr>
        <w:trPr>
          <w:trHeight w:val="21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71,875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103,125</w:t>
            </w:r>
          </w:p>
        </w:tc>
      </w:tr>
      <w:tr>
        <w:trPr>
          <w:trHeight w:val="213"/>
        </w:trPr>
        <w:tc>
          <w:tcPr>
            <w:tcW w:w="7660" w:type="dxa"/>
            <w:vAlign w:val="bottom"/>
          </w:tcPr>
          <w:p>
            <w:pPr>
              <w:ind w:left="500"/>
              <w:spacing w:after="0"/>
              <w:rPr>
                <w:sz w:val="20"/>
                <w:szCs w:val="20"/>
                <w:color w:val="auto"/>
              </w:rPr>
            </w:pPr>
            <w:r>
              <w:rPr>
                <w:rFonts w:ascii="Arial" w:cs="Arial" w:eastAsia="Arial" w:hAnsi="Arial"/>
                <w:sz w:val="16"/>
                <w:szCs w:val="16"/>
                <w:color w:val="auto"/>
              </w:rPr>
              <w:t>Derivative liabilities</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4,018,719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4,096,363</w:t>
            </w:r>
          </w:p>
        </w:tc>
      </w:tr>
      <w:tr>
        <w:trPr>
          <w:trHeight w:val="21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213,110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221,345</w:t>
            </w:r>
          </w:p>
        </w:tc>
      </w:tr>
      <w:tr>
        <w:trPr>
          <w:trHeight w:val="213"/>
        </w:trPr>
        <w:tc>
          <w:tcPr>
            <w:tcW w:w="7660" w:type="dxa"/>
            <w:vAlign w:val="bottom"/>
          </w:tcPr>
          <w:p>
            <w:pPr>
              <w:ind w:left="500"/>
              <w:spacing w:after="0"/>
              <w:rPr>
                <w:sz w:val="20"/>
                <w:szCs w:val="20"/>
                <w:color w:val="auto"/>
              </w:rPr>
            </w:pPr>
            <w:r>
              <w:rPr>
                <w:rFonts w:ascii="Arial" w:cs="Arial" w:eastAsia="Arial" w:hAnsi="Arial"/>
                <w:sz w:val="16"/>
                <w:szCs w:val="16"/>
                <w:color w:val="auto"/>
              </w:rPr>
              <w:t>Notes payable</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971,557</w:t>
            </w:r>
          </w:p>
        </w:tc>
      </w:tr>
      <w:tr>
        <w:trPr>
          <w:trHeight w:val="21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58,500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588,343</w:t>
            </w:r>
          </w:p>
        </w:tc>
        <w:tc>
          <w:tcPr>
            <w:tcW w:w="100" w:type="dxa"/>
            <w:vAlign w:val="bottom"/>
            <w:shd w:val="clear" w:color="auto" w:fill="CFF0FC"/>
          </w:tcPr>
          <w:p>
            <w:pPr>
              <w:spacing w:after="0"/>
              <w:rPr>
                <w:sz w:val="19"/>
                <w:szCs w:val="19"/>
                <w:color w:val="auto"/>
              </w:rPr>
            </w:pPr>
          </w:p>
        </w:tc>
      </w:tr>
      <w:tr>
        <w:trPr>
          <w:trHeight w:val="207"/>
        </w:trPr>
        <w:tc>
          <w:tcPr>
            <w:tcW w:w="766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8,250,096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8,725,020</w:t>
            </w:r>
          </w:p>
        </w:tc>
      </w:tr>
      <w:tr>
        <w:trPr>
          <w:trHeight w:val="213"/>
        </w:trPr>
        <w:tc>
          <w:tcPr>
            <w:tcW w:w="76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LONG-TERM LIABILITIES</w:t>
            </w:r>
          </w:p>
        </w:tc>
        <w:tc>
          <w:tcPr>
            <w:tcW w:w="2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7660" w:type="dxa"/>
            <w:vAlign w:val="bottom"/>
          </w:tcPr>
          <w:p>
            <w:pPr>
              <w:ind w:left="500"/>
              <w:spacing w:after="0"/>
              <w:rPr>
                <w:sz w:val="20"/>
                <w:szCs w:val="20"/>
                <w:color w:val="auto"/>
              </w:rPr>
            </w:pPr>
            <w:r>
              <w:rPr>
                <w:rFonts w:ascii="Arial" w:cs="Arial" w:eastAsia="Arial" w:hAnsi="Arial"/>
                <w:sz w:val="16"/>
                <w:szCs w:val="16"/>
                <w:color w:val="auto"/>
              </w:rPr>
              <w:t>Notes payable, net of current portion</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50,000</w:t>
            </w:r>
          </w:p>
        </w:tc>
      </w:tr>
      <w:tr>
        <w:trPr>
          <w:trHeight w:val="21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 net of current portion</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812,169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1,061,113</w:t>
            </w:r>
          </w:p>
        </w:tc>
      </w:tr>
      <w:tr>
        <w:trPr>
          <w:trHeight w:val="213"/>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1,752,822</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1,758,709</w:t>
            </w:r>
          </w:p>
        </w:tc>
        <w:tc>
          <w:tcPr>
            <w:tcW w:w="100" w:type="dxa"/>
            <w:vAlign w:val="bottom"/>
            <w:tcBorders>
              <w:bottom w:val="single" w:sz="8" w:color="CFF0FC"/>
            </w:tcBorders>
          </w:tcPr>
          <w:p>
            <w:pPr>
              <w:spacing w:after="0"/>
              <w:rPr>
                <w:sz w:val="18"/>
                <w:szCs w:val="18"/>
                <w:color w:val="auto"/>
              </w:rPr>
            </w:pPr>
          </w:p>
        </w:tc>
      </w:tr>
      <w:tr>
        <w:trPr>
          <w:trHeight w:val="213"/>
        </w:trPr>
        <w:tc>
          <w:tcPr>
            <w:tcW w:w="7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LONG-TERM LIABILITIES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2,564,991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2,869,822</w:t>
            </w:r>
          </w:p>
        </w:tc>
      </w:tr>
      <w:tr>
        <w:trPr>
          <w:trHeight w:val="207"/>
        </w:trPr>
        <w:tc>
          <w:tcPr>
            <w:tcW w:w="7660" w:type="dxa"/>
            <w:vAlign w:val="bottom"/>
          </w:tcPr>
          <w:p>
            <w:pPr>
              <w:ind w:left="1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7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Arrowhead Research Corporation stockholders' equity:</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Preferred stock, $0.001 par value; 5,000,000 shares authorized; 21,291 and 9,900 shares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660" w:type="dxa"/>
            <w:vAlign w:val="bottom"/>
          </w:tcPr>
          <w:p>
            <w:pPr>
              <w:ind w:left="620"/>
              <w:spacing w:after="0"/>
              <w:rPr>
                <w:sz w:val="20"/>
                <w:szCs w:val="20"/>
                <w:color w:val="auto"/>
              </w:rPr>
            </w:pPr>
            <w:r>
              <w:rPr>
                <w:rFonts w:ascii="Arial" w:cs="Arial" w:eastAsia="Arial" w:hAnsi="Arial"/>
                <w:sz w:val="16"/>
                <w:szCs w:val="16"/>
                <w:color w:val="auto"/>
              </w:rPr>
              <w:t>issued and outstanding as of June 30, 2014 and September 30, 2013, respectively</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r>
      <w:tr>
        <w:trPr>
          <w:trHeight w:val="20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2"/>
              </w:rPr>
              <w:t>Common stock, $0.001 par value; 145,000,000 shares authorized; 52,908,567 and 32,489,444 shares issued</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and outstanding as of June 30, 2014 and September 30, 2013, respectively</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145,278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124,859</w:t>
            </w:r>
          </w:p>
        </w:tc>
      </w:tr>
      <w:tr>
        <w:trPr>
          <w:trHeight w:val="213"/>
        </w:trPr>
        <w:tc>
          <w:tcPr>
            <w:tcW w:w="766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388,558,305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193,514,766</w:t>
            </w:r>
          </w:p>
        </w:tc>
      </w:tr>
      <w:tr>
        <w:trPr>
          <w:trHeight w:val="219"/>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(202,340,717)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(166,140,969)</w:t>
            </w:r>
          </w:p>
        </w:tc>
      </w:tr>
      <w:tr>
        <w:trPr>
          <w:trHeight w:val="207"/>
        </w:trPr>
        <w:tc>
          <w:tcPr>
            <w:tcW w:w="7660" w:type="dxa"/>
            <w:vAlign w:val="bottom"/>
          </w:tcPr>
          <w:p>
            <w:pPr>
              <w:ind w:left="620"/>
              <w:spacing w:after="0"/>
              <w:rPr>
                <w:sz w:val="20"/>
                <w:szCs w:val="20"/>
                <w:color w:val="auto"/>
              </w:rPr>
            </w:pPr>
            <w:r>
              <w:rPr>
                <w:rFonts w:ascii="Arial" w:cs="Arial" w:eastAsia="Arial" w:hAnsi="Arial"/>
                <w:sz w:val="16"/>
                <w:szCs w:val="16"/>
                <w:color w:val="auto"/>
              </w:rPr>
              <w:t>Total Arrowhead Research Corporation stockholders' equity</w:t>
            </w: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186,362,887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27,498,666</w:t>
            </w:r>
          </w:p>
        </w:tc>
        <w:tc>
          <w:tcPr>
            <w:tcW w:w="100" w:type="dxa"/>
            <w:vAlign w:val="bottom"/>
          </w:tcPr>
          <w:p>
            <w:pPr>
              <w:spacing w:after="0"/>
              <w:rPr>
                <w:sz w:val="17"/>
                <w:szCs w:val="17"/>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(555,098)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(1,763,877)</w:t>
            </w:r>
          </w:p>
        </w:tc>
      </w:tr>
      <w:tr>
        <w:trPr>
          <w:trHeight w:val="207"/>
        </w:trPr>
        <w:tc>
          <w:tcPr>
            <w:tcW w:w="76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185,807,789</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25,734,789</w:t>
            </w:r>
          </w:p>
        </w:tc>
        <w:tc>
          <w:tcPr>
            <w:tcW w:w="100" w:type="dxa"/>
            <w:vAlign w:val="bottom"/>
            <w:tcBorders>
              <w:bottom w:val="single" w:sz="8" w:color="CFF0FC"/>
            </w:tcBorders>
          </w:tcPr>
          <w:p>
            <w:pPr>
              <w:spacing w:after="0"/>
              <w:rPr>
                <w:sz w:val="17"/>
                <w:szCs w:val="17"/>
                <w:color w:val="auto"/>
              </w:rPr>
            </w:pPr>
          </w:p>
        </w:tc>
      </w:tr>
      <w:tr>
        <w:trPr>
          <w:trHeight w:val="210"/>
        </w:trPr>
        <w:tc>
          <w:tcPr>
            <w:tcW w:w="7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196,622,876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37,329,631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Nine Months</w:t>
            </w: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ended</w:t>
            </w:r>
          </w:p>
        </w:tc>
        <w:tc>
          <w:tcPr>
            <w:tcW w:w="1680" w:type="dxa"/>
            <w:vAlign w:val="bottom"/>
            <w:gridSpan w:val="4"/>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ended</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4"/>
              </w:rPr>
              <w:t>June 30, 2014</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2013</w:t>
            </w:r>
          </w:p>
        </w:tc>
      </w:tr>
      <w:tr>
        <w:trPr>
          <w:trHeight w:val="202"/>
        </w:trPr>
        <w:tc>
          <w:tcPr>
            <w:tcW w:w="5040" w:type="dxa"/>
            <w:vAlign w:val="bottom"/>
          </w:tcPr>
          <w:p>
            <w:pPr>
              <w:ind w:left="140"/>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43,750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43,750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131,250</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246,516</w:t>
            </w:r>
          </w:p>
        </w:tc>
        <w:tc>
          <w:tcPr>
            <w:tcW w:w="120" w:type="dxa"/>
            <w:vAlign w:val="bottom"/>
          </w:tcPr>
          <w:p>
            <w:pPr>
              <w:spacing w:after="0"/>
              <w:rPr>
                <w:sz w:val="17"/>
                <w:szCs w:val="17"/>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040" w:type="dxa"/>
            <w:vAlign w:val="bottom"/>
          </w:tcPr>
          <w:p>
            <w:pPr>
              <w:ind w:left="500"/>
              <w:spacing w:after="0"/>
              <w:rPr>
                <w:sz w:val="20"/>
                <w:szCs w:val="20"/>
                <w:color w:val="auto"/>
              </w:rPr>
            </w:pPr>
            <w:r>
              <w:rPr>
                <w:rFonts w:ascii="Arial" w:cs="Arial" w:eastAsia="Arial" w:hAnsi="Arial"/>
                <w:sz w:val="16"/>
                <w:szCs w:val="16"/>
                <w:color w:val="auto"/>
              </w:rPr>
              <w:t>Salaries and payroll-related costs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2,454,449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1,651,729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7,634,142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5,006,328</w:t>
            </w:r>
          </w:p>
        </w:tc>
        <w:tc>
          <w:tcPr>
            <w:tcW w:w="120" w:type="dxa"/>
            <w:vAlign w:val="bottom"/>
          </w:tcPr>
          <w:p>
            <w:pPr>
              <w:spacing w:after="0"/>
              <w:rPr>
                <w:sz w:val="18"/>
                <w:szCs w:val="18"/>
                <w:color w:val="auto"/>
              </w:rPr>
            </w:pPr>
          </w:p>
        </w:tc>
      </w:tr>
      <w:tr>
        <w:trPr>
          <w:trHeight w:val="219"/>
        </w:trPr>
        <w:tc>
          <w:tcPr>
            <w:tcW w:w="5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1,582,465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899,633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3,865,845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2,597,279</w:t>
            </w:r>
          </w:p>
        </w:tc>
        <w:tc>
          <w:tcPr>
            <w:tcW w:w="120" w:type="dxa"/>
            <w:vAlign w:val="bottom"/>
            <w:shd w:val="clear" w:color="auto" w:fill="CFF0FC"/>
          </w:tcPr>
          <w:p>
            <w:pPr>
              <w:spacing w:after="0"/>
              <w:rPr>
                <w:sz w:val="19"/>
                <w:szCs w:val="19"/>
                <w:color w:val="auto"/>
              </w:rPr>
            </w:pPr>
          </w:p>
        </w:tc>
      </w:tr>
      <w:tr>
        <w:trPr>
          <w:trHeight w:val="213"/>
        </w:trPr>
        <w:tc>
          <w:tcPr>
            <w:tcW w:w="5040" w:type="dxa"/>
            <w:vAlign w:val="bottom"/>
          </w:tcPr>
          <w:p>
            <w:pPr>
              <w:ind w:left="50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6,392,200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1,756,527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14,719,739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5,458,212</w:t>
            </w:r>
          </w:p>
        </w:tc>
        <w:tc>
          <w:tcPr>
            <w:tcW w:w="120" w:type="dxa"/>
            <w:vAlign w:val="bottom"/>
          </w:tcPr>
          <w:p>
            <w:pPr>
              <w:spacing w:after="0"/>
              <w:rPr>
                <w:sz w:val="18"/>
                <w:szCs w:val="18"/>
                <w:color w:val="auto"/>
              </w:rPr>
            </w:pPr>
          </w:p>
        </w:tc>
      </w:tr>
      <w:tr>
        <w:trPr>
          <w:trHeight w:val="219"/>
        </w:trPr>
        <w:tc>
          <w:tcPr>
            <w:tcW w:w="5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2,038,682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363,593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3,758,264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1,114,375</w:t>
            </w:r>
          </w:p>
        </w:tc>
      </w:tr>
      <w:tr>
        <w:trPr>
          <w:trHeight w:val="213"/>
        </w:trPr>
        <w:tc>
          <w:tcPr>
            <w:tcW w:w="50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276,054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454,086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1,075,238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1,352,448</w:t>
            </w:r>
          </w:p>
        </w:tc>
        <w:tc>
          <w:tcPr>
            <w:tcW w:w="120" w:type="dxa"/>
            <w:vAlign w:val="bottom"/>
          </w:tcPr>
          <w:p>
            <w:pPr>
              <w:spacing w:after="0"/>
              <w:rPr>
                <w:sz w:val="18"/>
                <w:szCs w:val="18"/>
                <w:color w:val="auto"/>
              </w:rPr>
            </w:pPr>
          </w:p>
        </w:tc>
      </w:tr>
      <w:tr>
        <w:trPr>
          <w:trHeight w:val="219"/>
        </w:trPr>
        <w:tc>
          <w:tcPr>
            <w:tcW w:w="5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Impairment expense</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1,308,047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1,308,047</w:t>
            </w:r>
          </w:p>
        </w:tc>
        <w:tc>
          <w:tcPr>
            <w:tcW w:w="120" w:type="dxa"/>
            <w:vAlign w:val="bottom"/>
            <w:shd w:val="clear" w:color="auto" w:fill="CFF0FC"/>
          </w:tcPr>
          <w:p>
            <w:pPr>
              <w:spacing w:after="0"/>
              <w:rPr>
                <w:sz w:val="19"/>
                <w:szCs w:val="19"/>
                <w:color w:val="auto"/>
              </w:rPr>
            </w:pPr>
          </w:p>
        </w:tc>
      </w:tr>
      <w:tr>
        <w:trPr>
          <w:trHeight w:val="207"/>
        </w:trPr>
        <w:tc>
          <w:tcPr>
            <w:tcW w:w="504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12,743,850</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6,433,615</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31,053,228</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16,836,689</w:t>
            </w:r>
          </w:p>
        </w:tc>
        <w:tc>
          <w:tcPr>
            <w:tcW w:w="120" w:type="dxa"/>
            <w:vAlign w:val="bottom"/>
            <w:tcBorders>
              <w:bottom w:val="single" w:sz="8" w:color="CFF0FC"/>
            </w:tcBorders>
          </w:tcPr>
          <w:p>
            <w:pPr>
              <w:spacing w:after="0"/>
              <w:rPr>
                <w:sz w:val="17"/>
                <w:szCs w:val="17"/>
                <w:color w:val="auto"/>
              </w:rPr>
            </w:pPr>
          </w:p>
        </w:tc>
      </w:tr>
      <w:tr>
        <w:trPr>
          <w:trHeight w:val="212"/>
        </w:trPr>
        <w:tc>
          <w:tcPr>
            <w:tcW w:w="5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(12,700,100)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(6,389,865)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(30,921,978)</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(16,590,173)</w:t>
            </w:r>
          </w:p>
        </w:tc>
      </w:tr>
      <w:tr>
        <w:trPr>
          <w:trHeight w:val="213"/>
        </w:trPr>
        <w:tc>
          <w:tcPr>
            <w:tcW w:w="5040" w:type="dxa"/>
            <w:vAlign w:val="bottom"/>
          </w:tcPr>
          <w:p>
            <w:pPr>
              <w:ind w:left="140"/>
              <w:spacing w:after="0"/>
              <w:rPr>
                <w:sz w:val="20"/>
                <w:szCs w:val="20"/>
                <w:color w:val="auto"/>
              </w:rPr>
            </w:pPr>
            <w:r>
              <w:rPr>
                <w:rFonts w:ascii="Arial" w:cs="Arial" w:eastAsia="Arial" w:hAnsi="Arial"/>
                <w:sz w:val="16"/>
                <w:szCs w:val="16"/>
                <w:b w:val="1"/>
                <w:bCs w:val="1"/>
                <w:color w:val="auto"/>
              </w:rPr>
              <w:t>OTHER INCOME (EXPENSE)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Equity in income (loss) of unconsolidated affiliates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78,702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(159,530)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(69,350)</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(380,699)</w:t>
            </w:r>
          </w:p>
        </w:tc>
      </w:tr>
      <w:tr>
        <w:trPr>
          <w:trHeight w:val="213"/>
        </w:trPr>
        <w:tc>
          <w:tcPr>
            <w:tcW w:w="5040" w:type="dxa"/>
            <w:vAlign w:val="bottom"/>
          </w:tcPr>
          <w:p>
            <w:pPr>
              <w:ind w:left="500"/>
              <w:spacing w:after="0"/>
              <w:rPr>
                <w:sz w:val="20"/>
                <w:szCs w:val="20"/>
                <w:color w:val="auto"/>
              </w:rPr>
            </w:pPr>
            <w:r>
              <w:rPr>
                <w:rFonts w:ascii="Arial" w:cs="Arial" w:eastAsia="Arial" w:hAnsi="Arial"/>
                <w:sz w:val="16"/>
                <w:szCs w:val="16"/>
                <w:color w:val="auto"/>
              </w:rPr>
              <w:t>Gain (loss) on sale of fixed assets, net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(39,949)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(58,878)</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(76,388)</w:t>
            </w:r>
          </w:p>
        </w:tc>
      </w:tr>
      <w:tr>
        <w:trPr>
          <w:trHeight w:val="219"/>
        </w:trPr>
        <w:tc>
          <w:tcPr>
            <w:tcW w:w="5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Interest income (expense), net</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226,424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(48,252)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386,392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(68,403)</w:t>
            </w:r>
          </w:p>
        </w:tc>
      </w:tr>
      <w:tr>
        <w:trPr>
          <w:trHeight w:val="213"/>
        </w:trPr>
        <w:tc>
          <w:tcPr>
            <w:tcW w:w="5040" w:type="dxa"/>
            <w:vAlign w:val="bottom"/>
          </w:tcPr>
          <w:p>
            <w:pPr>
              <w:ind w:left="500"/>
              <w:spacing w:after="0"/>
              <w:rPr>
                <w:sz w:val="20"/>
                <w:szCs w:val="20"/>
                <w:color w:val="auto"/>
              </w:rPr>
            </w:pPr>
            <w:r>
              <w:rPr>
                <w:rFonts w:ascii="Arial" w:cs="Arial" w:eastAsia="Arial" w:hAnsi="Arial"/>
                <w:sz w:val="16"/>
                <w:szCs w:val="16"/>
                <w:color w:val="auto"/>
              </w:rPr>
              <w:t>Change in value of derivatives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758,469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200,747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(5,712,335)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215,620</w:t>
            </w:r>
          </w:p>
        </w:tc>
        <w:tc>
          <w:tcPr>
            <w:tcW w:w="120" w:type="dxa"/>
            <w:vAlign w:val="bottom"/>
          </w:tcPr>
          <w:p>
            <w:pPr>
              <w:spacing w:after="0"/>
              <w:rPr>
                <w:sz w:val="18"/>
                <w:szCs w:val="18"/>
                <w:color w:val="auto"/>
              </w:rPr>
            </w:pPr>
          </w:p>
        </w:tc>
      </w:tr>
      <w:tr>
        <w:trPr>
          <w:trHeight w:val="219"/>
        </w:trPr>
        <w:tc>
          <w:tcPr>
            <w:tcW w:w="5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259,221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(997,976)</w:t>
            </w:r>
          </w:p>
        </w:tc>
      </w:tr>
      <w:tr>
        <w:trPr>
          <w:trHeight w:val="207"/>
        </w:trPr>
        <w:tc>
          <w:tcPr>
            <w:tcW w:w="504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TOTAL OTHER INCOME (EXPENSE)</w:t>
            </w: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1,073,649</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212,237</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(5,372,902)</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(1,307,846)</w:t>
            </w:r>
          </w:p>
        </w:tc>
        <w:tc>
          <w:tcPr>
            <w:tcW w:w="120" w:type="dxa"/>
            <w:vAlign w:val="bottom"/>
            <w:tcBorders>
              <w:bottom w:val="single" w:sz="8" w:color="CFF0FC"/>
            </w:tcBorders>
          </w:tcPr>
          <w:p>
            <w:pPr>
              <w:spacing w:after="0"/>
              <w:rPr>
                <w:sz w:val="17"/>
                <w:szCs w:val="17"/>
                <w:color w:val="auto"/>
              </w:rPr>
            </w:pPr>
          </w:p>
        </w:tc>
      </w:tr>
      <w:tr>
        <w:trPr>
          <w:trHeight w:val="212"/>
        </w:trPr>
        <w:tc>
          <w:tcPr>
            <w:tcW w:w="504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6"/>
              </w:rPr>
              <w:t>LOSS FROM CONTINUING OPERATIONS BEFORE INCOME TAXES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(11,626,451)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(6,177,628)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(36,294,880)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(17,898,019)</w:t>
            </w:r>
          </w:p>
        </w:tc>
        <w:tc>
          <w:tcPr>
            <w:tcW w:w="120" w:type="dxa"/>
            <w:vAlign w:val="bottom"/>
            <w:shd w:val="clear" w:color="auto" w:fill="CFF0FC"/>
          </w:tcPr>
          <w:p>
            <w:pPr>
              <w:spacing w:after="0"/>
              <w:rPr>
                <w:sz w:val="18"/>
                <w:szCs w:val="18"/>
                <w:color w:val="auto"/>
              </w:rPr>
            </w:pPr>
          </w:p>
        </w:tc>
      </w:tr>
      <w:tr>
        <w:trPr>
          <w:trHeight w:val="213"/>
        </w:trPr>
        <w:tc>
          <w:tcPr>
            <w:tcW w:w="5040" w:type="dxa"/>
            <w:vAlign w:val="bottom"/>
          </w:tcPr>
          <w:p>
            <w:pPr>
              <w:ind w:left="500"/>
              <w:spacing w:after="0"/>
              <w:rPr>
                <w:sz w:val="20"/>
                <w:szCs w:val="20"/>
                <w:color w:val="auto"/>
              </w:rPr>
            </w:pPr>
            <w:r>
              <w:rPr>
                <w:rFonts w:ascii="Arial" w:cs="Arial" w:eastAsia="Arial" w:hAnsi="Arial"/>
                <w:sz w:val="16"/>
                <w:szCs w:val="16"/>
                <w:color w:val="auto"/>
              </w:rPr>
              <w:t>Provision for income taxes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7"/>
        </w:trPr>
        <w:tc>
          <w:tcPr>
            <w:tcW w:w="5040" w:type="dxa"/>
            <w:vAlign w:val="bottom"/>
          </w:tcPr>
          <w:p>
            <w:pPr>
              <w:ind w:left="140"/>
              <w:spacing w:after="0"/>
              <w:rPr>
                <w:sz w:val="20"/>
                <w:szCs w:val="20"/>
                <w:color w:val="auto"/>
              </w:rPr>
            </w:pPr>
            <w:r>
              <w:rPr>
                <w:rFonts w:ascii="Arial" w:cs="Arial" w:eastAsia="Arial" w:hAnsi="Arial"/>
                <w:sz w:val="16"/>
                <w:szCs w:val="16"/>
                <w:color w:val="auto"/>
              </w:rPr>
              <w:t>LOSS FROM CONTINUING OPERATIONS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(11,626,451)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(6,177,628)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(36,294,880)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(17,898,019)</w:t>
            </w:r>
          </w:p>
        </w:tc>
        <w:tc>
          <w:tcPr>
            <w:tcW w:w="120" w:type="dxa"/>
            <w:vAlign w:val="bottom"/>
          </w:tcPr>
          <w:p>
            <w:pPr>
              <w:spacing w:after="0"/>
              <w:rPr>
                <w:sz w:val="17"/>
                <w:szCs w:val="17"/>
                <w:color w:val="auto"/>
              </w:rPr>
            </w:pPr>
          </w:p>
        </w:tc>
      </w:tr>
      <w:tr>
        <w:trPr>
          <w:trHeight w:val="219"/>
        </w:trPr>
        <w:tc>
          <w:tcPr>
            <w:tcW w:w="5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Income (loss) from discontinued operations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(354)</w:t>
            </w:r>
          </w:p>
        </w:tc>
      </w:tr>
      <w:tr>
        <w:trPr>
          <w:trHeight w:val="216"/>
        </w:trPr>
        <w:tc>
          <w:tcPr>
            <w:tcW w:w="50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07"/>
        </w:trPr>
        <w:tc>
          <w:tcPr>
            <w:tcW w:w="5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 (LOSS) FROM DISCONTINUED OPERATIONS</w:t>
            </w: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(354)</w:t>
            </w:r>
          </w:p>
        </w:tc>
        <w:tc>
          <w:tcPr>
            <w:tcW w:w="120" w:type="dxa"/>
            <w:vAlign w:val="bottom"/>
            <w:shd w:val="clear" w:color="auto" w:fill="CFF0FC"/>
          </w:tcPr>
          <w:p>
            <w:pPr>
              <w:spacing w:after="0"/>
              <w:rPr>
                <w:sz w:val="17"/>
                <w:szCs w:val="17"/>
                <w:color w:val="auto"/>
              </w:rPr>
            </w:pPr>
          </w:p>
        </w:tc>
      </w:tr>
      <w:tr>
        <w:trPr>
          <w:trHeight w:val="212"/>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(11,626,451)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(6,177,628)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(36,294,880)</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(17,898,373)</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(gain) loss attributable to non-controlling interests</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(2,468)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98,618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95,132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447,268</w:t>
            </w:r>
          </w:p>
        </w:tc>
        <w:tc>
          <w:tcPr>
            <w:tcW w:w="120" w:type="dxa"/>
            <w:vAlign w:val="bottom"/>
            <w:shd w:val="clear" w:color="auto" w:fill="CFF0FC"/>
          </w:tcPr>
          <w:p>
            <w:pPr>
              <w:spacing w:after="0"/>
              <w:rPr>
                <w:sz w:val="18"/>
                <w:szCs w:val="18"/>
                <w:color w:val="auto"/>
              </w:rPr>
            </w:pPr>
          </w:p>
        </w:tc>
      </w:tr>
      <w:tr>
        <w:trPr>
          <w:trHeight w:val="216"/>
        </w:trPr>
        <w:tc>
          <w:tcPr>
            <w:tcW w:w="50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07"/>
        </w:trPr>
        <w:tc>
          <w:tcPr>
            <w:tcW w:w="5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LOSS ATTRIBUTABLE TO ARROWHEAD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(11,628,919)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(6,079,010)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(36,199,748)</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(17,451,105)</w:t>
            </w:r>
          </w:p>
        </w:tc>
        <w:tc>
          <w:tcPr>
            <w:tcW w:w="120" w:type="dxa"/>
            <w:vAlign w:val="bottom"/>
            <w:shd w:val="clear" w:color="auto" w:fill="CFF0FC"/>
          </w:tcPr>
          <w:p>
            <w:pPr>
              <w:spacing w:after="0"/>
              <w:rPr>
                <w:sz w:val="17"/>
                <w:szCs w:val="17"/>
                <w:color w:val="auto"/>
              </w:rPr>
            </w:pPr>
          </w:p>
        </w:tc>
      </w:tr>
      <w:tr>
        <w:trPr>
          <w:trHeight w:val="212"/>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LOSS PER SHARE ATTRIBUTABLE TO ARROWHEAD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(0.23)</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(0.81)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(0.92)</w:t>
            </w:r>
          </w:p>
        </w:tc>
      </w:tr>
      <w:tr>
        <w:trPr>
          <w:trHeight w:val="253"/>
        </w:trPr>
        <w:tc>
          <w:tcPr>
            <w:tcW w:w="50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SHAREHOLDERS - BASIC &amp; DILUTED:</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r>
      <w:tr>
        <w:trPr>
          <w:trHeight w:val="197"/>
        </w:trPr>
        <w:tc>
          <w:tcPr>
            <w:tcW w:w="5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Weighted average shares outstanding - basic and diluted</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51,931,989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26,134,183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44,565,008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18,893,197</w:t>
            </w:r>
          </w:p>
        </w:tc>
        <w:tc>
          <w:tcPr>
            <w:tcW w:w="120" w:type="dxa"/>
            <w:vAlign w:val="bottom"/>
            <w:shd w:val="clear" w:color="auto" w:fill="CFF0FC"/>
          </w:tcPr>
          <w:p>
            <w:pPr>
              <w:spacing w:after="0"/>
              <w:rPr>
                <w:sz w:val="17"/>
                <w:szCs w:val="17"/>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7"/>
            <w:vMerge w:val="restart"/>
          </w:tcPr>
          <w:p>
            <w:pPr>
              <w:jc w:val="right"/>
              <w:ind w:right="600"/>
              <w:spacing w:after="0"/>
              <w:rPr>
                <w:sz w:val="20"/>
                <w:szCs w:val="20"/>
                <w:color w:val="auto"/>
              </w:rPr>
            </w:pPr>
            <w:r>
              <w:rPr>
                <w:rFonts w:ascii="Arial" w:cs="Arial" w:eastAsia="Arial" w:hAnsi="Arial"/>
                <w:sz w:val="14"/>
                <w:szCs w:val="14"/>
                <w:b w:val="1"/>
                <w:bCs w:val="1"/>
                <w:color w:val="auto"/>
                <w:w w:val="89"/>
              </w:rPr>
              <w:t>Common Stock</w:t>
            </w:r>
          </w:p>
        </w:tc>
        <w:tc>
          <w:tcPr>
            <w:tcW w:w="360" w:type="dxa"/>
            <w:vAlign w:val="bottom"/>
          </w:tcPr>
          <w:p>
            <w:pPr>
              <w:spacing w:after="0"/>
              <w:rPr>
                <w:sz w:val="14"/>
                <w:szCs w:val="14"/>
                <w:color w:val="auto"/>
              </w:rPr>
            </w:pPr>
          </w:p>
        </w:tc>
        <w:tc>
          <w:tcPr>
            <w:tcW w:w="148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w w:val="92"/>
              </w:rPr>
              <w:t>Preferred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7"/>
            <w:vMerge w:val="continue"/>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9"/>
              </w:rPr>
              <w:t>Paid-</w:t>
            </w:r>
          </w:p>
        </w:tc>
        <w:tc>
          <w:tcPr>
            <w:tcW w:w="10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center"/>
              <w:ind w:right="79"/>
              <w:spacing w:after="0" w:line="158" w:lineRule="exact"/>
              <w:rPr>
                <w:sz w:val="20"/>
                <w:szCs w:val="20"/>
                <w:color w:val="auto"/>
              </w:rPr>
            </w:pPr>
            <w:r>
              <w:rPr>
                <w:rFonts w:ascii="Arial" w:cs="Arial" w:eastAsia="Arial" w:hAnsi="Arial"/>
                <w:sz w:val="14"/>
                <w:szCs w:val="14"/>
                <w:b w:val="1"/>
                <w:bCs w:val="1"/>
                <w:color w:val="auto"/>
                <w:w w:val="93"/>
              </w:rPr>
              <w:t>controlling</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line="20" w:lineRule="exact"/>
              <w:rPr>
                <w:sz w:val="1"/>
                <w:szCs w:val="1"/>
                <w:color w:val="auto"/>
              </w:rPr>
            </w:pPr>
          </w:p>
        </w:tc>
        <w:tc>
          <w:tcPr>
            <w:tcW w:w="94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219"/>
              <w:spacing w:after="0"/>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line="20" w:lineRule="exact"/>
              <w:rPr>
                <w:sz w:val="1"/>
                <w:szCs w:val="1"/>
                <w:color w:val="auto"/>
              </w:rPr>
            </w:pPr>
          </w:p>
        </w:tc>
      </w:tr>
      <w:tr>
        <w:trPr>
          <w:trHeight w:val="156"/>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2013</w:t>
            </w:r>
          </w:p>
        </w:tc>
        <w:tc>
          <w:tcPr>
            <w:tcW w:w="90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w w:val="90"/>
              </w:rPr>
              <w:t>Amount</w:t>
            </w:r>
          </w:p>
        </w:tc>
        <w:tc>
          <w:tcPr>
            <w:tcW w:w="1020" w:type="dxa"/>
            <w:vAlign w:val="bottom"/>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740" w:type="dxa"/>
            <w:vAlign w:val="bottom"/>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60" w:type="dxa"/>
            <w:vAlign w:val="bottom"/>
            <w:vMerge w:val="continue"/>
          </w:tcPr>
          <w:p>
            <w:pPr>
              <w:spacing w:after="0"/>
              <w:rPr>
                <w:sz w:val="11"/>
                <w:szCs w:val="11"/>
                <w:color w:val="auto"/>
              </w:rPr>
            </w:pPr>
          </w:p>
        </w:tc>
        <w:tc>
          <w:tcPr>
            <w:tcW w:w="8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32,489,444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124,859</w:t>
            </w:r>
          </w:p>
        </w:tc>
        <w:tc>
          <w:tcPr>
            <w:tcW w:w="22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9,900</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193,514,766</w:t>
            </w:r>
          </w:p>
        </w:tc>
        <w:tc>
          <w:tcPr>
            <w:tcW w:w="220" w:type="dxa"/>
            <w:vAlign w:val="bottom"/>
          </w:tcPr>
          <w:p>
            <w:pPr>
              <w:spacing w:after="0"/>
              <w:rPr>
                <w:sz w:val="11"/>
                <w:szCs w:val="11"/>
                <w:color w:val="auto"/>
              </w:rPr>
            </w:pPr>
          </w:p>
        </w:tc>
        <w:tc>
          <w:tcPr>
            <w:tcW w:w="120" w:type="dxa"/>
            <w:vAlign w:val="bottom"/>
            <w:tcBorders>
              <w:top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9"/>
              </w:rPr>
              <w:t>(166,140,969)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94"/>
              </w:rPr>
              <w:t>(1,763,877)</w:t>
            </w:r>
          </w:p>
        </w:tc>
        <w:tc>
          <w:tcPr>
            <w:tcW w:w="100" w:type="dxa"/>
            <w:vAlign w:val="bottom"/>
          </w:tcPr>
          <w:p>
            <w:pPr>
              <w:spacing w:after="0"/>
              <w:rPr>
                <w:sz w:val="11"/>
                <w:szCs w:val="11"/>
                <w:color w:val="auto"/>
              </w:rPr>
            </w:pPr>
          </w:p>
        </w:tc>
        <w:tc>
          <w:tcPr>
            <w:tcW w:w="2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25,734,789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6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2,875,727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2,875</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10,001,918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10,004,793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377,112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377</w:t>
            </w:r>
          </w:p>
        </w:tc>
        <w:tc>
          <w:tcPr>
            <w:tcW w:w="2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2,368,885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2,369,262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3,758,264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3,758,264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issued @ $5.86</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3,071,672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3,072</w:t>
            </w: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14,057,040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14,060,112</w:t>
            </w: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Arial" w:cs="Arial" w:eastAsia="Arial" w:hAnsi="Arial"/>
                <w:sz w:val="14"/>
                <w:szCs w:val="14"/>
                <w:color w:val="auto"/>
              </w:rPr>
              <w:t>Common stock issued @ $18.95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6,325,000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6,325</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112,575,234</w:t>
            </w:r>
          </w:p>
        </w:tc>
        <w:tc>
          <w:tcPr>
            <w:tcW w:w="12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w w:val="97"/>
              </w:rPr>
              <w:t>112,581,559</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Preferred stock issued @ $1,000 per share</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46,000</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45,999,954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Arial" w:cs="Arial" w:eastAsia="Arial" w:hAnsi="Arial"/>
                <w:sz w:val="14"/>
                <w:szCs w:val="14"/>
                <w:color w:val="auto"/>
              </w:rPr>
              <w:t>Common stock issued to Galloway</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131,579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499,868</w:t>
            </w:r>
          </w:p>
        </w:tc>
        <w:tc>
          <w:tcPr>
            <w:tcW w:w="12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Settlements related to derivative liability</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5,789,979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5,789,979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Arial" w:cs="Arial" w:eastAsia="Arial" w:hAnsi="Arial"/>
                <w:sz w:val="14"/>
                <w:szCs w:val="14"/>
                <w:color w:val="auto"/>
              </w:rPr>
              <w:t>Preferred stock converted to common stock</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7,638,033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7,638</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(34,609)</w:t>
            </w:r>
          </w:p>
        </w:tc>
        <w:tc>
          <w:tcPr>
            <w:tcW w:w="8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(7,603)</w:t>
            </w:r>
          </w:p>
        </w:tc>
        <w:tc>
          <w:tcPr>
            <w:tcW w:w="12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Deconsolidation of Calando Pharmaceuticals, Inc.</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1,303,911</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1,303,911</w:t>
            </w: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Arial" w:cs="Arial" w:eastAsia="Arial" w:hAnsi="Arial"/>
                <w:sz w:val="14"/>
                <w:szCs w:val="14"/>
                <w:color w:val="auto"/>
              </w:rPr>
              <w:t>Net loss for the nine months ended June 30, 2014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(36,199,748)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4"/>
                <w:szCs w:val="14"/>
                <w:color w:val="auto"/>
              </w:rPr>
              <w:t>(95,132)</w:t>
            </w:r>
          </w:p>
        </w:tc>
        <w:tc>
          <w:tcPr>
            <w:tcW w:w="2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(36,294,880)</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2014</w:t>
            </w:r>
          </w:p>
        </w:tc>
        <w:tc>
          <w:tcPr>
            <w:tcW w:w="8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52,908,567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145,278</w:t>
            </w:r>
          </w:p>
        </w:tc>
        <w:tc>
          <w:tcPr>
            <w:tcW w:w="22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21,291</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388,558,305</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(202,340,717</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(555,098</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185,807,789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Nine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7240" w:type="dxa"/>
            <w:vAlign w:val="bottom"/>
            <w:vMerge w:val="restart"/>
          </w:tcPr>
          <w:p>
            <w:pPr>
              <w:ind w:left="140"/>
              <w:spacing w:after="0"/>
              <w:rPr>
                <w:sz w:val="20"/>
                <w:szCs w:val="20"/>
                <w:color w:val="auto"/>
              </w:rPr>
            </w:pPr>
            <w:r>
              <w:rPr>
                <w:rFonts w:ascii="Arial" w:cs="Arial" w:eastAsia="Arial" w:hAnsi="Arial"/>
                <w:sz w:val="14"/>
                <w:szCs w:val="14"/>
                <w:color w:val="auto"/>
              </w:rPr>
              <w:t>CASH FLOWS FROM OPERATING ACTIVITIES OF CONTINUING OPERATIONS: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50"/>
        </w:trPr>
        <w:tc>
          <w:tcPr>
            <w:tcW w:w="72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240" w:type="dxa"/>
            <w:vAlign w:val="bottom"/>
          </w:tcPr>
          <w:p>
            <w:pPr>
              <w:ind w:left="38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(36,294,880)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(17,898,373)</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(income) loss attributable to non-controlling interests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95,132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447,268</w:t>
            </w:r>
          </w:p>
        </w:tc>
        <w:tc>
          <w:tcPr>
            <w:tcW w:w="0" w:type="dxa"/>
            <w:vAlign w:val="bottom"/>
          </w:tcPr>
          <w:p>
            <w:pPr>
              <w:spacing w:after="0"/>
              <w:rPr>
                <w:sz w:val="1"/>
                <w:szCs w:val="1"/>
                <w:color w:val="auto"/>
              </w:rPr>
            </w:pPr>
          </w:p>
        </w:tc>
      </w:tr>
      <w:tr>
        <w:trPr>
          <w:trHeight w:val="156"/>
        </w:trPr>
        <w:tc>
          <w:tcPr>
            <w:tcW w:w="7240" w:type="dxa"/>
            <w:vAlign w:val="bottom"/>
          </w:tcPr>
          <w:p>
            <w:pPr>
              <w:ind w:left="380"/>
              <w:spacing w:after="0" w:line="155" w:lineRule="exact"/>
              <w:rPr>
                <w:sz w:val="20"/>
                <w:szCs w:val="20"/>
                <w:color w:val="auto"/>
              </w:rPr>
            </w:pPr>
            <w:r>
              <w:rPr>
                <w:rFonts w:ascii="Arial" w:cs="Arial" w:eastAsia="Arial" w:hAnsi="Arial"/>
                <w:sz w:val="14"/>
                <w:szCs w:val="14"/>
                <w:color w:val="auto"/>
              </w:rPr>
              <w:t>Net income (loss) attributable to Arrowhead</w:t>
            </w:r>
          </w:p>
        </w:tc>
        <w:tc>
          <w:tcPr>
            <w:tcW w:w="7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(36,199,748)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(17,451,105)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loss from discontinued operations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tcPr>
          <w:p>
            <w:pPr>
              <w:ind w:left="380"/>
              <w:spacing w:after="0"/>
              <w:rPr>
                <w:sz w:val="20"/>
                <w:szCs w:val="20"/>
                <w:color w:val="auto"/>
              </w:rPr>
            </w:pPr>
            <w:r>
              <w:rPr>
                <w:rFonts w:ascii="Arial" w:cs="Arial" w:eastAsia="Arial" w:hAnsi="Arial"/>
                <w:sz w:val="14"/>
                <w:szCs w:val="14"/>
                <w:color w:val="auto"/>
              </w:rPr>
              <w:t>(Gain) loss on disposal of fixed assets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58,878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76,388</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value of derivatives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5,712,335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(215,620)</w:t>
            </w:r>
          </w:p>
        </w:tc>
        <w:tc>
          <w:tcPr>
            <w:tcW w:w="0" w:type="dxa"/>
            <w:vAlign w:val="bottom"/>
          </w:tcPr>
          <w:p>
            <w:pPr>
              <w:spacing w:after="0"/>
              <w:rPr>
                <w:sz w:val="1"/>
                <w:szCs w:val="1"/>
                <w:color w:val="auto"/>
              </w:rPr>
            </w:pPr>
          </w:p>
        </w:tc>
      </w:tr>
      <w:tr>
        <w:trPr>
          <w:trHeight w:val="162"/>
        </w:trPr>
        <w:tc>
          <w:tcPr>
            <w:tcW w:w="724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3,758,264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1,114,375</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1,075,238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1,352,448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tcPr>
          <w:p>
            <w:pPr>
              <w:ind w:left="380"/>
              <w:spacing w:after="0"/>
              <w:rPr>
                <w:sz w:val="20"/>
                <w:szCs w:val="20"/>
                <w:color w:val="auto"/>
              </w:rPr>
            </w:pPr>
            <w:r>
              <w:rPr>
                <w:rFonts w:ascii="Arial" w:cs="Arial" w:eastAsia="Arial" w:hAnsi="Arial"/>
                <w:sz w:val="14"/>
                <w:szCs w:val="14"/>
                <w:color w:val="auto"/>
              </w:rPr>
              <w:t>Amortization (accretion) of note discounts, net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416,292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82,341</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gain in equity investment</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(87,197)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240" w:type="dxa"/>
            <w:vAlign w:val="bottom"/>
          </w:tcPr>
          <w:p>
            <w:pPr>
              <w:ind w:left="380"/>
              <w:spacing w:after="0"/>
              <w:rPr>
                <w:sz w:val="20"/>
                <w:szCs w:val="20"/>
                <w:color w:val="auto"/>
              </w:rPr>
            </w:pPr>
            <w:r>
              <w:rPr>
                <w:rFonts w:ascii="Arial" w:cs="Arial" w:eastAsia="Arial" w:hAnsi="Arial"/>
                <w:sz w:val="14"/>
                <w:szCs w:val="14"/>
                <w:color w:val="auto"/>
              </w:rPr>
              <w:t>Non-cash impairment expense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2,315,721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Non-controlling interest</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(95,132)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(447,268)</w:t>
            </w:r>
          </w:p>
        </w:tc>
        <w:tc>
          <w:tcPr>
            <w:tcW w:w="0" w:type="dxa"/>
            <w:vAlign w:val="bottom"/>
          </w:tcPr>
          <w:p>
            <w:pPr>
              <w:spacing w:after="0"/>
              <w:rPr>
                <w:sz w:val="1"/>
                <w:szCs w:val="1"/>
                <w:color w:val="auto"/>
              </w:rPr>
            </w:pPr>
          </w:p>
        </w:tc>
      </w:tr>
      <w:tr>
        <w:trPr>
          <w:trHeight w:val="162"/>
        </w:trPr>
        <w:tc>
          <w:tcPr>
            <w:tcW w:w="724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620"/>
              <w:spacing w:after="0"/>
              <w:rPr>
                <w:sz w:val="20"/>
                <w:szCs w:val="20"/>
                <w:color w:val="auto"/>
              </w:rPr>
            </w:pPr>
            <w:r>
              <w:rPr>
                <w:rFonts w:ascii="Arial" w:cs="Arial" w:eastAsia="Arial" w:hAnsi="Arial"/>
                <w:sz w:val="14"/>
                <w:szCs w:val="14"/>
                <w:color w:val="auto"/>
              </w:rPr>
              <w:t>Receivables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9,375</w:t>
            </w:r>
          </w:p>
        </w:tc>
        <w:tc>
          <w:tcPr>
            <w:tcW w:w="0" w:type="dxa"/>
            <w:vAlign w:val="bottom"/>
          </w:tcPr>
          <w:p>
            <w:pPr>
              <w:spacing w:after="0"/>
              <w:rPr>
                <w:sz w:val="1"/>
                <w:szCs w:val="1"/>
                <w:color w:val="auto"/>
              </w:rPr>
            </w:pPr>
          </w:p>
        </w:tc>
      </w:tr>
      <w:tr>
        <w:trPr>
          <w:trHeight w:val="162"/>
        </w:trPr>
        <w:tc>
          <w:tcPr>
            <w:tcW w:w="7240" w:type="dxa"/>
            <w:vAlign w:val="bottom"/>
          </w:tcPr>
          <w:p>
            <w:pPr>
              <w:ind w:left="620"/>
              <w:spacing w:after="0"/>
              <w:rPr>
                <w:sz w:val="20"/>
                <w:szCs w:val="20"/>
                <w:color w:val="auto"/>
              </w:rPr>
            </w:pPr>
            <w:r>
              <w:rPr>
                <w:rFonts w:ascii="Arial" w:cs="Arial" w:eastAsia="Arial" w:hAnsi="Arial"/>
                <w:sz w:val="14"/>
                <w:szCs w:val="14"/>
                <w:color w:val="auto"/>
              </w:rPr>
              <w:t>Other receivables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(517,986)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(127,248)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(441,373)</w:t>
            </w:r>
          </w:p>
        </w:tc>
        <w:tc>
          <w:tcPr>
            <w:tcW w:w="0" w:type="dxa"/>
            <w:vAlign w:val="bottom"/>
          </w:tcPr>
          <w:p>
            <w:pPr>
              <w:spacing w:after="0"/>
              <w:rPr>
                <w:sz w:val="1"/>
                <w:szCs w:val="1"/>
                <w:color w:val="auto"/>
              </w:rPr>
            </w:pPr>
          </w:p>
        </w:tc>
      </w:tr>
      <w:tr>
        <w:trPr>
          <w:trHeight w:val="162"/>
        </w:trPr>
        <w:tc>
          <w:tcPr>
            <w:tcW w:w="7240" w:type="dxa"/>
            <w:vAlign w:val="bottom"/>
          </w:tcPr>
          <w:p>
            <w:pPr>
              <w:ind w:left="620"/>
              <w:spacing w:after="0"/>
              <w:rPr>
                <w:sz w:val="20"/>
                <w:szCs w:val="20"/>
                <w:color w:val="auto"/>
              </w:rPr>
            </w:pPr>
            <w:r>
              <w:rPr>
                <w:rFonts w:ascii="Arial" w:cs="Arial" w:eastAsia="Arial" w:hAnsi="Arial"/>
                <w:sz w:val="14"/>
                <w:szCs w:val="14"/>
                <w:color w:val="auto"/>
              </w:rPr>
              <w:t>Other assets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(11,402)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(1,813)</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990,929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183,959</w:t>
            </w:r>
          </w:p>
        </w:tc>
        <w:tc>
          <w:tcPr>
            <w:tcW w:w="0" w:type="dxa"/>
            <w:vAlign w:val="bottom"/>
          </w:tcPr>
          <w:p>
            <w:pPr>
              <w:spacing w:after="0"/>
              <w:rPr>
                <w:sz w:val="1"/>
                <w:szCs w:val="1"/>
                <w:color w:val="auto"/>
              </w:rPr>
            </w:pPr>
          </w:p>
        </w:tc>
      </w:tr>
      <w:tr>
        <w:trPr>
          <w:trHeight w:val="162"/>
        </w:trPr>
        <w:tc>
          <w:tcPr>
            <w:tcW w:w="724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459,690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95,132</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 liabilities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(4,480)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(313,354)</w:t>
            </w:r>
          </w:p>
        </w:tc>
        <w:tc>
          <w:tcPr>
            <w:tcW w:w="0" w:type="dxa"/>
            <w:vAlign w:val="bottom"/>
          </w:tcPr>
          <w:p>
            <w:pPr>
              <w:spacing w:after="0"/>
              <w:rPr>
                <w:sz w:val="1"/>
                <w:szCs w:val="1"/>
                <w:color w:val="auto"/>
              </w:rPr>
            </w:pPr>
          </w:p>
        </w:tc>
      </w:tr>
      <w:tr>
        <w:trPr>
          <w:trHeight w:val="156"/>
        </w:trPr>
        <w:tc>
          <w:tcPr>
            <w:tcW w:w="7240" w:type="dxa"/>
            <w:vAlign w:val="bottom"/>
          </w:tcPr>
          <w:p>
            <w:pPr>
              <w:ind w:left="380"/>
              <w:spacing w:after="0" w:line="155" w:lineRule="exact"/>
              <w:rPr>
                <w:sz w:val="20"/>
                <w:szCs w:val="20"/>
                <w:color w:val="auto"/>
              </w:rPr>
            </w:pPr>
            <w:r>
              <w:rPr>
                <w:rFonts w:ascii="Arial" w:cs="Arial" w:eastAsia="Arial" w:hAnsi="Arial"/>
                <w:sz w:val="14"/>
                <w:szCs w:val="14"/>
                <w:color w:val="auto"/>
              </w:rPr>
              <w:t>NET CASH USED IN OPERATING ACTIVITIES OF CONTINUING OPERATIONS</w:t>
            </w:r>
          </w:p>
        </w:tc>
        <w:tc>
          <w:tcPr>
            <w:tcW w:w="7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(24,496,567)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(13,639,360)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tcPr>
          <w:p>
            <w:pPr>
              <w:ind w:left="140"/>
              <w:spacing w:after="0"/>
              <w:rPr>
                <w:sz w:val="20"/>
                <w:szCs w:val="20"/>
                <w:color w:val="auto"/>
              </w:rPr>
            </w:pPr>
            <w:r>
              <w:rPr>
                <w:rFonts w:ascii="Arial" w:cs="Arial" w:eastAsia="Arial" w:hAnsi="Arial"/>
                <w:sz w:val="14"/>
                <w:szCs w:val="14"/>
                <w:color w:val="auto"/>
              </w:rPr>
              <w:t>CASH FLOWS FROM INVESTING ACTIVITIES OF CONTINUING OPERATIONS: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and equipment</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(1,251,987)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(191,656)</w:t>
            </w:r>
          </w:p>
        </w:tc>
        <w:tc>
          <w:tcPr>
            <w:tcW w:w="0" w:type="dxa"/>
            <w:vAlign w:val="bottom"/>
          </w:tcPr>
          <w:p>
            <w:pPr>
              <w:spacing w:after="0"/>
              <w:rPr>
                <w:sz w:val="1"/>
                <w:szCs w:val="1"/>
                <w:color w:val="auto"/>
              </w:rPr>
            </w:pPr>
          </w:p>
        </w:tc>
      </w:tr>
      <w:tr>
        <w:trPr>
          <w:trHeight w:val="162"/>
        </w:trPr>
        <w:tc>
          <w:tcPr>
            <w:tcW w:w="7240" w:type="dxa"/>
            <w:vAlign w:val="bottom"/>
          </w:tcPr>
          <w:p>
            <w:pPr>
              <w:ind w:left="380"/>
              <w:spacing w:after="0"/>
              <w:rPr>
                <w:sz w:val="20"/>
                <w:szCs w:val="20"/>
                <w:color w:val="auto"/>
              </w:rPr>
            </w:pPr>
            <w:r>
              <w:rPr>
                <w:rFonts w:ascii="Arial" w:cs="Arial" w:eastAsia="Arial" w:hAnsi="Arial"/>
                <w:sz w:val="14"/>
                <w:szCs w:val="14"/>
                <w:color w:val="auto"/>
              </w:rPr>
              <w:t>Proceeds from sale of fixed assets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89,505</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 of marketable securities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(46,365,528)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(4,058,003)</w:t>
            </w:r>
          </w:p>
        </w:tc>
        <w:tc>
          <w:tcPr>
            <w:tcW w:w="0" w:type="dxa"/>
            <w:vAlign w:val="bottom"/>
          </w:tcPr>
          <w:p>
            <w:pPr>
              <w:spacing w:after="0"/>
              <w:rPr>
                <w:sz w:val="1"/>
                <w:szCs w:val="1"/>
                <w:color w:val="auto"/>
              </w:rPr>
            </w:pPr>
          </w:p>
        </w:tc>
      </w:tr>
      <w:tr>
        <w:trPr>
          <w:trHeight w:val="162"/>
        </w:trPr>
        <w:tc>
          <w:tcPr>
            <w:tcW w:w="7240" w:type="dxa"/>
            <w:vAlign w:val="bottom"/>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6,590,824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1,160,181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40" w:type="dxa"/>
            <w:vAlign w:val="bottom"/>
            <w:tcBorders>
              <w:top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 OF CONTINUING OPERATIONS</w:t>
            </w:r>
          </w:p>
        </w:tc>
        <w:tc>
          <w:tcPr>
            <w:tcW w:w="7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(41,026,691)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(2,999,973)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FINANCING ACTIVITIES OF CONTINUING OPERATIONS: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tcPr>
          <w:p>
            <w:pPr>
              <w:ind w:left="380"/>
              <w:spacing w:after="0"/>
              <w:rPr>
                <w:sz w:val="20"/>
                <w:szCs w:val="20"/>
                <w:color w:val="auto"/>
              </w:rPr>
            </w:pPr>
            <w:r>
              <w:rPr>
                <w:rFonts w:ascii="Arial" w:cs="Arial" w:eastAsia="Arial" w:hAnsi="Arial"/>
                <w:sz w:val="14"/>
                <w:szCs w:val="14"/>
                <w:color w:val="auto"/>
              </w:rPr>
              <w:t>Principal payments on capital leases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(257,178)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(160,495)</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issuance of common stock and preferred stock, net</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172,641,720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42,448,824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tcPr>
          <w:p>
            <w:pPr>
              <w:ind w:left="380"/>
              <w:spacing w:after="0"/>
              <w:rPr>
                <w:sz w:val="20"/>
                <w:szCs w:val="20"/>
                <w:color w:val="auto"/>
              </w:rPr>
            </w:pPr>
            <w:r>
              <w:rPr>
                <w:rFonts w:ascii="Arial" w:cs="Arial" w:eastAsia="Arial" w:hAnsi="Arial"/>
                <w:sz w:val="14"/>
                <w:szCs w:val="14"/>
                <w:color w:val="auto"/>
              </w:rPr>
              <w:t>Proceeds from the exercise of warrants and stock options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12,374,005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240" w:type="dxa"/>
            <w:vAlign w:val="bottom"/>
            <w:tcBorders>
              <w:top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FINANCING ACTIVITIES OF CONTINUING OPERATIONS</w:t>
            </w:r>
          </w:p>
        </w:tc>
        <w:tc>
          <w:tcPr>
            <w:tcW w:w="7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184,758,547</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42,288,329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40" w:type="dxa"/>
            <w:vAlign w:val="bottom"/>
          </w:tcPr>
          <w:p>
            <w:pPr>
              <w:ind w:left="140"/>
              <w:spacing w:after="0" w:line="155" w:lineRule="exact"/>
              <w:rPr>
                <w:sz w:val="20"/>
                <w:szCs w:val="20"/>
                <w:color w:val="auto"/>
              </w:rPr>
            </w:pPr>
            <w:r>
              <w:rPr>
                <w:rFonts w:ascii="Arial" w:cs="Arial" w:eastAsia="Arial" w:hAnsi="Arial"/>
                <w:sz w:val="14"/>
                <w:szCs w:val="14"/>
                <w:color w:val="auto"/>
              </w:rPr>
              <w:t>Cash flows from discontinued operations: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Operating cash flows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62"/>
        </w:trPr>
        <w:tc>
          <w:tcPr>
            <w:tcW w:w="7240" w:type="dxa"/>
            <w:vAlign w:val="bottom"/>
          </w:tcPr>
          <w:p>
            <w:pPr>
              <w:ind w:left="380"/>
              <w:spacing w:after="0"/>
              <w:rPr>
                <w:sz w:val="20"/>
                <w:szCs w:val="20"/>
                <w:color w:val="auto"/>
              </w:rPr>
            </w:pPr>
            <w:r>
              <w:rPr>
                <w:rFonts w:ascii="Arial" w:cs="Arial" w:eastAsia="Arial" w:hAnsi="Arial"/>
                <w:sz w:val="14"/>
                <w:szCs w:val="14"/>
                <w:color w:val="auto"/>
              </w:rPr>
              <w:t>Investing cash flows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Financing cash flows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24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Net cash provided by (used in) discontinued operations:</w:t>
            </w:r>
          </w:p>
        </w:tc>
        <w:tc>
          <w:tcPr>
            <w:tcW w:w="7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40" w:type="dxa"/>
            <w:vAlign w:val="bottom"/>
            <w:shd w:val="clear" w:color="auto" w:fill="CFF0FC"/>
          </w:tcPr>
          <w:p>
            <w:pPr>
              <w:ind w:left="880"/>
              <w:spacing w:after="0" w:line="155" w:lineRule="exact"/>
              <w:rPr>
                <w:sz w:val="20"/>
                <w:szCs w:val="20"/>
                <w:color w:val="auto"/>
              </w:rPr>
            </w:pPr>
            <w:r>
              <w:rPr>
                <w:rFonts w:ascii="Arial" w:cs="Arial" w:eastAsia="Arial" w:hAnsi="Arial"/>
                <w:sz w:val="14"/>
                <w:szCs w:val="14"/>
                <w:color w:val="auto"/>
              </w:rPr>
              <w:t>NET INCREASE IN CASH</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119,235,289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25,648,642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40" w:type="dxa"/>
            <w:vAlign w:val="bottom"/>
          </w:tcPr>
          <w:p>
            <w:pPr>
              <w:ind w:left="140"/>
              <w:spacing w:after="0"/>
              <w:rPr>
                <w:sz w:val="20"/>
                <w:szCs w:val="20"/>
                <w:color w:val="auto"/>
              </w:rPr>
            </w:pPr>
            <w:r>
              <w:rPr>
                <w:rFonts w:ascii="Arial" w:cs="Arial" w:eastAsia="Arial" w:hAnsi="Arial"/>
                <w:sz w:val="14"/>
                <w:szCs w:val="14"/>
                <w:color w:val="auto"/>
              </w:rPr>
              <w:t>CASH AT BEGINNING OF PERIOD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19,114,444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3,377,288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4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7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138,349,733</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29,025,930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24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2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4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9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21,478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32,139</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SUPPLEMENTARY NON CASH TRANSACTIONS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On February 18, 2014, Arrowhead issued 131,579 shares of Common Stock valued at $500,000 to Galloway Limited, in settlement of a services agreement dated September 30, 2011.</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On October 21, 2012, Arrowhead issued 239,894 shares of Common Stock to Roche in accordance with the terms of the Stock and Asset Purchase Agreement for Roche Madison Inc., to settle a liability of $986,049, which the Company had recorded upon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240" w:top="125" w:right="5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Ablaris Therapeutics, Inc. (“Ablaris”), and Tego Biosciences Corporation (“Tego”), as well as our former subsidiaries, Alvos Therapeutics, Inc. (“Alvos”) and Agonn Systems, Inc. (“Agonn”),which were merged into Arrowhead during 2013, and Calando Pharmaceuticals, Inc. (“Calando”), which was deconsolidated as of June 30, 2014, (4) the term “Minority Investments” refers collectively to Nanotope, Inc. (“Nanotope”), which was dissolved during 2013, and Leonardo Biosystems, Inc. (“Leonardo”) in which the company holds a less than majority ownership position, (5) the term “Common Stock” refers to Arrowhead’s Common Stock, (6) the term “Preferred Stock” refers to Arrowhead’s Preferred Stock and the term “Stockholder(s)” refers to the holders of Arrowhead Common Stock.</w:t>
      </w:r>
    </w:p>
    <w:p>
      <w:pPr>
        <w:spacing w:after="0" w:line="311" w:lineRule="exact"/>
        <w:rPr>
          <w:sz w:val="20"/>
          <w:szCs w:val="20"/>
          <w:color w:val="auto"/>
        </w:rPr>
      </w:pPr>
    </w:p>
    <w:p>
      <w:pPr>
        <w:ind w:right="554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w:t>
      </w:r>
    </w:p>
    <w:p>
      <w:pPr>
        <w:ind w:right="80" w:firstLine="518"/>
        <w:spacing w:after="0" w:line="259" w:lineRule="auto"/>
        <w:rPr>
          <w:sz w:val="20"/>
          <w:szCs w:val="20"/>
          <w:color w:val="auto"/>
        </w:rPr>
      </w:pPr>
      <w:r>
        <w:rPr>
          <w:rFonts w:ascii="Arial" w:cs="Arial" w:eastAsia="Arial" w:hAnsi="Arial"/>
          <w:sz w:val="18"/>
          <w:szCs w:val="18"/>
          <w:color w:val="auto"/>
        </w:rPr>
        <w:t>Arrowhead Research Corporation is a biopharmaceutical company developing targeted RNAi therapeutics. The Company is leveraging its proprietary Dynamic Polyconjugate (DPC) delivery platform to develop targeted drugs based on the RNA interference mechanism that efficiently silences disease-causing genes. Arrowhead’s pipeline includes ARC-520 for chronic hepatitis B virus, ARC-AAT for liver disease associated with Alpha-1 antitrypsin deficiency, and partner-based programs in obesity and oncology.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Historically, the Company’s primary source of financing has been through the sale of equity securities. Research and development activities have required significant capital investment since the Company’s inception and the Company expects its operations to continue to require cash investment in fiscal 2014 and beyond as the Company advances its research and development efforts, including clinical trials, and related drug manufacturing costs.</w:t>
      </w:r>
    </w:p>
    <w:p>
      <w:pPr>
        <w:spacing w:after="0" w:line="14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At June 30, 2014, the Company had $138.3 million in cash to fund operations. In addition to its cash resources, the Company has invested excess cash in investment grade commercial bonds maturing in less than 27 months. These bonds provide a source of liquidity, though the Company plans to hold them until maturity. At June 30, 2014, the Company had invested $50.1 million in bonds. During the nine months ended June 30, 2014, the Company’s cash position increased by $119.2 million, which was the result of the receipt of cash from the issuance of equity of $172.6 million and cash from the exercise of warrants and options of $12.4 million, partially offset by net cash invested in fixed income investments of $39.8 million, cash outflows of $24.5 million related to continuing operating activities and capital expenditures of $1.3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facilities are located. All significant intercompany accounts and transactions are eliminated in consolidation, and non-controlling interests are accounted for in the Company’s financial statements.</w:t>
      </w:r>
    </w:p>
    <w:p>
      <w:pPr>
        <w:spacing w:after="0" w:line="18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Basis of Presentation—The accompanying unaudited consolidated financial statements have been prepared in accordance with accounting principles generally accepted in the United States (“GAAP”) for interim financial information and in accordance with the instructions to Form 10-Q and Article 8 of Regulation S-X. Accordingly, the financial statements do not include all of the information and notes required by GAAP for complete financial statements. In the opinion of management, all adjustments, including normal recurring accruals, considered necessary for a fair presentation have been included. Interim results are not necessarily indicative of results for a full year. The September 30, 2013 Consolidated Balance Sheet was derived from audited financial statements, but does not include all disclosures required by GAAP. This financial information should be read in conjunction with the consolidated financial statements and notes included in the Company’s Annual Report on Form 10-K for the year ended September 30, 2013. Certain reclassifications have been made to prior period financial statements to conform to the current period presentation.</w:t>
      </w:r>
    </w:p>
    <w:p>
      <w:pPr>
        <w:spacing w:after="0" w:line="179"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Use of Estimates—The preparation of financial statements in conformity with generally accepted accounting principles requires management to make estimates and assumptions that affect the amounts reported in the accompanying financial statements. Actual results could differ from those estimates.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ind w:right="66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June 30, 2014 and September 30, 2013.</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Concentration of Credit Risk—The Company maintains several checking accounts for its operations at two financial institutions. These accounts are insured by the Federal Deposit Insurance Corporation (FDIC) for up to $250,000 per account. Management believes the Company is not exposed to significant credit risk due to the financial position of the depository institutions in which these deposits are held.</w:t>
      </w:r>
    </w:p>
    <w:p>
      <w:pPr>
        <w:spacing w:after="0" w:line="18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Investments—The Company invests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At June 30, 2014, the Company classified all of its investments as held-to-maturity.</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 See further information regarding the Company’s short and long term investments in Note 2 – Investments.</w:t>
      </w:r>
    </w:p>
    <w:p>
      <w:pPr>
        <w:spacing w:after="0" w:line="18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further information regarding fair market value of marketable debt securities in Note 10 – Fair Value Measurements, such fair market data is obtained from independent pricing services.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included certain license agreements acquired through business combinations.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In-Process Research &amp; Development (IPR&amp;D)—IPR&amp;D assets represent capitalized on-going research projects that Arrowhead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are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41" w:right="279" w:bottom="1440" w:gutter="0" w:footer="0" w:header="0"/>
        </w:sectPr>
      </w:pPr>
    </w:p>
    <w:bookmarkStart w:id="9" w:name="page10"/>
    <w:bookmarkEnd w:id="9"/>
    <w:p>
      <w:pPr>
        <w:ind w:firstLine="518"/>
        <w:spacing w:after="0" w:line="286" w:lineRule="auto"/>
        <w:rPr>
          <w:sz w:val="20"/>
          <w:szCs w:val="20"/>
          <w:color w:val="auto"/>
        </w:rPr>
      </w:pPr>
      <w:r>
        <w:rPr>
          <w:rFonts w:ascii="Arial" w:cs="Arial" w:eastAsia="Arial" w:hAnsi="Arial"/>
          <w:sz w:val="16"/>
          <w:szCs w:val="16"/>
          <w:color w:val="auto"/>
        </w:rPr>
        <w:t>Contingent Consideration - The consideration for our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175"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Minority Equity Investments—The Company had a minority equity investment in Leonardo, a privately held biotechnology company. Based on the status of the development of Leonardo’s program, this investment has been fully impaired and the net book value at June 30, 2014 is $0. The operations of Leonardo ceased in December 2013.</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Non-controlling Interests in Majority-Owned Subsidiaries—Operating losses applicable to majority-owned Calando, Ablaris and, prior to its disposal, Unidym have periodically exceeded the non-controlling interests in the equity capital of either Subsidiary. Such excess losses applicable to the non-controlling interests have been and are borne by the Company as there is no obligation of the non-controlling interests to fund any losses in excess of their original investment. There is also no obligation or commitment on the part of the Company to fund operating losses of any Subsidiary whether wholly-owned or majority-owned. The Company allocates the non-controlling interests’ share of net loss in excess of the non-controlling interests’ initial investment in accordance with FASB ASC 810-10.</w:t>
      </w:r>
    </w:p>
    <w:p>
      <w:pPr>
        <w:spacing w:after="0" w:line="19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When there is a change in the Company’s proportionate ownership share of a development-stage Subsidiary resulting from additional equity transactions in the Subsidiary, the change is accounted for as an equity transaction in consolidation. To the extent that the increase in the calculated value of the Company’s interest in the equity of the Subsidiary exceeds the Company’s investment in the transaction, that increase in value is referred to as the Company’s “increase in its proportionate share of the Subsidiary’s equity” and the amount is recorded as an increase in the Company’s Additional Paid-in Capital.</w:t>
      </w:r>
    </w:p>
    <w:p>
      <w:pPr>
        <w:spacing w:after="0" w:line="188"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Revenue Recognition—Revenue from license fees are recorded when persuasive evidence of an arrangement exists, title has passed or services have been rendered, a price is fixed and determinable, and collection is reasonably assured. The Company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Payments under collaborative research and development agreements are recognized ratably over the relevant periods specified in the agreement, generally the period during which research and development is conducted.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Research and Development—Costs and expenses that can be clearly identified as research and development are charged to expense as incurred in accordance with FASB ASC 730-10.</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issued to employees and consultants and warrants to purchase Common Stock of the Company.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41" w:right="279" w:bottom="1440" w:gutter="0" w:footer="0" w:header="0"/>
        </w:sectPr>
      </w:pPr>
    </w:p>
    <w:bookmarkStart w:id="10" w:name="page11"/>
    <w:bookmarkEnd w:id="10"/>
    <w:p>
      <w:pPr>
        <w:ind w:right="40" w:firstLine="518"/>
        <w:spacing w:after="0" w:line="257" w:lineRule="auto"/>
        <w:rPr>
          <w:sz w:val="20"/>
          <w:szCs w:val="20"/>
          <w:color w:val="auto"/>
        </w:rPr>
      </w:pPr>
      <w:r>
        <w:rPr>
          <w:rFonts w:ascii="Arial" w:cs="Arial" w:eastAsia="Arial" w:hAnsi="Arial"/>
          <w:sz w:val="18"/>
          <w:szCs w:val="18"/>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The Company uses historical data and other information to estimate the expected price volatility and the expected forfeiture rate.</w:t>
      </w:r>
    </w:p>
    <w:p>
      <w:pPr>
        <w:spacing w:after="0" w:line="1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and no further adjustments to their valuation are made. Some of the Company’s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82"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In June 2014, the FASB issued ASU 2014-10, </w:t>
      </w:r>
      <w:r>
        <w:rPr>
          <w:rFonts w:ascii="Arial" w:cs="Arial" w:eastAsia="Arial" w:hAnsi="Arial"/>
          <w:sz w:val="16"/>
          <w:szCs w:val="16"/>
          <w:i w:val="1"/>
          <w:iCs w:val="1"/>
          <w:color w:val="auto"/>
        </w:rPr>
        <w:t>Development Stage Entities (Topic 915): Elimination of Certain Financial Reporting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an Amendment to Variable Interest Entities Guidance</w:t>
      </w:r>
      <w:r>
        <w:rPr>
          <w:rFonts w:ascii="Arial" w:cs="Arial" w:eastAsia="Arial" w:hAnsi="Arial"/>
          <w:sz w:val="16"/>
          <w:szCs w:val="16"/>
          <w:color w:val="auto"/>
        </w:rPr>
        <w:t>, which eliminates the distinction and separate requirements for development stage entities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reporting entities under U.S. GAAP. Specifically the amendment eliminates the requirement for development stage entities to 1) present inception-to-date information in the statements of income, cash flow and shareholders’ equity, 2) label the financial statements as those of a development stage entity, 3) disclose a description of the development stage activities in which the entity is engaged and 4) disclose the first year in which the entity is no longer a development stage entity that in prior years it had been in the development stage. ASU 2014-10 is effective for fiscal years beginning after December 15, 2014 with early adoption permitted. The Company has adopted ASU 2014-10 effectively with the filing of this Form 10-Q.</w:t>
      </w:r>
    </w:p>
    <w:p>
      <w:pPr>
        <w:spacing w:after="0" w:line="16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2018. The Company is evaluating the potential effects of the adoption of this update on its financial statements.</w:t>
      </w:r>
    </w:p>
    <w:p>
      <w:pPr>
        <w:spacing w:after="0" w:line="17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 xml:space="preserve">In July 2013, the FASB issued ASU 2013-11, </w:t>
      </w:r>
      <w:r>
        <w:rPr>
          <w:rFonts w:ascii="Arial" w:cs="Arial" w:eastAsia="Arial" w:hAnsi="Arial"/>
          <w:sz w:val="17"/>
          <w:szCs w:val="17"/>
          <w:i w:val="1"/>
          <w:iCs w:val="1"/>
          <w:color w:val="auto"/>
        </w:rPr>
        <w:t>Income Taxes (Topic 740): Presentation of an Unrecognized Tax Benefit When a Net Operating Loss</w:t>
      </w:r>
      <w:r>
        <w:rPr>
          <w:rFonts w:ascii="Arial" w:cs="Arial" w:eastAsia="Arial" w:hAnsi="Arial"/>
          <w:sz w:val="17"/>
          <w:szCs w:val="17"/>
          <w:color w:val="auto"/>
        </w:rPr>
        <w:t xml:space="preserve"> </w:t>
      </w:r>
      <w:r>
        <w:rPr>
          <w:rFonts w:ascii="Arial" w:cs="Arial" w:eastAsia="Arial" w:hAnsi="Arial"/>
          <w:sz w:val="17"/>
          <w:szCs w:val="17"/>
          <w:i w:val="1"/>
          <w:iCs w:val="1"/>
          <w:color w:val="auto"/>
        </w:rPr>
        <w:t>Carryforward, a Similar Tax Loss, or a Tax Credit Carryforward Exists</w:t>
      </w:r>
      <w:r>
        <w:rPr>
          <w:rFonts w:ascii="Arial" w:cs="Arial" w:eastAsia="Arial" w:hAnsi="Arial"/>
          <w:sz w:val="17"/>
          <w:szCs w:val="17"/>
          <w:color w:val="auto"/>
        </w:rPr>
        <w:t>, which eliminates diversity in practice for the presentation of an unrecognized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when a net operating loss carryforward, a similar tax loss or a tax credit carryforward is available to reduce the taxable income or tax payable that would result from disallowance of a tax position. ASU 2013-11 affects only the presentation of such amounts in an entity’s balance sheet and is effective for fiscal years beginning after December 15, 2013 and interim periods within those years. Early adoption is permitted. The Company is evaluating the impact, if any, of the adoption of ASU 2013-11 on its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4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invests its excess cash balances in short-term and long-term debt securities. Investments at June 30, 2014 consisted of corporate bonds with maturities remaining of less than three years at the time of purchase.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June 30, 2014,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 and long-term investments as of June 30, 2014, and September 30,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As of June 30, 2014</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00" w:type="dxa"/>
            <w:vAlign w:val="bottom"/>
          </w:tcPr>
          <w:p>
            <w:pPr>
              <w:spacing w:after="0"/>
              <w:rPr>
                <w:sz w:val="10"/>
                <w:szCs w:val="10"/>
                <w:color w:val="auto"/>
              </w:rPr>
            </w:pPr>
          </w:p>
        </w:tc>
        <w:tc>
          <w:tcPr>
            <w:tcW w:w="13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23,834,408</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(237,181)</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23,599,077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Commercial notes (due after one year within three years)</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26,284,862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(152,222)</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26,136,599</w:t>
            </w: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50,119,270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(389,403)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49,735,616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As of September 30, 2013</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00" w:type="dxa"/>
            <w:vAlign w:val="bottom"/>
          </w:tcPr>
          <w:p>
            <w:pPr>
              <w:spacing w:after="0"/>
              <w:rPr>
                <w:sz w:val="10"/>
                <w:szCs w:val="10"/>
                <w:color w:val="auto"/>
              </w:rPr>
            </w:pPr>
          </w:p>
        </w:tc>
        <w:tc>
          <w:tcPr>
            <w:tcW w:w="13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9,030,261</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(39,281)</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8,998,480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Commercial notes (due after one year within three years)</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1,702,153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(2,362)</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1,699,791</w:t>
            </w: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10,732,414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10,698,271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FIXED ASSETS</w:t>
      </w:r>
    </w:p>
    <w:p>
      <w:pPr>
        <w:spacing w:after="0" w:line="121"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Property, equipment and other fixed assets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w:t>
      </w:r>
    </w:p>
    <w:p>
      <w:pPr>
        <w:spacing w:after="0" w:line="21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w w:val="97"/>
              </w:rPr>
              <w:t>Balance as of</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June 30, 2014</w:t>
            </w:r>
          </w:p>
        </w:tc>
        <w:tc>
          <w:tcPr>
            <w:tcW w:w="80" w:type="dxa"/>
            <w:vAlign w:val="bottom"/>
          </w:tcPr>
          <w:p>
            <w:pPr>
              <w:spacing w:after="0"/>
              <w:rPr>
                <w:sz w:val="13"/>
                <w:szCs w:val="13"/>
                <w:color w:val="auto"/>
              </w:rPr>
            </w:pPr>
          </w:p>
        </w:tc>
        <w:tc>
          <w:tcPr>
            <w:tcW w:w="12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3"/>
              </w:rPr>
              <w:t>September 30, 2013</w:t>
            </w:r>
          </w:p>
        </w:tc>
        <w:tc>
          <w:tcPr>
            <w:tcW w:w="120" w:type="dxa"/>
            <w:vAlign w:val="bottom"/>
          </w:tcPr>
          <w:p>
            <w:pPr>
              <w:spacing w:after="0"/>
              <w:rPr>
                <w:sz w:val="13"/>
                <w:szCs w:val="13"/>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0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323,376</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Research equipment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4,248,606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3,452,013</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69,623</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2,955,217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2,749,409</w:t>
            </w:r>
          </w:p>
        </w:tc>
        <w:tc>
          <w:tcPr>
            <w:tcW w:w="12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7,607,608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6,594,421</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(3,933,477)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(3,081,186)</w:t>
            </w:r>
          </w:p>
        </w:tc>
      </w:tr>
      <w:tr>
        <w:trPr>
          <w:trHeight w:val="223"/>
        </w:trPr>
        <w:tc>
          <w:tcPr>
            <w:tcW w:w="47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3,674,131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3,513,235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Madison</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On October 21, 2011, the Company entered into a Stock and Asset Purchase Agreement (the “RNAi Purchase Agreement”) with Hoffmann-La Roche Inc. and F Hoffmann-La Roche Ltd (collectively, “Roche”), pursuant to which the Company purchased from Roche (i) all of the outstanding common stock of Roche Madison Inc. (“Roche Madison”, now “Arrowhead Madison”) and (ii) the intellectual property rights then held by Roche related to its RNAi business and identified in the RNAi Purchase Agreement (the “Transaction”). In consideration for the purchase of Roche Madison and the Roche RNAi assets, the Company issued to Roche a promissory note with a principal value of $50,000 and 1,288,158 shares of Common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2" w:name="page13"/>
    <w:bookmarkEnd w:id="12"/>
    <w:p>
      <w:pPr>
        <w:ind w:right="20" w:firstLine="518"/>
        <w:spacing w:after="0" w:line="255" w:lineRule="auto"/>
        <w:rPr>
          <w:sz w:val="20"/>
          <w:szCs w:val="20"/>
          <w:color w:val="auto"/>
        </w:rPr>
      </w:pPr>
      <w:r>
        <w:rPr>
          <w:rFonts w:ascii="Arial" w:cs="Arial" w:eastAsia="Arial" w:hAnsi="Arial"/>
          <w:sz w:val="18"/>
          <w:szCs w:val="18"/>
          <w:color w:val="auto"/>
        </w:rPr>
        <w:t>Pursuant to the RNAi Purchase Agreement, Roche has a right of first negotiation on certain product candidates developed by the Company and its affiliates relating to the purchased assets. If the Company proposes to out-license or enters into substantive negotiations to out-license, any Clinical Candidate or Existing Candidate (as such terms are defined in the RNAi Purchase Agreement), the Company must give notice of the Candidate it proposes to out-license and negotiate exclusively and in good faith with Roche for 90 days regarding the applicable out-license. This right of first negotiation applies to all Existing Candidates (as defined in the RNAi Purchase Agreement) and the first five Clinical Candidates for which the Company delivers notice to Roche and subsequently enters into an out-license.</w:t>
      </w:r>
    </w:p>
    <w:p>
      <w:pPr>
        <w:spacing w:after="0" w:line="19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to the consideration paid by the Company as per the closing terms, the Company is obligated to make certain royalty and milestone payments to Roche upon the occurrence of certain events. For certain product candidates that are developed by the Company that are covered by a valid claim by the patent rights transferred in the Transaction for which the Company and Roche do not enter into a licensing arrangement, the Company will be obligated to pay a 3% royalty on Net Sales (as defined in the RNAi Purchase Agreement), provided that the royalty rate may be reduced or offset in certain circumstances. The obligation to pay royalties on such candidates will last until the later of (i) the expiration of the last to expire patent right related to such product candidate that was transferred in the Transaction and (ii) ten years after the first commercial sale of such product candidate.</w:t>
      </w:r>
    </w:p>
    <w:p>
      <w:pPr>
        <w:spacing w:after="0" w:line="165"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 xml:space="preserve">The Company will also be obligated to make cash payments to Roche upon the achievement of various milestones for certain clinical candidates, for which the Company and Roche do not enter into a licensing arrangement, including the first regulatory approval in certain jurisdictions, and upon certain annual sales milestones for candidates that receive regulatory approval. The potential payments range from $2,500,000 to $6,000,000 per milestone. At the time of acquisition, the Company’s estimate of future payments for potential royalties and milestones had a net present value of $84,935 which was recorded as contingent consideration as a part of other non-current liabilities. Contingent consideration is calculated by modeling research and development activities for clinical candidates, forecasting timelines to market, and using “peak sales” estimate modeling, cash flows and potential milestone and royalty payments are calculated. The modeling assumes certain success rates, and discount factors related to riskiness of projects and the time value of money to calculate a net present value of future consideration payments to Roche. These estimates are based on many unknown variables that are difficult to estimate, and due to the extended process of drug development prior to marketing of drug candidates, the models must extend many years into the future. Such predictions are inherently uncertain. On a quarterly basis, the Company re-evaluates its contingent consideration, and if material, makes adjustments to the recorded liability. Any adjustment to the contingent consideration liability is reflected in the Company’s Statement of Operations. During fiscal 2013, the contingent consideration liability was increased by $1.4 million, which is recorded as a part of other non-current liabilities on the Company’s Consolidated Balance Sheet. There have been no changes to the liability during the nine months ended June 30, 2014. For additional information related to our valuation of this obligation, see </w:t>
      </w:r>
      <w:r>
        <w:rPr>
          <w:rFonts w:ascii="Arial" w:cs="Arial" w:eastAsia="Arial" w:hAnsi="Arial"/>
          <w:sz w:val="17"/>
          <w:szCs w:val="17"/>
          <w:i w:val="1"/>
          <w:iCs w:val="1"/>
          <w:color w:val="auto"/>
        </w:rPr>
        <w:t>Note 10, Fair Value Measurements</w:t>
      </w:r>
      <w:r>
        <w:rPr>
          <w:rFonts w:ascii="Arial" w:cs="Arial" w:eastAsia="Arial" w:hAnsi="Arial"/>
          <w:sz w:val="17"/>
          <w:szCs w:val="17"/>
          <w:color w:val="auto"/>
        </w:rPr>
        <w: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other intangible assets subject to amortization, which were capitalized as a part of a business combination.</w:t>
      </w:r>
    </w:p>
    <w:p>
      <w:pPr>
        <w:spacing w:after="0" w:line="170"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we will determine the useful life of the asset, reclassify the asset out of IPR&amp;D and begin amortization. If the associated R&amp;D effort is abandoned the related IPR&amp;D assets will likely be written off and we would record an impairment loss.</w:t>
      </w:r>
    </w:p>
    <w:p>
      <w:pPr>
        <w:spacing w:after="0" w:line="158"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Intangible assets subject to amortization include patents capitalized as part of a business combination as well as license agreements capitalized as part of a business combination from the acquisition of Roche Madison. The license agreements are being amortized over the estimated life remaining at the time of acquisition which was 4 years, and the accumulated amortization of the assets is approximately $147,800. Patents have been amortized over a period of three years to twenty years, however the patent assets were fully impaired as of September 30, 2013. Amortization expense for the three and nine months ended June 30, 2014 was approximately $13,663 and $40,990, respectively. Amortization expense for the three and nine months ended June 30, 2013 was approximately $74,115 and $222,345, respectively. Amortization of license agreements is expected to be approximately $14,000 for the remainder of fiscal year 2014, $55,000 in 2015, $14,000 in 2016, and zero thereafter.</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review amounts capitalized as IPR&amp;D for impairment at least annually in the fourth quarter, and whenever events or changes in circumstances indicate that the carrying value of an asset may not be recoverable. In the event the carrying value of the assets is not expected to be recovered, the assets are written down to their estimated fair values. We continue to test our indefinite-lived IPR&amp;D assets for potential impairment until the projects are completed or abandoned.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table provides details on our intangible asset balances: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Intangible assets</w:t>
            </w: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Intangible assets</w:t>
            </w:r>
          </w:p>
        </w:tc>
        <w:tc>
          <w:tcPr>
            <w:tcW w:w="100" w:type="dxa"/>
            <w:vAlign w:val="bottom"/>
          </w:tcPr>
          <w:p>
            <w:pPr>
              <w:spacing w:after="0"/>
              <w:rPr>
                <w:sz w:val="14"/>
                <w:szCs w:val="14"/>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not subject to</w:t>
            </w:r>
          </w:p>
        </w:tc>
        <w:tc>
          <w:tcPr>
            <w:tcW w:w="1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subject to</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Intangible assets</w:t>
            </w:r>
          </w:p>
        </w:tc>
        <w:tc>
          <w:tcPr>
            <w:tcW w:w="0" w:type="dxa"/>
            <w:vAlign w:val="bottom"/>
          </w:tcPr>
          <w:p>
            <w:pPr>
              <w:spacing w:after="0"/>
              <w:rPr>
                <w:sz w:val="1"/>
                <w:szCs w:val="1"/>
                <w:color w:val="auto"/>
              </w:rPr>
            </w:pPr>
          </w:p>
        </w:tc>
      </w:tr>
      <w:tr>
        <w:trPr>
          <w:trHeight w:val="21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2012</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3,117,322</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1,667,247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4,784,569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(1,308,047)</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(1,308,047)</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(236,009)</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(236,009)</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3,117,322</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123,191</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3,240,513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(40,990)</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(40,990)</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3,117,322</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82,201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INVESTMENT IN SUBSIDIARIES</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In addition to 100% ownership interest in Arrowhead Madison Inc., Arrowhead also maintains majority ownership in Calando Pharmaceuticals, Ablaris Therapeutics, Inc., and a minority investment in Leonardo Biosystems,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 Pharmaceuticals, Inc.</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Calando is a developer of polymer delivery systems for siRNA and small molecule based therapeutics. Calando’s current cash resources preclude additional development of its platform technology and therapeutic candidates. Arrowhead has determined that it will not provide substantial further investment to Calando based on Arrowhead evaluation of Calando’s development and business prospects and Calando has been unsuccessful in its efforts to obtain capital from other sources. Calando has ceased operations and terminated its technology license with the California Institute of Technology on which its siRNA therapeutic development efforts were based. Further, pursuant to an involuntary petition by an unpaid Noteholder, Calando is undergoing Chapter 7 bankruptcy proceedings.</w:t>
      </w:r>
    </w:p>
    <w:p>
      <w:pPr>
        <w:spacing w:after="0" w:line="19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2009, Calando outlicensed its small molecule program to Cerulean Pharma, Inc., a Boston, MA-based biotech company which has continued the development of the program. Under the license, as the development program progresses, Calando could collect partnership, milestone and royalty payments from Cerulean.</w:t>
      </w:r>
    </w:p>
    <w:p>
      <w:pPr>
        <w:spacing w:after="0" w:line="18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Calando has an outstanding promissory note with a balance of principal and interest totaling $1,253,000 as of June 30, 2014. The promissory note became due on November 26, 2013, but was not repaid due to lack of cash resources at Calando. The holder of the Note initiated an involuntary petition of bankruptcy against Calando. A trustee has been appointed and a meeting of Calando creditors has occurred. It is expected that the trustee will dispose of Calando assets, primarily its license agreement with Cerulean. The Company cannot estimate the proceeds from the disposition of Calando’s assets, nor how it will be distributed amongst its various creditors, which includes Arrowhead and the holder of the Note. During the nine months ended June 30, 2014, Arrowhead deconsolidated Calando based on the fact that Calando is now subject to the control of the bankruptcy trustee. The deconsolidation of Calando resulted in an approximately $87,000 gain to the Company’s Consolidated Statement of Operations.</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June 30, 2014, Calando owed to Arrowhead $4.5 million under a series of 8% simple interest notes and advances. It is unlikely these notes will be repaid in full. The balance of the notes and advances has been fully reserved.</w:t>
      </w:r>
    </w:p>
    <w:p>
      <w:pPr>
        <w:spacing w:after="0" w:line="170" w:lineRule="exact"/>
        <w:rPr>
          <w:sz w:val="20"/>
          <w:szCs w:val="20"/>
          <w:color w:val="auto"/>
        </w:rPr>
      </w:pPr>
    </w:p>
    <w:p>
      <w:pPr>
        <w:ind w:right="600" w:firstLine="518"/>
        <w:spacing w:after="0" w:line="342" w:lineRule="auto"/>
        <w:rPr>
          <w:sz w:val="20"/>
          <w:szCs w:val="20"/>
          <w:color w:val="auto"/>
        </w:rPr>
      </w:pPr>
      <w:r>
        <w:rPr>
          <w:rFonts w:ascii="Arial" w:cs="Arial" w:eastAsia="Arial" w:hAnsi="Arial"/>
          <w:sz w:val="16"/>
          <w:szCs w:val="16"/>
          <w:color w:val="auto"/>
        </w:rPr>
        <w:t>As of June 30, 2014, Arrowhead owned 79% of the outstanding shares of Calando and 76% on a fully diluted basis. As a result of the ongoing bankruptcy proceeding for Calando, we do not expect our equity ownership to result in any return of capital as part of the liquidation of Calando.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Ablaris Therapeutics, Inc.</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Ablaris was formed and began operations in fiscal 2011, based on the license of certain anti-obesity technology developed at the MD Anderson Cancer Center at the University of Texas. During fiscal 2011, Ablaris raised $2.9 million in cash, of which $1.3 million was invested by Arrowhead and $1.6 million was invested by outside investors, through the issuance of Ablaris Series A Preferred stock.</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2014, Arrowhead owned 64% of the outstanding shares of Ablaris and 64% on a fully diluted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Leonardo Biosystems,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Leonardo, a privately-held drug-delivery company in which Arrowhead has a 3% ownership interest, ceased operations in December 2013.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Arrowhead’s investment in Leonardo and its receivable from Leonardo have been fully reserved.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4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At June 30, 2014, the Company had a total of 150,000,000 shares of capital stock authorized for issuance, consisting of 145,000,000 shares of Common Stock, par value $0.001, and 5,000,000 shares of Preferred Stock, par value $0.001.</w:t>
      </w:r>
    </w:p>
    <w:p>
      <w:pPr>
        <w:spacing w:after="0" w:line="170"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June 30, 2014, 52,908,567 shares of Common Stock were outstanding. Additionally, 21,291 shares of Preferred Stock were outstanding, including 5,291 shares of Series B Preferred Stock, convertible into 2,891,257 shares of Common Stock, and 16,000 shares of Series C Preferred Stock, convertible into 2,730,375 shares of Common Stock, (collectively, the “Outstanding Preferred Stock”). At June 30, 2014, 7,182,925 shares were reserved for issuance upon vesting of restricted stock units and exercise of stock options granted under Arrowhead’s 2000 Stock Option Plan, 2004 Equity Incentive Plan, and 2013 Incentive Plan, as well as for inducement grants made to new employees.</w:t>
      </w:r>
    </w:p>
    <w:p>
      <w:pPr>
        <w:spacing w:after="0" w:line="1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Outstanding Preferred Stock is convertible to Common Stock by each holder at its stated conversion price, subject to a 9.99% beneficial ownership limit for each holder. The holders of Outstanding Preferred Stock are eligible to vote with the Common Stock of the Company on an as-converted basis, but only to the extent they are eligible for conversion without exceeding the 9.99% ownership limitation. The Outstanding Preferred Stock does not carry a coupon, but is entitled to receive dividends on a pari passu basis with the Common Stock, when and if declared. In any liquidation or dissolution of the Company, the holders of Outstanding Preferred Stock are entitled to participate in the distribution of the assets, to the extent legally available for distribution, on a pari passu basis with the Common Stock.</w:t>
      </w:r>
    </w:p>
    <w:p>
      <w:pPr>
        <w:spacing w:after="0" w:line="1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On October 20, 2011, the Company and Lincoln Park Capital Fund, LLC, an Illinois limited liability company (“LPC”) entered into a $15 million purchase agreement (the “Purchase Agreement”), whereby LPC agreed to purchase up to $15 million of Common Stock, subject to certain limitations, from time to time during the three-year term of the Purchase Agreement. The Company has the right, in its sole discretion, over a 36-month period to sell up to $15 million of Common Stock (subject to certain limitations) to LPC, depending on certain conditions as set forth in the Purchase Agreement. As of June 30, 2014, the Company had drawn $1 million from the facility.</w:t>
      </w:r>
    </w:p>
    <w:p>
      <w:pPr>
        <w:spacing w:after="0" w:line="18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On October 11, 2013, the Company sold 3,071,672 shares of common stock, at a price of $5.86 per share, and 46,000 shares of Series C Convertible Preferred Stock (the “Preferred Shares”), at a price of $1,000 per share. The Preferred Shares are convertible into shares of common stock at a conversion price of $5.86. The aggregate purchase price paid by the Purchasers for the Shares and Preferred Shares was $64,000,000 and the Company received net proceeds of approximately $60,000,000, after advisory fees and offering expenses.</w:t>
      </w:r>
    </w:p>
    <w:p>
      <w:pPr>
        <w:spacing w:after="0" w:line="18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On February 24, 2014, the Company sold 6,325,000 shares of common stock, at a public offering price of $18.95 per share. Net proceeds were approximately $112.6 million after underwriting commissions and discounts and other offering expense.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June 30, 2014:</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540" w:type="dxa"/>
            <w:vAlign w:val="bottom"/>
          </w:tcPr>
          <w:p>
            <w:pPr>
              <w:jc w:val="right"/>
              <w:ind w:right="373"/>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1540" w:type="dxa"/>
            <w:vAlign w:val="bottom"/>
          </w:tcPr>
          <w:p>
            <w:pPr>
              <w:jc w:val="right"/>
              <w:ind w:right="393"/>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20" w:type="dxa"/>
            <w:vAlign w:val="bottom"/>
            <w:tcBorders>
              <w:top w:val="single" w:sz="8" w:color="auto"/>
            </w:tcBorders>
            <w:shd w:val="clear" w:color="auto" w:fill="CFF0FC"/>
          </w:tcPr>
          <w:p>
            <w:pPr>
              <w:jc w:val="right"/>
              <w:ind w:right="4110"/>
              <w:spacing w:after="0"/>
              <w:rPr>
                <w:sz w:val="20"/>
                <w:szCs w:val="20"/>
                <w:color w:val="auto"/>
              </w:rPr>
            </w:pPr>
            <w:r>
              <w:rPr>
                <w:rFonts w:ascii="Arial" w:cs="Arial" w:eastAsia="Arial" w:hAnsi="Arial"/>
                <w:sz w:val="18"/>
                <w:szCs w:val="18"/>
                <w:color w:val="auto"/>
              </w:rPr>
              <w:t>70.60</w:t>
            </w:r>
          </w:p>
        </w:tc>
        <w:tc>
          <w:tcPr>
            <w:tcW w:w="10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94,897</w:t>
            </w:r>
          </w:p>
        </w:tc>
        <w:tc>
          <w:tcPr>
            <w:tcW w:w="2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tcPr>
          <w:p>
            <w:pPr>
              <w:jc w:val="right"/>
              <w:ind w:right="41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416,225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20" w:type="dxa"/>
            <w:vAlign w:val="bottom"/>
            <w:shd w:val="clear" w:color="auto" w:fill="CFF0FC"/>
          </w:tcPr>
          <w:p>
            <w:pPr>
              <w:jc w:val="right"/>
              <w:ind w:right="411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291,204</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tcPr>
          <w:p>
            <w:pPr>
              <w:jc w:val="right"/>
              <w:ind w:right="41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24,324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20" w:type="dxa"/>
            <w:vAlign w:val="bottom"/>
            <w:shd w:val="clear" w:color="auto" w:fill="CFF0FC"/>
          </w:tcPr>
          <w:p>
            <w:pPr>
              <w:jc w:val="right"/>
              <w:ind w:right="411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tcPr>
          <w:p>
            <w:pPr>
              <w:jc w:val="right"/>
              <w:ind w:right="411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334,347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20" w:type="dxa"/>
            <w:vAlign w:val="bottom"/>
            <w:shd w:val="clear" w:color="auto" w:fill="CFF0FC"/>
          </w:tcPr>
          <w:p>
            <w:pPr>
              <w:jc w:val="right"/>
              <w:ind w:right="411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4820" w:type="dxa"/>
            <w:vAlign w:val="bottom"/>
            <w:tcBorders>
              <w:bottom w:val="single" w:sz="8" w:color="CFF0FC"/>
            </w:tcBorders>
          </w:tcPr>
          <w:p>
            <w:pPr>
              <w:jc w:val="right"/>
              <w:ind w:right="41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289,784</w:t>
            </w:r>
          </w:p>
        </w:tc>
        <w:tc>
          <w:tcPr>
            <w:tcW w:w="17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warrants outstanding</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1,526,781</w:t>
            </w:r>
          </w:p>
        </w:tc>
        <w:tc>
          <w:tcPr>
            <w:tcW w:w="2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 Company leases office space for its corporate headquarters in Pasadena, California. In March 2014, the Company signed a lease addendum to expand its corporate headquarters. It is expected the new space will be available in September 2014. The leases for the expansion space and the current space will expire in August 2019. Rental costs, including the expansion space are approximately $22,000 per month, increasing approximately 3% annually.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13" w:right="239" w:bottom="1440" w:gutter="0" w:footer="0" w:header="0"/>
        </w:sectPr>
      </w:pPr>
    </w:p>
    <w:bookmarkStart w:id="15" w:name="page16"/>
    <w:bookmarkEnd w:id="15"/>
    <w:p>
      <w:pPr>
        <w:jc w:val="both"/>
        <w:ind w:firstLine="518"/>
        <w:spacing w:after="0" w:line="259" w:lineRule="auto"/>
        <w:rPr>
          <w:sz w:val="20"/>
          <w:szCs w:val="20"/>
          <w:color w:val="auto"/>
        </w:rPr>
      </w:pPr>
      <w:r>
        <w:rPr>
          <w:rFonts w:ascii="Arial" w:cs="Arial" w:eastAsia="Arial" w:hAnsi="Arial"/>
          <w:sz w:val="18"/>
          <w:szCs w:val="18"/>
          <w:color w:val="auto"/>
        </w:rPr>
        <w:t>The Company’s research facility in Madison, Wisconsin is leased through February 28, 2019. Monthly rental expense is approximately $25,000. Other monthly rental expenses include common area maintenance and real estate taxes totaling approximately $16,000 per month. Utilities costs are approximately $15,000 per month. Including monthly payments recorded under a capital lease of approximately $19,000, total monthly costs are approximately $75,000 per month.</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Facility and equipment rent expense, related to continuing operations, for the three and nine months ended June 30, 2014 was $138,000 and $403,000, respectively. Facility and equipment rent expense, related to continuing operations, for the three and nine months ended June 30, 2013 was $126,000 and $407,000, respectively.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2014, future minimum lease payments due in fiscal years under capitalized leases are as follows:</w:t>
      </w:r>
    </w:p>
    <w:p>
      <w:pPr>
        <w:spacing w:after="0" w:line="267"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2014 (remainder of)</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57,105</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228,420</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228,420</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228,420</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228,420</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2019 and thereafter</w:t>
            </w: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95,175</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Less interest</w:t>
            </w:r>
          </w:p>
        </w:tc>
        <w:tc>
          <w:tcPr>
            <w:tcW w:w="3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(40,681)</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Principal</w:t>
            </w: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1,025,279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3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(213,110)</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Noncurrent portion</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812,169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2014, future minimum lease payments due in fiscal years under operating leases are as follows:</w:t>
      </w:r>
    </w:p>
    <w:p>
      <w:pPr>
        <w:spacing w:after="0" w:line="267"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2014 (remainder of)</w:t>
            </w:r>
          </w:p>
        </w:tc>
        <w:tc>
          <w:tcPr>
            <w:tcW w:w="2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134,164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2015</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580,626</w:t>
            </w: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597,196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2017</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613,984</w:t>
            </w: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638,217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2019 and thereafter</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432,861</w:t>
            </w:r>
          </w:p>
        </w:tc>
      </w:tr>
      <w:tr>
        <w:trPr>
          <w:trHeight w:val="210"/>
        </w:trPr>
        <w:tc>
          <w:tcPr>
            <w:tcW w:w="3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2,997,048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Arrowhead has three plans that provide for equity-based compensation. Under the 2000 Stock Option Plan, 38,000 shares of Arrowhead’s Common Stock are reserved for issuance upon exercise of non-qualified stock options. No further grants can be made under the 2000 Stock Option Plan. The 2004 Equity Incentive Plan reserves 2,734,840 shares for the grant of stock options, stock appreciation rights, restricted stock awards and performance unit/share awards to employees, consultants and others. The 2013 Incentive Plan reserves 4,000,000 shares for the grant of stock options, stock appreciation rights, restricted stock awards and performance awards to employees, consultant and others. As of June 30, 2014, there were options granted and outstanding to purchase 38,000, 2,638,652 and 736,875 shares of Common Stock under the 2000 Stock Option Plan, the 2004 Equity Incentive Plan and the 2013 Incentive Plan, respectively. Also, as of June 30, 2014, there were 410,085 shares reserved for options issued outside of equity compensation plans as inducement grants to new employees. During the nine months ended June 30, 2014, no options were granted under the 2004 Equity Incentive Plan, 765,000 were issued under the 2013 Incentive Plan and 165,000 options were granted outside of equity incentive plans as inducement stock options to new employees.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341" w:right="27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left="25"/>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left="45"/>
              <w:spacing w:after="0"/>
              <w:rPr>
                <w:sz w:val="20"/>
                <w:szCs w:val="20"/>
                <w:color w:val="auto"/>
              </w:rPr>
            </w:pPr>
            <w:r>
              <w:rPr>
                <w:rFonts w:ascii="Arial" w:cs="Arial" w:eastAsia="Arial" w:hAnsi="Arial"/>
                <w:sz w:val="14"/>
                <w:szCs w:val="14"/>
                <w:b w:val="1"/>
                <w:bCs w:val="1"/>
                <w:color w:val="auto"/>
                <w:w w:val="91"/>
              </w:rPr>
              <w:t>Per Share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2012</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1,910,794</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6.10</w:t>
            </w:r>
          </w:p>
        </w:tc>
        <w:tc>
          <w:tcPr>
            <w:tcW w:w="1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1,509,166</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2.03</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3.93</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3,419,285</w:t>
            </w: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85"/>
              </w:rPr>
              <w:t>4.68</w:t>
            </w:r>
          </w:p>
        </w:tc>
        <w:tc>
          <w:tcPr>
            <w:tcW w:w="1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930,000</w:t>
            </w:r>
          </w:p>
        </w:tc>
        <w:tc>
          <w:tcPr>
            <w:tcW w:w="14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14.05</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(148,561)</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85"/>
              </w:rPr>
              <w:t>5.88</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(377,112)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6.28</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2014</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3,823,612</w:t>
            </w: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85"/>
              </w:rPr>
              <w:t>6.75</w:t>
            </w:r>
          </w:p>
        </w:tc>
        <w:tc>
          <w:tcPr>
            <w:tcW w:w="1480" w:type="dxa"/>
            <w:vAlign w:val="bottom"/>
            <w:tcBorders>
              <w:top w:val="single" w:sz="8" w:color="CFF0FC"/>
            </w:tcBorders>
            <w:gridSpan w:val="2"/>
            <w:shd w:val="clear" w:color="auto" w:fill="CFF0FC"/>
          </w:tcPr>
          <w:p>
            <w:pPr>
              <w:ind w:left="620"/>
              <w:spacing w:after="0"/>
              <w:rPr>
                <w:sz w:val="20"/>
                <w:szCs w:val="20"/>
                <w:color w:val="auto"/>
              </w:rPr>
            </w:pPr>
            <w:r>
              <w:rPr>
                <w:rFonts w:ascii="Arial" w:cs="Arial" w:eastAsia="Arial" w:hAnsi="Arial"/>
                <w:sz w:val="18"/>
                <w:szCs w:val="18"/>
                <w:color w:val="auto"/>
              </w:rPr>
              <w:t>8.3 years</w:t>
            </w:r>
          </w:p>
        </w:tc>
        <w:tc>
          <w:tcPr>
            <w:tcW w:w="22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w w:val="99"/>
              </w:rPr>
              <w:t>30,271,011</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Exercisable At June 30, 2014</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CFF0FC"/>
            </w:tcBorders>
            <w:vMerge w:val="restart"/>
          </w:tcPr>
          <w:p>
            <w:pPr>
              <w:spacing w:after="0" w:line="20" w:lineRule="exact"/>
              <w:rPr>
                <w:sz w:val="1"/>
                <w:szCs w:val="1"/>
                <w:color w:val="auto"/>
              </w:rPr>
            </w:pPr>
          </w:p>
        </w:tc>
        <w:tc>
          <w:tcPr>
            <w:tcW w:w="280" w:type="dxa"/>
            <w:vAlign w:val="bottom"/>
            <w:tcBorders>
              <w:top w:val="single" w:sz="8" w:color="CFF0FC"/>
              <w:bottom w:val="single" w:sz="8" w:color="CFF0FC"/>
            </w:tcBorders>
            <w:gridSpan w:val="2"/>
            <w:vMerge w:val="restart"/>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CFF0FC"/>
            </w:tcBorders>
            <w:gridSpan w:val="2"/>
            <w:vMerge w:val="restart"/>
          </w:tcPr>
          <w:p>
            <w:pPr>
              <w:jc w:val="right"/>
              <w:ind w:right="180"/>
              <w:spacing w:after="0"/>
              <w:rPr>
                <w:sz w:val="20"/>
                <w:szCs w:val="20"/>
                <w:color w:val="auto"/>
              </w:rPr>
            </w:pPr>
            <w:r>
              <w:rPr>
                <w:rFonts w:ascii="Arial" w:cs="Arial" w:eastAsia="Arial" w:hAnsi="Arial"/>
                <w:sz w:val="18"/>
                <w:szCs w:val="18"/>
                <w:color w:val="auto"/>
                <w:w w:val="85"/>
              </w:rPr>
              <w:t>5.80</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CFF0FC"/>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1,532,180</w:t>
            </w:r>
          </w:p>
        </w:tc>
        <w:tc>
          <w:tcPr>
            <w:tcW w:w="1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280" w:type="dxa"/>
            <w:vAlign w:val="bottom"/>
            <w:tcBorders>
              <w:bottom w:val="single" w:sz="8" w:color="auto"/>
            </w:tcBorders>
          </w:tcPr>
          <w:p>
            <w:pPr>
              <w:ind w:left="620"/>
              <w:spacing w:after="0" w:line="196" w:lineRule="exact"/>
              <w:rPr>
                <w:sz w:val="20"/>
                <w:szCs w:val="20"/>
                <w:color w:val="auto"/>
              </w:rPr>
            </w:pPr>
            <w:r>
              <w:rPr>
                <w:rFonts w:ascii="Arial" w:cs="Arial" w:eastAsia="Arial" w:hAnsi="Arial"/>
                <w:sz w:val="18"/>
                <w:szCs w:val="18"/>
                <w:color w:val="auto"/>
                <w:w w:val="86"/>
              </w:rPr>
              <w:t>7.3 years</w:t>
            </w:r>
          </w:p>
        </w:tc>
        <w:tc>
          <w:tcPr>
            <w:tcW w:w="2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18"/>
                <w:szCs w:val="18"/>
                <w:color w:val="auto"/>
                <w:w w:val="88"/>
              </w:rPr>
              <w:t>13,666,712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Stock-based compensation expense for the three and nine months ended June 30, 2014 was $1,070,631 and $2,186,653, respectively. Stock-based compensation expense for the three and nine months ended June 30, 2013 was $363,593 and $1,114,375, respectively. There is no income tax benefit as the Company is currently operating at a loss and an actual income tax benefit may not be realized. The loss creates a timing difference, resulting in a deferred tax asset, which is fully reserved by a valuation allowance.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grant date fair value of the options granted by the Company during the three and nine months ended June 30, 2014 is estimated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$1,176,000 and $8,295,600, respectively. The aggregate grant date fair value of the options granted by the Company during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2013 is estimated at $1,094,295 and $1,197,588, respectively.</w:t>
      </w:r>
    </w:p>
    <w:p>
      <w:pPr>
        <w:spacing w:after="0" w:line="21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intrinsic value of the options exercised during the three and nine months ended June 30, 2014 was $371,334 and $3,606,061, respectively. No options were exercised during the three and nine months ended June 30, 2013.</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As of June 30, 2014, the pre-tax compensation expense for all unvested stock options in the amount of approximately $10,514,619 will be recognized in the Company’s results of operations over a weighted average period of 3.2 years.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31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Nine months ended June 30,</w:t>
            </w:r>
          </w:p>
        </w:tc>
      </w:tr>
      <w:tr>
        <w:trPr>
          <w:trHeight w:val="210"/>
        </w:trPr>
        <w:tc>
          <w:tcPr>
            <w:tcW w:w="554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1.8% to 2.5%</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0.7% to 1.3%</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69%</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6.25 to 9.72</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5.5 to 6.25</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$8.92</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$1.26</w:t>
            </w: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34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Restricted Stock Units</w:t>
      </w:r>
    </w:p>
    <w:p>
      <w:pPr>
        <w:spacing w:after="0" w:line="11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Restricted Stock Units (RSUs) are granted under the Company’s 2013 Incentive Plan. During the nine months ended June 30, 2014, the Company issued 470,000 restricted stock units to certain members of management and certain members of its Board of Directors. At vesting each RSU will be exchanged for one share of the Company’s Common Stock. The RSUs issued to management vest in equal installments on the one and two year anniversary of the date of grant. The RSUs issued to the members of the Board of Directors vest upon the one year anniversary of the date of grant.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Restricted Stock Units: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440" w:type="dxa"/>
            <w:vAlign w:val="bottom"/>
          </w:tcPr>
          <w:p>
            <w:pPr>
              <w:jc w:val="right"/>
              <w:ind w:right="455"/>
              <w:spacing w:after="0"/>
              <w:rPr>
                <w:sz w:val="20"/>
                <w:szCs w:val="20"/>
                <w:color w:val="auto"/>
              </w:rPr>
            </w:pPr>
            <w:r>
              <w:rPr>
                <w:rFonts w:ascii="Arial" w:cs="Arial" w:eastAsia="Arial" w:hAnsi="Arial"/>
                <w:sz w:val="14"/>
                <w:szCs w:val="14"/>
                <w:b w:val="1"/>
                <w:bCs w:val="1"/>
                <w:color w:val="auto"/>
              </w:rPr>
              <w:t>RSUs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2013</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470,000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2014</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470,000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Company recorded $968,051 and $1,571,611 of expense relating to restricted stock units during the three and nine months ended June 30, 2014 respectively, and such expense is included in stock-based compensation expense. There was no expense relating to restricted stock units during the three and nine months ended June 30, 2013.</w:t>
      </w:r>
    </w:p>
    <w:p>
      <w:pPr>
        <w:spacing w:after="0" w:line="18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As of June 30, 2014, the pre-tax compensation expense for all unvested restricted stock units in the amount of approximately $5,291,302 will be recognized in the Company’s results of operations over a weighted average period of 1.5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June 30, 2014 and September 30, 2013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138,349,733</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138,349,733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 assets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4,018,719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4,018,719</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w w:val="95"/>
              </w:rPr>
              <w:t>Contingent consideration obligations related to acquisitions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1,595,273</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1,595,273</w:t>
            </w:r>
          </w:p>
        </w:tc>
      </w:tr>
      <w:tr>
        <w:trPr>
          <w:trHeight w:val="418"/>
        </w:trPr>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5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September 30, 2013:</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19,114,444</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19,114,444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 assets</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4,096,363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4,096,363</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w w:val="95"/>
              </w:rPr>
              <w:t>Contingent consideration obligations related to acquisitions</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1,595,273</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1,595,273</w:t>
            </w:r>
          </w:p>
        </w:tc>
      </w:tr>
    </w:tbl>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Company invests its excess cash balances in short and long-term corporate bonds, generally with remaining maturities of less than two years. At June 30, 2014, the Company had short-term investments of $23,834,408, and long-term investments of $26,284,862, for a total of $50,119,270. The fair value of its investment at June 30, 2014 was $49,735,616. The Company expects to hold such investments until maturity, and thus unrealized gains and losses from the fluctuations in the fair value of the securities are not likely to be realized.</w:t>
      </w:r>
    </w:p>
    <w:p>
      <w:pPr>
        <w:spacing w:after="0" w:line="18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As part of the proceeds from the sale of Unidym in January 2011, Arrowhead received a bond from Wisepower in the face amount of $2.5 million. The bond is convertible to Wisepower common stock at a price of $2.00 per share. The conversion feature is subject to derivative accounting as prescribed under ASC 815. Accordingly, the fair value of the conversion feature on the date of issuance was estimated using an option pricing model and recorded on the Company’s Consolidated Balance Sheet as a derivative asset. The fair value of the conversion feature is estimated at the end of each reporting period and the change in the fair value of the conversion feature is recorded as a non-operating gain/loss as change in value of derivatives in Company’s Consolidated Statement of Operations. During the quarter ended March 31, 2013, the trading of Wisepower stock was halted. Trading resumed in July 2013, but the trading price is significantly below the conversion price. During fiscal 2013, the Company determined that the probability of realizing value from the conversion feature was remote, and the derivative asset value was reduced to zero.</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June 30, 2014, there was no change in the fair value of the derivative asset.</w:t>
      </w:r>
    </w:p>
    <w:p>
      <w:pPr>
        <w:spacing w:after="0" w:line="22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assumptions used in valuing the derivative asset were not applicable as the value has been determined to be zero at June 30, 2014 and September 30, 2013.</w:t>
      </w:r>
    </w:p>
    <w:p>
      <w:pPr>
        <w:spacing w:after="0" w:line="17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asset:</w:t>
            </w: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4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21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Receipt of instruments</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Decrease in value</w:t>
            </w:r>
          </w:p>
        </w:tc>
        <w:tc>
          <w:tcPr>
            <w:tcW w:w="1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(250,250)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settlements</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8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Receipt of instruments</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Decrease in value</w:t>
            </w:r>
          </w:p>
        </w:tc>
        <w:tc>
          <w:tcPr>
            <w:tcW w:w="1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settlements</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2014</w:t>
            </w:r>
          </w:p>
        </w:tc>
        <w:tc>
          <w:tcPr>
            <w:tcW w:w="18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As part of an equity financing in June 2010, Arrowhead issued warrants to acquire up to 329,649 shares of Common Stock (the “2010 Warrants”), of which 24,324 warrants were outstanding at June 30, 2014. Similarly, as part of a financing in December 2012, Arrowhead issued warrants to acquire up to 912,543 shares of Common Stock (the “2012 Warrants”) of which 265,161 warrants were outstanding at June 30, 2014. Further, as part of a financing in January 2013, Arrowhead issued warrants to acquire up to 833,530 shares of Common Stock (the “2013 Warrants”) of which 24,623 warrants were outstanding at June 30, 2014. Each of the warrants discussed above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2010 Warrants, the 2012 Warrants, and the 2013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During the nine months ended June 30, 2014, the Company recorded a non-cash loss from the change in fair value of the derivative liability of $5,680,544.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41" w:right="259" w:bottom="1440" w:gutter="0" w:footer="0" w:header="0"/>
        </w:sectPr>
      </w:pPr>
    </w:p>
    <w:bookmarkStart w:id="19" w:name="page20"/>
    <w:bookmarkEnd w:id="19"/>
    <w:tbl>
      <w:tblPr>
        <w:tblLayout w:type="fixed"/>
        <w:tblInd w:w="52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w w:val="94"/>
              </w:rPr>
              <w:t>The assumptions used in valuing the derivative liability were as follows: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360" w:type="dxa"/>
            <w:vAlign w:val="bottom"/>
            <w:gridSpan w:val="2"/>
          </w:tcPr>
          <w:p>
            <w:pPr>
              <w:ind w:left="860"/>
              <w:spacing w:after="0"/>
              <w:rPr>
                <w:sz w:val="20"/>
                <w:szCs w:val="20"/>
                <w:color w:val="auto"/>
              </w:rPr>
            </w:pPr>
            <w:r>
              <w:rPr>
                <w:rFonts w:ascii="Arial" w:cs="Arial" w:eastAsia="Arial" w:hAnsi="Arial"/>
                <w:sz w:val="18"/>
                <w:szCs w:val="18"/>
                <w:b w:val="1"/>
                <w:bCs w:val="1"/>
                <w:color w:val="auto"/>
              </w:rPr>
              <w:t>2010 Warrants</w:t>
            </w:r>
          </w:p>
        </w:tc>
        <w:tc>
          <w:tcPr>
            <w:tcW w:w="2720" w:type="dxa"/>
            <w:vAlign w:val="bottom"/>
            <w:gridSpan w:val="3"/>
          </w:tcPr>
          <w:p>
            <w:pPr>
              <w:jc w:val="right"/>
              <w:ind w:right="1580"/>
              <w:spacing w:after="0"/>
              <w:rPr>
                <w:sz w:val="20"/>
                <w:szCs w:val="20"/>
                <w:color w:val="auto"/>
              </w:rPr>
            </w:pPr>
            <w:r>
              <w:rPr>
                <w:rFonts w:ascii="Arial" w:cs="Arial" w:eastAsia="Arial" w:hAnsi="Arial"/>
                <w:sz w:val="18"/>
                <w:szCs w:val="18"/>
                <w:color w:val="auto"/>
                <w:w w:val="98"/>
              </w:rPr>
              <w:t>June 30, 2014</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September 30, 2013</w:t>
            </w:r>
          </w:p>
        </w:tc>
      </w:tr>
      <w:tr>
        <w:trPr>
          <w:trHeight w:val="21"/>
        </w:trPr>
        <w:tc>
          <w:tcPr>
            <w:tcW w:w="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86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720" w:type="dxa"/>
            <w:vAlign w:val="bottom"/>
            <w:gridSpan w:val="3"/>
            <w:shd w:val="clear" w:color="auto" w:fill="CFF0FC"/>
          </w:tcPr>
          <w:p>
            <w:pPr>
              <w:jc w:val="right"/>
              <w:ind w:right="1580"/>
              <w:spacing w:after="0"/>
              <w:rPr>
                <w:sz w:val="20"/>
                <w:szCs w:val="20"/>
                <w:color w:val="auto"/>
              </w:rPr>
            </w:pPr>
            <w:r>
              <w:rPr>
                <w:rFonts w:ascii="Arial" w:cs="Arial" w:eastAsia="Arial" w:hAnsi="Arial"/>
                <w:sz w:val="18"/>
                <w:szCs w:val="18"/>
                <w:color w:val="auto"/>
              </w:rPr>
              <w:t>0.11%</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0.33%</w:t>
            </w:r>
          </w:p>
        </w:tc>
      </w:tr>
      <w:tr>
        <w:trPr>
          <w:trHeight w:val="243"/>
        </w:trPr>
        <w:tc>
          <w:tcPr>
            <w:tcW w:w="5360" w:type="dxa"/>
            <w:vAlign w:val="bottom"/>
            <w:gridSpan w:val="2"/>
          </w:tcPr>
          <w:p>
            <w:pPr>
              <w:ind w:left="860"/>
              <w:spacing w:after="0"/>
              <w:rPr>
                <w:sz w:val="20"/>
                <w:szCs w:val="20"/>
                <w:color w:val="auto"/>
              </w:rPr>
            </w:pPr>
            <w:r>
              <w:rPr>
                <w:rFonts w:ascii="Arial" w:cs="Arial" w:eastAsia="Arial" w:hAnsi="Arial"/>
                <w:sz w:val="18"/>
                <w:szCs w:val="18"/>
                <w:color w:val="auto"/>
              </w:rPr>
              <w:t>Expected life</w:t>
            </w:r>
          </w:p>
        </w:tc>
        <w:tc>
          <w:tcPr>
            <w:tcW w:w="120" w:type="dxa"/>
            <w:vAlign w:val="bottom"/>
          </w:tcPr>
          <w:p>
            <w:pPr>
              <w:spacing w:after="0"/>
              <w:rPr>
                <w:sz w:val="21"/>
                <w:szCs w:val="21"/>
                <w:color w:val="auto"/>
              </w:rPr>
            </w:pPr>
          </w:p>
        </w:tc>
        <w:tc>
          <w:tcPr>
            <w:tcW w:w="2600" w:type="dxa"/>
            <w:vAlign w:val="bottom"/>
            <w:gridSpan w:val="2"/>
          </w:tcPr>
          <w:p>
            <w:pPr>
              <w:jc w:val="right"/>
              <w:ind w:right="1580"/>
              <w:spacing w:after="0"/>
              <w:rPr>
                <w:sz w:val="20"/>
                <w:szCs w:val="20"/>
                <w:color w:val="auto"/>
              </w:rPr>
            </w:pPr>
            <w:r>
              <w:rPr>
                <w:rFonts w:ascii="Arial" w:cs="Arial" w:eastAsia="Arial" w:hAnsi="Arial"/>
                <w:sz w:val="18"/>
                <w:szCs w:val="18"/>
                <w:color w:val="auto"/>
              </w:rPr>
              <w:t>1.5 Years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2.2 Years</w:t>
            </w:r>
          </w:p>
        </w:tc>
      </w:tr>
      <w:tr>
        <w:trPr>
          <w:trHeight w:val="243"/>
        </w:trPr>
        <w:tc>
          <w:tcPr>
            <w:tcW w:w="86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FF0FC"/>
          </w:tcPr>
          <w:p>
            <w:pPr>
              <w:spacing w:after="0"/>
              <w:rPr>
                <w:sz w:val="21"/>
                <w:szCs w:val="21"/>
                <w:color w:val="auto"/>
              </w:rPr>
            </w:pPr>
          </w:p>
        </w:tc>
        <w:tc>
          <w:tcPr>
            <w:tcW w:w="260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r>
      <w:tr>
        <w:trPr>
          <w:trHeight w:val="243"/>
        </w:trPr>
        <w:tc>
          <w:tcPr>
            <w:tcW w:w="5360" w:type="dxa"/>
            <w:vAlign w:val="bottom"/>
            <w:gridSpan w:val="2"/>
          </w:tcPr>
          <w:p>
            <w:pPr>
              <w:ind w:left="860"/>
              <w:spacing w:after="0"/>
              <w:rPr>
                <w:sz w:val="20"/>
                <w:szCs w:val="20"/>
                <w:color w:val="auto"/>
              </w:rPr>
            </w:pPr>
            <w:r>
              <w:rPr>
                <w:rFonts w:ascii="Arial" w:cs="Arial" w:eastAsia="Arial" w:hAnsi="Arial"/>
                <w:sz w:val="18"/>
                <w:szCs w:val="18"/>
                <w:color w:val="auto"/>
              </w:rPr>
              <w:t>Volatility</w:t>
            </w:r>
          </w:p>
        </w:tc>
        <w:tc>
          <w:tcPr>
            <w:tcW w:w="2720" w:type="dxa"/>
            <w:vAlign w:val="bottom"/>
            <w:gridSpan w:val="3"/>
          </w:tcPr>
          <w:p>
            <w:pPr>
              <w:jc w:val="right"/>
              <w:ind w:right="1580"/>
              <w:spacing w:after="0"/>
              <w:rPr>
                <w:sz w:val="20"/>
                <w:szCs w:val="20"/>
                <w:color w:val="auto"/>
              </w:rPr>
            </w:pPr>
            <w:r>
              <w:rPr>
                <w:rFonts w:ascii="Arial" w:cs="Arial" w:eastAsia="Arial" w:hAnsi="Arial"/>
                <w:sz w:val="18"/>
                <w:szCs w:val="18"/>
                <w:color w:val="auto"/>
              </w:rPr>
              <w:t>69%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43"/>
        </w:trPr>
        <w:tc>
          <w:tcPr>
            <w:tcW w:w="860" w:type="dxa"/>
            <w:vAlign w:val="bottom"/>
          </w:tcPr>
          <w:p>
            <w:pPr>
              <w:spacing w:after="0"/>
              <w:rPr>
                <w:sz w:val="21"/>
                <w:szCs w:val="21"/>
                <w:color w:val="auto"/>
              </w:rPr>
            </w:pPr>
          </w:p>
        </w:tc>
        <w:tc>
          <w:tcPr>
            <w:tcW w:w="4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r>
      <w:tr>
        <w:trPr>
          <w:trHeight w:val="203"/>
        </w:trPr>
        <w:tc>
          <w:tcPr>
            <w:tcW w:w="5360" w:type="dxa"/>
            <w:vAlign w:val="bottom"/>
            <w:gridSpan w:val="2"/>
          </w:tcPr>
          <w:p>
            <w:pPr>
              <w:ind w:left="860"/>
              <w:spacing w:after="0" w:line="202" w:lineRule="exact"/>
              <w:rPr>
                <w:sz w:val="20"/>
                <w:szCs w:val="20"/>
                <w:color w:val="auto"/>
              </w:rPr>
            </w:pPr>
            <w:r>
              <w:rPr>
                <w:rFonts w:ascii="Arial" w:cs="Arial" w:eastAsia="Arial" w:hAnsi="Arial"/>
                <w:sz w:val="18"/>
                <w:szCs w:val="18"/>
                <w:b w:val="1"/>
                <w:bCs w:val="1"/>
                <w:color w:val="auto"/>
              </w:rPr>
              <w:t>2012 Warrants</w:t>
            </w:r>
          </w:p>
        </w:tc>
        <w:tc>
          <w:tcPr>
            <w:tcW w:w="2720" w:type="dxa"/>
            <w:vAlign w:val="bottom"/>
            <w:gridSpan w:val="3"/>
          </w:tcPr>
          <w:p>
            <w:pPr>
              <w:jc w:val="right"/>
              <w:ind w:right="1580"/>
              <w:spacing w:after="0" w:line="202" w:lineRule="exact"/>
              <w:rPr>
                <w:sz w:val="20"/>
                <w:szCs w:val="20"/>
                <w:color w:val="auto"/>
              </w:rPr>
            </w:pPr>
            <w:r>
              <w:rPr>
                <w:rFonts w:ascii="Arial" w:cs="Arial" w:eastAsia="Arial" w:hAnsi="Arial"/>
                <w:sz w:val="18"/>
                <w:szCs w:val="18"/>
                <w:color w:val="auto"/>
                <w:w w:val="98"/>
              </w:rPr>
              <w:t>June 30, 2014</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7"/>
              </w:rPr>
              <w:t>September 30, 2013</w:t>
            </w:r>
          </w:p>
        </w:tc>
      </w:tr>
      <w:tr>
        <w:trPr>
          <w:trHeight w:val="21"/>
        </w:trPr>
        <w:tc>
          <w:tcPr>
            <w:tcW w:w="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86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720" w:type="dxa"/>
            <w:vAlign w:val="bottom"/>
            <w:gridSpan w:val="3"/>
            <w:shd w:val="clear" w:color="auto" w:fill="CFF0FC"/>
          </w:tcPr>
          <w:p>
            <w:pPr>
              <w:jc w:val="right"/>
              <w:ind w:right="1580"/>
              <w:spacing w:after="0"/>
              <w:rPr>
                <w:sz w:val="20"/>
                <w:szCs w:val="20"/>
                <w:color w:val="auto"/>
              </w:rPr>
            </w:pPr>
            <w:r>
              <w:rPr>
                <w:rFonts w:ascii="Arial" w:cs="Arial" w:eastAsia="Arial" w:hAnsi="Arial"/>
                <w:sz w:val="18"/>
                <w:szCs w:val="18"/>
                <w:color w:val="auto"/>
              </w:rPr>
              <w:t>0.88%</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r>
      <w:tr>
        <w:trPr>
          <w:trHeight w:val="243"/>
        </w:trPr>
        <w:tc>
          <w:tcPr>
            <w:tcW w:w="5360" w:type="dxa"/>
            <w:vAlign w:val="bottom"/>
            <w:gridSpan w:val="2"/>
          </w:tcPr>
          <w:p>
            <w:pPr>
              <w:ind w:left="860"/>
              <w:spacing w:after="0"/>
              <w:rPr>
                <w:sz w:val="20"/>
                <w:szCs w:val="20"/>
                <w:color w:val="auto"/>
              </w:rPr>
            </w:pPr>
            <w:r>
              <w:rPr>
                <w:rFonts w:ascii="Arial" w:cs="Arial" w:eastAsia="Arial" w:hAnsi="Arial"/>
                <w:sz w:val="18"/>
                <w:szCs w:val="18"/>
                <w:color w:val="auto"/>
              </w:rPr>
              <w:t>Expected life</w:t>
            </w:r>
          </w:p>
        </w:tc>
        <w:tc>
          <w:tcPr>
            <w:tcW w:w="120" w:type="dxa"/>
            <w:vAlign w:val="bottom"/>
          </w:tcPr>
          <w:p>
            <w:pPr>
              <w:spacing w:after="0"/>
              <w:rPr>
                <w:sz w:val="21"/>
                <w:szCs w:val="21"/>
                <w:color w:val="auto"/>
              </w:rPr>
            </w:pPr>
          </w:p>
        </w:tc>
        <w:tc>
          <w:tcPr>
            <w:tcW w:w="2600" w:type="dxa"/>
            <w:vAlign w:val="bottom"/>
            <w:gridSpan w:val="2"/>
          </w:tcPr>
          <w:p>
            <w:pPr>
              <w:jc w:val="right"/>
              <w:ind w:right="1580"/>
              <w:spacing w:after="0"/>
              <w:rPr>
                <w:sz w:val="20"/>
                <w:szCs w:val="20"/>
                <w:color w:val="auto"/>
              </w:rPr>
            </w:pPr>
            <w:r>
              <w:rPr>
                <w:rFonts w:ascii="Arial" w:cs="Arial" w:eastAsia="Arial" w:hAnsi="Arial"/>
                <w:sz w:val="18"/>
                <w:szCs w:val="18"/>
                <w:color w:val="auto"/>
              </w:rPr>
              <w:t>3.5 Years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4.2 Years</w:t>
            </w:r>
          </w:p>
        </w:tc>
      </w:tr>
      <w:tr>
        <w:trPr>
          <w:trHeight w:val="243"/>
        </w:trPr>
        <w:tc>
          <w:tcPr>
            <w:tcW w:w="86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FF0FC"/>
          </w:tcPr>
          <w:p>
            <w:pPr>
              <w:spacing w:after="0"/>
              <w:rPr>
                <w:sz w:val="21"/>
                <w:szCs w:val="21"/>
                <w:color w:val="auto"/>
              </w:rPr>
            </w:pPr>
          </w:p>
        </w:tc>
        <w:tc>
          <w:tcPr>
            <w:tcW w:w="260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r>
      <w:tr>
        <w:trPr>
          <w:trHeight w:val="243"/>
        </w:trPr>
        <w:tc>
          <w:tcPr>
            <w:tcW w:w="5360" w:type="dxa"/>
            <w:vAlign w:val="bottom"/>
            <w:gridSpan w:val="2"/>
          </w:tcPr>
          <w:p>
            <w:pPr>
              <w:ind w:left="860"/>
              <w:spacing w:after="0"/>
              <w:rPr>
                <w:sz w:val="20"/>
                <w:szCs w:val="20"/>
                <w:color w:val="auto"/>
              </w:rPr>
            </w:pPr>
            <w:r>
              <w:rPr>
                <w:rFonts w:ascii="Arial" w:cs="Arial" w:eastAsia="Arial" w:hAnsi="Arial"/>
                <w:sz w:val="18"/>
                <w:szCs w:val="18"/>
                <w:color w:val="auto"/>
              </w:rPr>
              <w:t>Volatility</w:t>
            </w:r>
          </w:p>
        </w:tc>
        <w:tc>
          <w:tcPr>
            <w:tcW w:w="2720" w:type="dxa"/>
            <w:vAlign w:val="bottom"/>
            <w:gridSpan w:val="3"/>
          </w:tcPr>
          <w:p>
            <w:pPr>
              <w:jc w:val="right"/>
              <w:ind w:right="1580"/>
              <w:spacing w:after="0"/>
              <w:rPr>
                <w:sz w:val="20"/>
                <w:szCs w:val="20"/>
                <w:color w:val="auto"/>
              </w:rPr>
            </w:pPr>
            <w:r>
              <w:rPr>
                <w:rFonts w:ascii="Arial" w:cs="Arial" w:eastAsia="Arial" w:hAnsi="Arial"/>
                <w:sz w:val="18"/>
                <w:szCs w:val="18"/>
                <w:color w:val="auto"/>
              </w:rPr>
              <w:t>69%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43"/>
        </w:trPr>
        <w:tc>
          <w:tcPr>
            <w:tcW w:w="860" w:type="dxa"/>
            <w:vAlign w:val="bottom"/>
          </w:tcPr>
          <w:p>
            <w:pPr>
              <w:spacing w:after="0"/>
              <w:rPr>
                <w:sz w:val="21"/>
                <w:szCs w:val="21"/>
                <w:color w:val="auto"/>
              </w:rPr>
            </w:pPr>
          </w:p>
        </w:tc>
        <w:tc>
          <w:tcPr>
            <w:tcW w:w="4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r>
      <w:tr>
        <w:trPr>
          <w:trHeight w:val="203"/>
        </w:trPr>
        <w:tc>
          <w:tcPr>
            <w:tcW w:w="5360" w:type="dxa"/>
            <w:vAlign w:val="bottom"/>
            <w:gridSpan w:val="2"/>
          </w:tcPr>
          <w:p>
            <w:pPr>
              <w:ind w:left="860"/>
              <w:spacing w:after="0" w:line="202" w:lineRule="exact"/>
              <w:rPr>
                <w:sz w:val="20"/>
                <w:szCs w:val="20"/>
                <w:color w:val="auto"/>
              </w:rPr>
            </w:pPr>
            <w:r>
              <w:rPr>
                <w:rFonts w:ascii="Arial" w:cs="Arial" w:eastAsia="Arial" w:hAnsi="Arial"/>
                <w:sz w:val="18"/>
                <w:szCs w:val="18"/>
                <w:b w:val="1"/>
                <w:bCs w:val="1"/>
                <w:color w:val="auto"/>
              </w:rPr>
              <w:t>2013 Warrants</w:t>
            </w:r>
          </w:p>
        </w:tc>
        <w:tc>
          <w:tcPr>
            <w:tcW w:w="2720" w:type="dxa"/>
            <w:vAlign w:val="bottom"/>
            <w:gridSpan w:val="3"/>
          </w:tcPr>
          <w:p>
            <w:pPr>
              <w:jc w:val="right"/>
              <w:ind w:right="1580"/>
              <w:spacing w:after="0" w:line="202" w:lineRule="exact"/>
              <w:rPr>
                <w:sz w:val="20"/>
                <w:szCs w:val="20"/>
                <w:color w:val="auto"/>
              </w:rPr>
            </w:pPr>
            <w:r>
              <w:rPr>
                <w:rFonts w:ascii="Arial" w:cs="Arial" w:eastAsia="Arial" w:hAnsi="Arial"/>
                <w:sz w:val="18"/>
                <w:szCs w:val="18"/>
                <w:color w:val="auto"/>
                <w:w w:val="98"/>
              </w:rPr>
              <w:t>June 30, 2014</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7"/>
              </w:rPr>
              <w:t>September 30, 2013</w:t>
            </w:r>
          </w:p>
        </w:tc>
      </w:tr>
      <w:tr>
        <w:trPr>
          <w:trHeight w:val="21"/>
        </w:trPr>
        <w:tc>
          <w:tcPr>
            <w:tcW w:w="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86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720" w:type="dxa"/>
            <w:vAlign w:val="bottom"/>
            <w:gridSpan w:val="3"/>
            <w:shd w:val="clear" w:color="auto" w:fill="CFF0FC"/>
          </w:tcPr>
          <w:p>
            <w:pPr>
              <w:jc w:val="right"/>
              <w:ind w:right="1580"/>
              <w:spacing w:after="0"/>
              <w:rPr>
                <w:sz w:val="20"/>
                <w:szCs w:val="20"/>
                <w:color w:val="auto"/>
              </w:rPr>
            </w:pPr>
            <w:r>
              <w:rPr>
                <w:rFonts w:ascii="Arial" w:cs="Arial" w:eastAsia="Arial" w:hAnsi="Arial"/>
                <w:sz w:val="18"/>
                <w:szCs w:val="18"/>
                <w:color w:val="auto"/>
              </w:rPr>
              <w:t>0.88%</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r>
      <w:tr>
        <w:trPr>
          <w:trHeight w:val="243"/>
        </w:trPr>
        <w:tc>
          <w:tcPr>
            <w:tcW w:w="5360" w:type="dxa"/>
            <w:vAlign w:val="bottom"/>
            <w:gridSpan w:val="2"/>
          </w:tcPr>
          <w:p>
            <w:pPr>
              <w:ind w:left="860"/>
              <w:spacing w:after="0"/>
              <w:rPr>
                <w:sz w:val="20"/>
                <w:szCs w:val="20"/>
                <w:color w:val="auto"/>
              </w:rPr>
            </w:pPr>
            <w:r>
              <w:rPr>
                <w:rFonts w:ascii="Arial" w:cs="Arial" w:eastAsia="Arial" w:hAnsi="Arial"/>
                <w:sz w:val="18"/>
                <w:szCs w:val="18"/>
                <w:color w:val="auto"/>
              </w:rPr>
              <w:t>Expected life</w:t>
            </w:r>
          </w:p>
        </w:tc>
        <w:tc>
          <w:tcPr>
            <w:tcW w:w="120" w:type="dxa"/>
            <w:vAlign w:val="bottom"/>
          </w:tcPr>
          <w:p>
            <w:pPr>
              <w:spacing w:after="0"/>
              <w:rPr>
                <w:sz w:val="21"/>
                <w:szCs w:val="21"/>
                <w:color w:val="auto"/>
              </w:rPr>
            </w:pPr>
          </w:p>
        </w:tc>
        <w:tc>
          <w:tcPr>
            <w:tcW w:w="2600" w:type="dxa"/>
            <w:vAlign w:val="bottom"/>
            <w:gridSpan w:val="2"/>
          </w:tcPr>
          <w:p>
            <w:pPr>
              <w:jc w:val="right"/>
              <w:ind w:right="1580"/>
              <w:spacing w:after="0"/>
              <w:rPr>
                <w:sz w:val="20"/>
                <w:szCs w:val="20"/>
                <w:color w:val="auto"/>
              </w:rPr>
            </w:pPr>
            <w:r>
              <w:rPr>
                <w:rFonts w:ascii="Arial" w:cs="Arial" w:eastAsia="Arial" w:hAnsi="Arial"/>
                <w:sz w:val="18"/>
                <w:szCs w:val="18"/>
                <w:color w:val="auto"/>
              </w:rPr>
              <w:t>3.6 Years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4.3 Years</w:t>
            </w:r>
          </w:p>
        </w:tc>
      </w:tr>
      <w:tr>
        <w:trPr>
          <w:trHeight w:val="243"/>
        </w:trPr>
        <w:tc>
          <w:tcPr>
            <w:tcW w:w="86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FF0FC"/>
          </w:tcPr>
          <w:p>
            <w:pPr>
              <w:spacing w:after="0"/>
              <w:rPr>
                <w:sz w:val="21"/>
                <w:szCs w:val="21"/>
                <w:color w:val="auto"/>
              </w:rPr>
            </w:pPr>
          </w:p>
        </w:tc>
        <w:tc>
          <w:tcPr>
            <w:tcW w:w="260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r>
      <w:tr>
        <w:trPr>
          <w:trHeight w:val="243"/>
        </w:trPr>
        <w:tc>
          <w:tcPr>
            <w:tcW w:w="5360" w:type="dxa"/>
            <w:vAlign w:val="bottom"/>
            <w:gridSpan w:val="2"/>
          </w:tcPr>
          <w:p>
            <w:pPr>
              <w:ind w:left="860"/>
              <w:spacing w:after="0"/>
              <w:rPr>
                <w:sz w:val="20"/>
                <w:szCs w:val="20"/>
                <w:color w:val="auto"/>
              </w:rPr>
            </w:pPr>
            <w:r>
              <w:rPr>
                <w:rFonts w:ascii="Arial" w:cs="Arial" w:eastAsia="Arial" w:hAnsi="Arial"/>
                <w:sz w:val="18"/>
                <w:szCs w:val="18"/>
                <w:color w:val="auto"/>
              </w:rPr>
              <w:t>Volatility</w:t>
            </w:r>
          </w:p>
        </w:tc>
        <w:tc>
          <w:tcPr>
            <w:tcW w:w="2720" w:type="dxa"/>
            <w:vAlign w:val="bottom"/>
            <w:gridSpan w:val="3"/>
          </w:tcPr>
          <w:p>
            <w:pPr>
              <w:jc w:val="right"/>
              <w:ind w:right="1580"/>
              <w:spacing w:after="0"/>
              <w:rPr>
                <w:sz w:val="20"/>
                <w:szCs w:val="20"/>
                <w:color w:val="auto"/>
              </w:rPr>
            </w:pPr>
            <w:r>
              <w:rPr>
                <w:rFonts w:ascii="Arial" w:cs="Arial" w:eastAsia="Arial" w:hAnsi="Arial"/>
                <w:sz w:val="18"/>
                <w:szCs w:val="18"/>
                <w:color w:val="auto"/>
              </w:rPr>
              <w:t>69%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5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2,153,819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5,066,591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settlements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(3,754,808)</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4,091,797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5,680,544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settlements</w:t>
            </w: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(5,789,982)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2014</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3,982,359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conjunction with the financing of Ablaris in fiscal 2011, Arrowhead sold exchange rights to certain investors whereby the investors have the right to exchange their shares of Ablaris for a prescribed number of Arrowhead shares based upon a predefined ratio. The exchange rights have a seven-year term. During the first year, the exchange right allows the holder to exchange one Ablaris share for 0.06 Arrowhead shares (as adjusted for a subsequent reverse stock split). This ratio declines to 0.04 in the second year, 0.03 in the third year and 0.02 in the fourth year. In the fifth year and beyond the exchange ratio is 0.01. Exchange rights for 675,000 Ablaris shares were sold in fiscal 2011, and remain outstanding at June 30, 2014.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as change in value of derivatives in the Company’s Consolidated Statement of Operations. During the nine months ended June 30, 2014, the Company recorded a non-cash loss from the change in fair value of the derivative liability of $31,791.</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2014</w:t>
            </w:r>
          </w:p>
        </w:tc>
        <w:tc>
          <w:tcPr>
            <w:tcW w:w="1140" w:type="dxa"/>
            <w:vAlign w:val="bottom"/>
          </w:tcPr>
          <w:p>
            <w:pPr>
              <w:jc w:val="right"/>
              <w:ind w:right="7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33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Expected life</w:t>
            </w:r>
          </w:p>
        </w:tc>
        <w:tc>
          <w:tcPr>
            <w:tcW w:w="3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4.3 Years</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33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None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Volatility</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8"/>
        </w:trPr>
        <w:tc>
          <w:tcPr>
            <w:tcW w:w="2900" w:type="dxa"/>
            <w:vAlign w:val="bottom"/>
          </w:tcPr>
          <w:p>
            <w:pPr>
              <w:spacing w:after="0"/>
              <w:rPr>
                <w:sz w:val="24"/>
                <w:szCs w:val="24"/>
                <w:color w:val="auto"/>
              </w:rPr>
            </w:pPr>
          </w:p>
        </w:tc>
        <w:tc>
          <w:tcPr>
            <w:tcW w:w="3380" w:type="dxa"/>
            <w:vAlign w:val="bottom"/>
          </w:tcPr>
          <w:p>
            <w:pPr>
              <w:jc w:val="right"/>
              <w:ind w:right="1770"/>
              <w:spacing w:after="0"/>
              <w:rPr>
                <w:sz w:val="20"/>
                <w:szCs w:val="20"/>
                <w:color w:val="auto"/>
              </w:rPr>
            </w:pPr>
            <w:r>
              <w:rPr>
                <w:rFonts w:ascii="Arial" w:cs="Arial" w:eastAsia="Arial" w:hAnsi="Arial"/>
                <w:sz w:val="18"/>
                <w:szCs w:val="18"/>
                <w:color w:val="auto"/>
              </w:rPr>
              <w:t>18</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41" w:right="259" w:bottom="1440" w:gutter="0" w:footer="0" w:header="0"/>
        </w:sectPr>
      </w:pPr>
    </w:p>
    <w:bookmarkStart w:id="20" w:name="page21"/>
    <w:bookmarkEnd w:id="20"/>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exchange rights: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8160" w:type="dxa"/>
            <w:vAlign w:val="bottom"/>
            <w:gridSpan w:val="2"/>
          </w:tcPr>
          <w:p>
            <w:pPr>
              <w:ind w:left="860"/>
              <w:spacing w:after="0"/>
              <w:rPr>
                <w:sz w:val="20"/>
                <w:szCs w:val="20"/>
                <w:color w:val="auto"/>
              </w:rPr>
            </w:pPr>
            <w:r>
              <w:rPr>
                <w:rFonts w:ascii="Arial" w:cs="Arial" w:eastAsia="Arial" w:hAnsi="Arial"/>
                <w:sz w:val="18"/>
                <w:szCs w:val="18"/>
                <w:color w:val="auto"/>
              </w:rPr>
              <w:t>Value at September 30, 2012</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Issuance of instruments</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Change in value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(5,806)</w:t>
            </w:r>
          </w:p>
        </w:tc>
      </w:tr>
      <w:tr>
        <w:trPr>
          <w:trHeight w:val="216"/>
        </w:trPr>
        <w:tc>
          <w:tcPr>
            <w:tcW w:w="860" w:type="dxa"/>
            <w:vAlign w:val="bottom"/>
          </w:tcPr>
          <w:p>
            <w:pPr>
              <w:spacing w:after="0"/>
              <w:rPr>
                <w:sz w:val="18"/>
                <w:szCs w:val="18"/>
                <w:color w:val="auto"/>
              </w:rPr>
            </w:pPr>
          </w:p>
        </w:tc>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Net settlements</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8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Value at September 30, 2013</w:t>
            </w:r>
          </w:p>
        </w:tc>
        <w:tc>
          <w:tcPr>
            <w:tcW w:w="20" w:type="dxa"/>
            <w:vAlign w:val="bottom"/>
          </w:tcPr>
          <w:p>
            <w:pPr>
              <w:spacing w:after="0"/>
              <w:rPr>
                <w:sz w:val="18"/>
                <w:szCs w:val="18"/>
                <w:color w:val="auto"/>
              </w:rPr>
            </w:pPr>
          </w:p>
        </w:tc>
        <w:tc>
          <w:tcPr>
            <w:tcW w:w="400" w:type="dxa"/>
            <w:vAlign w:val="bottom"/>
            <w:tcBorders>
              <w:top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Issuance of instruments</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Change in value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31,791</w:t>
            </w:r>
          </w:p>
        </w:tc>
        <w:tc>
          <w:tcPr>
            <w:tcW w:w="1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Net settlements</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8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Value at June 30, 2014</w:t>
            </w: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36,360</w:t>
            </w:r>
          </w:p>
        </w:tc>
        <w:tc>
          <w:tcPr>
            <w:tcW w:w="1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is the Company’s stock price. Other inputs have a comparatively insignificant effect.</w:t>
      </w:r>
    </w:p>
    <w:p>
      <w:pPr>
        <w:spacing w:after="0" w:line="187"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During fiscal 2012, contingent consideration was recorded upon the acquisitions of Roche Madison Inc. and Alvos Therapeutics, Inc., totaling $173,621.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own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we utilize data regarding similar milestone events from several sources, including industry studies and the Company’s experience. These fair value measurements represent Level 3 measurements as they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we record in any given period. Changes in the fair value of the contingent consideration obligations are recorded as operating expenses as contingent consideration – fair value adjustments in the Company’s Consolidated Statement of Operations.</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contingent consideration fair value.</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57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18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15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1,421,652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2014</w:t>
            </w:r>
          </w:p>
        </w:tc>
        <w:tc>
          <w:tcPr>
            <w:tcW w:w="15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7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41" w:right="259"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this report under the caption “Risk Factors” as well as the additional risks described in other documents we file from time to time with the Securities and Exchange Commission (“SEC”), including our most recent Annual Report on Form 10-K.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Arrowhead Research Corporation is a biopharmaceutical company developing targeted RNAi therapeutics. The Company is leveraging its proprietary Dynamic Polyconjugate (DPC) delivery platform to develop targeted drugs based on the RNA interference mechanism that efficiently silences disease-causing genes. Arrowhead’s pipeline includes ARC-520 for chronic hepatitis B virus, ARC-AAT for liver disease associated with Alpha-1 antitrypsin deficiency, and partner-based programs in obesity and oncology.</w:t>
      </w:r>
    </w:p>
    <w:p>
      <w:pPr>
        <w:spacing w:after="0" w:line="187"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Arrowhead is leveraging its in-house R&amp;D expertise and capabilities, as well as a broad intellectual property portfolio for RNAi therapeutics, and RNAi and peptide delivery vehicles and targeting methods to seek development partnerships with other pharmaceutical and biotech companies committed to bringing RNAi therapeutics to market, as well as continuing the preclinical and clinical development of its own clinical candidates.</w:t>
      </w:r>
    </w:p>
    <w:p>
      <w:pPr>
        <w:spacing w:after="0" w:line="166"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Arrowhead has historically financed its operations primarily through the sale of Arrowhead securities. Research and development activities have required significant capital investment and are expected to continue to require significant cash investment for the foreseeable future, particularly as clinical trials progress with ARC-520, the Company’s candidate for the treatment of hepatitis B (HBV), and as the Company expands its existing candidate pipeline.</w:t>
      </w:r>
    </w:p>
    <w:p>
      <w:pPr>
        <w:spacing w:after="0" w:line="14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At June 30, 2014, the Company had $188.5 million in cash and liquid investments to fund operations. During the nine months ended June 30, 2014, the Company’s cash position increased significantly primarily due proceeds from the sale of equity securities.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During the nine months ended June 30, 2014, cash used in operating activities was $24.5 million, which represents the on-going expenses for research and development activities, business development, and general and administrative expenses.</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Cash used in investing activities during the nine months ended June 30, 2014 was $41.0 million, of which $39.8 million related to net investments in marketable fixed income securities. Capital expenditures were $1.3 million.</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Cash provided by financing activities in the nine months ended June 30, 2014 was $184.8 million. The Company completed equity financings in October 2013 and in February 2014 with net proceeds of $172.6 million. Additionally, financing activities included cash inflow from the exercise of warrants and options of $12.4 million. Principal payments on capital leases were $0.3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Recent Financing Activity / Sources of Capital</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On February 24, 2014, the Company sold 6,325,000 shares of common stock, at a public offering price of $18.95 per share. Net proceeds were approximately $112.6 million after underwriting commissions and discounts and other offering expenses.</w:t>
      </w:r>
    </w:p>
    <w:p>
      <w:pPr>
        <w:spacing w:after="0" w:line="170"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On October 11, 2013, the Company sold 3,071,672 shares of Common Stock, at a price of $5.86 per share, and 46,000 shares of Series C Convertible Preferred Stock (the “Preferred Shares”), at a price of $1,000 per share. The Preferred Shares are convertible into shares of Common Stock at a conversion price of $5.86 per share. The aggregate purchase price paid by the Purchasers for the Common Stock and Preferred Shares was $64,000,000 and the Company received net proceeds of approximately $60,000,000, after advisory fees and offering expenses.</w:t>
      </w:r>
    </w:p>
    <w:p>
      <w:pPr>
        <w:spacing w:after="0" w:line="17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Based upon the Company’s current cash resources and operating plan, the Company expects to have sufficient liquidity to fund operations for the next twelve months, and beyond.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Revenue associated with payments under collaborative agreements for research and development is recognized ratably over the relevant periods specified in the agreement, generally the period during which research and development is conducted.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October 2011, we acquired all of the outstanding common stock of Roche Madison, Inc. and certain related intellectual property assets for a</w:t>
      </w:r>
    </w:p>
    <w:p>
      <w:pPr>
        <w:spacing w:after="0" w:line="35"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$50,000 promissory note and 1,288,158 shares of Arrowhead Common Stock, an estimated consideration value of $5.1 million on the date of the acquisition. We assigned the value of the consideration to the tangible assets and identifiable intangible assets and the liabilities assumed on the basis of their fair values on the date of acquisition. The excess of net assets over the consideration was recorded as a non-operating gain.</w:t>
      </w:r>
    </w:p>
    <w:p>
      <w:pPr>
        <w:spacing w:after="0" w:line="173" w:lineRule="exact"/>
        <w:rPr>
          <w:sz w:val="20"/>
          <w:szCs w:val="20"/>
          <w:color w:val="auto"/>
        </w:rPr>
      </w:pPr>
    </w:p>
    <w:p>
      <w:pPr>
        <w:jc w:val="both"/>
        <w:ind w:right="620" w:firstLine="518"/>
        <w:spacing w:after="0" w:line="264" w:lineRule="auto"/>
        <w:rPr>
          <w:sz w:val="20"/>
          <w:szCs w:val="20"/>
          <w:color w:val="auto"/>
        </w:rPr>
      </w:pPr>
      <w:r>
        <w:rPr>
          <w:rFonts w:ascii="Arial" w:cs="Arial" w:eastAsia="Arial" w:hAnsi="Arial"/>
          <w:sz w:val="18"/>
          <w:szCs w:val="18"/>
          <w:color w:val="auto"/>
        </w:rPr>
        <w:t>In April 2012, we acquired all of the outstanding common stock of Alvos Therapeutics, Inc. in exchange for the issuance of 315,457 shares of Arrowhead Common Stock, valued at $2.0 million at the time of acquisition. The consideration was assigned to its tangible and intangible assets, and liabilities based on estimated fair values at the time of acquisition.</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allocation of value to certain items, including property and equipment, intangible assets and certain liabilities require management judgment, and is based upon the information available at the time of acquisition.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49" w:right="25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Intangible assets consist of in-process research and development, patents and license agreements acquired in conjunction with a business acquisition. Intangible assets are monitored for potential impairment whenever events or circumstances indicate that the carrying amount may not be recoverable, and are also reviewed annually to determine whether any impairment is necessary. Based on ASC 350,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firstLine="518"/>
        <w:spacing w:after="0" w:line="327" w:lineRule="auto"/>
        <w:rPr>
          <w:sz w:val="20"/>
          <w:szCs w:val="20"/>
          <w:color w:val="auto"/>
        </w:rPr>
      </w:pPr>
      <w:r>
        <w:rPr>
          <w:rFonts w:ascii="Arial" w:cs="Arial" w:eastAsia="Arial" w:hAnsi="Arial"/>
          <w:sz w:val="15"/>
          <w:szCs w:val="15"/>
          <w:color w:val="auto"/>
        </w:rPr>
        <w:t>We recognize stock-based compensation expense based on the grant date fair value using the Black-Scholes options pricing model, which requires us to make assumptions regarding certain variables including the risk-free interest rate, expected stock price volatility, and the expected life of the award.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recent research and development activity</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July 2013, the Company began a Phase 1 clinical trial in Australia in healthy volunteers to characterize the safety profile of ARC-520, its candidate for the treatment of hepatitis B (HBV). No dose-limiting toxicities and no serious adverse events have been noted to date. This trial completed anticipated enrollment in October 2013. The Company began a Phase 2a pilot efficacy study in Hong Kong for chronically infected HBV patients in March 2014. The study is ongoing. In June 2014, the Company announced its next clinical candidate, ARC-AAT, an RNAi therapeutic designed to treat liver disease associated with Alpha-1 antitrypsin deficiency (AATD). The Company continues to develop other clinical candidates for future clinical trials, focusing on intravenously-administered therapeutics targeting gene knockdown in the liver, as well as formulations for administering siRNA-based therapeutics by subcutaneous administration.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The Company had a consolidated loss attributable to Arrowhead of $11,628,919 and $36,199,748 for the three and nine months ended June 30, 2014, respectively, compared to a consolidated loss attributable to Arrowhead of $6,079,010 and $17,451,105 for the three and nine months ended June 30, 2013, respectively. Details of the results of operations are presented below.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Company recorded revenue of $43,750 and $131,250 during the three and nine months ended June 30, 2014, respectively, compared to $43,750 and $246,516 during the three and nine months ended June 30, 2013, respectively. The revenue in fiscal 2014 was related to three license agreements for a research method acquired through the acquisition of Roche Madison, Inc. The revenue in fiscal 2013 also included $115,266 in non-recurring services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The following tables provide details of operating expenses for the three and nine months ended June 30, 2014 and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 Three and Nine months ended June 30, 2014 compared to the three and nine months ended June 30, 2013</w:t>
      </w:r>
    </w:p>
    <w:p>
      <w:pPr>
        <w:spacing w:after="0" w:line="117"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The Company employs management, administrative, and scientific and technical staff at its corporate offices and its research facility. Salaries expense consists of salary and related benefits. Salary and benefits include two major categories: general and administrative compensation expense, and research and development compensation expense, depending on the primary activities of each employee. The following table provides detail of salary and wage expenses for the three and nine months ended June 30, 2014 as compared to the three and nine months ended June 30,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Three months</w:t>
            </w:r>
          </w:p>
        </w:tc>
        <w:tc>
          <w:tcPr>
            <w:tcW w:w="860" w:type="dxa"/>
            <w:vAlign w:val="bottom"/>
          </w:tcPr>
          <w:p>
            <w:pPr>
              <w:jc w:val="center"/>
              <w:ind w:left="188"/>
              <w:spacing w:after="0"/>
              <w:rPr>
                <w:sz w:val="20"/>
                <w:szCs w:val="20"/>
                <w:color w:val="auto"/>
              </w:rPr>
            </w:pPr>
            <w:r>
              <w:rPr>
                <w:rFonts w:ascii="Arial" w:cs="Arial" w:eastAsia="Arial" w:hAnsi="Arial"/>
                <w:sz w:val="14"/>
                <w:szCs w:val="14"/>
                <w:color w:val="auto"/>
                <w:w w:val="99"/>
              </w:rPr>
              <w:t>% of</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Three months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 of</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center"/>
              <w:ind w:left="287"/>
              <w:spacing w:after="0"/>
              <w:rPr>
                <w:sz w:val="20"/>
                <w:szCs w:val="20"/>
                <w:color w:val="auto"/>
              </w:rPr>
            </w:pPr>
            <w:r>
              <w:rPr>
                <w:rFonts w:ascii="Arial" w:cs="Arial" w:eastAsia="Arial" w:hAnsi="Arial"/>
                <w:sz w:val="14"/>
                <w:szCs w:val="14"/>
                <w:color w:val="auto"/>
                <w:w w:val="93"/>
              </w:rPr>
              <w:t>Ended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left="188"/>
              <w:spacing w:after="0"/>
              <w:rPr>
                <w:sz w:val="20"/>
                <w:szCs w:val="20"/>
                <w:color w:val="auto"/>
              </w:rPr>
            </w:pPr>
            <w:r>
              <w:rPr>
                <w:rFonts w:ascii="Arial" w:cs="Arial" w:eastAsia="Arial" w:hAnsi="Arial"/>
                <w:sz w:val="14"/>
                <w:szCs w:val="14"/>
                <w:color w:val="auto"/>
                <w:w w:val="88"/>
              </w:rPr>
              <w:t>Expense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Expense</w:t>
            </w:r>
          </w:p>
        </w:tc>
        <w:tc>
          <w:tcPr>
            <w:tcW w:w="300" w:type="dxa"/>
            <w:vAlign w:val="bottom"/>
          </w:tcPr>
          <w:p>
            <w:pPr>
              <w:spacing w:after="0"/>
              <w:rPr>
                <w:sz w:val="18"/>
                <w:szCs w:val="18"/>
                <w:color w:val="auto"/>
              </w:rPr>
            </w:pPr>
          </w:p>
        </w:tc>
        <w:tc>
          <w:tcPr>
            <w:tcW w:w="1520" w:type="dxa"/>
            <w:vAlign w:val="bottom"/>
            <w:gridSpan w:val="3"/>
          </w:tcPr>
          <w:p>
            <w:pPr>
              <w:ind w:left="360"/>
              <w:spacing w:after="0"/>
              <w:rPr>
                <w:sz w:val="20"/>
                <w:szCs w:val="20"/>
                <w:color w:val="auto"/>
              </w:rPr>
            </w:pPr>
            <w:r>
              <w:rPr>
                <w:rFonts w:ascii="Arial" w:cs="Arial" w:eastAsia="Arial" w:hAnsi="Arial"/>
                <w:sz w:val="14"/>
                <w:szCs w:val="14"/>
                <w:color w:val="auto"/>
                <w:w w:val="89"/>
              </w:rPr>
              <w:t>Increase (Decrease)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00" w:type="dxa"/>
            <w:vAlign w:val="bottom"/>
            <w:tcBorders>
              <w:bottom w:val="single" w:sz="8" w:color="B6EAFC"/>
            </w:tcBorders>
          </w:tcPr>
          <w:p>
            <w:pPr>
              <w:spacing w:after="0"/>
              <w:rPr>
                <w:sz w:val="16"/>
                <w:szCs w:val="16"/>
                <w:color w:val="auto"/>
              </w:rPr>
            </w:pPr>
          </w:p>
        </w:tc>
        <w:tc>
          <w:tcPr>
            <w:tcW w:w="720" w:type="dxa"/>
            <w:vAlign w:val="bottom"/>
            <w:tcBorders>
              <w:bottom w:val="single" w:sz="8" w:color="B6EAFC"/>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June 30, 2014</w:t>
            </w:r>
          </w:p>
        </w:tc>
        <w:tc>
          <w:tcPr>
            <w:tcW w:w="180" w:type="dxa"/>
            <w:vAlign w:val="bottom"/>
            <w:tcBorders>
              <w:bottom w:val="single" w:sz="8" w:color="B6EAFC"/>
            </w:tcBorders>
          </w:tcPr>
          <w:p>
            <w:pPr>
              <w:spacing w:after="0"/>
              <w:rPr>
                <w:sz w:val="16"/>
                <w:szCs w:val="16"/>
                <w:color w:val="auto"/>
              </w:rPr>
            </w:pPr>
          </w:p>
        </w:tc>
        <w:tc>
          <w:tcPr>
            <w:tcW w:w="8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1"/>
              </w:rPr>
              <w:t>Category</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B6EA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90"/>
              </w:rPr>
              <w:t>June 30, 2013</w:t>
            </w:r>
          </w:p>
        </w:tc>
        <w:tc>
          <w:tcPr>
            <w:tcW w:w="200" w:type="dxa"/>
            <w:vAlign w:val="bottom"/>
            <w:tcBorders>
              <w:bottom w:val="single" w:sz="8" w:color="B6EAFC"/>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6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B6EA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shd w:val="clear" w:color="auto" w:fill="B6EAFC"/>
          </w:tcPr>
          <w:p>
            <w:pPr>
              <w:spacing w:after="0"/>
              <w:rPr>
                <w:sz w:val="20"/>
                <w:szCs w:val="20"/>
                <w:color w:val="auto"/>
              </w:rPr>
            </w:pPr>
            <w:r>
              <w:rPr>
                <w:rFonts w:ascii="Arial" w:cs="Arial" w:eastAsia="Arial" w:hAnsi="Arial"/>
                <w:sz w:val="16"/>
                <w:szCs w:val="16"/>
                <w:color w:val="auto"/>
              </w:rPr>
              <w:t>G&amp;A - compensation-related</w:t>
            </w:r>
          </w:p>
        </w:tc>
        <w:tc>
          <w:tcPr>
            <w:tcW w:w="720" w:type="dxa"/>
            <w:vAlign w:val="bottom"/>
            <w:shd w:val="clear" w:color="auto" w:fill="B6EAFC"/>
          </w:tcPr>
          <w:p>
            <w:pPr>
              <w:spacing w:after="0"/>
              <w:rPr>
                <w:sz w:val="17"/>
                <w:szCs w:val="17"/>
                <w:color w:val="auto"/>
              </w:rPr>
            </w:pPr>
          </w:p>
        </w:tc>
        <w:tc>
          <w:tcPr>
            <w:tcW w:w="740" w:type="dxa"/>
            <w:vAlign w:val="bottom"/>
            <w:shd w:val="clear" w:color="auto" w:fill="B6EAFC"/>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B6EAFC"/>
          </w:tcPr>
          <w:p>
            <w:pPr>
              <w:jc w:val="right"/>
              <w:spacing w:after="0"/>
              <w:rPr>
                <w:sz w:val="20"/>
                <w:szCs w:val="20"/>
                <w:color w:val="auto"/>
              </w:rPr>
            </w:pPr>
            <w:r>
              <w:rPr>
                <w:rFonts w:ascii="Arial" w:cs="Arial" w:eastAsia="Arial" w:hAnsi="Arial"/>
                <w:sz w:val="16"/>
                <w:szCs w:val="16"/>
                <w:color w:val="auto"/>
              </w:rPr>
              <w:t>692</w:t>
            </w:r>
          </w:p>
        </w:tc>
        <w:tc>
          <w:tcPr>
            <w:tcW w:w="180" w:type="dxa"/>
            <w:vAlign w:val="bottom"/>
            <w:shd w:val="clear" w:color="auto" w:fill="B6EAFC"/>
          </w:tcPr>
          <w:p>
            <w:pPr>
              <w:spacing w:after="0"/>
              <w:rPr>
                <w:sz w:val="17"/>
                <w:szCs w:val="17"/>
                <w:color w:val="auto"/>
              </w:rPr>
            </w:pPr>
          </w:p>
        </w:tc>
        <w:tc>
          <w:tcPr>
            <w:tcW w:w="860" w:type="dxa"/>
            <w:vAlign w:val="bottom"/>
            <w:shd w:val="clear" w:color="auto" w:fill="B6EAFC"/>
          </w:tcPr>
          <w:p>
            <w:pPr>
              <w:spacing w:after="0"/>
              <w:rPr>
                <w:sz w:val="17"/>
                <w:szCs w:val="17"/>
                <w:color w:val="auto"/>
              </w:rPr>
            </w:pPr>
          </w:p>
        </w:tc>
        <w:tc>
          <w:tcPr>
            <w:tcW w:w="52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638</w:t>
            </w:r>
          </w:p>
        </w:tc>
        <w:tc>
          <w:tcPr>
            <w:tcW w:w="200" w:type="dxa"/>
            <w:vAlign w:val="bottom"/>
            <w:shd w:val="clear" w:color="auto" w:fill="B6EAFC"/>
          </w:tcPr>
          <w:p>
            <w:pPr>
              <w:spacing w:after="0"/>
              <w:rPr>
                <w:sz w:val="17"/>
                <w:szCs w:val="17"/>
                <w:color w:val="auto"/>
              </w:rPr>
            </w:pPr>
          </w:p>
        </w:tc>
        <w:tc>
          <w:tcPr>
            <w:tcW w:w="138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39%</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54</w:t>
            </w:r>
          </w:p>
        </w:tc>
        <w:tc>
          <w:tcPr>
            <w:tcW w:w="180" w:type="dxa"/>
            <w:vAlign w:val="bottom"/>
            <w:shd w:val="clear" w:color="auto" w:fill="B6EAFC"/>
          </w:tcPr>
          <w:p>
            <w:pPr>
              <w:spacing w:after="0"/>
              <w:rPr>
                <w:sz w:val="17"/>
                <w:szCs w:val="17"/>
                <w:color w:val="auto"/>
              </w:rPr>
            </w:pPr>
          </w:p>
        </w:tc>
        <w:tc>
          <w:tcPr>
            <w:tcW w:w="500" w:type="dxa"/>
            <w:vAlign w:val="bottom"/>
            <w:shd w:val="clear" w:color="auto" w:fill="B6EAFC"/>
          </w:tcPr>
          <w:p>
            <w:pPr>
              <w:spacing w:after="0"/>
              <w:rPr>
                <w:sz w:val="17"/>
                <w:szCs w:val="17"/>
                <w:color w:val="auto"/>
              </w:rPr>
            </w:pPr>
          </w:p>
        </w:tc>
        <w:tc>
          <w:tcPr>
            <w:tcW w:w="9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6"/>
                <w:szCs w:val="16"/>
                <w:color w:val="auto"/>
              </w:rPr>
              <w:t>R&amp;D - compensation-related</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1,762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1,014</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61%</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720" w:type="dxa"/>
            <w:vAlign w:val="bottom"/>
            <w:shd w:val="clear" w:color="auto" w:fill="B6EA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B6EAFC"/>
            </w:tcBorders>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vMerge w:val="continue"/>
            <w:shd w:val="clear" w:color="auto" w:fill="B6EAFC"/>
          </w:tcPr>
          <w:p>
            <w:pPr>
              <w:spacing w:after="0"/>
              <w:rPr>
                <w:sz w:val="18"/>
                <w:szCs w:val="18"/>
                <w:color w:val="auto"/>
              </w:rPr>
            </w:pPr>
          </w:p>
        </w:tc>
        <w:tc>
          <w:tcPr>
            <w:tcW w:w="1460" w:type="dxa"/>
            <w:vAlign w:val="bottom"/>
            <w:gridSpan w:val="2"/>
            <w:shd w:val="clear" w:color="auto" w:fill="B6EAFC"/>
          </w:tcPr>
          <w:p>
            <w:pPr>
              <w:jc w:val="right"/>
              <w:ind w:right="587"/>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w w:val="89"/>
              </w:rPr>
              <w:t>2,454</w:t>
            </w:r>
          </w:p>
        </w:tc>
        <w:tc>
          <w:tcPr>
            <w:tcW w:w="86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1,652</w:t>
            </w:r>
          </w:p>
        </w:tc>
        <w:tc>
          <w:tcPr>
            <w:tcW w:w="200" w:type="dxa"/>
            <w:vAlign w:val="bottom"/>
            <w:shd w:val="clear" w:color="auto" w:fill="B6EAFC"/>
          </w:tcPr>
          <w:p>
            <w:pPr>
              <w:spacing w:after="0"/>
              <w:rPr>
                <w:sz w:val="18"/>
                <w:szCs w:val="18"/>
                <w:color w:val="auto"/>
              </w:rPr>
            </w:pPr>
          </w:p>
        </w:tc>
        <w:tc>
          <w:tcPr>
            <w:tcW w:w="138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802</w:t>
            </w:r>
          </w:p>
        </w:tc>
        <w:tc>
          <w:tcPr>
            <w:tcW w:w="180" w:type="dxa"/>
            <w:vAlign w:val="bottom"/>
            <w:shd w:val="clear" w:color="auto" w:fill="B6EAFC"/>
          </w:tcPr>
          <w:p>
            <w:pPr>
              <w:spacing w:after="0"/>
              <w:rPr>
                <w:sz w:val="18"/>
                <w:szCs w:val="18"/>
                <w:color w:val="auto"/>
              </w:rPr>
            </w:pPr>
          </w:p>
        </w:tc>
        <w:tc>
          <w:tcPr>
            <w:tcW w:w="500" w:type="dxa"/>
            <w:vAlign w:val="bottom"/>
            <w:shd w:val="clear" w:color="auto" w:fill="B6EAFC"/>
          </w:tcPr>
          <w:p>
            <w:pPr>
              <w:spacing w:after="0"/>
              <w:rPr>
                <w:sz w:val="18"/>
                <w:szCs w:val="18"/>
                <w:color w:val="auto"/>
              </w:rPr>
            </w:pPr>
          </w:p>
        </w:tc>
        <w:tc>
          <w:tcPr>
            <w:tcW w:w="9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484"/>
        </w:trPr>
        <w:tc>
          <w:tcPr>
            <w:tcW w:w="2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4"/>
              </w:rPr>
              <w:t>Nine months</w:t>
            </w:r>
          </w:p>
        </w:tc>
        <w:tc>
          <w:tcPr>
            <w:tcW w:w="180" w:type="dxa"/>
            <w:vAlign w:val="bottom"/>
          </w:tcPr>
          <w:p>
            <w:pPr>
              <w:spacing w:after="0"/>
              <w:rPr>
                <w:sz w:val="24"/>
                <w:szCs w:val="24"/>
                <w:color w:val="auto"/>
              </w:rPr>
            </w:pPr>
          </w:p>
        </w:tc>
        <w:tc>
          <w:tcPr>
            <w:tcW w:w="860" w:type="dxa"/>
            <w:vAlign w:val="bottom"/>
            <w:tcBorders>
              <w:top w:val="single" w:sz="8" w:color="auto"/>
            </w:tcBorders>
          </w:tcPr>
          <w:p>
            <w:pPr>
              <w:jc w:val="center"/>
              <w:ind w:left="188"/>
              <w:spacing w:after="0"/>
              <w:rPr>
                <w:sz w:val="20"/>
                <w:szCs w:val="20"/>
                <w:color w:val="auto"/>
              </w:rPr>
            </w:pPr>
            <w:r>
              <w:rPr>
                <w:rFonts w:ascii="Arial" w:cs="Arial" w:eastAsia="Arial" w:hAnsi="Arial"/>
                <w:sz w:val="14"/>
                <w:szCs w:val="14"/>
                <w:color w:val="auto"/>
                <w:w w:val="99"/>
              </w:rPr>
              <w:t>% of</w:t>
            </w:r>
          </w:p>
        </w:tc>
        <w:tc>
          <w:tcPr>
            <w:tcW w:w="2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63"/>
              <w:spacing w:after="0"/>
              <w:rPr>
                <w:sz w:val="20"/>
                <w:szCs w:val="20"/>
                <w:color w:val="auto"/>
              </w:rPr>
            </w:pPr>
            <w:r>
              <w:rPr>
                <w:rFonts w:ascii="Arial" w:cs="Arial" w:eastAsia="Arial" w:hAnsi="Arial"/>
                <w:sz w:val="14"/>
                <w:szCs w:val="14"/>
                <w:color w:val="auto"/>
                <w:w w:val="94"/>
              </w:rPr>
              <w:t>Nine months</w:t>
            </w:r>
          </w:p>
        </w:tc>
        <w:tc>
          <w:tcPr>
            <w:tcW w:w="200" w:type="dxa"/>
            <w:vAlign w:val="bottom"/>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 of</w:t>
            </w: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center"/>
              <w:ind w:left="287"/>
              <w:spacing w:after="0"/>
              <w:rPr>
                <w:sz w:val="20"/>
                <w:szCs w:val="20"/>
                <w:color w:val="auto"/>
              </w:rPr>
            </w:pPr>
            <w:r>
              <w:rPr>
                <w:rFonts w:ascii="Arial" w:cs="Arial" w:eastAsia="Arial" w:hAnsi="Arial"/>
                <w:sz w:val="14"/>
                <w:szCs w:val="14"/>
                <w:color w:val="auto"/>
                <w:w w:val="93"/>
              </w:rPr>
              <w:t>Ended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left="188"/>
              <w:spacing w:after="0"/>
              <w:rPr>
                <w:sz w:val="20"/>
                <w:szCs w:val="20"/>
                <w:color w:val="auto"/>
              </w:rPr>
            </w:pPr>
            <w:r>
              <w:rPr>
                <w:rFonts w:ascii="Arial" w:cs="Arial" w:eastAsia="Arial" w:hAnsi="Arial"/>
                <w:sz w:val="14"/>
                <w:szCs w:val="14"/>
                <w:color w:val="auto"/>
                <w:w w:val="88"/>
              </w:rPr>
              <w:t>Expense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Expense</w:t>
            </w:r>
          </w:p>
        </w:tc>
        <w:tc>
          <w:tcPr>
            <w:tcW w:w="300" w:type="dxa"/>
            <w:vAlign w:val="bottom"/>
          </w:tcPr>
          <w:p>
            <w:pPr>
              <w:spacing w:after="0"/>
              <w:rPr>
                <w:sz w:val="18"/>
                <w:szCs w:val="18"/>
                <w:color w:val="auto"/>
              </w:rPr>
            </w:pPr>
          </w:p>
        </w:tc>
        <w:tc>
          <w:tcPr>
            <w:tcW w:w="1520" w:type="dxa"/>
            <w:vAlign w:val="bottom"/>
            <w:gridSpan w:val="3"/>
          </w:tcPr>
          <w:p>
            <w:pPr>
              <w:ind w:left="360"/>
              <w:spacing w:after="0"/>
              <w:rPr>
                <w:sz w:val="20"/>
                <w:szCs w:val="20"/>
                <w:color w:val="auto"/>
              </w:rPr>
            </w:pPr>
            <w:r>
              <w:rPr>
                <w:rFonts w:ascii="Arial" w:cs="Arial" w:eastAsia="Arial" w:hAnsi="Arial"/>
                <w:sz w:val="14"/>
                <w:szCs w:val="14"/>
                <w:color w:val="auto"/>
                <w:w w:val="89"/>
              </w:rPr>
              <w:t>Increase (Decrease)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00" w:type="dxa"/>
            <w:vAlign w:val="bottom"/>
            <w:tcBorders>
              <w:bottom w:val="single" w:sz="8" w:color="B6EAFC"/>
            </w:tcBorders>
          </w:tcPr>
          <w:p>
            <w:pPr>
              <w:spacing w:after="0"/>
              <w:rPr>
                <w:sz w:val="16"/>
                <w:szCs w:val="16"/>
                <w:color w:val="auto"/>
              </w:rPr>
            </w:pPr>
          </w:p>
        </w:tc>
        <w:tc>
          <w:tcPr>
            <w:tcW w:w="720" w:type="dxa"/>
            <w:vAlign w:val="bottom"/>
            <w:tcBorders>
              <w:bottom w:val="single" w:sz="8" w:color="B6EAFC"/>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June 30, 2014</w:t>
            </w:r>
          </w:p>
        </w:tc>
        <w:tc>
          <w:tcPr>
            <w:tcW w:w="180" w:type="dxa"/>
            <w:vAlign w:val="bottom"/>
            <w:tcBorders>
              <w:bottom w:val="single" w:sz="8" w:color="B6EAFC"/>
            </w:tcBorders>
          </w:tcPr>
          <w:p>
            <w:pPr>
              <w:spacing w:after="0"/>
              <w:rPr>
                <w:sz w:val="16"/>
                <w:szCs w:val="16"/>
                <w:color w:val="auto"/>
              </w:rPr>
            </w:pPr>
          </w:p>
        </w:tc>
        <w:tc>
          <w:tcPr>
            <w:tcW w:w="8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1"/>
              </w:rPr>
              <w:t>Category</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B6EA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90"/>
              </w:rPr>
              <w:t>June 30, 2013</w:t>
            </w:r>
          </w:p>
        </w:tc>
        <w:tc>
          <w:tcPr>
            <w:tcW w:w="200" w:type="dxa"/>
            <w:vAlign w:val="bottom"/>
            <w:tcBorders>
              <w:bottom w:val="single" w:sz="8" w:color="B6EAFC"/>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6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B6EA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shd w:val="clear" w:color="auto" w:fill="B6EAFC"/>
          </w:tcPr>
          <w:p>
            <w:pPr>
              <w:spacing w:after="0"/>
              <w:rPr>
                <w:sz w:val="20"/>
                <w:szCs w:val="20"/>
                <w:color w:val="auto"/>
              </w:rPr>
            </w:pPr>
            <w:r>
              <w:rPr>
                <w:rFonts w:ascii="Arial" w:cs="Arial" w:eastAsia="Arial" w:hAnsi="Arial"/>
                <w:sz w:val="16"/>
                <w:szCs w:val="16"/>
                <w:color w:val="auto"/>
              </w:rPr>
              <w:t>G&amp;A - compensation-related</w:t>
            </w:r>
          </w:p>
        </w:tc>
        <w:tc>
          <w:tcPr>
            <w:tcW w:w="720" w:type="dxa"/>
            <w:vAlign w:val="bottom"/>
            <w:shd w:val="clear" w:color="auto" w:fill="B6EAFC"/>
          </w:tcPr>
          <w:p>
            <w:pPr>
              <w:spacing w:after="0"/>
              <w:rPr>
                <w:sz w:val="17"/>
                <w:szCs w:val="17"/>
                <w:color w:val="auto"/>
              </w:rPr>
            </w:pPr>
          </w:p>
        </w:tc>
        <w:tc>
          <w:tcPr>
            <w:tcW w:w="740" w:type="dxa"/>
            <w:vAlign w:val="bottom"/>
            <w:shd w:val="clear" w:color="auto" w:fill="B6EAFC"/>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9"/>
              </w:rPr>
              <w:t>3,067</w:t>
            </w:r>
          </w:p>
        </w:tc>
        <w:tc>
          <w:tcPr>
            <w:tcW w:w="180" w:type="dxa"/>
            <w:vAlign w:val="bottom"/>
            <w:shd w:val="clear" w:color="auto" w:fill="B6EAFC"/>
          </w:tcPr>
          <w:p>
            <w:pPr>
              <w:spacing w:after="0"/>
              <w:rPr>
                <w:sz w:val="17"/>
                <w:szCs w:val="17"/>
                <w:color w:val="auto"/>
              </w:rPr>
            </w:pPr>
          </w:p>
        </w:tc>
        <w:tc>
          <w:tcPr>
            <w:tcW w:w="860" w:type="dxa"/>
            <w:vAlign w:val="bottom"/>
            <w:shd w:val="clear" w:color="auto" w:fill="B6EAFC"/>
          </w:tcPr>
          <w:p>
            <w:pPr>
              <w:spacing w:after="0"/>
              <w:rPr>
                <w:sz w:val="17"/>
                <w:szCs w:val="17"/>
                <w:color w:val="auto"/>
              </w:rPr>
            </w:pPr>
          </w:p>
        </w:tc>
        <w:tc>
          <w:tcPr>
            <w:tcW w:w="52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40%</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1,875</w:t>
            </w:r>
          </w:p>
        </w:tc>
        <w:tc>
          <w:tcPr>
            <w:tcW w:w="200" w:type="dxa"/>
            <w:vAlign w:val="bottom"/>
            <w:shd w:val="clear" w:color="auto" w:fill="B6EAFC"/>
          </w:tcPr>
          <w:p>
            <w:pPr>
              <w:spacing w:after="0"/>
              <w:rPr>
                <w:sz w:val="17"/>
                <w:szCs w:val="17"/>
                <w:color w:val="auto"/>
              </w:rPr>
            </w:pPr>
          </w:p>
        </w:tc>
        <w:tc>
          <w:tcPr>
            <w:tcW w:w="138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37%</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1,192</w:t>
            </w:r>
          </w:p>
        </w:tc>
        <w:tc>
          <w:tcPr>
            <w:tcW w:w="180" w:type="dxa"/>
            <w:vAlign w:val="bottom"/>
            <w:shd w:val="clear" w:color="auto" w:fill="B6EAFC"/>
          </w:tcPr>
          <w:p>
            <w:pPr>
              <w:spacing w:after="0"/>
              <w:rPr>
                <w:sz w:val="17"/>
                <w:szCs w:val="17"/>
                <w:color w:val="auto"/>
              </w:rPr>
            </w:pPr>
          </w:p>
        </w:tc>
        <w:tc>
          <w:tcPr>
            <w:tcW w:w="500" w:type="dxa"/>
            <w:vAlign w:val="bottom"/>
            <w:shd w:val="clear" w:color="auto" w:fill="B6EAFC"/>
          </w:tcPr>
          <w:p>
            <w:pPr>
              <w:spacing w:after="0"/>
              <w:rPr>
                <w:sz w:val="17"/>
                <w:szCs w:val="17"/>
                <w:color w:val="auto"/>
              </w:rPr>
            </w:pPr>
          </w:p>
        </w:tc>
        <w:tc>
          <w:tcPr>
            <w:tcW w:w="9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6"/>
                <w:szCs w:val="16"/>
                <w:color w:val="auto"/>
              </w:rPr>
              <w:t>R&amp;D - compensation-related</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4,567</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3,131</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720" w:type="dxa"/>
            <w:vAlign w:val="bottom"/>
            <w:shd w:val="clear" w:color="auto" w:fill="B6EA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B6EAFC"/>
            </w:tcBorders>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vMerge w:val="continue"/>
            <w:shd w:val="clear" w:color="auto" w:fill="B6EAFC"/>
          </w:tcPr>
          <w:p>
            <w:pPr>
              <w:spacing w:after="0"/>
              <w:rPr>
                <w:sz w:val="18"/>
                <w:szCs w:val="18"/>
                <w:color w:val="auto"/>
              </w:rPr>
            </w:pPr>
          </w:p>
        </w:tc>
        <w:tc>
          <w:tcPr>
            <w:tcW w:w="1460" w:type="dxa"/>
            <w:vAlign w:val="bottom"/>
            <w:gridSpan w:val="2"/>
            <w:shd w:val="clear" w:color="auto" w:fill="B6EAFC"/>
          </w:tcPr>
          <w:p>
            <w:pPr>
              <w:jc w:val="right"/>
              <w:ind w:right="587"/>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w w:val="89"/>
              </w:rPr>
              <w:t>7,634</w:t>
            </w:r>
          </w:p>
        </w:tc>
        <w:tc>
          <w:tcPr>
            <w:tcW w:w="86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5,006</w:t>
            </w:r>
          </w:p>
        </w:tc>
        <w:tc>
          <w:tcPr>
            <w:tcW w:w="200" w:type="dxa"/>
            <w:vAlign w:val="bottom"/>
            <w:shd w:val="clear" w:color="auto" w:fill="B6EAFC"/>
          </w:tcPr>
          <w:p>
            <w:pPr>
              <w:spacing w:after="0"/>
              <w:rPr>
                <w:sz w:val="18"/>
                <w:szCs w:val="18"/>
                <w:color w:val="auto"/>
              </w:rPr>
            </w:pPr>
          </w:p>
        </w:tc>
        <w:tc>
          <w:tcPr>
            <w:tcW w:w="138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2,628</w:t>
            </w:r>
          </w:p>
        </w:tc>
        <w:tc>
          <w:tcPr>
            <w:tcW w:w="180" w:type="dxa"/>
            <w:vAlign w:val="bottom"/>
            <w:shd w:val="clear" w:color="auto" w:fill="B6EAFC"/>
          </w:tcPr>
          <w:p>
            <w:pPr>
              <w:spacing w:after="0"/>
              <w:rPr>
                <w:sz w:val="18"/>
                <w:szCs w:val="18"/>
                <w:color w:val="auto"/>
              </w:rPr>
            </w:pPr>
          </w:p>
        </w:tc>
        <w:tc>
          <w:tcPr>
            <w:tcW w:w="500" w:type="dxa"/>
            <w:vAlign w:val="bottom"/>
            <w:shd w:val="clear" w:color="auto" w:fill="B6EAFC"/>
          </w:tcPr>
          <w:p>
            <w:pPr>
              <w:spacing w:after="0"/>
              <w:rPr>
                <w:sz w:val="18"/>
                <w:szCs w:val="18"/>
                <w:color w:val="auto"/>
              </w:rPr>
            </w:pPr>
          </w:p>
        </w:tc>
        <w:tc>
          <w:tcPr>
            <w:tcW w:w="9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G&amp;A compensation expense increased $54,000 from $638,000 during the three months ended June 30, 2013 to $692,000 during the current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this change was due to salary increases and headcount changes.</w:t>
      </w:r>
    </w:p>
    <w:p>
      <w:pPr>
        <w:spacing w:after="0" w:line="21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G&amp;A compensation expense increased $1,192,000 from $1,875,000 during the nine months ended June 30, 2013 to $3,067,000 during the current period. The majority of this change was also due to annual performance bonuses paid during the period, none were paid in the previous period. Additionally, a portion of the increase is due to salary increases. G&amp;A headcount remained fairly consistent during the past twelve months.</w:t>
      </w:r>
    </w:p>
    <w:p>
      <w:pPr>
        <w:spacing w:after="0" w:line="166"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R&amp;D compensation expense increased $748,000 from $1,014,000 during the three months ended June 30, 2013 to $1,762,000 during the current period. R&amp;D headcount, higher by 24 people at June 30, 2014 versus June 30, 2013, and salary increases accounted for the change in salary expense.</w:t>
      </w:r>
    </w:p>
    <w:p>
      <w:pPr>
        <w:spacing w:after="0" w:line="124"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R&amp;D compensation expense increased $1,436,000 from $3,131,000 during the nine months ended June 30, 2013 to $4,567,000 during the current period. Increased headcount and salary increases accounted for the change in salary expense. Annual performance bonuses were paid to certain employees during the nine months ended June 30, 2014 totaling $356,000 in expense; none were paid in the prior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5"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General &amp; Administrative Expenses – Three and nine months ended June 30, 2014 compared to the three and nine months ended June 30, 2013</w:t>
      </w:r>
    </w:p>
    <w:p>
      <w:pPr>
        <w:spacing w:after="0" w:line="14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following table provides detail of G&amp;A expenses for the three and nine months ended June 30, 2014 as compared to the three and nine months ended June 30,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740" w:type="dxa"/>
            <w:vAlign w:val="bottom"/>
          </w:tcPr>
          <w:p>
            <w:pPr>
              <w:jc w:val="center"/>
              <w:ind w:left="321"/>
              <w:spacing w:after="0"/>
              <w:rPr>
                <w:sz w:val="20"/>
                <w:szCs w:val="20"/>
                <w:color w:val="auto"/>
              </w:rPr>
            </w:pPr>
            <w:r>
              <w:rPr>
                <w:rFonts w:ascii="Arial" w:cs="Arial" w:eastAsia="Arial" w:hAnsi="Arial"/>
                <w:sz w:val="14"/>
                <w:szCs w:val="14"/>
                <w:color w:val="auto"/>
                <w:w w:val="92"/>
              </w:rPr>
              <w:t>Three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99"/>
              </w:rPr>
              <w:t>% of</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Three</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 of</w:t>
            </w:r>
          </w:p>
        </w:tc>
        <w:tc>
          <w:tcPr>
            <w:tcW w:w="300" w:type="dxa"/>
            <w:vAlign w:val="bottom"/>
          </w:tcPr>
          <w:p>
            <w:pPr>
              <w:spacing w:after="0"/>
              <w:rPr>
                <w:sz w:val="15"/>
                <w:szCs w:val="15"/>
                <w:color w:val="auto"/>
              </w:rPr>
            </w:pPr>
          </w:p>
        </w:tc>
        <w:tc>
          <w:tcPr>
            <w:tcW w:w="2360" w:type="dxa"/>
            <w:vAlign w:val="bottom"/>
            <w:gridSpan w:val="4"/>
            <w:vMerge w:val="restart"/>
          </w:tcPr>
          <w:p>
            <w:pPr>
              <w:ind w:left="20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color w:val="auto"/>
                <w:w w:val="88"/>
              </w:rPr>
              <w:t>Ended</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88"/>
              </w:rPr>
              <w:t>Expense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Ended</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Expense</w:t>
            </w:r>
          </w:p>
        </w:tc>
        <w:tc>
          <w:tcPr>
            <w:tcW w:w="30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B6EAFC"/>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June 30, 2014</w:t>
            </w:r>
          </w:p>
        </w:tc>
        <w:tc>
          <w:tcPr>
            <w:tcW w:w="180" w:type="dxa"/>
            <w:vAlign w:val="bottom"/>
            <w:tcBorders>
              <w:bottom w:val="single" w:sz="8" w:color="B6EAFC"/>
            </w:tcBorders>
          </w:tcPr>
          <w:p>
            <w:pPr>
              <w:spacing w:after="0"/>
              <w:rPr>
                <w:sz w:val="20"/>
                <w:szCs w:val="20"/>
                <w:color w:val="auto"/>
              </w:rPr>
            </w:pPr>
          </w:p>
        </w:tc>
        <w:tc>
          <w:tcPr>
            <w:tcW w:w="8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B6EA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0"/>
              </w:rPr>
              <w:t>June 30, 2013</w:t>
            </w:r>
          </w:p>
        </w:tc>
        <w:tc>
          <w:tcPr>
            <w:tcW w:w="200" w:type="dxa"/>
            <w:vAlign w:val="bottom"/>
            <w:tcBorders>
              <w:bottom w:val="single" w:sz="8" w:color="B6EAFC"/>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80" w:type="dxa"/>
            <w:vAlign w:val="bottom"/>
            <w:tcBorders>
              <w:bottom w:val="single" w:sz="8" w:color="B6EA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6EAFC"/>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6EAF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740" w:type="dxa"/>
            <w:vAlign w:val="bottom"/>
            <w:shd w:val="clear" w:color="auto" w:fill="B6EAFC"/>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B6EAFC"/>
          </w:tcPr>
          <w:p>
            <w:pPr>
              <w:spacing w:after="0"/>
              <w:rPr>
                <w:sz w:val="18"/>
                <w:szCs w:val="18"/>
                <w:color w:val="auto"/>
              </w:rPr>
            </w:pPr>
          </w:p>
        </w:tc>
        <w:tc>
          <w:tcPr>
            <w:tcW w:w="840" w:type="dxa"/>
            <w:vAlign w:val="bottom"/>
            <w:shd w:val="clear" w:color="auto" w:fill="B6EAFC"/>
          </w:tcPr>
          <w:p>
            <w:pPr>
              <w:spacing w:after="0"/>
              <w:rPr>
                <w:sz w:val="18"/>
                <w:szCs w:val="18"/>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B6EAFC"/>
          </w:tcPr>
          <w:p>
            <w:pPr>
              <w:spacing w:after="0"/>
              <w:rPr>
                <w:sz w:val="18"/>
                <w:szCs w:val="18"/>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B6EAFC"/>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436</w:t>
            </w:r>
          </w:p>
        </w:tc>
        <w:tc>
          <w:tcPr>
            <w:tcW w:w="180" w:type="dxa"/>
            <w:vAlign w:val="bottom"/>
            <w:shd w:val="clear" w:color="auto" w:fill="B6EAFC"/>
          </w:tcPr>
          <w:p>
            <w:pPr>
              <w:spacing w:after="0"/>
              <w:rPr>
                <w:sz w:val="18"/>
                <w:szCs w:val="18"/>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Patent expense</w:t>
            </w:r>
          </w:p>
        </w:tc>
        <w:tc>
          <w:tcPr>
            <w:tcW w:w="7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43</w:t>
            </w: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shd w:val="clear" w:color="auto" w:fill="B6EAFC"/>
          </w:tcPr>
          <w:p>
            <w:pPr>
              <w:spacing w:after="0"/>
              <w:rPr>
                <w:sz w:val="19"/>
                <w:szCs w:val="19"/>
                <w:color w:val="auto"/>
              </w:rPr>
            </w:pPr>
          </w:p>
        </w:tc>
        <w:tc>
          <w:tcPr>
            <w:tcW w:w="10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Travel</w:t>
            </w:r>
          </w:p>
        </w:tc>
        <w:tc>
          <w:tcPr>
            <w:tcW w:w="7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97</w:t>
            </w: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B6EAFC"/>
          </w:tcPr>
          <w:p>
            <w:pPr>
              <w:spacing w:after="0"/>
              <w:rPr>
                <w:sz w:val="19"/>
                <w:szCs w:val="19"/>
                <w:color w:val="auto"/>
              </w:rPr>
            </w:pP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7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139</w:t>
            </w: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shd w:val="clear" w:color="auto" w:fill="B6EAFC"/>
          </w:tcPr>
          <w:p>
            <w:pPr>
              <w:spacing w:after="0"/>
              <w:rPr>
                <w:sz w:val="19"/>
                <w:szCs w:val="19"/>
                <w:color w:val="auto"/>
              </w:rPr>
            </w:pPr>
          </w:p>
        </w:tc>
        <w:tc>
          <w:tcPr>
            <w:tcW w:w="10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117</w:t>
            </w: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B6EA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B6EAFC"/>
            </w:tcBorders>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B6EAFC"/>
          </w:tcPr>
          <w:p>
            <w:pPr>
              <w:spacing w:after="0"/>
              <w:rPr>
                <w:sz w:val="19"/>
                <w:szCs w:val="19"/>
                <w:color w:val="auto"/>
              </w:rPr>
            </w:pPr>
          </w:p>
        </w:tc>
        <w:tc>
          <w:tcPr>
            <w:tcW w:w="740" w:type="dxa"/>
            <w:vAlign w:val="bottom"/>
            <w:shd w:val="clear" w:color="auto" w:fill="B6EAFC"/>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84"/>
              </w:rPr>
              <w:t>1,582</w:t>
            </w:r>
          </w:p>
        </w:tc>
        <w:tc>
          <w:tcPr>
            <w:tcW w:w="180" w:type="dxa"/>
            <w:vAlign w:val="bottom"/>
            <w:vMerge w:val="continue"/>
            <w:shd w:val="clear" w:color="auto" w:fill="B6EAFC"/>
          </w:tcPr>
          <w:p>
            <w:pPr>
              <w:spacing w:after="0"/>
              <w:rPr>
                <w:sz w:val="19"/>
                <w:szCs w:val="19"/>
                <w:color w:val="auto"/>
              </w:rPr>
            </w:pP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899</w:t>
            </w:r>
          </w:p>
        </w:tc>
        <w:tc>
          <w:tcPr>
            <w:tcW w:w="200" w:type="dxa"/>
            <w:vAlign w:val="bottom"/>
            <w:vMerge w:val="continue"/>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B6EAFC"/>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683</w:t>
            </w:r>
          </w:p>
        </w:tc>
        <w:tc>
          <w:tcPr>
            <w:tcW w:w="180" w:type="dxa"/>
            <w:vAlign w:val="bottom"/>
            <w:vMerge w:val="continue"/>
            <w:shd w:val="clear" w:color="auto" w:fill="B6EAFC"/>
          </w:tcPr>
          <w:p>
            <w:pPr>
              <w:spacing w:after="0"/>
              <w:rPr>
                <w:sz w:val="19"/>
                <w:szCs w:val="19"/>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3300" w:type="dxa"/>
            <w:vAlign w:val="bottom"/>
          </w:tcPr>
          <w:p>
            <w:pPr>
              <w:spacing w:after="0"/>
              <w:rPr>
                <w:sz w:val="24"/>
                <w:szCs w:val="24"/>
                <w:color w:val="auto"/>
              </w:rPr>
            </w:pPr>
          </w:p>
        </w:tc>
        <w:tc>
          <w:tcPr>
            <w:tcW w:w="740" w:type="dxa"/>
            <w:vAlign w:val="bottom"/>
          </w:tcPr>
          <w:p>
            <w:pPr>
              <w:jc w:val="center"/>
              <w:ind w:left="301"/>
              <w:spacing w:after="0"/>
              <w:rPr>
                <w:sz w:val="20"/>
                <w:szCs w:val="20"/>
                <w:color w:val="auto"/>
              </w:rPr>
            </w:pPr>
            <w:r>
              <w:rPr>
                <w:rFonts w:ascii="Arial" w:cs="Arial" w:eastAsia="Arial" w:hAnsi="Arial"/>
                <w:sz w:val="14"/>
                <w:szCs w:val="14"/>
                <w:color w:val="auto"/>
                <w:w w:val="97"/>
              </w:rPr>
              <w:t>Nine</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99"/>
              </w:rPr>
              <w:t>% of</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color w:val="auto"/>
                <w:w w:val="97"/>
              </w:rPr>
              <w:t>Nine</w:t>
            </w:r>
          </w:p>
        </w:tc>
        <w:tc>
          <w:tcPr>
            <w:tcW w:w="2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 of</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vMerge w:val="restart"/>
          </w:tcPr>
          <w:p>
            <w:pPr>
              <w:ind w:left="20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color w:val="auto"/>
                <w:w w:val="88"/>
              </w:rPr>
              <w:t>Ended</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88"/>
              </w:rPr>
              <w:t>Expense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Ended</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Expense</w:t>
            </w:r>
          </w:p>
        </w:tc>
        <w:tc>
          <w:tcPr>
            <w:tcW w:w="30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B6EAFC"/>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June 30, 2014</w:t>
            </w:r>
          </w:p>
        </w:tc>
        <w:tc>
          <w:tcPr>
            <w:tcW w:w="180" w:type="dxa"/>
            <w:vAlign w:val="bottom"/>
            <w:tcBorders>
              <w:bottom w:val="single" w:sz="8" w:color="B6EAFC"/>
            </w:tcBorders>
          </w:tcPr>
          <w:p>
            <w:pPr>
              <w:spacing w:after="0"/>
              <w:rPr>
                <w:sz w:val="20"/>
                <w:szCs w:val="20"/>
                <w:color w:val="auto"/>
              </w:rPr>
            </w:pPr>
          </w:p>
        </w:tc>
        <w:tc>
          <w:tcPr>
            <w:tcW w:w="8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B6EA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0"/>
              </w:rPr>
              <w:t>June 30, 2013</w:t>
            </w:r>
          </w:p>
        </w:tc>
        <w:tc>
          <w:tcPr>
            <w:tcW w:w="200" w:type="dxa"/>
            <w:vAlign w:val="bottom"/>
            <w:tcBorders>
              <w:bottom w:val="single" w:sz="8" w:color="B6EAFC"/>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80" w:type="dxa"/>
            <w:vAlign w:val="bottom"/>
            <w:tcBorders>
              <w:bottom w:val="single" w:sz="8" w:color="B6EA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6EAFC"/>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6EAF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740" w:type="dxa"/>
            <w:vAlign w:val="bottom"/>
            <w:shd w:val="clear" w:color="auto" w:fill="B6EAFC"/>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84"/>
              </w:rPr>
              <w:t>1,778</w:t>
            </w:r>
          </w:p>
        </w:tc>
        <w:tc>
          <w:tcPr>
            <w:tcW w:w="180" w:type="dxa"/>
            <w:vAlign w:val="bottom"/>
            <w:shd w:val="clear" w:color="auto" w:fill="B6EAFC"/>
          </w:tcPr>
          <w:p>
            <w:pPr>
              <w:spacing w:after="0"/>
              <w:rPr>
                <w:sz w:val="18"/>
                <w:szCs w:val="18"/>
                <w:color w:val="auto"/>
              </w:rPr>
            </w:pPr>
          </w:p>
        </w:tc>
        <w:tc>
          <w:tcPr>
            <w:tcW w:w="840" w:type="dxa"/>
            <w:vAlign w:val="bottom"/>
            <w:shd w:val="clear" w:color="auto" w:fill="B6EAFC"/>
          </w:tcPr>
          <w:p>
            <w:pPr>
              <w:spacing w:after="0"/>
              <w:rPr>
                <w:sz w:val="18"/>
                <w:szCs w:val="18"/>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992</w:t>
            </w:r>
          </w:p>
        </w:tc>
        <w:tc>
          <w:tcPr>
            <w:tcW w:w="200" w:type="dxa"/>
            <w:vAlign w:val="bottom"/>
            <w:shd w:val="clear" w:color="auto" w:fill="B6EAFC"/>
          </w:tcPr>
          <w:p>
            <w:pPr>
              <w:spacing w:after="0"/>
              <w:rPr>
                <w:sz w:val="18"/>
                <w:szCs w:val="18"/>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B6EAFC"/>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786</w:t>
            </w:r>
          </w:p>
        </w:tc>
        <w:tc>
          <w:tcPr>
            <w:tcW w:w="180" w:type="dxa"/>
            <w:vAlign w:val="bottom"/>
            <w:shd w:val="clear" w:color="auto" w:fill="B6EAFC"/>
          </w:tcPr>
          <w:p>
            <w:pPr>
              <w:spacing w:after="0"/>
              <w:rPr>
                <w:sz w:val="18"/>
                <w:szCs w:val="18"/>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Patent expense</w:t>
            </w:r>
          </w:p>
        </w:tc>
        <w:tc>
          <w:tcPr>
            <w:tcW w:w="7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540</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707</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137</w:t>
            </w: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127</w:t>
            </w: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shd w:val="clear" w:color="auto" w:fill="B6EAFC"/>
          </w:tcPr>
          <w:p>
            <w:pPr>
              <w:spacing w:after="0"/>
              <w:rPr>
                <w:sz w:val="19"/>
                <w:szCs w:val="19"/>
                <w:color w:val="auto"/>
              </w:rPr>
            </w:pP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Travel</w:t>
            </w:r>
          </w:p>
        </w:tc>
        <w:tc>
          <w:tcPr>
            <w:tcW w:w="7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473</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209</w:t>
            </w: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148</w:t>
            </w: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B6EAFC"/>
          </w:tcPr>
          <w:p>
            <w:pPr>
              <w:spacing w:after="0"/>
              <w:rPr>
                <w:sz w:val="19"/>
                <w:szCs w:val="19"/>
                <w:color w:val="auto"/>
              </w:rPr>
            </w:pP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7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252</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293</w:t>
            </w: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B6EAFC"/>
          </w:tcPr>
          <w:p>
            <w:pPr>
              <w:spacing w:after="0"/>
              <w:rPr>
                <w:sz w:val="19"/>
                <w:szCs w:val="19"/>
                <w:color w:val="auto"/>
              </w:rPr>
            </w:pPr>
          </w:p>
        </w:tc>
        <w:tc>
          <w:tcPr>
            <w:tcW w:w="10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212</w:t>
            </w: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B6EA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B6EAFC"/>
            </w:tcBorders>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B6EAFC"/>
          </w:tcPr>
          <w:p>
            <w:pPr>
              <w:spacing w:after="0"/>
              <w:rPr>
                <w:sz w:val="19"/>
                <w:szCs w:val="19"/>
                <w:color w:val="auto"/>
              </w:rPr>
            </w:pPr>
          </w:p>
        </w:tc>
        <w:tc>
          <w:tcPr>
            <w:tcW w:w="740" w:type="dxa"/>
            <w:vAlign w:val="bottom"/>
            <w:shd w:val="clear" w:color="auto" w:fill="B6EAFC"/>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84"/>
              </w:rPr>
              <w:t>3,866</w:t>
            </w:r>
          </w:p>
        </w:tc>
        <w:tc>
          <w:tcPr>
            <w:tcW w:w="180" w:type="dxa"/>
            <w:vAlign w:val="bottom"/>
            <w:vMerge w:val="continue"/>
            <w:shd w:val="clear" w:color="auto" w:fill="B6EAFC"/>
          </w:tcPr>
          <w:p>
            <w:pPr>
              <w:spacing w:after="0"/>
              <w:rPr>
                <w:sz w:val="19"/>
                <w:szCs w:val="19"/>
                <w:color w:val="auto"/>
              </w:rPr>
            </w:pP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2,597</w:t>
            </w:r>
          </w:p>
        </w:tc>
        <w:tc>
          <w:tcPr>
            <w:tcW w:w="20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B6EAFC"/>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1,269</w:t>
            </w:r>
          </w:p>
        </w:tc>
        <w:tc>
          <w:tcPr>
            <w:tcW w:w="180" w:type="dxa"/>
            <w:vAlign w:val="bottom"/>
            <w:vMerge w:val="continue"/>
            <w:shd w:val="clear" w:color="auto" w:fill="B6EAFC"/>
          </w:tcPr>
          <w:p>
            <w:pPr>
              <w:spacing w:after="0"/>
              <w:rPr>
                <w:sz w:val="19"/>
                <w:szCs w:val="19"/>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Professional/outside services include legal, accounting, consulting and other outside services retained by the Company. All periods include normally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recurring legal and audit expenses related to SEC compliance and other corporate matters. Professional/outside services expense increased $436,000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$323,000 during the three months ended June 30, 2013 to $759,000 during the current period. Professional/outside services expense increased $786,000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$992,000 during the nine months ended June 30, 2013 to $1,778,000 during the current period. The increase in professional fees primarily related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professional recruiting fees for the hiring of new R&amp;D personnel to support and expand its clinical pipeline. Additionally, the Company incurred higher SEC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filing fees associated with financing in February 2014 and higher NASDAQ fees based on a higher number of shares outstanding.</w:t>
      </w:r>
    </w:p>
    <w:p>
      <w:pPr>
        <w:spacing w:after="0" w:line="21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Patent expense decreased $118,000 from $257,000 during the three months ended June 30, 2013 to $139,000 during the current period. Patent expense decreased $167,000 from $707,000 during the nine months ended June 30, 2013 to $540,000 during the current period. Patent expenses related to Calando declined by $145,000 in the nine month period, and $31,000 in the three month period. Calando reduced its patent expense cost by terminating its license agreement with Caltech in August 2013, which had obligated Calando to pay certain related patent costs, and by curtailing prosecution of other non-strategic patents. Accordingly, patent expense related to Calando is expected to be negligible going forward. Additionally, during the nine months ended June 30, 2014, Arrowhead deconsolidated Calando based on the fact that Calando is now subject to the control of a bankruptcy trustee. During the three and nine months ended June 30, 2014, patent costs related to our DPC platform increased which partially offset the decrease in the Calando costs. This is due timing of patent filings. The Company continues to invest in patent protection for its DPC technology, related product candidates and other RNAi technology through patent filings in multiple countries internationally. The Company expects to extend and maintain protection for its current portfolios, as appropriate, and file new patent applications as technologies are developed and improved.</w:t>
      </w:r>
    </w:p>
    <w:p>
      <w:pPr>
        <w:spacing w:after="0" w:line="178"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Facilities-related expense remained consistent at $41,000 during the three months ended June 30, 2013, compared to $43,000 in the current period. Facilities-related expense increased $10,000 from $127,000 during the nine months ended June 30, 2013 to $137,000 during the current period. Facilities expense increased due to routine increases in ancillary lease charges.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6" w:name="page27"/>
    <w:bookmarkEnd w:id="26"/>
    <w:p>
      <w:pPr>
        <w:jc w:val="both"/>
        <w:ind w:right="20" w:firstLine="518"/>
        <w:spacing w:after="0" w:line="264" w:lineRule="auto"/>
        <w:rPr>
          <w:sz w:val="20"/>
          <w:szCs w:val="20"/>
          <w:color w:val="auto"/>
        </w:rPr>
      </w:pPr>
      <w:r>
        <w:rPr>
          <w:rFonts w:ascii="Arial" w:cs="Arial" w:eastAsia="Arial" w:hAnsi="Arial"/>
          <w:sz w:val="18"/>
          <w:szCs w:val="18"/>
          <w:color w:val="auto"/>
        </w:rPr>
        <w:t>Travel expense increased $93,000 from $141,000 during the three months ended June 30, 2013 to $234,000 during the current period. Travel expense increased $140,000 from $333,000 during the nine months ended June 30, 2013 to $473,000 during the current period. Travel expense increased due to travel in support of our R&amp;D function, primarily our GMP manufacturing campaign.</w:t>
      </w:r>
    </w:p>
    <w:p>
      <w:pPr>
        <w:spacing w:after="0" w:line="181"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Business insurance expense increased $48,000 from $49,000 during the three months ended June 30, 2013 to $97,000 during the current period. Business insurance expense increased $61,000 from $148,000 during the nine months ended June 30, 2013 to $209,000 during the current period. Business insurance costs increased slightly primarily related to added coverage related to the Company’s clinical trials.</w:t>
      </w:r>
    </w:p>
    <w:p>
      <w:pPr>
        <w:spacing w:after="0" w:line="166"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Communication and technology expense increased $62,000 from $26,000 during the three months ended June 30, 2013 to $88,000 during the current period. Communication and technology expense increased $139,000 from $113,000 during the nine months ended June 30, 2013 to $252,000 during the current period. The increase was related to equipment purchases to replace outdated equipment and to outfit new employees.</w:t>
      </w:r>
    </w:p>
    <w:p>
      <w:pPr>
        <w:spacing w:after="0" w:line="166"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Office expense increased $117,000 from $22,000 during the three months ended June 30, 2013 to $139,000 during the current period. Office expense increased $212,000 from $81,000 during the nine months ended June 30, 2013 to $293,000 during the current period. The increase was related to conferences/training, office supplies, miscellaneous administrative expenses, and expenses related to an office expansion at our R&amp;D facility in Madison.</w:t>
      </w:r>
    </w:p>
    <w:p>
      <w:pPr>
        <w:spacing w:after="0" w:line="14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Other expense increased $43,000 from $40,000 during the three months ended June 30, 2013 to $83,000 during the current period. Other expense increased $88,000 from $96,000 during the nine months ended June 30, 2013 to $184,000 during the current period. The increase was related to trade shows, conferences and marketing materials.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 – Three and nine months ended June 30, 2014 compared to the three and nine months ended June 30, 2013</w:t>
      </w:r>
    </w:p>
    <w:p>
      <w:pPr>
        <w:spacing w:after="0" w:line="140"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R&amp;D expenses are related to the Company’s on-going research and development efforts, primarily its laboratory research efforts based in Madison, Wisconsin, and also include outsourced R&amp;D services. The following table provides detail of R&amp;D expenses for the three and nine months ended June 30, 2014, as compared to the three and nine months ended June 30,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Three Months</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 of</w:t>
            </w: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Three Months</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 of</w:t>
            </w:r>
          </w:p>
        </w:tc>
        <w:tc>
          <w:tcPr>
            <w:tcW w:w="300" w:type="dxa"/>
            <w:vAlign w:val="bottom"/>
          </w:tcPr>
          <w:p>
            <w:pPr>
              <w:spacing w:after="0"/>
              <w:rPr>
                <w:sz w:val="15"/>
                <w:szCs w:val="15"/>
                <w:color w:val="auto"/>
              </w:rPr>
            </w:pPr>
          </w:p>
        </w:tc>
        <w:tc>
          <w:tcPr>
            <w:tcW w:w="2360" w:type="dxa"/>
            <w:vAlign w:val="bottom"/>
            <w:gridSpan w:val="4"/>
            <w:vMerge w:val="restart"/>
          </w:tcPr>
          <w:p>
            <w:pPr>
              <w:ind w:left="20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Expense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Ended</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Expense</w:t>
            </w:r>
          </w:p>
        </w:tc>
        <w:tc>
          <w:tcPr>
            <w:tcW w:w="30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B6EA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0"/>
              </w:rPr>
              <w:t>June 30, 2014</w:t>
            </w:r>
          </w:p>
        </w:tc>
        <w:tc>
          <w:tcPr>
            <w:tcW w:w="180" w:type="dxa"/>
            <w:vAlign w:val="bottom"/>
            <w:tcBorders>
              <w:bottom w:val="single" w:sz="8" w:color="B6EAFC"/>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300" w:type="dxa"/>
            <w:vAlign w:val="bottom"/>
            <w:tcBorders>
              <w:bottom w:val="single" w:sz="8" w:color="B6EA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0"/>
              </w:rPr>
              <w:t>June 30, 2013</w:t>
            </w:r>
          </w:p>
        </w:tc>
        <w:tc>
          <w:tcPr>
            <w:tcW w:w="200" w:type="dxa"/>
            <w:vAlign w:val="bottom"/>
            <w:tcBorders>
              <w:bottom w:val="single" w:sz="8" w:color="B6EAFC"/>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80" w:type="dxa"/>
            <w:vAlign w:val="bottom"/>
            <w:tcBorders>
              <w:bottom w:val="single" w:sz="8" w:color="B6EA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6EAFC"/>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6EAF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B6EAFC"/>
          </w:tcPr>
          <w:p>
            <w:pPr>
              <w:spacing w:after="0"/>
              <w:rPr>
                <w:sz w:val="18"/>
                <w:szCs w:val="18"/>
                <w:color w:val="auto"/>
              </w:rPr>
            </w:pPr>
          </w:p>
        </w:tc>
        <w:tc>
          <w:tcPr>
            <w:tcW w:w="142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B6EAFC"/>
          </w:tcPr>
          <w:p>
            <w:pPr>
              <w:spacing w:after="0"/>
              <w:rPr>
                <w:sz w:val="18"/>
                <w:szCs w:val="18"/>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B6EAFC"/>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B6EAFC"/>
          </w:tcPr>
          <w:p>
            <w:pPr>
              <w:spacing w:after="0"/>
              <w:rPr>
                <w:sz w:val="18"/>
                <w:szCs w:val="18"/>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 vivo studies</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329</w:t>
            </w:r>
          </w:p>
        </w:tc>
        <w:tc>
          <w:tcPr>
            <w:tcW w:w="142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shd w:val="clear" w:color="auto" w:fill="B6EAFC"/>
          </w:tcPr>
          <w:p>
            <w:pPr>
              <w:spacing w:after="0"/>
              <w:rPr>
                <w:sz w:val="19"/>
                <w:szCs w:val="19"/>
                <w:color w:val="auto"/>
              </w:rPr>
            </w:pPr>
          </w:p>
        </w:tc>
        <w:tc>
          <w:tcPr>
            <w:tcW w:w="10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242</w:t>
            </w: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2,109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1,614</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2,371</w:t>
            </w:r>
          </w:p>
        </w:tc>
        <w:tc>
          <w:tcPr>
            <w:tcW w:w="142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386</w:t>
            </w: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B6EAFC"/>
          </w:tcPr>
          <w:p>
            <w:pPr>
              <w:spacing w:after="0"/>
              <w:rPr>
                <w:sz w:val="19"/>
                <w:szCs w:val="19"/>
                <w:color w:val="auto"/>
              </w:rPr>
            </w:pPr>
          </w:p>
        </w:tc>
        <w:tc>
          <w:tcPr>
            <w:tcW w:w="10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1,985</w:t>
            </w: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555</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102</w:t>
            </w:r>
          </w:p>
        </w:tc>
        <w:tc>
          <w:tcPr>
            <w:tcW w:w="142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shd w:val="clear" w:color="auto" w:fill="B6EAFC"/>
          </w:tcPr>
          <w:p>
            <w:pPr>
              <w:spacing w:after="0"/>
              <w:rPr>
                <w:sz w:val="19"/>
                <w:szCs w:val="19"/>
                <w:color w:val="auto"/>
              </w:rPr>
            </w:pP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206</w:t>
            </w:r>
          </w:p>
        </w:tc>
        <w:tc>
          <w:tcPr>
            <w:tcW w:w="142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178</w:t>
            </w: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B6EAFC"/>
          </w:tcPr>
          <w:p>
            <w:pPr>
              <w:spacing w:after="0"/>
              <w:rPr>
                <w:sz w:val="19"/>
                <w:szCs w:val="19"/>
                <w:color w:val="auto"/>
              </w:rPr>
            </w:pP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B6EAFC"/>
            </w:tcBorders>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6,392</w:t>
            </w:r>
          </w:p>
        </w:tc>
        <w:tc>
          <w:tcPr>
            <w:tcW w:w="180" w:type="dxa"/>
            <w:vAlign w:val="bottom"/>
            <w:vMerge w:val="continue"/>
            <w:shd w:val="clear" w:color="auto" w:fill="B6EAFC"/>
          </w:tcPr>
          <w:p>
            <w:pPr>
              <w:spacing w:after="0"/>
              <w:rPr>
                <w:sz w:val="19"/>
                <w:szCs w:val="19"/>
                <w:color w:val="auto"/>
              </w:rPr>
            </w:pPr>
          </w:p>
        </w:tc>
        <w:tc>
          <w:tcPr>
            <w:tcW w:w="142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1,756</w:t>
            </w:r>
          </w:p>
        </w:tc>
        <w:tc>
          <w:tcPr>
            <w:tcW w:w="20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B6EAFC"/>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4,636</w:t>
            </w:r>
          </w:p>
        </w:tc>
        <w:tc>
          <w:tcPr>
            <w:tcW w:w="180" w:type="dxa"/>
            <w:vAlign w:val="bottom"/>
            <w:vMerge w:val="continue"/>
            <w:shd w:val="clear" w:color="auto" w:fill="B6EAFC"/>
          </w:tcPr>
          <w:p>
            <w:pPr>
              <w:spacing w:after="0"/>
              <w:rPr>
                <w:sz w:val="19"/>
                <w:szCs w:val="19"/>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Nine Months</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99"/>
              </w:rPr>
              <w:t>% of</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Nine Months</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 of</w:t>
            </w:r>
          </w:p>
        </w:tc>
        <w:tc>
          <w:tcPr>
            <w:tcW w:w="300" w:type="dxa"/>
            <w:vAlign w:val="bottom"/>
          </w:tcPr>
          <w:p>
            <w:pPr>
              <w:spacing w:after="0"/>
              <w:rPr>
                <w:sz w:val="15"/>
                <w:szCs w:val="15"/>
                <w:color w:val="auto"/>
              </w:rPr>
            </w:pPr>
          </w:p>
        </w:tc>
        <w:tc>
          <w:tcPr>
            <w:tcW w:w="2360" w:type="dxa"/>
            <w:vAlign w:val="bottom"/>
            <w:gridSpan w:val="4"/>
            <w:vMerge w:val="restart"/>
          </w:tcPr>
          <w:p>
            <w:pPr>
              <w:ind w:left="20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88"/>
              </w:rPr>
              <w:t>Expense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Ended</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Expense</w:t>
            </w:r>
          </w:p>
        </w:tc>
        <w:tc>
          <w:tcPr>
            <w:tcW w:w="30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B6EA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0"/>
              </w:rPr>
              <w:t>June 30, 2014</w:t>
            </w:r>
          </w:p>
        </w:tc>
        <w:tc>
          <w:tcPr>
            <w:tcW w:w="180" w:type="dxa"/>
            <w:vAlign w:val="bottom"/>
            <w:tcBorders>
              <w:bottom w:val="single" w:sz="8" w:color="B6EAFC"/>
            </w:tcBorders>
          </w:tcPr>
          <w:p>
            <w:pPr>
              <w:spacing w:after="0"/>
              <w:rPr>
                <w:sz w:val="20"/>
                <w:szCs w:val="20"/>
                <w:color w:val="auto"/>
              </w:rPr>
            </w:pPr>
          </w:p>
        </w:tc>
        <w:tc>
          <w:tcPr>
            <w:tcW w:w="8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B6EA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0"/>
              </w:rPr>
              <w:t>June 30, 2013</w:t>
            </w:r>
          </w:p>
        </w:tc>
        <w:tc>
          <w:tcPr>
            <w:tcW w:w="200" w:type="dxa"/>
            <w:vAlign w:val="bottom"/>
            <w:tcBorders>
              <w:bottom w:val="single" w:sz="8" w:color="B6EAFC"/>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80" w:type="dxa"/>
            <w:vAlign w:val="bottom"/>
            <w:tcBorders>
              <w:bottom w:val="single" w:sz="8" w:color="B6EA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6EAFC"/>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6EAF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B6EAFC"/>
          </w:tcPr>
          <w:p>
            <w:pPr>
              <w:spacing w:after="0"/>
              <w:rPr>
                <w:sz w:val="18"/>
                <w:szCs w:val="18"/>
                <w:color w:val="auto"/>
              </w:rPr>
            </w:pPr>
          </w:p>
        </w:tc>
        <w:tc>
          <w:tcPr>
            <w:tcW w:w="840" w:type="dxa"/>
            <w:vAlign w:val="bottom"/>
            <w:shd w:val="clear" w:color="auto" w:fill="B6EAFC"/>
          </w:tcPr>
          <w:p>
            <w:pPr>
              <w:spacing w:after="0"/>
              <w:rPr>
                <w:sz w:val="18"/>
                <w:szCs w:val="18"/>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B6EAFC"/>
          </w:tcPr>
          <w:p>
            <w:pPr>
              <w:spacing w:after="0"/>
              <w:rPr>
                <w:sz w:val="18"/>
                <w:szCs w:val="18"/>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B6EAFC"/>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B6EAFC"/>
          </w:tcPr>
          <w:p>
            <w:pPr>
              <w:spacing w:after="0"/>
              <w:rPr>
                <w:sz w:val="18"/>
                <w:szCs w:val="18"/>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 vivo studies</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548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775</w:t>
            </w: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377</w:t>
            </w: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shd w:val="clear" w:color="auto" w:fill="B6EAFC"/>
          </w:tcPr>
          <w:p>
            <w:pPr>
              <w:spacing w:after="0"/>
              <w:rPr>
                <w:sz w:val="19"/>
                <w:szCs w:val="19"/>
                <w:color w:val="auto"/>
              </w:rPr>
            </w:pPr>
          </w:p>
        </w:tc>
        <w:tc>
          <w:tcPr>
            <w:tcW w:w="10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398</w:t>
            </w: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3,651</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879</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2,772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5,630</w:t>
            </w: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1,309</w:t>
            </w:r>
          </w:p>
        </w:tc>
        <w:tc>
          <w:tcPr>
            <w:tcW w:w="20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B6EAFC"/>
          </w:tcPr>
          <w:p>
            <w:pPr>
              <w:spacing w:after="0"/>
              <w:rPr>
                <w:sz w:val="19"/>
                <w:szCs w:val="19"/>
                <w:color w:val="auto"/>
              </w:rPr>
            </w:pPr>
          </w:p>
        </w:tc>
        <w:tc>
          <w:tcPr>
            <w:tcW w:w="10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4,321</w:t>
            </w: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1,978</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483</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1,495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193</w:t>
            </w: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193</w:t>
            </w: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shd w:val="clear" w:color="auto" w:fill="B6EAFC"/>
          </w:tcPr>
          <w:p>
            <w:pPr>
              <w:spacing w:after="0"/>
              <w:rPr>
                <w:sz w:val="19"/>
                <w:szCs w:val="19"/>
                <w:color w:val="auto"/>
              </w:rPr>
            </w:pP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685</w:t>
            </w: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B6EAFC"/>
          </w:tcPr>
          <w:p>
            <w:pPr>
              <w:spacing w:after="0"/>
              <w:rPr>
                <w:sz w:val="19"/>
                <w:szCs w:val="19"/>
                <w:color w:val="auto"/>
              </w:rPr>
            </w:pPr>
          </w:p>
        </w:tc>
        <w:tc>
          <w:tcPr>
            <w:tcW w:w="120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542</w:t>
            </w: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B6EAFC"/>
          </w:tcPr>
          <w:p>
            <w:pPr>
              <w:spacing w:after="0"/>
              <w:rPr>
                <w:sz w:val="19"/>
                <w:szCs w:val="19"/>
                <w:color w:val="auto"/>
              </w:rPr>
            </w:pPr>
          </w:p>
        </w:tc>
        <w:tc>
          <w:tcPr>
            <w:tcW w:w="10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143</w:t>
            </w: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B6EA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B6EAFC"/>
            </w:tcBorders>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14,720</w:t>
            </w:r>
          </w:p>
        </w:tc>
        <w:tc>
          <w:tcPr>
            <w:tcW w:w="180" w:type="dxa"/>
            <w:vAlign w:val="bottom"/>
            <w:vMerge w:val="continue"/>
            <w:shd w:val="clear" w:color="auto" w:fill="B6EAFC"/>
          </w:tcPr>
          <w:p>
            <w:pPr>
              <w:spacing w:after="0"/>
              <w:rPr>
                <w:sz w:val="19"/>
                <w:szCs w:val="19"/>
                <w:color w:val="auto"/>
              </w:rPr>
            </w:pPr>
          </w:p>
        </w:tc>
        <w:tc>
          <w:tcPr>
            <w:tcW w:w="8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5,458</w:t>
            </w:r>
          </w:p>
        </w:tc>
        <w:tc>
          <w:tcPr>
            <w:tcW w:w="20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B6EAFC"/>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9,262</w:t>
            </w:r>
          </w:p>
        </w:tc>
        <w:tc>
          <w:tcPr>
            <w:tcW w:w="180" w:type="dxa"/>
            <w:vAlign w:val="bottom"/>
            <w:vMerge w:val="continue"/>
            <w:shd w:val="clear" w:color="auto" w:fill="B6EAFC"/>
          </w:tcPr>
          <w:p>
            <w:pPr>
              <w:spacing w:after="0"/>
              <w:rPr>
                <w:sz w:val="19"/>
                <w:szCs w:val="19"/>
                <w:color w:val="auto"/>
              </w:rPr>
            </w:pPr>
          </w:p>
        </w:tc>
        <w:tc>
          <w:tcPr>
            <w:tcW w:w="13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firstLine="518"/>
        <w:spacing w:after="0" w:line="279" w:lineRule="auto"/>
        <w:rPr>
          <w:sz w:val="20"/>
          <w:szCs w:val="20"/>
          <w:color w:val="auto"/>
        </w:rPr>
      </w:pPr>
      <w:r>
        <w:rPr>
          <w:rFonts w:ascii="Arial" w:cs="Arial" w:eastAsia="Arial" w:hAnsi="Arial"/>
          <w:sz w:val="17"/>
          <w:szCs w:val="17"/>
          <w:color w:val="auto"/>
        </w:rPr>
        <w:t>Laboratory supplies and services expense increased $394,000 from $219,000 during the three months ended June 30, 2013 to $613,000 during the current period. Laboratory supplies and services expense increased $714,000 from $755,000 during the nine months ended June 30, 2013 to $1,469,000 during the current period. The increase is a result of additional supplies necessary to support increased efforts in pre-clinical research as the Company accelerates efforts to identify new clinical candidates as well as to support ongoing clinical efforts.</w:t>
      </w:r>
    </w:p>
    <w:p>
      <w:pPr>
        <w:spacing w:after="0" w:line="17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In vivo studies expense decreased $35,000 from $99,000 during the three months ended June 30, 2013 to $64,000 during the current period. In vivo studies expense decreased $312,000 from $548,000 during the nine months ended June 30, 2013 to $236,000 during the current period. The prior period expense relates to studies related to development of new clinical candidates.</w:t>
      </w:r>
    </w:p>
    <w:p>
      <w:pPr>
        <w:spacing w:after="0" w:line="181" w:lineRule="exact"/>
        <w:rPr>
          <w:sz w:val="20"/>
          <w:szCs w:val="20"/>
          <w:color w:val="auto"/>
        </w:rPr>
      </w:pPr>
    </w:p>
    <w:p>
      <w:pPr>
        <w:ind w:right="380" w:firstLine="518"/>
        <w:spacing w:after="0" w:line="312" w:lineRule="auto"/>
        <w:rPr>
          <w:sz w:val="20"/>
          <w:szCs w:val="20"/>
          <w:color w:val="auto"/>
        </w:rPr>
      </w:pPr>
      <w:r>
        <w:rPr>
          <w:rFonts w:ascii="Arial" w:cs="Arial" w:eastAsia="Arial" w:hAnsi="Arial"/>
          <w:sz w:val="16"/>
          <w:szCs w:val="16"/>
          <w:color w:val="auto"/>
        </w:rPr>
        <w:t>Outside labs and contract services expense increased $242,000 from $87,000 during the three months ended June 30, 2013 to $329,000 during the current period. Outside labs and contract services expense increased $398,000 from $377,000 during the nine months ended June 30, 2013 to $775,000 during the current period. The increase was primarily related to oligonucleotide synthesis related to development of new clinical candidates.</w:t>
      </w:r>
    </w:p>
    <w:p>
      <w:pPr>
        <w:spacing w:after="0" w:line="14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Toxicity/efficacy studies expense increased $1,614,000 from $495,000 during the three months ended June 30, 2013 to $2,109,000 during the current period. Toxicity studies expense increased $2,772,000 from $879,000 during the nine months ended June 30, 2013 to $3,651,000 during the current period. This category includes IND-enabling toxicology studies as well as non-clinical toxicology studies, such as long-term toxicology studies, and other efficacy studies. The current period expense primarily relates to toxicology studies related to ARC-520, our clinical candidate for HBV, specifically toxicology studies to support our anticipated phase 2b clinical trial.</w:t>
      </w:r>
    </w:p>
    <w:p>
      <w:pPr>
        <w:spacing w:after="0" w:line="188"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Drug Manufacturing expense increased $1,985,000 from $386,000 during the three months ended June 30, 2013 to $2,371,000 during the current period. Drug Manufacturing expense increased $4,321,000 from $1,309,000 during the nine months ended June 30, 2013 to $5,630,000 during the current period. The current period expense relates to drug manufacturing to supply toxicology studies for our anticipated HBV Phase 2b clinical trial, as well as to supply the Phase 2b clinical trial anticipated for 2015. The Phase 2b clinical trial will be a much larger study than previous clinical trials, and as such, the Company anticipates increased Drug Manufacturing expenses in future periods.</w:t>
      </w:r>
    </w:p>
    <w:p>
      <w:pPr>
        <w:spacing w:after="0" w:line="17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Clinical trials expense increased $350,000 from $205,000 during the three months ended June 30, 2013 to $555,000 during the current period. Clinical trials expense increased $1,495,000 from $483,000 during the nine months ended June 30, 2013 to $1,978,000 during the current period. Clinical trial expenses are increasing as the Company advances ARC-520, its drug candidate for Hepatitis B.</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Consulting expense increased $41,000 from $61,000 during the three months ended June 30, 2013 to $102,000 during the current period. Consulting expense was consistent at $193,000 during each of the nine months ended June 30, 2013 and 2014 respectively. The majority of consulting expense during the current period relates to regulatory and clinical efforts.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License, royalty and milestones expense was consistent at $13,000 and $12,000 during the three months ended June 30, 2013 and 2014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respectively. License, royalty and milestones expense decreased $143,000 from $175,000 during the nine months ended June 30, 2013 to $32,000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period. Licensing fees, royalty and milestones expenses in the prior year were primarily related to a one-time fee of $120,000 related to access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targeting technology.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31" w:right="239" w:bottom="1440" w:gutter="0" w:footer="0" w:header="0"/>
        </w:sectPr>
      </w:pPr>
    </w:p>
    <w:bookmarkStart w:id="28" w:name="page29"/>
    <w:bookmarkEnd w:id="28"/>
    <w:p>
      <w:pPr>
        <w:ind w:right="240" w:firstLine="518"/>
        <w:spacing w:after="0" w:line="259" w:lineRule="auto"/>
        <w:rPr>
          <w:sz w:val="20"/>
          <w:szCs w:val="20"/>
          <w:color w:val="auto"/>
        </w:rPr>
      </w:pPr>
      <w:r>
        <w:rPr>
          <w:rFonts w:ascii="Arial" w:cs="Arial" w:eastAsia="Arial" w:hAnsi="Arial"/>
          <w:sz w:val="18"/>
          <w:szCs w:val="18"/>
          <w:color w:val="auto"/>
        </w:rPr>
        <w:t>Facilities expense increased $28,000 from $178,000 during the three months ended June 30, 2013 to $206,000 during the current period. Facilities expense increased $143,000 from $542,000 during the nine months ended June 30, 2013 to $685,000 during the current period. Facilities expenses were higher in the current period primarily due to repairs and maintenance costs on lab equipment. Although much of our equipment is under maintenance contracts, certain additional expenses were incurred during the current quarter.</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Other research expense increased $18,000 from $13,000 during the three months ended June 30, 2013 to $31,000 during the current period. Other research expense decreased $126,000 from $197,000 during the nine months ended June 30, 2013 to $71,000 during the current period. Other research expense in the prior period relates to work at the University of Cincinnati related to our obesity program, which studies have been completed, and no further studies are currently planned.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a non-cash expense, increased $1,675,000 from $364,000 during the three months ended June 30, 2013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$2,039,000 in the current period. Stock-based compensation expense increased $2,644,000 from $1,114,000 during the nine months ended June 30, 2013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$3,758,000 during the current period. Stock-based compensation expense is based upon the valuation of stock options granted to employees, directors,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consultants. Many variables affect the amount expensed, including the Company’s stock price on the date of the grant, as well as other assumptions.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this expense is primarily due to new options granted in 2013, including grants of restricted stock units.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 expense, a non-cash expense, decreased $178,000 from $454,000 during the three months ended June 30, 2013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$276,000 in the current period. Depreciation and amortization expense decreased $277,000 from $1,352,000 during the nine months ended June 30, 2013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$1,075,000 during the current period. The decrease is primarily related to amortization of capitalized patents related to Calando, which were fully written off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fiscal 2013, thus no further amortization will be recorded.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Other income increased $861,000 from $212,000 during the three months ended June 30, 2013 to $1,074,000 during the current period. This increase is primarily related to the change in the value of derivative liabilities related to certain warrants with a price adjustment feature, which requires derivative accounting. Other expense increased $4,065,000 from $1,308,000 during the nine months ended June 30, 2013 to $5,373,000 during the current period, also primarily related to the change in the value of the derivative liabilities discussed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341"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Accordingly, our disclosure controls and procedures have been designed to provide reasonable assurance of achieving their objectives.</w:t>
      </w:r>
    </w:p>
    <w:p>
      <w:pPr>
        <w:spacing w:after="0" w:line="187"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86" w:right="259" w:bottom="1440" w:gutter="0" w:footer="0" w:header="0"/>
        </w:sectPr>
      </w:pPr>
    </w:p>
    <w:bookmarkStart w:id="30" w:name="page31"/>
    <w:bookmarkEnd w:id="30"/>
    <w:p>
      <w:pPr>
        <w:jc w:val="center"/>
        <w:ind w:right="-199"/>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could, individually or in the aggregate, have a material adverse effect on our results of operations or financial condition.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There have been no material changes to the risk factors included in our Annual Report on Form 10-K for the year ended September 30, 2013. Please carefully consider the information set forth in this Quarterly Report on Form 10-Q and the risk factors discussed in Part I, “Item 1A. Risk Factors” in our Annual Report on Form 10-K for the year ended September 30, 2013,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121"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right"/>
              <w:ind w:right="55"/>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10280" w:type="dxa"/>
            <w:vAlign w:val="bottom"/>
          </w:tcPr>
          <w:p>
            <w:pPr>
              <w:spacing w:after="0"/>
              <w:rPr>
                <w:sz w:val="14"/>
                <w:szCs w:val="14"/>
                <w:color w:val="auto"/>
              </w:rPr>
            </w:pPr>
          </w:p>
        </w:tc>
      </w:tr>
      <w:tr>
        <w:trPr>
          <w:trHeight w:val="185"/>
        </w:trPr>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6"/>
                <w:szCs w:val="16"/>
                <w:color w:val="auto"/>
              </w:rPr>
            </w:pPr>
          </w:p>
        </w:tc>
        <w:tc>
          <w:tcPr>
            <w:tcW w:w="10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Document Description</w:t>
            </w:r>
          </w:p>
        </w:tc>
      </w:tr>
      <w:tr>
        <w:trPr>
          <w:trHeight w:val="412"/>
        </w:trPr>
        <w:tc>
          <w:tcPr>
            <w:tcW w:w="760" w:type="dxa"/>
            <w:vAlign w:val="bottom"/>
          </w:tcPr>
          <w:p>
            <w:pPr>
              <w:jc w:val="right"/>
              <w:ind w:right="355"/>
              <w:spacing w:after="0"/>
              <w:rPr>
                <w:sz w:val="20"/>
                <w:szCs w:val="20"/>
                <w:color w:val="auto"/>
              </w:rPr>
            </w:pPr>
            <w:r>
              <w:rPr>
                <w:rFonts w:ascii="Arial" w:cs="Arial" w:eastAsia="Arial" w:hAnsi="Arial"/>
                <w:sz w:val="18"/>
                <w:szCs w:val="18"/>
                <w:color w:val="auto"/>
                <w:w w:val="85"/>
              </w:rPr>
              <w:t>10.1</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6"/>
              </w:rPr>
              <w:t>License Agreement by and between Alnylam Pharmaceuticals, Inc., Arrowhead Research Corporation and Arrowhead Madison, Inc.†</w:t>
            </w:r>
          </w:p>
        </w:tc>
      </w:tr>
      <w:tr>
        <w:trPr>
          <w:trHeight w:val="418"/>
        </w:trPr>
        <w:tc>
          <w:tcPr>
            <w:tcW w:w="760" w:type="dxa"/>
            <w:vAlign w:val="bottom"/>
          </w:tcPr>
          <w:p>
            <w:pPr>
              <w:jc w:val="right"/>
              <w:ind w:right="355"/>
              <w:spacing w:after="0"/>
              <w:rPr>
                <w:sz w:val="20"/>
                <w:szCs w:val="20"/>
                <w:color w:val="auto"/>
              </w:rPr>
            </w:pPr>
            <w:r>
              <w:rPr>
                <w:rFonts w:ascii="Arial" w:cs="Arial" w:eastAsia="Arial" w:hAnsi="Arial"/>
                <w:sz w:val="18"/>
                <w:szCs w:val="18"/>
                <w:color w:val="auto"/>
                <w:w w:val="85"/>
              </w:rPr>
              <w:t>31.1</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3"/>
              </w:rPr>
              <w:t>Certification of Chief Executive Officer pursuant to Rule 13a-14(a) of the Securities Exchange Act of 1934, as Adopted Pursuant to Section</w:t>
            </w: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760" w:type="dxa"/>
            <w:vAlign w:val="bottom"/>
          </w:tcPr>
          <w:p>
            <w:pPr>
              <w:jc w:val="right"/>
              <w:ind w:right="355"/>
              <w:spacing w:after="0"/>
              <w:rPr>
                <w:sz w:val="20"/>
                <w:szCs w:val="20"/>
                <w:color w:val="auto"/>
              </w:rPr>
            </w:pPr>
            <w:r>
              <w:rPr>
                <w:rFonts w:ascii="Arial" w:cs="Arial" w:eastAsia="Arial" w:hAnsi="Arial"/>
                <w:sz w:val="18"/>
                <w:szCs w:val="18"/>
                <w:color w:val="auto"/>
                <w:w w:val="85"/>
              </w:rPr>
              <w:t>31.2</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3"/>
              </w:rPr>
              <w:t>Certification of Chief Financial Officer pursuant to Rule 13a-14(a) of the Securities Exchange Act of 1934, as Adopted Pursuant to Section</w:t>
            </w: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760" w:type="dxa"/>
            <w:vAlign w:val="bottom"/>
          </w:tcPr>
          <w:p>
            <w:pPr>
              <w:jc w:val="right"/>
              <w:ind w:right="355"/>
              <w:spacing w:after="0"/>
              <w:rPr>
                <w:sz w:val="20"/>
                <w:szCs w:val="20"/>
                <w:color w:val="auto"/>
              </w:rPr>
            </w:pPr>
            <w:r>
              <w:rPr>
                <w:rFonts w:ascii="Arial" w:cs="Arial" w:eastAsia="Arial" w:hAnsi="Arial"/>
                <w:sz w:val="18"/>
                <w:szCs w:val="18"/>
                <w:color w:val="auto"/>
                <w:w w:val="85"/>
              </w:rPr>
              <w:t>32.1</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 Act</w:t>
            </w: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of 2002**</w:t>
            </w:r>
          </w:p>
        </w:tc>
      </w:tr>
      <w:tr>
        <w:trPr>
          <w:trHeight w:val="418"/>
        </w:trPr>
        <w:tc>
          <w:tcPr>
            <w:tcW w:w="760" w:type="dxa"/>
            <w:vAlign w:val="bottom"/>
          </w:tcPr>
          <w:p>
            <w:pPr>
              <w:jc w:val="right"/>
              <w:ind w:right="355"/>
              <w:spacing w:after="0"/>
              <w:rPr>
                <w:sz w:val="20"/>
                <w:szCs w:val="20"/>
                <w:color w:val="auto"/>
              </w:rPr>
            </w:pPr>
            <w:r>
              <w:rPr>
                <w:rFonts w:ascii="Arial" w:cs="Arial" w:eastAsia="Arial" w:hAnsi="Arial"/>
                <w:sz w:val="18"/>
                <w:szCs w:val="18"/>
                <w:color w:val="auto"/>
                <w:w w:val="85"/>
              </w:rPr>
              <w:t>32.2</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2002**</w:t>
            </w:r>
          </w:p>
        </w:tc>
      </w:tr>
    </w:tbl>
    <w:p>
      <w:pPr>
        <w:spacing w:after="0" w:line="202" w:lineRule="exact"/>
        <w:rPr>
          <w:sz w:val="20"/>
          <w:szCs w:val="20"/>
          <w:color w:val="auto"/>
        </w:rPr>
      </w:pPr>
    </w:p>
    <w:p>
      <w:pPr>
        <w:ind w:left="1140" w:right="300" w:hanging="1132"/>
        <w:spacing w:after="0" w:line="31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materials from Registrant’s Quarterly Report on Form 10-Q for the quarter ended June 30, 2014,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46"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Confidential treatment has been requested with respect to certain information contained in this exhibit. Such information has been omitted and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furnished separately to the SEC.</w:t>
      </w:r>
    </w:p>
    <w:p>
      <w:pPr>
        <w:spacing w:after="0" w:line="9"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-130810</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121" w:right="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 AGREEMENT</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ALNYLAM PHARMACEUTICALS, INC., a corporation organized under the laws of the State of Delaware having offices located at 300 Third Street, Cambridge MA 02142 U.S.A. (“</w:t>
      </w:r>
      <w:r>
        <w:rPr>
          <w:rFonts w:ascii="Arial" w:cs="Arial" w:eastAsia="Arial" w:hAnsi="Arial"/>
          <w:sz w:val="18"/>
          <w:szCs w:val="18"/>
          <w:u w:val="single" w:color="auto"/>
          <w:color w:val="auto"/>
        </w:rPr>
        <w:t>ALNYLAM</w:t>
      </w:r>
      <w:r>
        <w:rPr>
          <w:rFonts w:ascii="Arial" w:cs="Arial" w:eastAsia="Arial" w:hAnsi="Arial"/>
          <w:sz w:val="18"/>
          <w:szCs w:val="18"/>
          <w:color w:val="auto"/>
        </w:rPr>
        <w:t>”), and ARROWHEAD RESEARCH CORPORATION, a corporation organized under the laws of the State of Delaware having offices located at 225 South Lake Avenue, Suite 300, Pasadena, CA 91101 and ARROWHEAD MADISON INC., a corporation organized under the laws of the State of Delaware having offices located at 465 Science Drive, Madison, WI 53711 (collectively “</w:t>
      </w:r>
      <w:r>
        <w:rPr>
          <w:rFonts w:ascii="Arial" w:cs="Arial" w:eastAsia="Arial" w:hAnsi="Arial"/>
          <w:sz w:val="18"/>
          <w:szCs w:val="18"/>
          <w:u w:val="single" w:color="auto"/>
          <w:color w:val="auto"/>
        </w:rPr>
        <w:t>ARROWHEAD</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ALNYLAM owns or has rights to certain intellectual property covering technology useful for the discovery, development, manufacture, characterization, or use of therapeutic products that function through RNA interference (“</w:t>
      </w:r>
      <w:r>
        <w:rPr>
          <w:rFonts w:ascii="Arial" w:cs="Arial" w:eastAsia="Arial" w:hAnsi="Arial"/>
          <w:sz w:val="18"/>
          <w:szCs w:val="18"/>
          <w:u w:val="single" w:color="auto"/>
          <w:color w:val="auto"/>
        </w:rPr>
        <w:t>RNAi</w:t>
      </w:r>
      <w:r>
        <w:rPr>
          <w:rFonts w:ascii="Arial" w:cs="Arial" w:eastAsia="Arial" w:hAnsi="Arial"/>
          <w:sz w:val="18"/>
          <w:szCs w:val="18"/>
          <w:color w:val="auto"/>
        </w:rPr>
        <w:t>”).</w:t>
      </w:r>
    </w:p>
    <w:p>
      <w:pPr>
        <w:spacing w:after="0" w:line="1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ARROWHEAD desires to research and potentially develop and commercialize siRNA based products that target messenger RNAs encoded by the genome of human hepatitis B virus (“</w:t>
      </w:r>
      <w:r>
        <w:rPr>
          <w:rFonts w:ascii="Arial" w:cs="Arial" w:eastAsia="Arial" w:hAnsi="Arial"/>
          <w:sz w:val="17"/>
          <w:szCs w:val="17"/>
          <w:u w:val="single" w:color="auto"/>
          <w:color w:val="auto"/>
        </w:rPr>
        <w:t>HBV</w:t>
      </w:r>
      <w:r>
        <w:rPr>
          <w:rFonts w:ascii="Arial" w:cs="Arial" w:eastAsia="Arial" w:hAnsi="Arial"/>
          <w:sz w:val="17"/>
          <w:szCs w:val="17"/>
          <w:color w:val="auto"/>
        </w:rPr>
        <w:t>”), and for such purpose ARROWHEAD desires a license under certain of the aforementioned intellectual property of ALNYLAM to use the technology covered by such intellectual property to research, develop and commercialize any such product.</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ALNYLAM is willing to grant ARROWHEAD a license to research, develop and commercialize products as described above under the terms and conditions of this Agreement.</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ALNYLAM and ARROWHEAD agree as follows:</w:t>
      </w:r>
    </w:p>
    <w:p>
      <w:pPr>
        <w:sectPr>
          <w:pgSz w:w="11900" w:h="16838" w:orient="portrait"/>
          <w:cols w:equalWidth="0" w:num="1">
            <w:col w:w="11420"/>
          </w:cols>
          <w:pgMar w:left="240" w:top="364" w:right="239" w:bottom="1440" w:gutter="0" w:footer="0" w:header="0"/>
        </w:sectPr>
      </w:pPr>
    </w:p>
    <w:bookmarkStart w:id="34" w:name="page35"/>
    <w:bookmarkEnd w:id="34"/>
    <w:p>
      <w:pPr>
        <w:jc w:val="center"/>
        <w:ind w:left="320"/>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15240</wp:posOffset>
            </wp:positionV>
            <wp:extent cx="5746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 – DEFINITIONS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w:t>
            </w:r>
          </w:p>
        </w:tc>
        <w:tc>
          <w:tcPr>
            <w:tcW w:w="4960" w:type="dxa"/>
            <w:vAlign w:val="bottom"/>
          </w:tcPr>
          <w:p>
            <w:pPr>
              <w:ind w:left="360"/>
              <w:spacing w:after="0"/>
              <w:rPr>
                <w:sz w:val="20"/>
                <w:szCs w:val="20"/>
                <w:color w:val="auto"/>
              </w:rPr>
            </w:pPr>
            <w:r>
              <w:rPr>
                <w:rFonts w:ascii="Arial" w:cs="Arial" w:eastAsia="Arial" w:hAnsi="Arial"/>
                <w:sz w:val="18"/>
                <w:szCs w:val="18"/>
                <w:color w:val="auto"/>
              </w:rPr>
              <w:t>Act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w:t>
            </w:r>
          </w:p>
        </w:tc>
        <w:tc>
          <w:tcPr>
            <w:tcW w:w="4960" w:type="dxa"/>
            <w:vAlign w:val="bottom"/>
          </w:tcPr>
          <w:p>
            <w:pPr>
              <w:ind w:left="360"/>
              <w:spacing w:after="0"/>
              <w:rPr>
                <w:sz w:val="20"/>
                <w:szCs w:val="20"/>
                <w:color w:val="auto"/>
              </w:rPr>
            </w:pPr>
            <w:r>
              <w:rPr>
                <w:rFonts w:ascii="Arial" w:cs="Arial" w:eastAsia="Arial" w:hAnsi="Arial"/>
                <w:sz w:val="18"/>
                <w:szCs w:val="18"/>
                <w:color w:val="auto"/>
              </w:rPr>
              <w:t>Affiliate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w:t>
            </w:r>
          </w:p>
        </w:tc>
        <w:tc>
          <w:tcPr>
            <w:tcW w:w="4960" w:type="dxa"/>
            <w:vAlign w:val="bottom"/>
          </w:tcPr>
          <w:p>
            <w:pPr>
              <w:ind w:left="360"/>
              <w:spacing w:after="0"/>
              <w:rPr>
                <w:sz w:val="20"/>
                <w:szCs w:val="20"/>
                <w:color w:val="auto"/>
              </w:rPr>
            </w:pPr>
            <w:r>
              <w:rPr>
                <w:rFonts w:ascii="Arial" w:cs="Arial" w:eastAsia="Arial" w:hAnsi="Arial"/>
                <w:sz w:val="18"/>
                <w:szCs w:val="18"/>
                <w:color w:val="auto"/>
              </w:rPr>
              <w:t>ALNYLAM CRT Additional Patent Rights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1.4</w:t>
            </w:r>
          </w:p>
        </w:tc>
        <w:tc>
          <w:tcPr>
            <w:tcW w:w="4960" w:type="dxa"/>
            <w:vAlign w:val="bottom"/>
          </w:tcPr>
          <w:p>
            <w:pPr>
              <w:ind w:left="360"/>
              <w:spacing w:after="0"/>
              <w:rPr>
                <w:sz w:val="20"/>
                <w:szCs w:val="20"/>
                <w:color w:val="auto"/>
              </w:rPr>
            </w:pPr>
            <w:r>
              <w:rPr>
                <w:rFonts w:ascii="Arial" w:cs="Arial" w:eastAsia="Arial" w:hAnsi="Arial"/>
                <w:sz w:val="18"/>
                <w:szCs w:val="18"/>
                <w:color w:val="auto"/>
              </w:rPr>
              <w:t>ALNYLAM Broad RNAi Intellectual Property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1.5</w:t>
            </w:r>
          </w:p>
        </w:tc>
        <w:tc>
          <w:tcPr>
            <w:tcW w:w="4960" w:type="dxa"/>
            <w:vAlign w:val="bottom"/>
          </w:tcPr>
          <w:p>
            <w:pPr>
              <w:ind w:left="360"/>
              <w:spacing w:after="0"/>
              <w:rPr>
                <w:sz w:val="20"/>
                <w:szCs w:val="20"/>
                <w:color w:val="auto"/>
              </w:rPr>
            </w:pPr>
            <w:r>
              <w:rPr>
                <w:rFonts w:ascii="Arial" w:cs="Arial" w:eastAsia="Arial" w:hAnsi="Arial"/>
                <w:sz w:val="18"/>
                <w:szCs w:val="18"/>
                <w:color w:val="auto"/>
              </w:rPr>
              <w:t>ALNYLAM Broad RNAi Know-How</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1.6</w:t>
            </w:r>
          </w:p>
        </w:tc>
        <w:tc>
          <w:tcPr>
            <w:tcW w:w="4960" w:type="dxa"/>
            <w:vAlign w:val="bottom"/>
          </w:tcPr>
          <w:p>
            <w:pPr>
              <w:ind w:left="360"/>
              <w:spacing w:after="0"/>
              <w:rPr>
                <w:sz w:val="20"/>
                <w:szCs w:val="20"/>
                <w:color w:val="auto"/>
              </w:rPr>
            </w:pPr>
            <w:r>
              <w:rPr>
                <w:rFonts w:ascii="Arial" w:cs="Arial" w:eastAsia="Arial" w:hAnsi="Arial"/>
                <w:sz w:val="18"/>
                <w:szCs w:val="18"/>
                <w:color w:val="auto"/>
              </w:rPr>
              <w:t>ALNYLAM Broad RNAi Patent Rights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1.7</w:t>
            </w:r>
          </w:p>
        </w:tc>
        <w:tc>
          <w:tcPr>
            <w:tcW w:w="4960" w:type="dxa"/>
            <w:vAlign w:val="bottom"/>
          </w:tcPr>
          <w:p>
            <w:pPr>
              <w:ind w:left="360"/>
              <w:spacing w:after="0"/>
              <w:rPr>
                <w:sz w:val="20"/>
                <w:szCs w:val="20"/>
                <w:color w:val="auto"/>
              </w:rPr>
            </w:pPr>
            <w:r>
              <w:rPr>
                <w:rFonts w:ascii="Arial" w:cs="Arial" w:eastAsia="Arial" w:hAnsi="Arial"/>
                <w:sz w:val="18"/>
                <w:szCs w:val="18"/>
                <w:color w:val="auto"/>
              </w:rPr>
              <w:t>ALNYLAM Intellectual Property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1.8</w:t>
            </w:r>
          </w:p>
        </w:tc>
        <w:tc>
          <w:tcPr>
            <w:tcW w:w="4960" w:type="dxa"/>
            <w:vAlign w:val="bottom"/>
          </w:tcPr>
          <w:p>
            <w:pPr>
              <w:ind w:left="360"/>
              <w:spacing w:after="0"/>
              <w:rPr>
                <w:sz w:val="20"/>
                <w:szCs w:val="20"/>
                <w:color w:val="auto"/>
              </w:rPr>
            </w:pPr>
            <w:r>
              <w:rPr>
                <w:rFonts w:ascii="Arial" w:cs="Arial" w:eastAsia="Arial" w:hAnsi="Arial"/>
                <w:sz w:val="18"/>
                <w:szCs w:val="18"/>
                <w:color w:val="auto"/>
              </w:rPr>
              <w:t>ALNYLAM Patent Rights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1.9</w:t>
            </w:r>
          </w:p>
        </w:tc>
        <w:tc>
          <w:tcPr>
            <w:tcW w:w="4960" w:type="dxa"/>
            <w:vAlign w:val="bottom"/>
          </w:tcPr>
          <w:p>
            <w:pPr>
              <w:ind w:left="360"/>
              <w:spacing w:after="0"/>
              <w:rPr>
                <w:sz w:val="20"/>
                <w:szCs w:val="20"/>
                <w:color w:val="auto"/>
              </w:rPr>
            </w:pPr>
            <w:r>
              <w:rPr>
                <w:rFonts w:ascii="Arial" w:cs="Arial" w:eastAsia="Arial" w:hAnsi="Arial"/>
                <w:sz w:val="18"/>
                <w:szCs w:val="18"/>
                <w:color w:val="auto"/>
              </w:rPr>
              <w:t>ALNYLAM Stanford Additional Patent Rights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1.10</w:t>
            </w:r>
          </w:p>
        </w:tc>
        <w:tc>
          <w:tcPr>
            <w:tcW w:w="4960" w:type="dxa"/>
            <w:vAlign w:val="bottom"/>
          </w:tcPr>
          <w:p>
            <w:pPr>
              <w:ind w:left="360"/>
              <w:spacing w:after="0"/>
              <w:rPr>
                <w:sz w:val="20"/>
                <w:szCs w:val="20"/>
                <w:color w:val="auto"/>
              </w:rPr>
            </w:pPr>
            <w:r>
              <w:rPr>
                <w:rFonts w:ascii="Arial" w:cs="Arial" w:eastAsia="Arial" w:hAnsi="Arial"/>
                <w:sz w:val="18"/>
                <w:szCs w:val="18"/>
                <w:color w:val="auto"/>
              </w:rPr>
              <w:t>ALNYLAM Target-Specific Patent Rights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1.11</w:t>
            </w:r>
          </w:p>
        </w:tc>
        <w:tc>
          <w:tcPr>
            <w:tcW w:w="4960" w:type="dxa"/>
            <w:vAlign w:val="bottom"/>
          </w:tcPr>
          <w:p>
            <w:pPr>
              <w:ind w:left="360"/>
              <w:spacing w:after="0"/>
              <w:rPr>
                <w:sz w:val="20"/>
                <w:szCs w:val="20"/>
                <w:color w:val="auto"/>
              </w:rPr>
            </w:pPr>
            <w:r>
              <w:rPr>
                <w:rFonts w:ascii="Arial" w:cs="Arial" w:eastAsia="Arial" w:hAnsi="Arial"/>
                <w:sz w:val="18"/>
                <w:szCs w:val="18"/>
                <w:color w:val="auto"/>
              </w:rPr>
              <w:t>Approval</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1.12</w:t>
            </w:r>
          </w:p>
        </w:tc>
        <w:tc>
          <w:tcPr>
            <w:tcW w:w="4960" w:type="dxa"/>
            <w:vAlign w:val="bottom"/>
          </w:tcPr>
          <w:p>
            <w:pPr>
              <w:ind w:left="360"/>
              <w:spacing w:after="0"/>
              <w:rPr>
                <w:sz w:val="20"/>
                <w:szCs w:val="20"/>
                <w:color w:val="auto"/>
              </w:rPr>
            </w:pPr>
            <w:r>
              <w:rPr>
                <w:rFonts w:ascii="Arial" w:cs="Arial" w:eastAsia="Arial" w:hAnsi="Arial"/>
                <w:sz w:val="18"/>
                <w:szCs w:val="18"/>
                <w:color w:val="auto"/>
              </w:rPr>
              <w:t>Calendar Quarter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1.13</w:t>
            </w:r>
          </w:p>
        </w:tc>
        <w:tc>
          <w:tcPr>
            <w:tcW w:w="4960" w:type="dxa"/>
            <w:vAlign w:val="bottom"/>
          </w:tcPr>
          <w:p>
            <w:pPr>
              <w:ind w:left="360"/>
              <w:spacing w:after="0"/>
              <w:rPr>
                <w:sz w:val="20"/>
                <w:szCs w:val="20"/>
                <w:color w:val="auto"/>
              </w:rPr>
            </w:pPr>
            <w:r>
              <w:rPr>
                <w:rFonts w:ascii="Arial" w:cs="Arial" w:eastAsia="Arial" w:hAnsi="Arial"/>
                <w:sz w:val="18"/>
                <w:szCs w:val="18"/>
                <w:color w:val="auto"/>
              </w:rPr>
              <w:t>Clinical Trial</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1.14</w:t>
            </w:r>
          </w:p>
        </w:tc>
        <w:tc>
          <w:tcPr>
            <w:tcW w:w="4960" w:type="dxa"/>
            <w:vAlign w:val="bottom"/>
          </w:tcPr>
          <w:p>
            <w:pPr>
              <w:ind w:left="360"/>
              <w:spacing w:after="0"/>
              <w:rPr>
                <w:sz w:val="20"/>
                <w:szCs w:val="20"/>
                <w:color w:val="auto"/>
              </w:rPr>
            </w:pPr>
            <w:r>
              <w:rPr>
                <w:rFonts w:ascii="Arial" w:cs="Arial" w:eastAsia="Arial" w:hAnsi="Arial"/>
                <w:sz w:val="18"/>
                <w:szCs w:val="18"/>
                <w:color w:val="auto"/>
              </w:rPr>
              <w:t>Commercialize or Commercialization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1.15</w:t>
            </w:r>
          </w:p>
        </w:tc>
        <w:tc>
          <w:tcPr>
            <w:tcW w:w="4960" w:type="dxa"/>
            <w:vAlign w:val="bottom"/>
          </w:tcPr>
          <w:p>
            <w:pPr>
              <w:ind w:left="360"/>
              <w:spacing w:after="0"/>
              <w:rPr>
                <w:sz w:val="20"/>
                <w:szCs w:val="20"/>
                <w:color w:val="auto"/>
              </w:rPr>
            </w:pPr>
            <w:r>
              <w:rPr>
                <w:rFonts w:ascii="Arial" w:cs="Arial" w:eastAsia="Arial" w:hAnsi="Arial"/>
                <w:sz w:val="18"/>
                <w:szCs w:val="18"/>
                <w:color w:val="auto"/>
              </w:rPr>
              <w:t>Confidential Information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1.16</w:t>
            </w:r>
          </w:p>
        </w:tc>
        <w:tc>
          <w:tcPr>
            <w:tcW w:w="4960" w:type="dxa"/>
            <w:vAlign w:val="bottom"/>
          </w:tcPr>
          <w:p>
            <w:pPr>
              <w:ind w:left="360"/>
              <w:spacing w:after="0"/>
              <w:rPr>
                <w:sz w:val="20"/>
                <w:szCs w:val="20"/>
                <w:color w:val="auto"/>
              </w:rPr>
            </w:pPr>
            <w:r>
              <w:rPr>
                <w:rFonts w:ascii="Arial" w:cs="Arial" w:eastAsia="Arial" w:hAnsi="Arial"/>
                <w:sz w:val="18"/>
                <w:szCs w:val="18"/>
                <w:color w:val="auto"/>
              </w:rPr>
              <w:t>Control or Controlled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1.17</w:t>
            </w:r>
          </w:p>
        </w:tc>
        <w:tc>
          <w:tcPr>
            <w:tcW w:w="4960" w:type="dxa"/>
            <w:vAlign w:val="bottom"/>
          </w:tcPr>
          <w:p>
            <w:pPr>
              <w:ind w:left="360"/>
              <w:spacing w:after="0"/>
              <w:rPr>
                <w:sz w:val="20"/>
                <w:szCs w:val="20"/>
                <w:color w:val="auto"/>
              </w:rPr>
            </w:pPr>
            <w:r>
              <w:rPr>
                <w:rFonts w:ascii="Arial" w:cs="Arial" w:eastAsia="Arial" w:hAnsi="Arial"/>
                <w:sz w:val="18"/>
                <w:szCs w:val="18"/>
                <w:color w:val="auto"/>
              </w:rPr>
              <w:t>Cover or Covered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1.18</w:t>
            </w:r>
          </w:p>
        </w:tc>
        <w:tc>
          <w:tcPr>
            <w:tcW w:w="4960" w:type="dxa"/>
            <w:vAlign w:val="bottom"/>
          </w:tcPr>
          <w:p>
            <w:pPr>
              <w:ind w:left="360"/>
              <w:spacing w:after="0"/>
              <w:rPr>
                <w:sz w:val="20"/>
                <w:szCs w:val="20"/>
                <w:color w:val="auto"/>
              </w:rPr>
            </w:pPr>
            <w:r>
              <w:rPr>
                <w:rFonts w:ascii="Arial" w:cs="Arial" w:eastAsia="Arial" w:hAnsi="Arial"/>
                <w:sz w:val="18"/>
                <w:szCs w:val="18"/>
                <w:color w:val="auto"/>
              </w:rPr>
              <w:t>Develop, Developing or Development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1.19</w:t>
            </w:r>
          </w:p>
        </w:tc>
        <w:tc>
          <w:tcPr>
            <w:tcW w:w="4960" w:type="dxa"/>
            <w:vAlign w:val="bottom"/>
          </w:tcPr>
          <w:p>
            <w:pPr>
              <w:ind w:left="360"/>
              <w:spacing w:after="0"/>
              <w:rPr>
                <w:sz w:val="20"/>
                <w:szCs w:val="20"/>
                <w:color w:val="auto"/>
              </w:rPr>
            </w:pPr>
            <w:r>
              <w:rPr>
                <w:rFonts w:ascii="Arial" w:cs="Arial" w:eastAsia="Arial" w:hAnsi="Arial"/>
                <w:sz w:val="18"/>
                <w:szCs w:val="18"/>
                <w:color w:val="auto"/>
                <w:w w:val="91"/>
              </w:rPr>
              <w:t>Dynamic Polymeric Conjugate Technology or DPC Technology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1.20</w:t>
            </w:r>
          </w:p>
        </w:tc>
        <w:tc>
          <w:tcPr>
            <w:tcW w:w="4960" w:type="dxa"/>
            <w:vAlign w:val="bottom"/>
          </w:tcPr>
          <w:p>
            <w:pPr>
              <w:ind w:left="360"/>
              <w:spacing w:after="0"/>
              <w:rPr>
                <w:sz w:val="20"/>
                <w:szCs w:val="20"/>
                <w:color w:val="auto"/>
              </w:rPr>
            </w:pPr>
            <w:r>
              <w:rPr>
                <w:rFonts w:ascii="Arial" w:cs="Arial" w:eastAsia="Arial" w:hAnsi="Arial"/>
                <w:sz w:val="18"/>
                <w:szCs w:val="18"/>
                <w:color w:val="auto"/>
              </w:rPr>
              <w:t>Effective Date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1.21</w:t>
            </w:r>
          </w:p>
        </w:tc>
        <w:tc>
          <w:tcPr>
            <w:tcW w:w="4960" w:type="dxa"/>
            <w:vAlign w:val="bottom"/>
          </w:tcPr>
          <w:p>
            <w:pPr>
              <w:ind w:left="360"/>
              <w:spacing w:after="0"/>
              <w:rPr>
                <w:sz w:val="20"/>
                <w:szCs w:val="20"/>
                <w:color w:val="auto"/>
              </w:rPr>
            </w:pPr>
            <w:r>
              <w:rPr>
                <w:rFonts w:ascii="Arial" w:cs="Arial" w:eastAsia="Arial" w:hAnsi="Arial"/>
                <w:sz w:val="18"/>
                <w:szCs w:val="18"/>
                <w:color w:val="auto"/>
              </w:rPr>
              <w:t>Executive Officers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1.22</w:t>
            </w:r>
          </w:p>
        </w:tc>
        <w:tc>
          <w:tcPr>
            <w:tcW w:w="4960" w:type="dxa"/>
            <w:vAlign w:val="bottom"/>
          </w:tcPr>
          <w:p>
            <w:pPr>
              <w:ind w:left="360"/>
              <w:spacing w:after="0"/>
              <w:rPr>
                <w:sz w:val="20"/>
                <w:szCs w:val="20"/>
                <w:color w:val="auto"/>
              </w:rPr>
            </w:pPr>
            <w:r>
              <w:rPr>
                <w:rFonts w:ascii="Arial" w:cs="Arial" w:eastAsia="Arial" w:hAnsi="Arial"/>
                <w:sz w:val="18"/>
                <w:szCs w:val="18"/>
                <w:color w:val="auto"/>
              </w:rPr>
              <w:t>Existing ALNYLAM Third Party Agreements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1.23</w:t>
            </w:r>
          </w:p>
        </w:tc>
        <w:tc>
          <w:tcPr>
            <w:tcW w:w="4960" w:type="dxa"/>
            <w:vAlign w:val="bottom"/>
          </w:tcPr>
          <w:p>
            <w:pPr>
              <w:ind w:left="360"/>
              <w:spacing w:after="0"/>
              <w:rPr>
                <w:sz w:val="20"/>
                <w:szCs w:val="20"/>
                <w:color w:val="auto"/>
              </w:rPr>
            </w:pPr>
            <w:r>
              <w:rPr>
                <w:rFonts w:ascii="Arial" w:cs="Arial" w:eastAsia="Arial" w:hAnsi="Arial"/>
                <w:sz w:val="18"/>
                <w:szCs w:val="18"/>
                <w:color w:val="auto"/>
              </w:rPr>
              <w:t>FDA</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1.24</w:t>
            </w:r>
          </w:p>
        </w:tc>
        <w:tc>
          <w:tcPr>
            <w:tcW w:w="4960" w:type="dxa"/>
            <w:vAlign w:val="bottom"/>
          </w:tcPr>
          <w:p>
            <w:pPr>
              <w:ind w:left="360"/>
              <w:spacing w:after="0"/>
              <w:rPr>
                <w:sz w:val="20"/>
                <w:szCs w:val="20"/>
                <w:color w:val="auto"/>
              </w:rPr>
            </w:pPr>
            <w:r>
              <w:rPr>
                <w:rFonts w:ascii="Arial" w:cs="Arial" w:eastAsia="Arial" w:hAnsi="Arial"/>
                <w:sz w:val="18"/>
                <w:szCs w:val="18"/>
                <w:color w:val="auto"/>
              </w:rPr>
              <w:t>Field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1.25</w:t>
            </w:r>
          </w:p>
        </w:tc>
        <w:tc>
          <w:tcPr>
            <w:tcW w:w="4960" w:type="dxa"/>
            <w:vAlign w:val="bottom"/>
          </w:tcPr>
          <w:p>
            <w:pPr>
              <w:ind w:left="360"/>
              <w:spacing w:after="0"/>
              <w:rPr>
                <w:sz w:val="20"/>
                <w:szCs w:val="20"/>
                <w:color w:val="auto"/>
              </w:rPr>
            </w:pPr>
            <w:r>
              <w:rPr>
                <w:rFonts w:ascii="Arial" w:cs="Arial" w:eastAsia="Arial" w:hAnsi="Arial"/>
                <w:sz w:val="18"/>
                <w:szCs w:val="18"/>
                <w:color w:val="auto"/>
              </w:rPr>
              <w:t>First Commercial Sale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1.26</w:t>
            </w:r>
          </w:p>
        </w:tc>
        <w:tc>
          <w:tcPr>
            <w:tcW w:w="4960" w:type="dxa"/>
            <w:vAlign w:val="bottom"/>
          </w:tcPr>
          <w:p>
            <w:pPr>
              <w:ind w:left="360"/>
              <w:spacing w:after="0"/>
              <w:rPr>
                <w:sz w:val="20"/>
                <w:szCs w:val="20"/>
                <w:color w:val="auto"/>
              </w:rPr>
            </w:pPr>
            <w:r>
              <w:rPr>
                <w:rFonts w:ascii="Arial" w:cs="Arial" w:eastAsia="Arial" w:hAnsi="Arial"/>
                <w:sz w:val="18"/>
                <w:szCs w:val="18"/>
                <w:color w:val="auto"/>
              </w:rPr>
              <w:t>FTE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1.27</w:t>
            </w:r>
          </w:p>
        </w:tc>
        <w:tc>
          <w:tcPr>
            <w:tcW w:w="4960" w:type="dxa"/>
            <w:vAlign w:val="bottom"/>
          </w:tcPr>
          <w:p>
            <w:pPr>
              <w:ind w:left="360"/>
              <w:spacing w:after="0"/>
              <w:rPr>
                <w:sz w:val="20"/>
                <w:szCs w:val="20"/>
                <w:color w:val="auto"/>
              </w:rPr>
            </w:pPr>
            <w:r>
              <w:rPr>
                <w:rFonts w:ascii="Arial" w:cs="Arial" w:eastAsia="Arial" w:hAnsi="Arial"/>
                <w:sz w:val="18"/>
                <w:szCs w:val="18"/>
                <w:color w:val="auto"/>
              </w:rPr>
              <w:t>FTE Rate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1.28</w:t>
            </w:r>
          </w:p>
        </w:tc>
        <w:tc>
          <w:tcPr>
            <w:tcW w:w="4960" w:type="dxa"/>
            <w:vAlign w:val="bottom"/>
          </w:tcPr>
          <w:p>
            <w:pPr>
              <w:ind w:left="360"/>
              <w:spacing w:after="0"/>
              <w:rPr>
                <w:sz w:val="20"/>
                <w:szCs w:val="20"/>
                <w:color w:val="auto"/>
              </w:rPr>
            </w:pPr>
            <w:r>
              <w:rPr>
                <w:rFonts w:ascii="Arial" w:cs="Arial" w:eastAsia="Arial" w:hAnsi="Arial"/>
                <w:sz w:val="18"/>
                <w:szCs w:val="18"/>
                <w:color w:val="auto"/>
              </w:rPr>
              <w:t>GAAP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1.29</w:t>
            </w:r>
          </w:p>
        </w:tc>
        <w:tc>
          <w:tcPr>
            <w:tcW w:w="4960" w:type="dxa"/>
            <w:vAlign w:val="bottom"/>
          </w:tcPr>
          <w:p>
            <w:pPr>
              <w:ind w:left="360"/>
              <w:spacing w:after="0"/>
              <w:rPr>
                <w:sz w:val="20"/>
                <w:szCs w:val="20"/>
                <w:color w:val="auto"/>
              </w:rPr>
            </w:pPr>
            <w:r>
              <w:rPr>
                <w:rFonts w:ascii="Arial" w:cs="Arial" w:eastAsia="Arial" w:hAnsi="Arial"/>
                <w:sz w:val="18"/>
                <w:szCs w:val="18"/>
                <w:color w:val="auto"/>
              </w:rPr>
              <w:t>GLP Toxicology Study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1.30</w:t>
            </w:r>
          </w:p>
        </w:tc>
        <w:tc>
          <w:tcPr>
            <w:tcW w:w="4960" w:type="dxa"/>
            <w:vAlign w:val="bottom"/>
          </w:tcPr>
          <w:p>
            <w:pPr>
              <w:ind w:left="360"/>
              <w:spacing w:after="0"/>
              <w:rPr>
                <w:sz w:val="20"/>
                <w:szCs w:val="20"/>
                <w:color w:val="auto"/>
              </w:rPr>
            </w:pPr>
            <w:r>
              <w:rPr>
                <w:rFonts w:ascii="Arial" w:cs="Arial" w:eastAsia="Arial" w:hAnsi="Arial"/>
                <w:sz w:val="18"/>
                <w:szCs w:val="18"/>
                <w:color w:val="auto"/>
              </w:rPr>
              <w:t>IND or Investigational New Drug Application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1.31</w:t>
            </w:r>
          </w:p>
        </w:tc>
        <w:tc>
          <w:tcPr>
            <w:tcW w:w="4960" w:type="dxa"/>
            <w:vAlign w:val="bottom"/>
          </w:tcPr>
          <w:p>
            <w:pPr>
              <w:ind w:left="360"/>
              <w:spacing w:after="0"/>
              <w:rPr>
                <w:sz w:val="20"/>
                <w:szCs w:val="20"/>
                <w:color w:val="auto"/>
              </w:rPr>
            </w:pPr>
            <w:r>
              <w:rPr>
                <w:rFonts w:ascii="Arial" w:cs="Arial" w:eastAsia="Arial" w:hAnsi="Arial"/>
                <w:sz w:val="18"/>
                <w:szCs w:val="18"/>
                <w:color w:val="auto"/>
              </w:rPr>
              <w:t>Licensed RNAi Product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1.32</w:t>
            </w:r>
          </w:p>
        </w:tc>
        <w:tc>
          <w:tcPr>
            <w:tcW w:w="4960" w:type="dxa"/>
            <w:vAlign w:val="bottom"/>
          </w:tcPr>
          <w:p>
            <w:pPr>
              <w:ind w:left="360"/>
              <w:spacing w:after="0"/>
              <w:rPr>
                <w:sz w:val="20"/>
                <w:szCs w:val="20"/>
                <w:color w:val="auto"/>
              </w:rPr>
            </w:pPr>
            <w:r>
              <w:rPr>
                <w:rFonts w:ascii="Arial" w:cs="Arial" w:eastAsia="Arial" w:hAnsi="Arial"/>
                <w:sz w:val="18"/>
                <w:szCs w:val="18"/>
                <w:color w:val="auto"/>
              </w:rPr>
              <w:t>Net Sales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1.33</w:t>
            </w:r>
          </w:p>
        </w:tc>
        <w:tc>
          <w:tcPr>
            <w:tcW w:w="4960" w:type="dxa"/>
            <w:vAlign w:val="bottom"/>
          </w:tcPr>
          <w:p>
            <w:pPr>
              <w:ind w:left="360"/>
              <w:spacing w:after="0"/>
              <w:rPr>
                <w:sz w:val="20"/>
                <w:szCs w:val="20"/>
                <w:color w:val="auto"/>
              </w:rPr>
            </w:pPr>
            <w:r>
              <w:rPr>
                <w:rFonts w:ascii="Arial" w:cs="Arial" w:eastAsia="Arial" w:hAnsi="Arial"/>
                <w:sz w:val="18"/>
                <w:szCs w:val="18"/>
                <w:color w:val="auto"/>
              </w:rPr>
              <w:t>Party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1.34</w:t>
            </w:r>
          </w:p>
        </w:tc>
        <w:tc>
          <w:tcPr>
            <w:tcW w:w="4960" w:type="dxa"/>
            <w:vAlign w:val="bottom"/>
          </w:tcPr>
          <w:p>
            <w:pPr>
              <w:ind w:left="360"/>
              <w:spacing w:after="0"/>
              <w:rPr>
                <w:sz w:val="20"/>
                <w:szCs w:val="20"/>
                <w:color w:val="auto"/>
              </w:rPr>
            </w:pPr>
            <w:r>
              <w:rPr>
                <w:rFonts w:ascii="Arial" w:cs="Arial" w:eastAsia="Arial" w:hAnsi="Arial"/>
                <w:sz w:val="18"/>
                <w:szCs w:val="18"/>
                <w:color w:val="auto"/>
              </w:rPr>
              <w:t>Patent Rights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1.35</w:t>
            </w:r>
          </w:p>
        </w:tc>
        <w:tc>
          <w:tcPr>
            <w:tcW w:w="4960" w:type="dxa"/>
            <w:vAlign w:val="bottom"/>
          </w:tcPr>
          <w:p>
            <w:pPr>
              <w:ind w:left="360"/>
              <w:spacing w:after="0"/>
              <w:rPr>
                <w:sz w:val="20"/>
                <w:szCs w:val="20"/>
                <w:color w:val="auto"/>
              </w:rPr>
            </w:pPr>
            <w:r>
              <w:rPr>
                <w:rFonts w:ascii="Arial" w:cs="Arial" w:eastAsia="Arial" w:hAnsi="Arial"/>
                <w:sz w:val="18"/>
                <w:szCs w:val="18"/>
                <w:color w:val="auto"/>
              </w:rPr>
              <w:t>Person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1.36</w:t>
            </w:r>
          </w:p>
        </w:tc>
        <w:tc>
          <w:tcPr>
            <w:tcW w:w="4960" w:type="dxa"/>
            <w:vAlign w:val="bottom"/>
          </w:tcPr>
          <w:p>
            <w:pPr>
              <w:ind w:left="360"/>
              <w:spacing w:after="0"/>
              <w:rPr>
                <w:sz w:val="20"/>
                <w:szCs w:val="20"/>
                <w:color w:val="auto"/>
              </w:rPr>
            </w:pPr>
            <w:r>
              <w:rPr>
                <w:rFonts w:ascii="Arial" w:cs="Arial" w:eastAsia="Arial" w:hAnsi="Arial"/>
                <w:sz w:val="18"/>
                <w:szCs w:val="18"/>
                <w:color w:val="auto"/>
              </w:rPr>
              <w:t>Pivotal Trial</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1.37</w:t>
            </w:r>
          </w:p>
        </w:tc>
        <w:tc>
          <w:tcPr>
            <w:tcW w:w="4960" w:type="dxa"/>
            <w:vAlign w:val="bottom"/>
          </w:tcPr>
          <w:p>
            <w:pPr>
              <w:ind w:left="360"/>
              <w:spacing w:after="0"/>
              <w:rPr>
                <w:sz w:val="20"/>
                <w:szCs w:val="20"/>
                <w:color w:val="auto"/>
              </w:rPr>
            </w:pPr>
            <w:r>
              <w:rPr>
                <w:rFonts w:ascii="Arial" w:cs="Arial" w:eastAsia="Arial" w:hAnsi="Arial"/>
                <w:sz w:val="18"/>
                <w:szCs w:val="18"/>
                <w:color w:val="auto"/>
              </w:rPr>
              <w:t>Regulatory Authority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1.38</w:t>
            </w:r>
          </w:p>
        </w:tc>
        <w:tc>
          <w:tcPr>
            <w:tcW w:w="4960" w:type="dxa"/>
            <w:vAlign w:val="bottom"/>
          </w:tcPr>
          <w:p>
            <w:pPr>
              <w:ind w:left="360"/>
              <w:spacing w:after="0"/>
              <w:rPr>
                <w:sz w:val="20"/>
                <w:szCs w:val="20"/>
                <w:color w:val="auto"/>
              </w:rPr>
            </w:pPr>
            <w:r>
              <w:rPr>
                <w:rFonts w:ascii="Arial" w:cs="Arial" w:eastAsia="Arial" w:hAnsi="Arial"/>
                <w:sz w:val="18"/>
                <w:szCs w:val="18"/>
                <w:color w:val="auto"/>
              </w:rPr>
              <w:t>Research or Researching</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1.39</w:t>
            </w:r>
          </w:p>
        </w:tc>
        <w:tc>
          <w:tcPr>
            <w:tcW w:w="4960" w:type="dxa"/>
            <w:vAlign w:val="bottom"/>
          </w:tcPr>
          <w:p>
            <w:pPr>
              <w:ind w:left="360"/>
              <w:spacing w:after="0"/>
              <w:rPr>
                <w:sz w:val="20"/>
                <w:szCs w:val="20"/>
                <w:color w:val="auto"/>
              </w:rPr>
            </w:pPr>
            <w:r>
              <w:rPr>
                <w:rFonts w:ascii="Arial" w:cs="Arial" w:eastAsia="Arial" w:hAnsi="Arial"/>
                <w:sz w:val="18"/>
                <w:szCs w:val="18"/>
                <w:color w:val="auto"/>
              </w:rPr>
              <w:t>Research Collaboration Term</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1.40</w:t>
            </w:r>
          </w:p>
        </w:tc>
        <w:tc>
          <w:tcPr>
            <w:tcW w:w="4960" w:type="dxa"/>
            <w:vAlign w:val="bottom"/>
          </w:tcPr>
          <w:p>
            <w:pPr>
              <w:ind w:left="360"/>
              <w:spacing w:after="0"/>
              <w:rPr>
                <w:sz w:val="20"/>
                <w:szCs w:val="20"/>
                <w:color w:val="auto"/>
              </w:rPr>
            </w:pPr>
            <w:r>
              <w:rPr>
                <w:rFonts w:ascii="Arial" w:cs="Arial" w:eastAsia="Arial" w:hAnsi="Arial"/>
                <w:sz w:val="18"/>
                <w:szCs w:val="18"/>
                <w:color w:val="auto"/>
              </w:rPr>
              <w:t>siRNA</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1.41</w:t>
            </w:r>
          </w:p>
        </w:tc>
        <w:tc>
          <w:tcPr>
            <w:tcW w:w="4960" w:type="dxa"/>
            <w:vAlign w:val="bottom"/>
          </w:tcPr>
          <w:p>
            <w:pPr>
              <w:ind w:left="360"/>
              <w:spacing w:after="0"/>
              <w:rPr>
                <w:sz w:val="20"/>
                <w:szCs w:val="20"/>
                <w:color w:val="auto"/>
              </w:rPr>
            </w:pPr>
            <w:r>
              <w:rPr>
                <w:rFonts w:ascii="Arial" w:cs="Arial" w:eastAsia="Arial" w:hAnsi="Arial"/>
                <w:sz w:val="18"/>
                <w:szCs w:val="18"/>
                <w:color w:val="auto"/>
              </w:rPr>
              <w:t>Sublicensee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1.42</w:t>
            </w:r>
          </w:p>
        </w:tc>
        <w:tc>
          <w:tcPr>
            <w:tcW w:w="4960" w:type="dxa"/>
            <w:vAlign w:val="bottom"/>
          </w:tcPr>
          <w:p>
            <w:pPr>
              <w:ind w:left="360"/>
              <w:spacing w:after="0"/>
              <w:rPr>
                <w:sz w:val="20"/>
                <w:szCs w:val="20"/>
                <w:color w:val="auto"/>
              </w:rPr>
            </w:pPr>
            <w:r>
              <w:rPr>
                <w:rFonts w:ascii="Arial" w:cs="Arial" w:eastAsia="Arial" w:hAnsi="Arial"/>
                <w:sz w:val="18"/>
                <w:szCs w:val="18"/>
                <w:color w:val="auto"/>
              </w:rPr>
              <w:t>Target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1.43</w:t>
            </w:r>
          </w:p>
        </w:tc>
        <w:tc>
          <w:tcPr>
            <w:tcW w:w="4960" w:type="dxa"/>
            <w:vAlign w:val="bottom"/>
          </w:tcPr>
          <w:p>
            <w:pPr>
              <w:ind w:left="360"/>
              <w:spacing w:after="0"/>
              <w:rPr>
                <w:sz w:val="20"/>
                <w:szCs w:val="20"/>
                <w:color w:val="auto"/>
              </w:rPr>
            </w:pPr>
            <w:r>
              <w:rPr>
                <w:rFonts w:ascii="Arial" w:cs="Arial" w:eastAsia="Arial" w:hAnsi="Arial"/>
                <w:sz w:val="18"/>
                <w:szCs w:val="18"/>
                <w:color w:val="auto"/>
              </w:rPr>
              <w:t>Territory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1.44</w:t>
            </w:r>
          </w:p>
        </w:tc>
        <w:tc>
          <w:tcPr>
            <w:tcW w:w="4960" w:type="dxa"/>
            <w:vAlign w:val="bottom"/>
          </w:tcPr>
          <w:p>
            <w:pPr>
              <w:ind w:left="360"/>
              <w:spacing w:after="0"/>
              <w:rPr>
                <w:sz w:val="20"/>
                <w:szCs w:val="20"/>
                <w:color w:val="auto"/>
              </w:rPr>
            </w:pPr>
            <w:r>
              <w:rPr>
                <w:rFonts w:ascii="Arial" w:cs="Arial" w:eastAsia="Arial" w:hAnsi="Arial"/>
                <w:sz w:val="18"/>
                <w:szCs w:val="18"/>
                <w:color w:val="auto"/>
              </w:rPr>
              <w:t>Third Party</w:t>
            </w:r>
          </w:p>
        </w:tc>
      </w:tr>
      <w:tr>
        <w:trPr>
          <w:trHeight w:val="244"/>
        </w:trPr>
        <w:tc>
          <w:tcPr>
            <w:tcW w:w="680" w:type="dxa"/>
            <w:vAlign w:val="bottom"/>
          </w:tcPr>
          <w:p>
            <w:pPr>
              <w:spacing w:after="0"/>
              <w:rPr>
                <w:sz w:val="20"/>
                <w:szCs w:val="20"/>
                <w:color w:val="auto"/>
              </w:rPr>
            </w:pPr>
            <w:r>
              <w:rPr>
                <w:rFonts w:ascii="Arial" w:cs="Arial" w:eastAsia="Arial" w:hAnsi="Arial"/>
                <w:sz w:val="18"/>
                <w:szCs w:val="18"/>
                <w:color w:val="auto"/>
              </w:rPr>
              <w:t>1.45</w:t>
            </w:r>
          </w:p>
        </w:tc>
        <w:tc>
          <w:tcPr>
            <w:tcW w:w="4960" w:type="dxa"/>
            <w:vAlign w:val="bottom"/>
          </w:tcPr>
          <w:p>
            <w:pPr>
              <w:ind w:left="360"/>
              <w:spacing w:after="0"/>
              <w:rPr>
                <w:sz w:val="20"/>
                <w:szCs w:val="20"/>
                <w:color w:val="auto"/>
              </w:rPr>
            </w:pPr>
            <w:r>
              <w:rPr>
                <w:rFonts w:ascii="Arial" w:cs="Arial" w:eastAsia="Arial" w:hAnsi="Arial"/>
                <w:sz w:val="18"/>
                <w:szCs w:val="18"/>
                <w:color w:val="auto"/>
              </w:rPr>
              <w:t>Valid Claim</w:t>
            </w:r>
          </w:p>
        </w:tc>
      </w:tr>
    </w:tbl>
    <w:p>
      <w:pPr>
        <w:spacing w:after="0" w:line="225" w:lineRule="exact"/>
        <w:rPr>
          <w:sz w:val="20"/>
          <w:szCs w:val="20"/>
          <w:color w:val="auto"/>
        </w:rPr>
      </w:pPr>
    </w:p>
    <w:p>
      <w:pPr>
        <w:ind w:right="380" w:firstLine="8"/>
        <w:spacing w:after="0" w:line="282" w:lineRule="auto"/>
        <w:tabs>
          <w:tab w:leader="none" w:pos="31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2">
            <w:col w:w="11120" w:space="220"/>
            <w:col w:w="8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ARTICLE II - RESEARCH AND DEVELOPMENT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7780" w:type="dxa"/>
            <w:vAlign w:val="bottom"/>
          </w:tcPr>
          <w:p>
            <w:pPr>
              <w:ind w:left="400"/>
              <w:spacing w:after="0"/>
              <w:rPr>
                <w:sz w:val="20"/>
                <w:szCs w:val="20"/>
                <w:color w:val="auto"/>
              </w:rPr>
            </w:pPr>
            <w:r>
              <w:rPr>
                <w:rFonts w:ascii="Arial" w:cs="Arial" w:eastAsia="Arial" w:hAnsi="Arial"/>
                <w:sz w:val="18"/>
                <w:szCs w:val="18"/>
                <w:color w:val="auto"/>
              </w:rPr>
              <w:t>Target Selection</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2.2</w:t>
            </w:r>
          </w:p>
        </w:tc>
        <w:tc>
          <w:tcPr>
            <w:tcW w:w="7780" w:type="dxa"/>
            <w:vAlign w:val="bottom"/>
          </w:tcPr>
          <w:p>
            <w:pPr>
              <w:ind w:left="400"/>
              <w:spacing w:after="0"/>
              <w:rPr>
                <w:sz w:val="20"/>
                <w:szCs w:val="20"/>
                <w:color w:val="auto"/>
              </w:rPr>
            </w:pPr>
            <w:r>
              <w:rPr>
                <w:rFonts w:ascii="Arial" w:cs="Arial" w:eastAsia="Arial" w:hAnsi="Arial"/>
                <w:sz w:val="18"/>
                <w:szCs w:val="18"/>
                <w:color w:val="auto"/>
              </w:rPr>
              <w:t>Research Collaboration</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2.3</w:t>
            </w:r>
          </w:p>
        </w:tc>
        <w:tc>
          <w:tcPr>
            <w:tcW w:w="7780" w:type="dxa"/>
            <w:vAlign w:val="bottom"/>
          </w:tcPr>
          <w:p>
            <w:pPr>
              <w:ind w:left="400"/>
              <w:spacing w:after="0"/>
              <w:rPr>
                <w:sz w:val="20"/>
                <w:szCs w:val="20"/>
                <w:color w:val="auto"/>
              </w:rPr>
            </w:pPr>
            <w:r>
              <w:rPr>
                <w:rFonts w:ascii="Arial" w:cs="Arial" w:eastAsia="Arial" w:hAnsi="Arial"/>
                <w:sz w:val="18"/>
                <w:szCs w:val="18"/>
                <w:color w:val="auto"/>
              </w:rPr>
              <w:t>Research Collaboration FTEs</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2.4</w:t>
            </w:r>
          </w:p>
        </w:tc>
        <w:tc>
          <w:tcPr>
            <w:tcW w:w="7780" w:type="dxa"/>
            <w:vAlign w:val="bottom"/>
          </w:tcPr>
          <w:p>
            <w:pPr>
              <w:ind w:left="400"/>
              <w:spacing w:after="0"/>
              <w:rPr>
                <w:sz w:val="20"/>
                <w:szCs w:val="20"/>
                <w:color w:val="auto"/>
              </w:rPr>
            </w:pPr>
            <w:r>
              <w:rPr>
                <w:rFonts w:ascii="Arial" w:cs="Arial" w:eastAsia="Arial" w:hAnsi="Arial"/>
                <w:sz w:val="18"/>
                <w:szCs w:val="18"/>
                <w:color w:val="auto"/>
              </w:rPr>
              <w:t>Status Reports</w:t>
            </w:r>
          </w:p>
        </w:tc>
      </w:tr>
      <w:tr>
        <w:trPr>
          <w:trHeight w:val="24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2.5</w:t>
            </w:r>
          </w:p>
        </w:tc>
        <w:tc>
          <w:tcPr>
            <w:tcW w:w="7780" w:type="dxa"/>
            <w:vAlign w:val="bottom"/>
          </w:tcPr>
          <w:p>
            <w:pPr>
              <w:ind w:left="400"/>
              <w:spacing w:after="0"/>
              <w:rPr>
                <w:sz w:val="20"/>
                <w:szCs w:val="20"/>
                <w:color w:val="auto"/>
              </w:rPr>
            </w:pPr>
            <w:r>
              <w:rPr>
                <w:rFonts w:ascii="Arial" w:cs="Arial" w:eastAsia="Arial" w:hAnsi="Arial"/>
                <w:sz w:val="18"/>
                <w:szCs w:val="18"/>
                <w:color w:val="auto"/>
                <w:w w:val="91"/>
              </w:rPr>
              <w:t>Research, Development, Manufacture and Commercialization following Research Collaboration Term</w:t>
            </w:r>
          </w:p>
        </w:tc>
      </w:tr>
      <w:tr>
        <w:trPr>
          <w:trHeight w:val="351"/>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III - GOVERNANCE</w:t>
            </w:r>
          </w:p>
        </w:tc>
      </w:tr>
      <w:tr>
        <w:trPr>
          <w:trHeight w:val="36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7780" w:type="dxa"/>
            <w:vAlign w:val="bottom"/>
          </w:tcPr>
          <w:p>
            <w:pPr>
              <w:ind w:left="400"/>
              <w:spacing w:after="0"/>
              <w:rPr>
                <w:sz w:val="20"/>
                <w:szCs w:val="20"/>
                <w:color w:val="auto"/>
              </w:rPr>
            </w:pPr>
            <w:r>
              <w:rPr>
                <w:rFonts w:ascii="Arial" w:cs="Arial" w:eastAsia="Arial" w:hAnsi="Arial"/>
                <w:sz w:val="18"/>
                <w:szCs w:val="18"/>
                <w:color w:val="auto"/>
              </w:rPr>
              <w:t>JRDC</w:t>
            </w:r>
          </w:p>
        </w:tc>
      </w:tr>
      <w:tr>
        <w:trPr>
          <w:trHeight w:val="24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7780" w:type="dxa"/>
            <w:vAlign w:val="bottom"/>
          </w:tcPr>
          <w:p>
            <w:pPr>
              <w:ind w:left="400"/>
              <w:spacing w:after="0"/>
              <w:rPr>
                <w:sz w:val="20"/>
                <w:szCs w:val="20"/>
                <w:color w:val="auto"/>
              </w:rPr>
            </w:pPr>
            <w:r>
              <w:rPr>
                <w:rFonts w:ascii="Arial" w:cs="Arial" w:eastAsia="Arial" w:hAnsi="Arial"/>
                <w:sz w:val="18"/>
                <w:szCs w:val="18"/>
                <w:color w:val="auto"/>
              </w:rPr>
              <w:t>Decision Making; Limits on Authority</w:t>
            </w:r>
          </w:p>
        </w:tc>
      </w:tr>
      <w:tr>
        <w:trPr>
          <w:trHeight w:val="351"/>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IV - LICENSE GRANTS</w:t>
            </w:r>
          </w:p>
        </w:tc>
      </w:tr>
      <w:tr>
        <w:trPr>
          <w:trHeight w:val="36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7780" w:type="dxa"/>
            <w:vAlign w:val="bottom"/>
          </w:tcPr>
          <w:p>
            <w:pPr>
              <w:ind w:left="400"/>
              <w:spacing w:after="0"/>
              <w:rPr>
                <w:sz w:val="20"/>
                <w:szCs w:val="20"/>
                <w:color w:val="auto"/>
              </w:rPr>
            </w:pPr>
            <w:r>
              <w:rPr>
                <w:rFonts w:ascii="Arial" w:cs="Arial" w:eastAsia="Arial" w:hAnsi="Arial"/>
                <w:sz w:val="18"/>
                <w:szCs w:val="18"/>
                <w:color w:val="auto"/>
              </w:rPr>
              <w:t>Licenses</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4.2</w:t>
            </w:r>
          </w:p>
        </w:tc>
        <w:tc>
          <w:tcPr>
            <w:tcW w:w="7780" w:type="dxa"/>
            <w:vAlign w:val="bottom"/>
          </w:tcPr>
          <w:p>
            <w:pPr>
              <w:ind w:left="400"/>
              <w:spacing w:after="0"/>
              <w:rPr>
                <w:sz w:val="20"/>
                <w:szCs w:val="20"/>
                <w:color w:val="auto"/>
              </w:rPr>
            </w:pPr>
            <w:r>
              <w:rPr>
                <w:rFonts w:ascii="Arial" w:cs="Arial" w:eastAsia="Arial" w:hAnsi="Arial"/>
                <w:sz w:val="18"/>
                <w:szCs w:val="18"/>
                <w:color w:val="auto"/>
              </w:rPr>
              <w:t>Sublicensing</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4.3</w:t>
            </w:r>
          </w:p>
        </w:tc>
        <w:tc>
          <w:tcPr>
            <w:tcW w:w="7780" w:type="dxa"/>
            <w:vAlign w:val="bottom"/>
          </w:tcPr>
          <w:p>
            <w:pPr>
              <w:ind w:left="400"/>
              <w:spacing w:after="0"/>
              <w:rPr>
                <w:sz w:val="20"/>
                <w:szCs w:val="20"/>
                <w:color w:val="auto"/>
              </w:rPr>
            </w:pPr>
            <w:r>
              <w:rPr>
                <w:rFonts w:ascii="Arial" w:cs="Arial" w:eastAsia="Arial" w:hAnsi="Arial"/>
                <w:sz w:val="18"/>
                <w:szCs w:val="18"/>
                <w:color w:val="auto"/>
              </w:rPr>
              <w:t>Retained Rights of ALNYLAM</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7780" w:type="dxa"/>
            <w:vAlign w:val="bottom"/>
          </w:tcPr>
          <w:p>
            <w:pPr>
              <w:ind w:left="400"/>
              <w:spacing w:after="0"/>
              <w:rPr>
                <w:sz w:val="20"/>
                <w:szCs w:val="20"/>
                <w:color w:val="auto"/>
              </w:rPr>
            </w:pPr>
            <w:r>
              <w:rPr>
                <w:rFonts w:ascii="Arial" w:cs="Arial" w:eastAsia="Arial" w:hAnsi="Arial"/>
                <w:sz w:val="18"/>
                <w:szCs w:val="18"/>
                <w:color w:val="auto"/>
              </w:rPr>
              <w:t>Additional Patents Option</w:t>
            </w:r>
          </w:p>
        </w:tc>
      </w:tr>
      <w:tr>
        <w:trPr>
          <w:trHeight w:val="24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4.5</w:t>
            </w:r>
          </w:p>
        </w:tc>
        <w:tc>
          <w:tcPr>
            <w:tcW w:w="7780" w:type="dxa"/>
            <w:vAlign w:val="bottom"/>
          </w:tcPr>
          <w:p>
            <w:pPr>
              <w:ind w:left="400"/>
              <w:spacing w:after="0"/>
              <w:rPr>
                <w:sz w:val="20"/>
                <w:szCs w:val="20"/>
                <w:color w:val="auto"/>
              </w:rPr>
            </w:pPr>
            <w:r>
              <w:rPr>
                <w:rFonts w:ascii="Arial" w:cs="Arial" w:eastAsia="Arial" w:hAnsi="Arial"/>
                <w:sz w:val="18"/>
                <w:szCs w:val="18"/>
                <w:color w:val="auto"/>
              </w:rPr>
              <w:t>Exclusivity</w:t>
            </w:r>
          </w:p>
        </w:tc>
      </w:tr>
      <w:tr>
        <w:trPr>
          <w:trHeight w:val="446"/>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V - FEES AND ROYALTIES</w:t>
            </w:r>
          </w:p>
        </w:tc>
      </w:tr>
      <w:tr>
        <w:trPr>
          <w:trHeight w:val="36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5.1</w:t>
            </w:r>
          </w:p>
        </w:tc>
        <w:tc>
          <w:tcPr>
            <w:tcW w:w="7780" w:type="dxa"/>
            <w:vAlign w:val="bottom"/>
          </w:tcPr>
          <w:p>
            <w:pPr>
              <w:ind w:left="400"/>
              <w:spacing w:after="0"/>
              <w:rPr>
                <w:sz w:val="20"/>
                <w:szCs w:val="20"/>
                <w:color w:val="auto"/>
              </w:rPr>
            </w:pPr>
            <w:r>
              <w:rPr>
                <w:rFonts w:ascii="Arial" w:cs="Arial" w:eastAsia="Arial" w:hAnsi="Arial"/>
                <w:sz w:val="18"/>
                <w:szCs w:val="18"/>
                <w:color w:val="auto"/>
              </w:rPr>
              <w:t>FTE Costs</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5.2</w:t>
            </w:r>
          </w:p>
        </w:tc>
        <w:tc>
          <w:tcPr>
            <w:tcW w:w="7780" w:type="dxa"/>
            <w:vAlign w:val="bottom"/>
          </w:tcPr>
          <w:p>
            <w:pPr>
              <w:ind w:left="400"/>
              <w:spacing w:after="0"/>
              <w:rPr>
                <w:sz w:val="20"/>
                <w:szCs w:val="20"/>
                <w:color w:val="auto"/>
              </w:rPr>
            </w:pPr>
            <w:r>
              <w:rPr>
                <w:rFonts w:ascii="Arial" w:cs="Arial" w:eastAsia="Arial" w:hAnsi="Arial"/>
                <w:sz w:val="18"/>
                <w:szCs w:val="18"/>
                <w:color w:val="auto"/>
              </w:rPr>
              <w:t>Milestone Payments</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5.3</w:t>
            </w:r>
          </w:p>
        </w:tc>
        <w:tc>
          <w:tcPr>
            <w:tcW w:w="7780" w:type="dxa"/>
            <w:vAlign w:val="bottom"/>
          </w:tcPr>
          <w:p>
            <w:pPr>
              <w:ind w:left="400"/>
              <w:spacing w:after="0"/>
              <w:rPr>
                <w:sz w:val="20"/>
                <w:szCs w:val="20"/>
                <w:color w:val="auto"/>
              </w:rPr>
            </w:pPr>
            <w:r>
              <w:rPr>
                <w:rFonts w:ascii="Arial" w:cs="Arial" w:eastAsia="Arial" w:hAnsi="Arial"/>
                <w:sz w:val="18"/>
                <w:szCs w:val="18"/>
                <w:color w:val="auto"/>
              </w:rPr>
              <w:t>Royalties</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5.4</w:t>
            </w:r>
          </w:p>
        </w:tc>
        <w:tc>
          <w:tcPr>
            <w:tcW w:w="7780" w:type="dxa"/>
            <w:vAlign w:val="bottom"/>
          </w:tcPr>
          <w:p>
            <w:pPr>
              <w:ind w:left="400"/>
              <w:spacing w:after="0"/>
              <w:rPr>
                <w:sz w:val="20"/>
                <w:szCs w:val="20"/>
                <w:color w:val="auto"/>
              </w:rPr>
            </w:pPr>
            <w:r>
              <w:rPr>
                <w:rFonts w:ascii="Arial" w:cs="Arial" w:eastAsia="Arial" w:hAnsi="Arial"/>
                <w:sz w:val="18"/>
                <w:szCs w:val="18"/>
                <w:color w:val="auto"/>
              </w:rPr>
              <w:t>Sales Milestone Payment</w:t>
            </w:r>
          </w:p>
        </w:tc>
      </w:tr>
      <w:tr>
        <w:trPr>
          <w:trHeight w:val="24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5.5</w:t>
            </w:r>
          </w:p>
        </w:tc>
        <w:tc>
          <w:tcPr>
            <w:tcW w:w="7780" w:type="dxa"/>
            <w:vAlign w:val="bottom"/>
          </w:tcPr>
          <w:p>
            <w:pPr>
              <w:ind w:left="400"/>
              <w:spacing w:after="0"/>
              <w:rPr>
                <w:sz w:val="20"/>
                <w:szCs w:val="20"/>
                <w:color w:val="auto"/>
              </w:rPr>
            </w:pPr>
            <w:r>
              <w:rPr>
                <w:rFonts w:ascii="Arial" w:cs="Arial" w:eastAsia="Arial" w:hAnsi="Arial"/>
                <w:sz w:val="18"/>
                <w:szCs w:val="18"/>
                <w:color w:val="auto"/>
              </w:rPr>
              <w:t>Third Party License Fees</w:t>
            </w:r>
          </w:p>
        </w:tc>
      </w:tr>
      <w:tr>
        <w:trPr>
          <w:trHeight w:val="351"/>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VI - REPORTS, TAXES AND PAYMENTS</w:t>
            </w:r>
          </w:p>
        </w:tc>
      </w:tr>
      <w:tr>
        <w:trPr>
          <w:trHeight w:val="36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6.1</w:t>
            </w:r>
          </w:p>
        </w:tc>
        <w:tc>
          <w:tcPr>
            <w:tcW w:w="7780" w:type="dxa"/>
            <w:vAlign w:val="bottom"/>
          </w:tcPr>
          <w:p>
            <w:pPr>
              <w:ind w:left="400"/>
              <w:spacing w:after="0"/>
              <w:rPr>
                <w:sz w:val="20"/>
                <w:szCs w:val="20"/>
                <w:color w:val="auto"/>
              </w:rPr>
            </w:pPr>
            <w:r>
              <w:rPr>
                <w:rFonts w:ascii="Arial" w:cs="Arial" w:eastAsia="Arial" w:hAnsi="Arial"/>
                <w:sz w:val="18"/>
                <w:szCs w:val="18"/>
                <w:color w:val="auto"/>
              </w:rPr>
              <w:t>Reports</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6.2</w:t>
            </w:r>
          </w:p>
        </w:tc>
        <w:tc>
          <w:tcPr>
            <w:tcW w:w="7780" w:type="dxa"/>
            <w:vAlign w:val="bottom"/>
          </w:tcPr>
          <w:p>
            <w:pPr>
              <w:ind w:left="400"/>
              <w:spacing w:after="0"/>
              <w:rPr>
                <w:sz w:val="20"/>
                <w:szCs w:val="20"/>
                <w:color w:val="auto"/>
              </w:rPr>
            </w:pPr>
            <w:r>
              <w:rPr>
                <w:rFonts w:ascii="Arial" w:cs="Arial" w:eastAsia="Arial" w:hAnsi="Arial"/>
                <w:sz w:val="18"/>
                <w:szCs w:val="18"/>
                <w:color w:val="auto"/>
              </w:rPr>
              <w:t>Tax Withholding</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6.3</w:t>
            </w:r>
          </w:p>
        </w:tc>
        <w:tc>
          <w:tcPr>
            <w:tcW w:w="7780" w:type="dxa"/>
            <w:vAlign w:val="bottom"/>
          </w:tcPr>
          <w:p>
            <w:pPr>
              <w:ind w:left="400"/>
              <w:spacing w:after="0"/>
              <w:rPr>
                <w:sz w:val="20"/>
                <w:szCs w:val="20"/>
                <w:color w:val="auto"/>
              </w:rPr>
            </w:pPr>
            <w:r>
              <w:rPr>
                <w:rFonts w:ascii="Arial" w:cs="Arial" w:eastAsia="Arial" w:hAnsi="Arial"/>
                <w:sz w:val="18"/>
                <w:szCs w:val="18"/>
                <w:color w:val="auto"/>
              </w:rPr>
              <w:t>Payments</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6.4</w:t>
            </w:r>
          </w:p>
        </w:tc>
        <w:tc>
          <w:tcPr>
            <w:tcW w:w="7780" w:type="dxa"/>
            <w:vAlign w:val="bottom"/>
          </w:tcPr>
          <w:p>
            <w:pPr>
              <w:ind w:left="400"/>
              <w:spacing w:after="0"/>
              <w:rPr>
                <w:sz w:val="20"/>
                <w:szCs w:val="20"/>
                <w:color w:val="auto"/>
              </w:rPr>
            </w:pPr>
            <w:r>
              <w:rPr>
                <w:rFonts w:ascii="Arial" w:cs="Arial" w:eastAsia="Arial" w:hAnsi="Arial"/>
                <w:sz w:val="18"/>
                <w:szCs w:val="18"/>
                <w:color w:val="auto"/>
              </w:rPr>
              <w:t>Audits</w:t>
            </w:r>
          </w:p>
        </w:tc>
      </w:tr>
      <w:tr>
        <w:trPr>
          <w:trHeight w:val="24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6.5</w:t>
            </w:r>
          </w:p>
        </w:tc>
        <w:tc>
          <w:tcPr>
            <w:tcW w:w="7780" w:type="dxa"/>
            <w:vAlign w:val="bottom"/>
          </w:tcPr>
          <w:p>
            <w:pPr>
              <w:ind w:left="400"/>
              <w:spacing w:after="0"/>
              <w:rPr>
                <w:sz w:val="20"/>
                <w:szCs w:val="20"/>
                <w:color w:val="auto"/>
              </w:rPr>
            </w:pPr>
            <w:r>
              <w:rPr>
                <w:rFonts w:ascii="Arial" w:cs="Arial" w:eastAsia="Arial" w:hAnsi="Arial"/>
                <w:sz w:val="18"/>
                <w:szCs w:val="18"/>
                <w:color w:val="auto"/>
              </w:rPr>
              <w:t>Late Payments</w:t>
            </w:r>
          </w:p>
        </w:tc>
      </w:tr>
      <w:tr>
        <w:trPr>
          <w:trHeight w:val="351"/>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VII - INTELLECTUAL PROPERTY</w:t>
            </w:r>
          </w:p>
        </w:tc>
      </w:tr>
      <w:tr>
        <w:trPr>
          <w:trHeight w:val="36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7.1</w:t>
            </w:r>
          </w:p>
        </w:tc>
        <w:tc>
          <w:tcPr>
            <w:tcW w:w="7780" w:type="dxa"/>
            <w:vAlign w:val="bottom"/>
          </w:tcPr>
          <w:p>
            <w:pPr>
              <w:ind w:left="400"/>
              <w:spacing w:after="0"/>
              <w:rPr>
                <w:sz w:val="20"/>
                <w:szCs w:val="20"/>
                <w:color w:val="auto"/>
              </w:rPr>
            </w:pPr>
            <w:r>
              <w:rPr>
                <w:rFonts w:ascii="Arial" w:cs="Arial" w:eastAsia="Arial" w:hAnsi="Arial"/>
                <w:sz w:val="18"/>
                <w:szCs w:val="18"/>
                <w:color w:val="auto"/>
              </w:rPr>
              <w:t>Prosecution and Maintenance of Patent Rights</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7.2</w:t>
            </w:r>
          </w:p>
        </w:tc>
        <w:tc>
          <w:tcPr>
            <w:tcW w:w="7780" w:type="dxa"/>
            <w:vAlign w:val="bottom"/>
          </w:tcPr>
          <w:p>
            <w:pPr>
              <w:ind w:left="400"/>
              <w:spacing w:after="0"/>
              <w:rPr>
                <w:sz w:val="20"/>
                <w:szCs w:val="20"/>
                <w:color w:val="auto"/>
              </w:rPr>
            </w:pPr>
            <w:r>
              <w:rPr>
                <w:rFonts w:ascii="Arial" w:cs="Arial" w:eastAsia="Arial" w:hAnsi="Arial"/>
                <w:sz w:val="18"/>
                <w:szCs w:val="18"/>
                <w:color w:val="auto"/>
              </w:rPr>
              <w:t>Infringement of ALNYLAM Rights</w:t>
            </w:r>
          </w:p>
        </w:tc>
      </w:tr>
      <w:tr>
        <w:trPr>
          <w:trHeight w:val="24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7.3</w:t>
            </w:r>
          </w:p>
        </w:tc>
        <w:tc>
          <w:tcPr>
            <w:tcW w:w="7780" w:type="dxa"/>
            <w:vAlign w:val="bottom"/>
          </w:tcPr>
          <w:p>
            <w:pPr>
              <w:ind w:left="400"/>
              <w:spacing w:after="0"/>
              <w:rPr>
                <w:sz w:val="20"/>
                <w:szCs w:val="20"/>
                <w:color w:val="auto"/>
              </w:rPr>
            </w:pPr>
            <w:r>
              <w:rPr>
                <w:rFonts w:ascii="Arial" w:cs="Arial" w:eastAsia="Arial" w:hAnsi="Arial"/>
                <w:sz w:val="18"/>
                <w:szCs w:val="18"/>
                <w:color w:val="auto"/>
              </w:rPr>
              <w:t>Claimed Infringement of Third Party Rights, and Third Party Intellectual Property Obligations</w:t>
            </w:r>
          </w:p>
        </w:tc>
      </w:tr>
      <w:tr>
        <w:trPr>
          <w:trHeight w:val="351"/>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VIII - CONFIDENTIAL INFORMATION</w:t>
            </w:r>
          </w:p>
        </w:tc>
      </w:tr>
      <w:tr>
        <w:trPr>
          <w:trHeight w:val="36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8.1</w:t>
            </w:r>
          </w:p>
        </w:tc>
        <w:tc>
          <w:tcPr>
            <w:tcW w:w="7780" w:type="dxa"/>
            <w:vAlign w:val="bottom"/>
          </w:tcPr>
          <w:p>
            <w:pPr>
              <w:ind w:left="400"/>
              <w:spacing w:after="0"/>
              <w:rPr>
                <w:sz w:val="20"/>
                <w:szCs w:val="20"/>
                <w:color w:val="auto"/>
              </w:rPr>
            </w:pPr>
            <w:r>
              <w:rPr>
                <w:rFonts w:ascii="Arial" w:cs="Arial" w:eastAsia="Arial" w:hAnsi="Arial"/>
                <w:sz w:val="18"/>
                <w:szCs w:val="18"/>
                <w:color w:val="auto"/>
              </w:rPr>
              <w:t>Non-Use and Non-Disclosure of Confidential Information</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8.2</w:t>
            </w:r>
          </w:p>
        </w:tc>
        <w:tc>
          <w:tcPr>
            <w:tcW w:w="7780" w:type="dxa"/>
            <w:vAlign w:val="bottom"/>
          </w:tcPr>
          <w:p>
            <w:pPr>
              <w:ind w:left="400"/>
              <w:spacing w:after="0"/>
              <w:rPr>
                <w:sz w:val="20"/>
                <w:szCs w:val="20"/>
                <w:color w:val="auto"/>
              </w:rPr>
            </w:pPr>
            <w:r>
              <w:rPr>
                <w:rFonts w:ascii="Arial" w:cs="Arial" w:eastAsia="Arial" w:hAnsi="Arial"/>
                <w:sz w:val="18"/>
                <w:szCs w:val="18"/>
                <w:color w:val="auto"/>
              </w:rPr>
              <w:t>Permitted Disclosures</w:t>
            </w:r>
          </w:p>
        </w:tc>
      </w:tr>
      <w:tr>
        <w:trPr>
          <w:trHeight w:val="24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8.3</w:t>
            </w:r>
          </w:p>
        </w:tc>
        <w:tc>
          <w:tcPr>
            <w:tcW w:w="7780" w:type="dxa"/>
            <w:vAlign w:val="bottom"/>
          </w:tcPr>
          <w:p>
            <w:pPr>
              <w:ind w:left="400"/>
              <w:spacing w:after="0"/>
              <w:rPr>
                <w:sz w:val="20"/>
                <w:szCs w:val="20"/>
                <w:color w:val="auto"/>
              </w:rPr>
            </w:pPr>
            <w:r>
              <w:rPr>
                <w:rFonts w:ascii="Arial" w:cs="Arial" w:eastAsia="Arial" w:hAnsi="Arial"/>
                <w:sz w:val="18"/>
                <w:szCs w:val="18"/>
                <w:color w:val="auto"/>
              </w:rPr>
              <w:t>Publicity</w:t>
            </w:r>
          </w:p>
        </w:tc>
      </w:tr>
      <w:tr>
        <w:trPr>
          <w:trHeight w:val="351"/>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IX - INDEMNIFICATION AND INSURANCE</w:t>
            </w:r>
          </w:p>
        </w:tc>
      </w:tr>
      <w:tr>
        <w:trPr>
          <w:trHeight w:val="36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9.1</w:t>
            </w:r>
          </w:p>
        </w:tc>
        <w:tc>
          <w:tcPr>
            <w:tcW w:w="7780" w:type="dxa"/>
            <w:vAlign w:val="bottom"/>
          </w:tcPr>
          <w:p>
            <w:pPr>
              <w:ind w:left="400"/>
              <w:spacing w:after="0"/>
              <w:rPr>
                <w:sz w:val="20"/>
                <w:szCs w:val="20"/>
                <w:color w:val="auto"/>
              </w:rPr>
            </w:pPr>
            <w:r>
              <w:rPr>
                <w:rFonts w:ascii="Arial" w:cs="Arial" w:eastAsia="Arial" w:hAnsi="Arial"/>
                <w:sz w:val="18"/>
                <w:szCs w:val="18"/>
                <w:color w:val="auto"/>
              </w:rPr>
              <w:t>ARROWHEAD Indemnification</w:t>
            </w:r>
          </w:p>
        </w:tc>
      </w:tr>
      <w:tr>
        <w:trPr>
          <w:trHeight w:val="230"/>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9.2</w:t>
            </w:r>
          </w:p>
        </w:tc>
        <w:tc>
          <w:tcPr>
            <w:tcW w:w="7780" w:type="dxa"/>
            <w:vAlign w:val="bottom"/>
          </w:tcPr>
          <w:p>
            <w:pPr>
              <w:ind w:left="400"/>
              <w:spacing w:after="0"/>
              <w:rPr>
                <w:sz w:val="20"/>
                <w:szCs w:val="20"/>
                <w:color w:val="auto"/>
              </w:rPr>
            </w:pPr>
            <w:r>
              <w:rPr>
                <w:rFonts w:ascii="Arial" w:cs="Arial" w:eastAsia="Arial" w:hAnsi="Arial"/>
                <w:sz w:val="18"/>
                <w:szCs w:val="18"/>
                <w:color w:val="auto"/>
              </w:rPr>
              <w:t>ALNYLAM Indemnification</w:t>
            </w:r>
          </w:p>
        </w:tc>
      </w:tr>
      <w:tr>
        <w:trPr>
          <w:trHeight w:val="244"/>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9.3</w:t>
            </w:r>
          </w:p>
        </w:tc>
        <w:tc>
          <w:tcPr>
            <w:tcW w:w="7780" w:type="dxa"/>
            <w:vAlign w:val="bottom"/>
          </w:tcPr>
          <w:p>
            <w:pPr>
              <w:ind w:left="400"/>
              <w:spacing w:after="0"/>
              <w:rPr>
                <w:sz w:val="20"/>
                <w:szCs w:val="20"/>
                <w:color w:val="auto"/>
              </w:rPr>
            </w:pPr>
            <w:r>
              <w:rPr>
                <w:rFonts w:ascii="Arial" w:cs="Arial" w:eastAsia="Arial" w:hAnsi="Arial"/>
                <w:sz w:val="18"/>
                <w:szCs w:val="18"/>
                <w:color w:val="auto"/>
              </w:rPr>
              <w:t>Indemnification Procedures</w:t>
            </w:r>
          </w:p>
        </w:tc>
      </w:tr>
    </w:tbl>
    <w:p>
      <w:pPr>
        <w:spacing w:after="0" w:line="225" w:lineRule="exact"/>
        <w:rPr>
          <w:sz w:val="20"/>
          <w:szCs w:val="20"/>
          <w:color w:val="auto"/>
        </w:rPr>
      </w:pPr>
    </w:p>
    <w:p>
      <w:pPr>
        <w:ind w:firstLine="8"/>
        <w:spacing w:after="0" w:line="282" w:lineRule="auto"/>
        <w:tabs>
          <w:tab w:leader="none" w:pos="31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ectPr>
          <w:pgSz w:w="11900" w:h="16838" w:orient="portrait"/>
          <w:cols w:equalWidth="0" w:num="2">
            <w:col w:w="10740" w:space="500"/>
            <w:col w:w="18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ARTICLE X - EXPORT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10.1</w:t>
            </w:r>
          </w:p>
        </w:tc>
        <w:tc>
          <w:tcPr>
            <w:tcW w:w="4160" w:type="dxa"/>
            <w:vAlign w:val="bottom"/>
          </w:tcPr>
          <w:p>
            <w:pPr>
              <w:ind w:left="320"/>
              <w:spacing w:after="0"/>
              <w:rPr>
                <w:sz w:val="20"/>
                <w:szCs w:val="20"/>
                <w:color w:val="auto"/>
              </w:rPr>
            </w:pPr>
            <w:r>
              <w:rPr>
                <w:rFonts w:ascii="Arial" w:cs="Arial" w:eastAsia="Arial" w:hAnsi="Arial"/>
                <w:sz w:val="18"/>
                <w:szCs w:val="18"/>
                <w:color w:val="auto"/>
              </w:rPr>
              <w:t>General</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10.2</w:t>
            </w:r>
          </w:p>
        </w:tc>
        <w:tc>
          <w:tcPr>
            <w:tcW w:w="4160" w:type="dxa"/>
            <w:vAlign w:val="bottom"/>
          </w:tcPr>
          <w:p>
            <w:pPr>
              <w:ind w:left="320"/>
              <w:spacing w:after="0"/>
              <w:rPr>
                <w:sz w:val="20"/>
                <w:szCs w:val="20"/>
                <w:color w:val="auto"/>
              </w:rPr>
            </w:pPr>
            <w:r>
              <w:rPr>
                <w:rFonts w:ascii="Arial" w:cs="Arial" w:eastAsia="Arial" w:hAnsi="Arial"/>
                <w:sz w:val="18"/>
                <w:szCs w:val="18"/>
                <w:color w:val="auto"/>
              </w:rPr>
              <w:t>Delays</w:t>
            </w:r>
          </w:p>
        </w:tc>
      </w:tr>
      <w:tr>
        <w:trPr>
          <w:trHeight w:val="244"/>
        </w:trPr>
        <w:tc>
          <w:tcPr>
            <w:tcW w:w="1060" w:type="dxa"/>
            <w:vAlign w:val="bottom"/>
          </w:tcPr>
          <w:p>
            <w:pPr>
              <w:ind w:left="340"/>
              <w:spacing w:after="0"/>
              <w:rPr>
                <w:sz w:val="20"/>
                <w:szCs w:val="20"/>
                <w:color w:val="auto"/>
              </w:rPr>
            </w:pPr>
            <w:r>
              <w:rPr>
                <w:rFonts w:ascii="Arial" w:cs="Arial" w:eastAsia="Arial" w:hAnsi="Arial"/>
                <w:sz w:val="18"/>
                <w:szCs w:val="18"/>
                <w:color w:val="auto"/>
              </w:rPr>
              <w:t>10.3</w:t>
            </w:r>
          </w:p>
        </w:tc>
        <w:tc>
          <w:tcPr>
            <w:tcW w:w="4160" w:type="dxa"/>
            <w:vAlign w:val="bottom"/>
          </w:tcPr>
          <w:p>
            <w:pPr>
              <w:ind w:left="320"/>
              <w:spacing w:after="0"/>
              <w:rPr>
                <w:sz w:val="20"/>
                <w:szCs w:val="20"/>
                <w:color w:val="auto"/>
              </w:rPr>
            </w:pPr>
            <w:r>
              <w:rPr>
                <w:rFonts w:ascii="Arial" w:cs="Arial" w:eastAsia="Arial" w:hAnsi="Arial"/>
                <w:sz w:val="18"/>
                <w:szCs w:val="18"/>
                <w:color w:val="auto"/>
              </w:rPr>
              <w:t>Assistance</w:t>
            </w:r>
          </w:p>
        </w:tc>
      </w:tr>
      <w:tr>
        <w:trPr>
          <w:trHeight w:val="35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ARTICLE XI - TERM AND TERMINATION</w:t>
            </w:r>
          </w:p>
        </w:tc>
      </w:tr>
      <w:tr>
        <w:trPr>
          <w:trHeight w:val="364"/>
        </w:trPr>
        <w:tc>
          <w:tcPr>
            <w:tcW w:w="1060" w:type="dxa"/>
            <w:vAlign w:val="bottom"/>
          </w:tcPr>
          <w:p>
            <w:pPr>
              <w:ind w:left="340"/>
              <w:spacing w:after="0"/>
              <w:rPr>
                <w:sz w:val="20"/>
                <w:szCs w:val="20"/>
                <w:color w:val="auto"/>
              </w:rPr>
            </w:pPr>
            <w:r>
              <w:rPr>
                <w:rFonts w:ascii="Arial" w:cs="Arial" w:eastAsia="Arial" w:hAnsi="Arial"/>
                <w:sz w:val="18"/>
                <w:szCs w:val="18"/>
                <w:color w:val="auto"/>
              </w:rPr>
              <w:t>11.1</w:t>
            </w:r>
          </w:p>
        </w:tc>
        <w:tc>
          <w:tcPr>
            <w:tcW w:w="4160" w:type="dxa"/>
            <w:vAlign w:val="bottom"/>
          </w:tcPr>
          <w:p>
            <w:pPr>
              <w:ind w:left="320"/>
              <w:spacing w:after="0"/>
              <w:rPr>
                <w:sz w:val="20"/>
                <w:szCs w:val="20"/>
                <w:color w:val="auto"/>
              </w:rPr>
            </w:pPr>
            <w:r>
              <w:rPr>
                <w:rFonts w:ascii="Arial" w:cs="Arial" w:eastAsia="Arial" w:hAnsi="Arial"/>
                <w:sz w:val="18"/>
                <w:szCs w:val="18"/>
                <w:color w:val="auto"/>
              </w:rPr>
              <w:t>Term</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11.2</w:t>
            </w:r>
          </w:p>
        </w:tc>
        <w:tc>
          <w:tcPr>
            <w:tcW w:w="4160" w:type="dxa"/>
            <w:vAlign w:val="bottom"/>
          </w:tcPr>
          <w:p>
            <w:pPr>
              <w:ind w:left="320"/>
              <w:spacing w:after="0"/>
              <w:rPr>
                <w:sz w:val="20"/>
                <w:szCs w:val="20"/>
                <w:color w:val="auto"/>
              </w:rPr>
            </w:pPr>
            <w:r>
              <w:rPr>
                <w:rFonts w:ascii="Arial" w:cs="Arial" w:eastAsia="Arial" w:hAnsi="Arial"/>
                <w:sz w:val="18"/>
                <w:szCs w:val="18"/>
                <w:color w:val="auto"/>
              </w:rPr>
              <w:t>Material Breach</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11.3</w:t>
            </w:r>
          </w:p>
        </w:tc>
        <w:tc>
          <w:tcPr>
            <w:tcW w:w="4160" w:type="dxa"/>
            <w:vAlign w:val="bottom"/>
          </w:tcPr>
          <w:p>
            <w:pPr>
              <w:ind w:left="320"/>
              <w:spacing w:after="0"/>
              <w:rPr>
                <w:sz w:val="20"/>
                <w:szCs w:val="20"/>
                <w:color w:val="auto"/>
              </w:rPr>
            </w:pPr>
            <w:r>
              <w:rPr>
                <w:rFonts w:ascii="Arial" w:cs="Arial" w:eastAsia="Arial" w:hAnsi="Arial"/>
                <w:sz w:val="18"/>
                <w:szCs w:val="18"/>
                <w:color w:val="auto"/>
              </w:rPr>
              <w:t>Termination by ARROWHEAD</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11.4</w:t>
            </w:r>
          </w:p>
        </w:tc>
        <w:tc>
          <w:tcPr>
            <w:tcW w:w="4160" w:type="dxa"/>
            <w:vAlign w:val="bottom"/>
          </w:tcPr>
          <w:p>
            <w:pPr>
              <w:ind w:left="320"/>
              <w:spacing w:after="0"/>
              <w:rPr>
                <w:sz w:val="20"/>
                <w:szCs w:val="20"/>
                <w:color w:val="auto"/>
              </w:rPr>
            </w:pPr>
            <w:r>
              <w:rPr>
                <w:rFonts w:ascii="Arial" w:cs="Arial" w:eastAsia="Arial" w:hAnsi="Arial"/>
                <w:sz w:val="18"/>
                <w:szCs w:val="18"/>
                <w:color w:val="auto"/>
              </w:rPr>
              <w:t>Termination Due to Patent Challenge</w:t>
            </w:r>
          </w:p>
        </w:tc>
      </w:tr>
      <w:tr>
        <w:trPr>
          <w:trHeight w:val="244"/>
        </w:trPr>
        <w:tc>
          <w:tcPr>
            <w:tcW w:w="1060" w:type="dxa"/>
            <w:vAlign w:val="bottom"/>
          </w:tcPr>
          <w:p>
            <w:pPr>
              <w:ind w:left="340"/>
              <w:spacing w:after="0"/>
              <w:rPr>
                <w:sz w:val="20"/>
                <w:szCs w:val="20"/>
                <w:color w:val="auto"/>
              </w:rPr>
            </w:pPr>
            <w:r>
              <w:rPr>
                <w:rFonts w:ascii="Arial" w:cs="Arial" w:eastAsia="Arial" w:hAnsi="Arial"/>
                <w:sz w:val="18"/>
                <w:szCs w:val="18"/>
                <w:color w:val="auto"/>
              </w:rPr>
              <w:t>11.5</w:t>
            </w:r>
          </w:p>
        </w:tc>
        <w:tc>
          <w:tcPr>
            <w:tcW w:w="4160" w:type="dxa"/>
            <w:vAlign w:val="bottom"/>
          </w:tcPr>
          <w:p>
            <w:pPr>
              <w:ind w:left="320"/>
              <w:spacing w:after="0"/>
              <w:rPr>
                <w:sz w:val="20"/>
                <w:szCs w:val="20"/>
                <w:color w:val="auto"/>
              </w:rPr>
            </w:pPr>
            <w:r>
              <w:rPr>
                <w:rFonts w:ascii="Arial" w:cs="Arial" w:eastAsia="Arial" w:hAnsi="Arial"/>
                <w:sz w:val="18"/>
                <w:szCs w:val="18"/>
                <w:color w:val="auto"/>
              </w:rPr>
              <w:t>Consequences of Termination; Survival</w:t>
            </w:r>
          </w:p>
        </w:tc>
      </w:tr>
      <w:tr>
        <w:trPr>
          <w:trHeight w:val="35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ARTICLE XII - MISCELLANEOUS</w:t>
            </w:r>
          </w:p>
        </w:tc>
      </w:tr>
      <w:tr>
        <w:trPr>
          <w:trHeight w:val="364"/>
        </w:trPr>
        <w:tc>
          <w:tcPr>
            <w:tcW w:w="1060" w:type="dxa"/>
            <w:vAlign w:val="bottom"/>
          </w:tcPr>
          <w:p>
            <w:pPr>
              <w:ind w:left="340"/>
              <w:spacing w:after="0"/>
              <w:rPr>
                <w:sz w:val="20"/>
                <w:szCs w:val="20"/>
                <w:color w:val="auto"/>
              </w:rPr>
            </w:pPr>
            <w:r>
              <w:rPr>
                <w:rFonts w:ascii="Arial" w:cs="Arial" w:eastAsia="Arial" w:hAnsi="Arial"/>
                <w:sz w:val="18"/>
                <w:szCs w:val="18"/>
                <w:color w:val="auto"/>
              </w:rPr>
              <w:t>12.1</w:t>
            </w:r>
          </w:p>
        </w:tc>
        <w:tc>
          <w:tcPr>
            <w:tcW w:w="4160" w:type="dxa"/>
            <w:vAlign w:val="bottom"/>
          </w:tcPr>
          <w:p>
            <w:pPr>
              <w:ind w:left="320"/>
              <w:spacing w:after="0"/>
              <w:rPr>
                <w:sz w:val="20"/>
                <w:szCs w:val="20"/>
                <w:color w:val="auto"/>
              </w:rPr>
            </w:pPr>
            <w:r>
              <w:rPr>
                <w:rFonts w:ascii="Arial" w:cs="Arial" w:eastAsia="Arial" w:hAnsi="Arial"/>
                <w:sz w:val="18"/>
                <w:szCs w:val="18"/>
                <w:color w:val="auto"/>
                <w:w w:val="94"/>
              </w:rPr>
              <w:t>Representations by ARROWHEAD and ALNYLAM</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12.2</w:t>
            </w:r>
          </w:p>
        </w:tc>
        <w:tc>
          <w:tcPr>
            <w:tcW w:w="4160" w:type="dxa"/>
            <w:vAlign w:val="bottom"/>
          </w:tcPr>
          <w:p>
            <w:pPr>
              <w:ind w:left="320"/>
              <w:spacing w:after="0"/>
              <w:rPr>
                <w:sz w:val="20"/>
                <w:szCs w:val="20"/>
                <w:color w:val="auto"/>
              </w:rPr>
            </w:pPr>
            <w:r>
              <w:rPr>
                <w:rFonts w:ascii="Arial" w:cs="Arial" w:eastAsia="Arial" w:hAnsi="Arial"/>
                <w:sz w:val="18"/>
                <w:szCs w:val="18"/>
                <w:color w:val="auto"/>
              </w:rPr>
              <w:t>Mutual Covenants</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12.3</w:t>
            </w:r>
          </w:p>
        </w:tc>
        <w:tc>
          <w:tcPr>
            <w:tcW w:w="4160" w:type="dxa"/>
            <w:vAlign w:val="bottom"/>
          </w:tcPr>
          <w:p>
            <w:pPr>
              <w:ind w:left="320"/>
              <w:spacing w:after="0"/>
              <w:rPr>
                <w:sz w:val="20"/>
                <w:szCs w:val="20"/>
                <w:color w:val="auto"/>
              </w:rPr>
            </w:pPr>
            <w:r>
              <w:rPr>
                <w:rFonts w:ascii="Arial" w:cs="Arial" w:eastAsia="Arial" w:hAnsi="Arial"/>
                <w:sz w:val="18"/>
                <w:szCs w:val="18"/>
                <w:color w:val="auto"/>
              </w:rPr>
              <w:t>Dispute Resolution; Arbitration Procedures</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12.4</w:t>
            </w:r>
          </w:p>
        </w:tc>
        <w:tc>
          <w:tcPr>
            <w:tcW w:w="4160" w:type="dxa"/>
            <w:vAlign w:val="bottom"/>
          </w:tcPr>
          <w:p>
            <w:pPr>
              <w:ind w:left="320"/>
              <w:spacing w:after="0"/>
              <w:rPr>
                <w:sz w:val="20"/>
                <w:szCs w:val="20"/>
                <w:color w:val="auto"/>
              </w:rPr>
            </w:pPr>
            <w:r>
              <w:rPr>
                <w:rFonts w:ascii="Arial" w:cs="Arial" w:eastAsia="Arial" w:hAnsi="Arial"/>
                <w:sz w:val="18"/>
                <w:szCs w:val="18"/>
                <w:color w:val="auto"/>
              </w:rPr>
              <w:t>Force Majeure</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12.5</w:t>
            </w:r>
          </w:p>
        </w:tc>
        <w:tc>
          <w:tcPr>
            <w:tcW w:w="4160" w:type="dxa"/>
            <w:vAlign w:val="bottom"/>
          </w:tcPr>
          <w:p>
            <w:pPr>
              <w:ind w:left="320"/>
              <w:spacing w:after="0"/>
              <w:rPr>
                <w:sz w:val="20"/>
                <w:szCs w:val="20"/>
                <w:color w:val="auto"/>
              </w:rPr>
            </w:pPr>
            <w:r>
              <w:rPr>
                <w:rFonts w:ascii="Arial" w:cs="Arial" w:eastAsia="Arial" w:hAnsi="Arial"/>
                <w:sz w:val="18"/>
                <w:szCs w:val="18"/>
                <w:color w:val="auto"/>
              </w:rPr>
              <w:t>Consequential Damages</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12.6</w:t>
            </w:r>
          </w:p>
        </w:tc>
        <w:tc>
          <w:tcPr>
            <w:tcW w:w="4160" w:type="dxa"/>
            <w:vAlign w:val="bottom"/>
          </w:tcPr>
          <w:p>
            <w:pPr>
              <w:ind w:left="320"/>
              <w:spacing w:after="0"/>
              <w:rPr>
                <w:sz w:val="20"/>
                <w:szCs w:val="20"/>
                <w:color w:val="auto"/>
              </w:rPr>
            </w:pPr>
            <w:r>
              <w:rPr>
                <w:rFonts w:ascii="Arial" w:cs="Arial" w:eastAsia="Arial" w:hAnsi="Arial"/>
                <w:sz w:val="18"/>
                <w:szCs w:val="18"/>
                <w:color w:val="auto"/>
              </w:rPr>
              <w:t>Assignment</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12.7</w:t>
            </w:r>
          </w:p>
        </w:tc>
        <w:tc>
          <w:tcPr>
            <w:tcW w:w="4160" w:type="dxa"/>
            <w:vAlign w:val="bottom"/>
          </w:tcPr>
          <w:p>
            <w:pPr>
              <w:ind w:left="320"/>
              <w:spacing w:after="0"/>
              <w:rPr>
                <w:sz w:val="20"/>
                <w:szCs w:val="20"/>
                <w:color w:val="auto"/>
              </w:rPr>
            </w:pPr>
            <w:r>
              <w:rPr>
                <w:rFonts w:ascii="Arial" w:cs="Arial" w:eastAsia="Arial" w:hAnsi="Arial"/>
                <w:sz w:val="18"/>
                <w:szCs w:val="18"/>
                <w:color w:val="auto"/>
              </w:rPr>
              <w:t>Notices</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12.8</w:t>
            </w:r>
          </w:p>
        </w:tc>
        <w:tc>
          <w:tcPr>
            <w:tcW w:w="4160" w:type="dxa"/>
            <w:vAlign w:val="bottom"/>
          </w:tcPr>
          <w:p>
            <w:pPr>
              <w:ind w:left="320"/>
              <w:spacing w:after="0"/>
              <w:rPr>
                <w:sz w:val="20"/>
                <w:szCs w:val="20"/>
                <w:color w:val="auto"/>
              </w:rPr>
            </w:pPr>
            <w:r>
              <w:rPr>
                <w:rFonts w:ascii="Arial" w:cs="Arial" w:eastAsia="Arial" w:hAnsi="Arial"/>
                <w:sz w:val="18"/>
                <w:szCs w:val="18"/>
                <w:color w:val="auto"/>
              </w:rPr>
              <w:t>Independent Contractors</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12.9</w:t>
            </w:r>
          </w:p>
        </w:tc>
        <w:tc>
          <w:tcPr>
            <w:tcW w:w="4160" w:type="dxa"/>
            <w:vAlign w:val="bottom"/>
          </w:tcPr>
          <w:p>
            <w:pPr>
              <w:ind w:left="320"/>
              <w:spacing w:after="0"/>
              <w:rPr>
                <w:sz w:val="20"/>
                <w:szCs w:val="20"/>
                <w:color w:val="auto"/>
              </w:rPr>
            </w:pPr>
            <w:r>
              <w:rPr>
                <w:rFonts w:ascii="Arial" w:cs="Arial" w:eastAsia="Arial" w:hAnsi="Arial"/>
                <w:sz w:val="18"/>
                <w:szCs w:val="18"/>
                <w:color w:val="auto"/>
              </w:rPr>
              <w:t>Governing Law; Jurisdiction</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12.10</w:t>
            </w:r>
          </w:p>
        </w:tc>
        <w:tc>
          <w:tcPr>
            <w:tcW w:w="4160" w:type="dxa"/>
            <w:vAlign w:val="bottom"/>
          </w:tcPr>
          <w:p>
            <w:pPr>
              <w:ind w:left="320"/>
              <w:spacing w:after="0"/>
              <w:rPr>
                <w:sz w:val="20"/>
                <w:szCs w:val="20"/>
                <w:color w:val="auto"/>
              </w:rPr>
            </w:pPr>
            <w:r>
              <w:rPr>
                <w:rFonts w:ascii="Arial" w:cs="Arial" w:eastAsia="Arial" w:hAnsi="Arial"/>
                <w:sz w:val="18"/>
                <w:szCs w:val="18"/>
                <w:color w:val="auto"/>
              </w:rPr>
              <w:t>Severability</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12.11</w:t>
            </w:r>
          </w:p>
        </w:tc>
        <w:tc>
          <w:tcPr>
            <w:tcW w:w="4160" w:type="dxa"/>
            <w:vAlign w:val="bottom"/>
          </w:tcPr>
          <w:p>
            <w:pPr>
              <w:ind w:left="320"/>
              <w:spacing w:after="0"/>
              <w:rPr>
                <w:sz w:val="20"/>
                <w:szCs w:val="20"/>
                <w:color w:val="auto"/>
              </w:rPr>
            </w:pPr>
            <w:r>
              <w:rPr>
                <w:rFonts w:ascii="Arial" w:cs="Arial" w:eastAsia="Arial" w:hAnsi="Arial"/>
                <w:sz w:val="18"/>
                <w:szCs w:val="18"/>
                <w:color w:val="auto"/>
              </w:rPr>
              <w:t>No Implied Waivers</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12.12</w:t>
            </w:r>
          </w:p>
        </w:tc>
        <w:tc>
          <w:tcPr>
            <w:tcW w:w="4160" w:type="dxa"/>
            <w:vAlign w:val="bottom"/>
          </w:tcPr>
          <w:p>
            <w:pPr>
              <w:ind w:left="320"/>
              <w:spacing w:after="0"/>
              <w:rPr>
                <w:sz w:val="20"/>
                <w:szCs w:val="20"/>
                <w:color w:val="auto"/>
              </w:rPr>
            </w:pPr>
            <w:r>
              <w:rPr>
                <w:rFonts w:ascii="Arial" w:cs="Arial" w:eastAsia="Arial" w:hAnsi="Arial"/>
                <w:sz w:val="18"/>
                <w:szCs w:val="18"/>
                <w:color w:val="auto"/>
              </w:rPr>
              <w:t>Entire Agreement</w:t>
            </w:r>
          </w:p>
        </w:tc>
      </w:tr>
      <w:tr>
        <w:trPr>
          <w:trHeight w:val="230"/>
        </w:trPr>
        <w:tc>
          <w:tcPr>
            <w:tcW w:w="1060" w:type="dxa"/>
            <w:vAlign w:val="bottom"/>
          </w:tcPr>
          <w:p>
            <w:pPr>
              <w:ind w:left="340"/>
              <w:spacing w:after="0"/>
              <w:rPr>
                <w:sz w:val="20"/>
                <w:szCs w:val="20"/>
                <w:color w:val="auto"/>
              </w:rPr>
            </w:pPr>
            <w:r>
              <w:rPr>
                <w:rFonts w:ascii="Arial" w:cs="Arial" w:eastAsia="Arial" w:hAnsi="Arial"/>
                <w:sz w:val="18"/>
                <w:szCs w:val="18"/>
                <w:color w:val="auto"/>
              </w:rPr>
              <w:t>12.13</w:t>
            </w:r>
          </w:p>
        </w:tc>
        <w:tc>
          <w:tcPr>
            <w:tcW w:w="4160" w:type="dxa"/>
            <w:vAlign w:val="bottom"/>
          </w:tcPr>
          <w:p>
            <w:pPr>
              <w:ind w:left="320"/>
              <w:spacing w:after="0"/>
              <w:rPr>
                <w:sz w:val="20"/>
                <w:szCs w:val="20"/>
                <w:color w:val="auto"/>
              </w:rPr>
            </w:pPr>
            <w:r>
              <w:rPr>
                <w:rFonts w:ascii="Arial" w:cs="Arial" w:eastAsia="Arial" w:hAnsi="Arial"/>
                <w:sz w:val="18"/>
                <w:szCs w:val="18"/>
                <w:color w:val="auto"/>
              </w:rPr>
              <w:t>Headings; Construction; Interpretation</w:t>
            </w:r>
          </w:p>
        </w:tc>
      </w:tr>
      <w:tr>
        <w:trPr>
          <w:trHeight w:val="244"/>
        </w:trPr>
        <w:tc>
          <w:tcPr>
            <w:tcW w:w="1060" w:type="dxa"/>
            <w:vAlign w:val="bottom"/>
          </w:tcPr>
          <w:p>
            <w:pPr>
              <w:ind w:left="340"/>
              <w:spacing w:after="0"/>
              <w:rPr>
                <w:sz w:val="20"/>
                <w:szCs w:val="20"/>
                <w:color w:val="auto"/>
              </w:rPr>
            </w:pPr>
            <w:r>
              <w:rPr>
                <w:rFonts w:ascii="Arial" w:cs="Arial" w:eastAsia="Arial" w:hAnsi="Arial"/>
                <w:sz w:val="18"/>
                <w:szCs w:val="18"/>
                <w:color w:val="auto"/>
              </w:rPr>
              <w:t>12.14</w:t>
            </w:r>
          </w:p>
        </w:tc>
        <w:tc>
          <w:tcPr>
            <w:tcW w:w="4160" w:type="dxa"/>
            <w:vAlign w:val="bottom"/>
          </w:tcPr>
          <w:p>
            <w:pPr>
              <w:ind w:left="320"/>
              <w:spacing w:after="0"/>
              <w:rPr>
                <w:sz w:val="20"/>
                <w:szCs w:val="20"/>
                <w:color w:val="auto"/>
              </w:rPr>
            </w:pPr>
            <w:r>
              <w:rPr>
                <w:rFonts w:ascii="Arial" w:cs="Arial" w:eastAsia="Arial" w:hAnsi="Arial"/>
                <w:sz w:val="18"/>
                <w:szCs w:val="18"/>
                <w:color w:val="auto"/>
              </w:rPr>
              <w:t>Counterparts</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8"/>
        <w:spacing w:after="0" w:line="282" w:lineRule="auto"/>
        <w:tabs>
          <w:tab w:leader="none" w:pos="31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ectPr>
          <w:pgSz w:w="11900" w:h="16838" w:orient="portrait"/>
          <w:cols w:equalWidth="0" w:num="2">
            <w:col w:w="10740" w:space="500"/>
            <w:col w:w="180"/>
          </w:cols>
          <w:pgMar w:left="240" w:top="36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ARTICLE I - DEFINITIONS</w:t>
      </w:r>
    </w:p>
    <w:p>
      <w:pPr>
        <w:spacing w:after="0" w:line="22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When used in this Agreement, each of the following terms, whether used in the singular or plural, will have the meanings set forth in this Article I.</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u w:val="single" w:color="auto"/>
          <w:color w:val="auto"/>
        </w:rPr>
        <w:t xml:space="preserve">Act </w:t>
      </w:r>
      <w:r>
        <w:rPr>
          <w:rFonts w:ascii="Arial" w:cs="Arial" w:eastAsia="Arial" w:hAnsi="Arial"/>
          <w:sz w:val="18"/>
          <w:szCs w:val="18"/>
          <w:color w:val="auto"/>
        </w:rPr>
        <w:t>means the United States Federal Food, Drug, and Cosmetic Act of 1938, 21 U.S.C. §§ 301 et seq., as such may be amended from time to time,</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its implementing regulations.</w:t>
      </w:r>
    </w:p>
    <w:p>
      <w:pPr>
        <w:spacing w:after="0" w:line="170"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auto"/>
        </w:rPr>
        <w:t xml:space="preserve">Affiliate </w:t>
      </w:r>
      <w:r>
        <w:rPr>
          <w:rFonts w:ascii="Arial" w:cs="Arial" w:eastAsia="Arial" w:hAnsi="Arial"/>
          <w:sz w:val="17"/>
          <w:szCs w:val="17"/>
          <w:color w:val="auto"/>
        </w:rPr>
        <w:t>means with respect to a Person, any other Person which controls, is controlled by, or is under common control with the applicable Person.</w:t>
      </w:r>
      <w:r>
        <w:rPr>
          <w:rFonts w:ascii="Arial" w:cs="Arial" w:eastAsia="Arial" w:hAnsi="Arial"/>
          <w:sz w:val="17"/>
          <w:szCs w:val="17"/>
          <w:u w:val="single" w:color="auto"/>
          <w:color w:val="auto"/>
        </w:rPr>
        <w:t xml:space="preserve"> </w:t>
      </w:r>
      <w:r>
        <w:rPr>
          <w:rFonts w:ascii="Arial" w:cs="Arial" w:eastAsia="Arial" w:hAnsi="Arial"/>
          <w:sz w:val="17"/>
          <w:szCs w:val="17"/>
          <w:color w:val="auto"/>
        </w:rPr>
        <w:t>For purposes of this definition, “control” shall mean: (a) in the case of corporate entities, direct or indirect ownership of more than fifty percent (50%) of the stock or shares (or such lesser percentage which is the maximum allowed to be owned by a foreign corporation in a particular jurisdiction) entitled to vote for the election of directors, or otherwise having the power to control or direct the affairs of such Person; and (b) in the case of non-corporate entities, direct or indirect ownership of more than fifty percent (50%) of the equity interest or the power to direct the management and policies of such non-corporate entities. For purposes of this Agreement, Regulus Therapeutics, LLC, 3545 John Hopkins Ct., San Diego, California 92121, shall be deemed not to be an Affiliate of ALNYLAM.</w:t>
      </w:r>
    </w:p>
    <w:p>
      <w:pPr>
        <w:spacing w:after="0" w:line="17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u w:val="single" w:color="auto"/>
          <w:color w:val="auto"/>
        </w:rPr>
        <w:t xml:space="preserve">ALNYLAM CRT Additional Patent Rights </w:t>
      </w:r>
      <w:r>
        <w:rPr>
          <w:rFonts w:ascii="Arial" w:cs="Arial" w:eastAsia="Arial" w:hAnsi="Arial"/>
          <w:sz w:val="18"/>
          <w:szCs w:val="18"/>
          <w:color w:val="auto"/>
        </w:rPr>
        <w:t>means the patents and patent applications listed on Exhibit E, and all continuations, continuations-in-part,</w:t>
      </w:r>
      <w:r>
        <w:rPr>
          <w:rFonts w:ascii="Arial" w:cs="Arial" w:eastAsia="Arial" w:hAnsi="Arial"/>
          <w:sz w:val="18"/>
          <w:szCs w:val="18"/>
          <w:u w:val="single" w:color="auto"/>
          <w:color w:val="auto"/>
        </w:rPr>
        <w:t xml:space="preserve"> </w:t>
      </w:r>
      <w:r>
        <w:rPr>
          <w:rFonts w:ascii="Arial" w:cs="Arial" w:eastAsia="Arial" w:hAnsi="Arial"/>
          <w:sz w:val="18"/>
          <w:szCs w:val="18"/>
          <w:color w:val="auto"/>
        </w:rPr>
        <w:t>divisionals, and other substitute applications with respect thereto; any patents issued with respect to any of the foregoing; and all reissues, substitutions, confirmations, re-examinations, supplementary protection certificates, certificates of invention and patents of addition with respect to any of the foregoing; and all counterparts to any of the foregoing in any country of the Territory.</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u w:val="single" w:color="auto"/>
          <w:color w:val="auto"/>
        </w:rPr>
        <w:t xml:space="preserve">ALNYLAM Broad RNAi Intellectual Property </w:t>
      </w:r>
      <w:r>
        <w:rPr>
          <w:rFonts w:ascii="Arial" w:cs="Arial" w:eastAsia="Arial" w:hAnsi="Arial"/>
          <w:sz w:val="17"/>
          <w:szCs w:val="17"/>
          <w:color w:val="auto"/>
        </w:rPr>
        <w:t>means ALNYLAM Broad RNAi Know-How and ALNYLAM Broad RNAi Patent Rights.</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u w:val="single" w:color="auto"/>
          <w:color w:val="auto"/>
        </w:rPr>
        <w:t xml:space="preserve">ALNYLAM Broad RNAi Know-How </w:t>
      </w:r>
      <w:r>
        <w:rPr>
          <w:rFonts w:ascii="Arial" w:cs="Arial" w:eastAsia="Arial" w:hAnsi="Arial"/>
          <w:sz w:val="18"/>
          <w:szCs w:val="18"/>
          <w:color w:val="auto"/>
        </w:rPr>
        <w:t>means Know-How, Controlled by ALNYLAM as of the Effective Date or during the Research Collaboration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 to the extent that such Know-How is necessary or useful for the Research, Development, Commercialization or manufacture of Licensed RNAi Products.</w:t>
      </w:r>
    </w:p>
    <w:p>
      <w:pPr>
        <w:spacing w:after="0" w:line="18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u w:val="single" w:color="auto"/>
          <w:color w:val="auto"/>
        </w:rPr>
        <w:t xml:space="preserve">ALNYLAM Broad RNAi Patent Rights </w:t>
      </w:r>
      <w:r>
        <w:rPr>
          <w:rFonts w:ascii="Arial" w:cs="Arial" w:eastAsia="Arial" w:hAnsi="Arial"/>
          <w:sz w:val="18"/>
          <w:szCs w:val="18"/>
          <w:color w:val="auto"/>
        </w:rPr>
        <w:t>means Patent Rights that are Controlled by ALNYLAM as of the Effective Date or during the Research</w:t>
      </w:r>
      <w:r>
        <w:rPr>
          <w:rFonts w:ascii="Arial" w:cs="Arial" w:eastAsia="Arial" w:hAnsi="Arial"/>
          <w:sz w:val="18"/>
          <w:szCs w:val="18"/>
          <w:u w:val="single" w:color="auto"/>
          <w:color w:val="auto"/>
        </w:rPr>
        <w:t xml:space="preserve"> </w:t>
      </w:r>
      <w:r>
        <w:rPr>
          <w:rFonts w:ascii="Arial" w:cs="Arial" w:eastAsia="Arial" w:hAnsi="Arial"/>
          <w:sz w:val="18"/>
          <w:szCs w:val="18"/>
          <w:color w:val="auto"/>
        </w:rPr>
        <w:t>Collaboration Term and that Cover Alnylam Broad RNAi Know-How, but specifically excluding any ALNYLAM CRT Additional Patent Rights, ALNYLAM Stanford Additional Patent Rights and ALNYLAM Target-Specific Patent Rights. The ALNYLAM Broad RNAi Patent Rights as of the Effective Date are listed in Exhibit A.</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u w:val="single" w:color="auto"/>
          <w:color w:val="auto"/>
        </w:rPr>
        <w:t xml:space="preserve">ALNYLAM Intellectual Property </w:t>
      </w:r>
      <w:r>
        <w:rPr>
          <w:rFonts w:ascii="Arial" w:cs="Arial" w:eastAsia="Arial" w:hAnsi="Arial"/>
          <w:sz w:val="17"/>
          <w:szCs w:val="17"/>
          <w:color w:val="auto"/>
        </w:rPr>
        <w:t>means the ALNYLAM Broad RNAi Intellectual Property and the ALNYLAM Target-Specific Patent Rights.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u w:val="single" w:color="auto"/>
          <w:color w:val="auto"/>
        </w:rPr>
        <w:t xml:space="preserve">ALNYLAM Patent Rights </w:t>
      </w:r>
      <w:r>
        <w:rPr>
          <w:rFonts w:ascii="Arial" w:cs="Arial" w:eastAsia="Arial" w:hAnsi="Arial"/>
          <w:sz w:val="16"/>
          <w:szCs w:val="16"/>
          <w:color w:val="auto"/>
        </w:rPr>
        <w:t>means the ALNYLAM Broad RNAi Patent Rights and the ALNYLAM Target-Specific Patent Rights.</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u w:val="single" w:color="auto"/>
          <w:color w:val="auto"/>
        </w:rPr>
        <w:t xml:space="preserve">ALNYLAM Stanford Additional Patent Rights </w:t>
      </w:r>
      <w:r>
        <w:rPr>
          <w:rFonts w:ascii="Arial" w:cs="Arial" w:eastAsia="Arial" w:hAnsi="Arial"/>
          <w:sz w:val="18"/>
          <w:szCs w:val="18"/>
          <w:color w:val="auto"/>
        </w:rPr>
        <w:t>means the patents and patent applications listed on Exhibit F, and all continuations, continuations-in-part, divisionals, and other substitute applications with respect thereto; any patents issued with respect to any of the foregoing; and all reissues, substitutions, confirmations, re-examinations, supplementary protection certificates, certificates of invention and patents of addition with respect to any of the foregoing; and all counterparts to any of the foregoing in any country of the Territory.</w:t>
      </w:r>
    </w:p>
    <w:p>
      <w:pPr>
        <w:spacing w:after="0" w:line="18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u w:val="single" w:color="auto"/>
          <w:color w:val="auto"/>
        </w:rPr>
        <w:t xml:space="preserve">ALNYLAM Target-Specific Patent Rights </w:t>
      </w:r>
      <w:r>
        <w:rPr>
          <w:rFonts w:ascii="Arial" w:cs="Arial" w:eastAsia="Arial" w:hAnsi="Arial"/>
          <w:sz w:val="18"/>
          <w:szCs w:val="18"/>
          <w:color w:val="auto"/>
        </w:rPr>
        <w:t>means such claim or claims contained in Patent Rights Controlled by ALNYLAM as of the Effective Date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during the Research Collaboration Term and that are specifically directed to particular sequences of Licensed RNAi Products against the Target. The ALNYLAM Target-Specific Patent Rights as of the Effective Date are listed in Exhibit 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80" w:firstLine="8"/>
        <w:spacing w:after="0" w:line="282" w:lineRule="auto"/>
        <w:tabs>
          <w:tab w:leader="none" w:pos="31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38" w:name="page39"/>
    <w:bookmarkEnd w:id="38"/>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 xml:space="preserve">Approval </w:t>
      </w:r>
      <w:r>
        <w:rPr>
          <w:rFonts w:ascii="Arial" w:cs="Arial" w:eastAsia="Arial" w:hAnsi="Arial"/>
          <w:sz w:val="17"/>
          <w:szCs w:val="17"/>
          <w:color w:val="auto"/>
        </w:rPr>
        <w:t>means, with respect to each Licensed RNAi Product Developed and Commercialized, the receipt of sufficient authorization from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appropriate Regulatory Authority to market such Licensed RNAi Product in a country, including (where legally required in a particular country prior to marketing a Licensed RNAi Product) all separate pricing and/or reimbursement approvals that may be required for marketing.</w:t>
      </w:r>
    </w:p>
    <w:p>
      <w:pPr>
        <w:spacing w:after="0" w:line="16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u w:val="single" w:color="auto"/>
          <w:color w:val="auto"/>
        </w:rPr>
        <w:t xml:space="preserve">Calendar Quarter </w:t>
      </w:r>
      <w:r>
        <w:rPr>
          <w:rFonts w:ascii="Arial" w:cs="Arial" w:eastAsia="Arial" w:hAnsi="Arial"/>
          <w:sz w:val="18"/>
          <w:szCs w:val="18"/>
          <w:color w:val="auto"/>
        </w:rPr>
        <w:t>means, in any calendar year, one of the following three-month calendar quarters: January 1 through March 31, inclusive; April 1</w:t>
      </w:r>
      <w:r>
        <w:rPr>
          <w:rFonts w:ascii="Arial" w:cs="Arial" w:eastAsia="Arial" w:hAnsi="Arial"/>
          <w:sz w:val="18"/>
          <w:szCs w:val="18"/>
          <w:u w:val="single" w:color="auto"/>
          <w:color w:val="auto"/>
        </w:rPr>
        <w:t xml:space="preserve"> </w:t>
      </w:r>
      <w:r>
        <w:rPr>
          <w:rFonts w:ascii="Arial" w:cs="Arial" w:eastAsia="Arial" w:hAnsi="Arial"/>
          <w:sz w:val="18"/>
          <w:szCs w:val="18"/>
          <w:color w:val="auto"/>
        </w:rPr>
        <w:t>through June 30, inclusive; July 1 through September 30, inclusive; or October 1 through December 31, inclusive.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 xml:space="preserve">Clinical Trial </w:t>
      </w:r>
      <w:r>
        <w:rPr>
          <w:rFonts w:ascii="Arial" w:cs="Arial" w:eastAsia="Arial" w:hAnsi="Arial"/>
          <w:sz w:val="16"/>
          <w:szCs w:val="16"/>
          <w:color w:val="auto"/>
        </w:rPr>
        <w:t>means any human clinical trial.</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u w:val="single" w:color="auto"/>
          <w:color w:val="auto"/>
        </w:rPr>
        <w:t xml:space="preserve">Commercialize or Commercialization </w:t>
      </w:r>
      <w:r>
        <w:rPr>
          <w:rFonts w:ascii="Arial" w:cs="Arial" w:eastAsia="Arial" w:hAnsi="Arial"/>
          <w:sz w:val="18"/>
          <w:szCs w:val="18"/>
          <w:color w:val="auto"/>
        </w:rPr>
        <w:t>means any and all activities directed to manufacturing (including, without limitation, by means of contract</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manufacturers), marketing, promoting, distributing, importing, exporting and selling a Licensed RNAi Product, in each case for commercial purposes, and activities directed to obtaining pricing and reimbursement approvals, as applicable.</w:t>
      </w:r>
    </w:p>
    <w:p>
      <w:pPr>
        <w:spacing w:after="0" w:line="18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 xml:space="preserve">Confidential Information </w:t>
      </w:r>
      <w:r>
        <w:rPr>
          <w:rFonts w:ascii="Arial" w:cs="Arial" w:eastAsia="Arial" w:hAnsi="Arial"/>
          <w:sz w:val="18"/>
          <w:szCs w:val="18"/>
          <w:color w:val="auto"/>
        </w:rPr>
        <w:t>means all proprietary, confidential information and materials, patentable or otherwise, of a Party which are disclosed by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on behalf of such Party to the other Party hereunder, including, without limitation, chemical substances, formulations, techniques, methodology, equipment, data, reports, know how, sources of supply, patent positioning, business plans, and also including without limitation proprietary and confidential information of Third Parties in possession of such Party under an obligation of confidentiality, whether or not related to making, using or selling Licensed RNAi Products.</w:t>
      </w:r>
    </w:p>
    <w:p>
      <w:pPr>
        <w:spacing w:after="0" w:line="18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u w:val="single" w:color="auto"/>
          <w:color w:val="auto"/>
        </w:rPr>
        <w:t xml:space="preserve">Control or Controlled </w:t>
      </w:r>
      <w:r>
        <w:rPr>
          <w:rFonts w:ascii="Arial" w:cs="Arial" w:eastAsia="Arial" w:hAnsi="Arial"/>
          <w:sz w:val="17"/>
          <w:szCs w:val="17"/>
          <w:color w:val="auto"/>
        </w:rPr>
        <w:t>means, with respect to any item of or right under an intellectual property right, the possession (whether by ownership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license, other than pursuant to this Agreement) of the ability of a Party to grant access to, or a license or sublicense of, such items or right as provided for herein without violating the terms of any agreement or other arrangement with any Third Party existing at the time such Party would be required hereunder to grant the other Party such access or license or sublicense;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intellectual property right that is licensed or acquired by a Party after the Effective Date and that would otherwise be considered to be under the Control of such Party shall not be deemed to be under the Control of such Party if the application of such definition in the context of any licenses or sublicenses granted to the other Party under this Agreement would require the granting Party to make any additional payments or royalties to a Third Party in connection with such license or sublicense grants, unless the other Party agrees to pay the additional payments or royalties to the Third Party.</w:t>
      </w:r>
    </w:p>
    <w:p>
      <w:pPr>
        <w:spacing w:after="0" w:line="17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u w:val="single" w:color="auto"/>
          <w:color w:val="auto"/>
        </w:rPr>
        <w:t xml:space="preserve">Cover or Covered </w:t>
      </w:r>
      <w:r>
        <w:rPr>
          <w:rFonts w:ascii="Arial" w:cs="Arial" w:eastAsia="Arial" w:hAnsi="Arial"/>
          <w:sz w:val="18"/>
          <w:szCs w:val="18"/>
          <w:color w:val="auto"/>
        </w:rPr>
        <w:t>means with respect to the applicable country, but for the license granted under a Valid Claim of a Patent Right, the manufacture,</w:t>
      </w:r>
      <w:r>
        <w:rPr>
          <w:rFonts w:ascii="Arial" w:cs="Arial" w:eastAsia="Arial" w:hAnsi="Arial"/>
          <w:sz w:val="18"/>
          <w:szCs w:val="18"/>
          <w:u w:val="single" w:color="auto"/>
          <w:color w:val="auto"/>
        </w:rPr>
        <w:t xml:space="preserve"> </w:t>
      </w:r>
      <w:r>
        <w:rPr>
          <w:rFonts w:ascii="Arial" w:cs="Arial" w:eastAsia="Arial" w:hAnsi="Arial"/>
          <w:sz w:val="18"/>
          <w:szCs w:val="18"/>
          <w:color w:val="auto"/>
        </w:rPr>
        <w:t>use or sale, or offer for sale in such country of the subject matter at issue would infringe such Valid Claim, or in the case of a Patent Right that is a patent application, would infringe a Valid Claim in such patent application if it were to issue as a patent.</w:t>
      </w:r>
    </w:p>
    <w:p>
      <w:pPr>
        <w:spacing w:after="0" w:line="181" w:lineRule="exact"/>
        <w:rPr>
          <w:sz w:val="20"/>
          <w:szCs w:val="20"/>
          <w:color w:val="auto"/>
        </w:rPr>
      </w:pPr>
    </w:p>
    <w:p>
      <w:pPr>
        <w:jc w:val="both"/>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u w:val="single" w:color="auto"/>
          <w:color w:val="auto"/>
        </w:rPr>
        <w:t xml:space="preserve">Develop, Developing or Development </w:t>
      </w:r>
      <w:r>
        <w:rPr>
          <w:rFonts w:ascii="Arial" w:cs="Arial" w:eastAsia="Arial" w:hAnsi="Arial"/>
          <w:sz w:val="18"/>
          <w:szCs w:val="18"/>
          <w:color w:val="auto"/>
        </w:rPr>
        <w:t>means with respect to a Licensed RNAi Product, preclinical and clinical drug development activities,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including without limitation: test method development and stability testing, toxicology, formulations, quality assurance/quality control development, statistical analysis and report writing; clinical studies and regulatory affairs; Approval and registration.</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u w:val="single" w:color="auto"/>
          <w:color w:val="auto"/>
        </w:rPr>
        <w:t xml:space="preserve">Dynamic Polymeric Conjugate Technology </w:t>
      </w:r>
      <w:r>
        <w:rPr>
          <w:rFonts w:ascii="Arial" w:cs="Arial" w:eastAsia="Arial" w:hAnsi="Arial"/>
          <w:sz w:val="18"/>
          <w:szCs w:val="18"/>
          <w:color w:val="auto"/>
        </w:rPr>
        <w:t>or</w:t>
      </w:r>
      <w:r>
        <w:rPr>
          <w:rFonts w:ascii="Arial" w:cs="Arial" w:eastAsia="Arial" w:hAnsi="Arial"/>
          <w:sz w:val="18"/>
          <w:szCs w:val="18"/>
          <w:u w:val="single" w:color="auto"/>
          <w:color w:val="auto"/>
        </w:rPr>
        <w:t xml:space="preserve"> DPC Technology </w:t>
      </w:r>
      <w:r>
        <w:rPr>
          <w:rFonts w:ascii="Arial" w:cs="Arial" w:eastAsia="Arial" w:hAnsi="Arial"/>
          <w:sz w:val="18"/>
          <w:szCs w:val="18"/>
          <w:color w:val="auto"/>
        </w:rPr>
        <w:t>means an siRNA delivery system including a membrane-active polymer, a masking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agent to reversibly mask the activity of the polymer in vivo, and optionally a targeting agent.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u w:val="single" w:color="auto"/>
          <w:color w:val="auto"/>
        </w:rPr>
        <w:t xml:space="preserve">Effective Date </w:t>
      </w:r>
      <w:r>
        <w:rPr>
          <w:rFonts w:ascii="Arial" w:cs="Arial" w:eastAsia="Arial" w:hAnsi="Arial"/>
          <w:sz w:val="16"/>
          <w:szCs w:val="16"/>
          <w:color w:val="auto"/>
        </w:rPr>
        <w:t>means January 4, 2012.</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 xml:space="preserve">Executive Officers </w:t>
      </w:r>
      <w:r>
        <w:rPr>
          <w:rFonts w:ascii="Arial" w:cs="Arial" w:eastAsia="Arial" w:hAnsi="Arial"/>
          <w:sz w:val="18"/>
          <w:szCs w:val="18"/>
          <w:color w:val="auto"/>
        </w:rPr>
        <w:t>means the Chief Executive Officer of ALNYLAM (or a senior executive officer of ALNYLAM designated by ALNYLAM’s</w:t>
      </w:r>
      <w:r>
        <w:rPr>
          <w:rFonts w:ascii="Arial" w:cs="Arial" w:eastAsia="Arial" w:hAnsi="Arial"/>
          <w:sz w:val="18"/>
          <w:szCs w:val="18"/>
          <w:u w:val="single" w:color="auto"/>
          <w:color w:val="auto"/>
        </w:rPr>
        <w:t xml:space="preserve"> </w:t>
      </w:r>
      <w:r>
        <w:rPr>
          <w:rFonts w:ascii="Arial" w:cs="Arial" w:eastAsia="Arial" w:hAnsi="Arial"/>
          <w:sz w:val="18"/>
          <w:szCs w:val="18"/>
          <w:color w:val="auto"/>
        </w:rPr>
        <w:t>Chief Executive Officer) and the Chief Executive Officer of ARROWHEAD (or a senior executive officer of ARROWHEAD as designated by ARROWHEAD’s Chief Executive Officer).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 xml:space="preserve">Existing ALNYLAM Third Party Agreements </w:t>
      </w:r>
      <w:r>
        <w:rPr>
          <w:rFonts w:ascii="Arial" w:cs="Arial" w:eastAsia="Arial" w:hAnsi="Arial"/>
          <w:sz w:val="16"/>
          <w:szCs w:val="16"/>
          <w:color w:val="auto"/>
        </w:rPr>
        <w:t>means the agreements listed on Exhibit B between ALNYLAM and the listed Third Parties.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 xml:space="preserve">FDA </w:t>
      </w:r>
      <w:r>
        <w:rPr>
          <w:rFonts w:ascii="Arial" w:cs="Arial" w:eastAsia="Arial" w:hAnsi="Arial"/>
          <w:sz w:val="16"/>
          <w:szCs w:val="16"/>
          <w:color w:val="auto"/>
        </w:rPr>
        <w:t>means the United States Food and Drug Administration or any successor agency thereto.</w:t>
      </w:r>
    </w:p>
    <w:p>
      <w:pPr>
        <w:spacing w:after="0" w:line="113" w:lineRule="exact"/>
        <w:rPr>
          <w:sz w:val="20"/>
          <w:szCs w:val="20"/>
          <w:color w:val="auto"/>
        </w:rPr>
      </w:pPr>
    </w:p>
    <w:p>
      <w:pPr>
        <w:ind w:right="680" w:firstLine="8"/>
        <w:spacing w:after="0" w:line="282" w:lineRule="auto"/>
        <w:tabs>
          <w:tab w:leader="none" w:pos="31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39" w:name="page40"/>
    <w:bookmarkEnd w:id="39"/>
    <w:p>
      <w:pPr>
        <w:spacing w:after="0"/>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 xml:space="preserve">Field </w:t>
      </w:r>
      <w:r>
        <w:rPr>
          <w:rFonts w:ascii="Arial" w:cs="Arial" w:eastAsia="Arial" w:hAnsi="Arial"/>
          <w:sz w:val="16"/>
          <w:szCs w:val="16"/>
          <w:color w:val="auto"/>
        </w:rPr>
        <w:t>means the prevention, treatment and prophylaxis of disease in humans.</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u w:val="single" w:color="auto"/>
          <w:color w:val="auto"/>
        </w:rPr>
        <w:t xml:space="preserve">First Commercial Sale </w:t>
      </w:r>
      <w:r>
        <w:rPr>
          <w:rFonts w:ascii="Arial" w:cs="Arial" w:eastAsia="Arial" w:hAnsi="Arial"/>
          <w:sz w:val="18"/>
          <w:szCs w:val="18"/>
          <w:color w:val="auto"/>
        </w:rPr>
        <w:t>means, with respect to each Licensed RNAi Product, the first commercial sale in a country as part of a nationwide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introduction after receipt by ARROWHEAD or any of its Affiliates or Sublicensees of Approval in such country, excluding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named patient and compassionate use sales.</w:t>
      </w:r>
    </w:p>
    <w:p>
      <w:pPr>
        <w:spacing w:after="0" w:line="181"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u w:val="single" w:color="auto"/>
          <w:color w:val="auto"/>
        </w:rPr>
        <w:t xml:space="preserve">FTE </w:t>
      </w:r>
      <w:r>
        <w:rPr>
          <w:rFonts w:ascii="Arial" w:cs="Arial" w:eastAsia="Arial" w:hAnsi="Arial"/>
          <w:sz w:val="17"/>
          <w:szCs w:val="17"/>
          <w:color w:val="auto"/>
        </w:rPr>
        <w:t>means the number of full-time-equivalent person-years (each consisting of a total of 1,840 hours) of scientific, technical, regulatory, marketing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managerial work by each party’s personnel on or directly related to the applicable activity conducted hereunder.</w:t>
      </w:r>
    </w:p>
    <w:p>
      <w:pPr>
        <w:spacing w:after="0" w:line="147"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u w:val="single" w:color="auto"/>
          <w:color w:val="auto"/>
        </w:rPr>
        <w:t xml:space="preserve">FTE Rate </w:t>
      </w:r>
      <w:r>
        <w:rPr>
          <w:rFonts w:ascii="Arial" w:cs="Arial" w:eastAsia="Arial" w:hAnsi="Arial"/>
          <w:sz w:val="16"/>
          <w:szCs w:val="16"/>
          <w:color w:val="auto"/>
        </w:rPr>
        <w:t>means $*** U.S. Dollars per FTE, increased annually beginning on January 1, 2013 and thereafter on January I of each succeeding year</w:t>
      </w:r>
      <w:r>
        <w:rPr>
          <w:rFonts w:ascii="Arial" w:cs="Arial" w:eastAsia="Arial" w:hAnsi="Arial"/>
          <w:sz w:val="16"/>
          <w:szCs w:val="16"/>
          <w:u w:val="single" w:color="auto"/>
          <w:color w:val="auto"/>
        </w:rPr>
        <w:t xml:space="preserve"> </w:t>
      </w:r>
      <w:r>
        <w:rPr>
          <w:rFonts w:ascii="Arial" w:cs="Arial" w:eastAsia="Arial" w:hAnsi="Arial"/>
          <w:sz w:val="16"/>
          <w:szCs w:val="16"/>
          <w:color w:val="auto"/>
        </w:rPr>
        <w:t>by the percentage increase in the CPI as of December 31 of the then most recently ended calendar year over the level of the CPI on December 31, 2011 e., the first such increase or decrease would occur on January 1, 2013). As used in this definition, “</w:t>
      </w:r>
      <w:r>
        <w:rPr>
          <w:rFonts w:ascii="Arial" w:cs="Arial" w:eastAsia="Arial" w:hAnsi="Arial"/>
          <w:sz w:val="16"/>
          <w:szCs w:val="16"/>
          <w:u w:val="single" w:color="auto"/>
          <w:color w:val="auto"/>
        </w:rPr>
        <w:t>CPI</w:t>
      </w:r>
      <w:r>
        <w:rPr>
          <w:rFonts w:ascii="Arial" w:cs="Arial" w:eastAsia="Arial" w:hAnsi="Arial"/>
          <w:sz w:val="16"/>
          <w:szCs w:val="16"/>
          <w:color w:val="auto"/>
        </w:rPr>
        <w:t>” shall mean the Consumer Price Index</w:t>
      </w:r>
    </w:p>
    <w:p>
      <w:pPr>
        <w:ind w:left="660"/>
        <w:spacing w:after="0" w:line="261" w:lineRule="auto"/>
        <w:rPr>
          <w:sz w:val="20"/>
          <w:szCs w:val="20"/>
          <w:color w:val="auto"/>
        </w:rPr>
      </w:pPr>
      <w:r>
        <w:rPr>
          <w:rFonts w:ascii="Arial" w:cs="Arial" w:eastAsia="Arial" w:hAnsi="Arial"/>
          <w:sz w:val="18"/>
          <w:szCs w:val="18"/>
          <w:color w:val="auto"/>
        </w:rPr>
        <w:t>— Urban Wage Earners and Clerical Workers, U.S. City Average, All Items, 1982-84 = 100, published by the United States Department of Labor, Bureau of Labor Statistics (or its successor equivalent index) in the United States.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u w:val="single" w:color="auto"/>
          <w:color w:val="auto"/>
        </w:rPr>
        <w:t xml:space="preserve">GAAP </w:t>
      </w:r>
      <w:r>
        <w:rPr>
          <w:rFonts w:ascii="Arial" w:cs="Arial" w:eastAsia="Arial" w:hAnsi="Arial"/>
          <w:sz w:val="16"/>
          <w:szCs w:val="16"/>
          <w:color w:val="auto"/>
        </w:rPr>
        <w:t>means generally accepted accounting principles as practiced in the United States.</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u w:val="single" w:color="auto"/>
          <w:color w:val="auto"/>
        </w:rPr>
        <w:t xml:space="preserve">GLP Toxicology Study </w:t>
      </w:r>
      <w:r>
        <w:rPr>
          <w:rFonts w:ascii="Arial" w:cs="Arial" w:eastAsia="Arial" w:hAnsi="Arial"/>
          <w:sz w:val="18"/>
          <w:szCs w:val="18"/>
          <w:color w:val="auto"/>
        </w:rPr>
        <w:t>means a toxicology study that is conducted in compliance with the then-current good laboratory practice standards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promulgated or endorsed by the FDA, as defined in U.S. 21 C.F.R. Part 58 (or such other comparable regulatory standards in jurisdictions outside the U.S. to the extent applicable to the relevant toxicology study, as they may be updated from time to time) (“GLP”) and is required to meet the requirements for filing an IND.</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8"/>
          <w:szCs w:val="18"/>
          <w:u w:val="single" w:color="auto"/>
          <w:color w:val="auto"/>
        </w:rPr>
        <w:t xml:space="preserve">IND or Investigational New Drug Application </w:t>
      </w:r>
      <w:r>
        <w:rPr>
          <w:rFonts w:ascii="Arial" w:cs="Arial" w:eastAsia="Arial" w:hAnsi="Arial"/>
          <w:sz w:val="18"/>
          <w:szCs w:val="18"/>
          <w:color w:val="auto"/>
        </w:rPr>
        <w:t>means a United States investigational new drug application or its equivalent or any corresponding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foreign application.</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u w:val="single" w:color="auto"/>
          <w:color w:val="auto"/>
        </w:rPr>
        <w:t xml:space="preserve">Licensed RNAi Product </w:t>
      </w:r>
      <w:r>
        <w:rPr>
          <w:rFonts w:ascii="Arial" w:cs="Arial" w:eastAsia="Arial" w:hAnsi="Arial"/>
          <w:sz w:val="18"/>
          <w:szCs w:val="18"/>
          <w:color w:val="auto"/>
        </w:rPr>
        <w:t>means a pharmaceutical product (a) containing, comprised or based on siRNAs or siRNA derivatives or other moieties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effective in gene function modulation and designed to modulate the function of the Target through RNA interference and (b) incorporating DPC Technology.</w:t>
      </w:r>
    </w:p>
    <w:p>
      <w:pPr>
        <w:spacing w:after="0" w:line="73"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 xml:space="preserve">Net Sales </w:t>
      </w:r>
      <w:r>
        <w:rPr>
          <w:rFonts w:ascii="Arial" w:cs="Arial" w:eastAsia="Arial" w:hAnsi="Arial"/>
          <w:sz w:val="16"/>
          <w:szCs w:val="16"/>
          <w:color w:val="auto"/>
        </w:rPr>
        <w:t>means, with respect to Licensed RNAi Products, the gross amount invoiced by ARROWHEAD or its Affiliates or Sublicensees, as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case may be, on sales or other dispositions of such Licensed RNAi Products to Third Parties, less: (A) portions of invoiced amounts written off by ARROWHEAD, its Affiliates or Sublicensees as uncollectible, relating to specific invoices and not a general reserve for uncollectible amounts, in accordance with their normal accounting practices (provided that if any such written-off amounts are subsequently collected, such amounts shall be included in Net Sales when collected); and (B) the following deductions, to the extent standard and customary and incurred in accordance with ARROWHEAD’S usual practices, as generally applied across its business (i) rebates, quantity, trade and cash discounts, and other usual and customary discounts to customers; (ii) charge-back payments and rebates granted to managed health care organizations or to national, state or local governments, their respective agencies, purchasers or reimbursers, adjustments arising from consumer discount programs or other similar programs;</w:t>
      </w:r>
    </w:p>
    <w:p>
      <w:pPr>
        <w:spacing w:after="0" w:line="1" w:lineRule="exact"/>
        <w:rPr>
          <w:sz w:val="20"/>
          <w:szCs w:val="20"/>
          <w:color w:val="auto"/>
        </w:rPr>
      </w:pPr>
    </w:p>
    <w:p>
      <w:pPr>
        <w:jc w:val="both"/>
        <w:ind w:left="660" w:hanging="4"/>
        <w:spacing w:after="0" w:line="281" w:lineRule="auto"/>
        <w:tabs>
          <w:tab w:leader="none" w:pos="10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retroactive price reductions, credits or allowances granted upon rejections or returns of Licensed RNAi Products, including for recalls or damaged goods; (iv) compulsory payments and rebates made or granted to government entities with respect to sales of Licensed RNAi Products;</w:t>
      </w:r>
    </w:p>
    <w:p>
      <w:pPr>
        <w:spacing w:after="0" w:line="1" w:lineRule="exact"/>
        <w:rPr>
          <w:rFonts w:ascii="Arial" w:cs="Arial" w:eastAsia="Arial" w:hAnsi="Arial"/>
          <w:sz w:val="16"/>
          <w:szCs w:val="16"/>
          <w:color w:val="auto"/>
        </w:rPr>
      </w:pPr>
    </w:p>
    <w:p>
      <w:pPr>
        <w:ind w:left="660" w:right="20" w:hanging="4"/>
        <w:spacing w:after="0" w:line="290" w:lineRule="auto"/>
        <w:tabs>
          <w:tab w:leader="none" w:pos="929" w:val="left"/>
        </w:tabs>
        <w:numPr>
          <w:ilvl w:val="0"/>
          <w:numId w:val="14"/>
        </w:numPr>
        <w:rPr>
          <w:rFonts w:ascii="Arial" w:cs="Arial" w:eastAsia="Arial" w:hAnsi="Arial"/>
          <w:sz w:val="17"/>
          <w:szCs w:val="17"/>
          <w:color w:val="auto"/>
        </w:rPr>
      </w:pPr>
      <w:r>
        <w:rPr>
          <w:rFonts w:ascii="Arial" w:cs="Arial" w:eastAsia="Arial" w:hAnsi="Arial"/>
          <w:sz w:val="17"/>
          <w:szCs w:val="17"/>
          <w:color w:val="auto"/>
        </w:rPr>
        <w:t>freight, postage, shipping and insurance charges for delivery of Licensed RNAi Products; and (viii) sales taxes, excise taxes, use taxes, value-added taxes, import/export duties or other governmental charges with respect to Licensed RNAi Products, excluding income taxes.</w:t>
      </w:r>
    </w:p>
    <w:p>
      <w:pPr>
        <w:spacing w:after="0" w:line="5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Sales between ARROWHEAD and its Affiliates or Sublicensees for resale shall be excluded from the computation of Net Sales, but the subsequent resale of such Product to Third Parties shall be included within the computation of Net Sales. Sales or other dispositions of Licensed RNAi Products used for promotional or advertising purposes or used for research or development purposes (including clinical trials) or for donations, to the extent reasonable and customary and in accordance with ARROWHEAD’S usual practices, as generally applied across its business, shall be excluded from Net Sales.</w:t>
      </w:r>
    </w:p>
    <w:p>
      <w:pPr>
        <w:spacing w:after="0" w:line="76" w:lineRule="exact"/>
        <w:rPr>
          <w:sz w:val="20"/>
          <w:szCs w:val="20"/>
          <w:color w:val="auto"/>
        </w:rPr>
      </w:pPr>
    </w:p>
    <w:p>
      <w:pPr>
        <w:ind w:right="680" w:firstLine="8"/>
        <w:spacing w:after="0" w:line="282" w:lineRule="auto"/>
        <w:tabs>
          <w:tab w:leader="none" w:pos="31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7" w:right="239" w:bottom="1440" w:gutter="0" w:footer="0" w:header="0"/>
        </w:sectPr>
      </w:pPr>
    </w:p>
    <w:bookmarkStart w:id="40" w:name="page41"/>
    <w:bookmarkEnd w:id="40"/>
    <w:p>
      <w:pPr>
        <w:jc w:val="both"/>
        <w:ind w:left="660"/>
        <w:spacing w:after="0" w:line="270" w:lineRule="auto"/>
        <w:rPr>
          <w:sz w:val="20"/>
          <w:szCs w:val="20"/>
          <w:color w:val="auto"/>
        </w:rPr>
      </w:pPr>
      <w:r>
        <w:rPr>
          <w:rFonts w:ascii="Arial" w:cs="Arial" w:eastAsia="Arial" w:hAnsi="Arial"/>
          <w:sz w:val="17"/>
          <w:szCs w:val="17"/>
          <w:color w:val="auto"/>
        </w:rPr>
        <w:t>In the event that a Licensed RNAi Product is sold in any country in the form of a combination product containing one or more therapeutically active ingredients in addition to such Licensed RNAi Product in any year, Net Sales of such combination product will be adjusted by multiplying actual Net Sales of such combination product in such country by the fraction A/(A+B), where A is the average Net Sales prices per daily dose during such year of the Licensed RNAi Product in such country, if sold separately in such country, and B is the average Net Sales prices per daily dose of any product containing the other therapeutically active ingredients in the combination product in such country, if sold separately in such country. If, in a specific country, both the Licensed RNAi Product and the product containing the other therapeutically active ingredients in the combination product are not sold separately in such country, the fraction of actual Net Sales of the combination product that will be deemed to be Net Sales of the Licensed RNAi Product will be determined based upon the commercial values of the Licensed RNAi Product and the other therapeutically active ingredients in such combination product. If the Parties are not able to agree on any such allocation, the matter may be submitted by either Party for resolution by arbitration pursuant to Section 12.3.</w:t>
      </w:r>
    </w:p>
    <w:p>
      <w:pPr>
        <w:spacing w:after="0" w:line="7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the event ARROWHEAD or any of its Affiliates or Sublicensees receive non-monetary consideration in exchange for the sale or other disposition of Licensed RNAi Products to Third Parties, Net Sales for such sale or other disposition shall include the fair market value of the non-cash consideration received as a result of such sale or other disposition. If such sale or other disposition occurred in a country where ARROWHEAD or such Affiliate or Sublicensee sold the same Licensed RNAi Product in commercial quantities solely for monetary consideration, the fair market value of the non-cash consideration received for such Licensed RNAi Product shall be determined on the basis of the value received in such solely monetary transactions. If ARROWHEAD or its Affiliate or Sublicensee did not have sales or other dispositions of Licensed RNAi Product in such country solely for monetary consideration, then the fair market value of such Licensed RNAi Product shall be determined on the basis of all relevant facts and circumstances.</w:t>
      </w:r>
    </w:p>
    <w:p>
      <w:pPr>
        <w:spacing w:after="0" w:line="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Net Sales shall be determined from books and records maintained in accordance with GAAP, consistently applied throughout the organization and across all products of the entity whose sales of Licensed RNAi Product are giving rise to Net Sales.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u w:val="single" w:color="auto"/>
          <w:color w:val="auto"/>
        </w:rPr>
        <w:t xml:space="preserve">Party </w:t>
      </w:r>
      <w:r>
        <w:rPr>
          <w:rFonts w:ascii="Arial" w:cs="Arial" w:eastAsia="Arial" w:hAnsi="Arial"/>
          <w:sz w:val="17"/>
          <w:szCs w:val="17"/>
          <w:color w:val="auto"/>
        </w:rPr>
        <w:t>means either ALNYLAM or ARROWHEAD;</w:t>
      </w:r>
      <w:r>
        <w:rPr>
          <w:rFonts w:ascii="Arial" w:cs="Arial" w:eastAsia="Arial" w:hAnsi="Arial"/>
          <w:sz w:val="17"/>
          <w:szCs w:val="17"/>
          <w:u w:val="single" w:color="auto"/>
          <w:color w:val="auto"/>
        </w:rPr>
        <w:t xml:space="preserve"> Parties </w:t>
      </w:r>
      <w:r>
        <w:rPr>
          <w:rFonts w:ascii="Arial" w:cs="Arial" w:eastAsia="Arial" w:hAnsi="Arial"/>
          <w:sz w:val="17"/>
          <w:szCs w:val="17"/>
          <w:color w:val="auto"/>
        </w:rPr>
        <w:t>means both ALNYLAM and ARROWHEAD.</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u w:val="single" w:color="auto"/>
          <w:color w:val="auto"/>
        </w:rPr>
        <w:t xml:space="preserve">Patent Rights </w:t>
      </w:r>
      <w:r>
        <w:rPr>
          <w:rFonts w:ascii="Arial" w:cs="Arial" w:eastAsia="Arial" w:hAnsi="Arial"/>
          <w:sz w:val="18"/>
          <w:szCs w:val="18"/>
          <w:color w:val="auto"/>
        </w:rPr>
        <w:t>means patents, patent applications and/or provisional patent applications, utility models and utility model applications, design patents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registered industrial designs and design applications or applications for registration of industrial designs, and all substitutions, divisionals, continuations, continuation-in-part applications, continued prosecution applications, requests for continued examinations, reissues, reexaminations and extensions thereof, in any country of the world. For clarity, any Patent Rights shall include any future Patent Rights that claim priority to or common priority with such Patent Rights.</w:t>
      </w:r>
    </w:p>
    <w:p>
      <w:pPr>
        <w:spacing w:after="0" w:line="188"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u w:val="single" w:color="auto"/>
          <w:color w:val="auto"/>
        </w:rPr>
        <w:t xml:space="preserve">Person </w:t>
      </w:r>
      <w:r>
        <w:rPr>
          <w:rFonts w:ascii="Arial" w:cs="Arial" w:eastAsia="Arial" w:hAnsi="Arial"/>
          <w:sz w:val="18"/>
          <w:szCs w:val="18"/>
          <w:color w:val="auto"/>
        </w:rPr>
        <w:t>shall mean any natural person, corporation, unincorporated organization, partnership, association, joint stock company, joint venture, limited</w:t>
      </w:r>
      <w:r>
        <w:rPr>
          <w:rFonts w:ascii="Arial" w:cs="Arial" w:eastAsia="Arial" w:hAnsi="Arial"/>
          <w:sz w:val="18"/>
          <w:szCs w:val="18"/>
          <w:u w:val="single" w:color="auto"/>
          <w:color w:val="auto"/>
        </w:rPr>
        <w:t xml:space="preserve"> </w:t>
      </w:r>
      <w:r>
        <w:rPr>
          <w:rFonts w:ascii="Arial" w:cs="Arial" w:eastAsia="Arial" w:hAnsi="Arial"/>
          <w:sz w:val="18"/>
          <w:szCs w:val="18"/>
          <w:color w:val="auto"/>
        </w:rPr>
        <w:t>liability company, trust or government, or any agency or political subdivision of any government, or any other entity.</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u w:val="single" w:color="auto"/>
          <w:color w:val="auto"/>
        </w:rPr>
        <w:t xml:space="preserve">Pivotal Trial </w:t>
      </w:r>
      <w:r>
        <w:rPr>
          <w:rFonts w:ascii="Arial" w:cs="Arial" w:eastAsia="Arial" w:hAnsi="Arial"/>
          <w:sz w:val="18"/>
          <w:szCs w:val="18"/>
          <w:color w:val="auto"/>
        </w:rPr>
        <w:t>means a prospective, randomized, controlled Clinical Trial that is designed to confirm or that does confirm with statistical significance</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efficacy and safety of a drug in a given patient population, the results of which are intended, either alone or with other pivotal human clinical studies, to form the basis for Approval.</w:t>
      </w:r>
    </w:p>
    <w:p>
      <w:pPr>
        <w:spacing w:after="0" w:line="181"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 xml:space="preserve">Regulatory Authority </w:t>
      </w:r>
      <w:r>
        <w:rPr>
          <w:rFonts w:ascii="Arial" w:cs="Arial" w:eastAsia="Arial" w:hAnsi="Arial"/>
          <w:sz w:val="16"/>
          <w:szCs w:val="16"/>
          <w:color w:val="auto"/>
        </w:rPr>
        <w:t>means the FDA in the United States or any health regulatory authority in another country that is a counterpart to the FDA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holds responsibility for allowing development of Licensed RNAi Products and/or granting Approval for a Licensed RNAi Product in such country.</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 xml:space="preserve">Research or Researching </w:t>
      </w:r>
      <w:r>
        <w:rPr>
          <w:rFonts w:ascii="Arial" w:cs="Arial" w:eastAsia="Arial" w:hAnsi="Arial"/>
          <w:sz w:val="16"/>
          <w:szCs w:val="16"/>
          <w:color w:val="auto"/>
        </w:rPr>
        <w:t>means identifying, evaluating, validating and optimizing Licensed RNAi Products.</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u w:val="single" w:color="auto"/>
          <w:color w:val="auto"/>
        </w:rPr>
        <w:t xml:space="preserve">Research Collaboration Term </w:t>
      </w:r>
      <w:r>
        <w:rPr>
          <w:rFonts w:ascii="Arial" w:cs="Arial" w:eastAsia="Arial" w:hAnsi="Arial"/>
          <w:sz w:val="18"/>
          <w:szCs w:val="18"/>
          <w:color w:val="auto"/>
        </w:rPr>
        <w:t>means the period commencing on the Effective Date and ending on the date on which ARROWHEAD or its Affiliates</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Sublicensees initiates the first GLP Toxicology Study for a Licensed RNAi Product.</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u w:val="single" w:color="auto"/>
          <w:color w:val="auto"/>
        </w:rPr>
        <w:t xml:space="preserve">siRNA </w:t>
      </w:r>
      <w:r>
        <w:rPr>
          <w:rFonts w:ascii="Arial" w:cs="Arial" w:eastAsia="Arial" w:hAnsi="Arial"/>
          <w:sz w:val="18"/>
          <w:szCs w:val="18"/>
          <w:color w:val="auto"/>
        </w:rPr>
        <w:t>means a double-stranded ribonucleic acid (RNA) composition designed to act primarily through an RNA interference mechanism that</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consists of either (a) two separate oligomers of native or chemically modified RNA that are hybridized to one another along a substantial portion of their lengths, or (b) a single oligomer of native or chemically modified RNA that is hybridized to itself by self-complementary base-pairing along a substantial portion of its length to form a hairpin.</w:t>
      </w:r>
    </w:p>
    <w:p>
      <w:pPr>
        <w:spacing w:after="0" w:line="75" w:lineRule="exact"/>
        <w:rPr>
          <w:sz w:val="20"/>
          <w:szCs w:val="20"/>
          <w:color w:val="auto"/>
        </w:rPr>
      </w:pPr>
    </w:p>
    <w:p>
      <w:pPr>
        <w:ind w:right="680" w:firstLine="8"/>
        <w:spacing w:after="0" w:line="282" w:lineRule="auto"/>
        <w:tabs>
          <w:tab w:leader="none" w:pos="31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9" w:right="239" w:bottom="1440" w:gutter="0" w:footer="0" w:header="0"/>
        </w:sectPr>
      </w:pPr>
    </w:p>
    <w:bookmarkStart w:id="41" w:name="page42"/>
    <w:bookmarkEnd w:id="41"/>
    <w:p>
      <w:pPr>
        <w:jc w:val="both"/>
        <w:ind w:left="660" w:hanging="661"/>
        <w:spacing w:after="0" w:line="293"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 xml:space="preserve">Sublicensee </w:t>
      </w:r>
      <w:r>
        <w:rPr>
          <w:rFonts w:ascii="Arial" w:cs="Arial" w:eastAsia="Arial" w:hAnsi="Arial"/>
          <w:sz w:val="16"/>
          <w:szCs w:val="16"/>
          <w:color w:val="auto"/>
        </w:rPr>
        <w:t>means any Third Party to whom ARROWHEAD, pursuant to a written agreement, has granted a sublicense of all or a portion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rights granted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Third Party has the responsibility for the Commercialization of such Licensed RNAi Product in a licensed territory and has the right to record sales of such Licensed RNAi Product for its account. For clarity, “Sublicensee” shall exclude any wholesaler or reseller of Licensed RNAi Product that purchases Licensed RNAi Product from ARROWHEAD, its Affiliates and Sublicensees and that is not responsible for marketing or promotion of such Licensed RNAi Product, any contract manufacturer or service provider (e.g., a clinical research organization or its equivalent) or other Third Party acting solely on behalf of ARROWHEAD or its Affiliates and not on its own behalf</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 xml:space="preserve">Target </w:t>
      </w:r>
      <w:r>
        <w:rPr>
          <w:rFonts w:ascii="Arial" w:cs="Arial" w:eastAsia="Arial" w:hAnsi="Arial"/>
          <w:sz w:val="16"/>
          <w:szCs w:val="16"/>
          <w:color w:val="auto"/>
        </w:rPr>
        <w:t>means HBV, or a single alternative messenger RNA target selected by ARROWHEAD and designated in accordance with Section 2.1.</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u w:val="single" w:color="auto"/>
          <w:color w:val="auto"/>
        </w:rPr>
        <w:t xml:space="preserve">Territory </w:t>
      </w:r>
      <w:r>
        <w:rPr>
          <w:rFonts w:ascii="Arial" w:cs="Arial" w:eastAsia="Arial" w:hAnsi="Arial"/>
          <w:sz w:val="18"/>
          <w:szCs w:val="18"/>
          <w:color w:val="auto"/>
        </w:rPr>
        <w:t>means worldwide. For clarity, at any time the Territory will not include any country to which the exportation or re-exportation of materials,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products and related technical data covered by this Agreement is restricted under U.S. export laws, which restriction has not been removed or waived.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u w:val="single" w:color="auto"/>
          <w:color w:val="auto"/>
        </w:rPr>
        <w:t xml:space="preserve">Third Party </w:t>
      </w:r>
      <w:r>
        <w:rPr>
          <w:rFonts w:ascii="Arial" w:cs="Arial" w:eastAsia="Arial" w:hAnsi="Arial"/>
          <w:sz w:val="16"/>
          <w:szCs w:val="16"/>
          <w:color w:val="auto"/>
        </w:rPr>
        <w:t>means any person, corporation, joint venture or other entity, other than ALNYLAM, ARROWHEAD and their respective Affiliates.</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u w:val="single" w:color="auto"/>
          <w:color w:val="auto"/>
        </w:rPr>
        <w:t xml:space="preserve">Valid Claim </w:t>
      </w:r>
      <w:r>
        <w:rPr>
          <w:rFonts w:ascii="Arial" w:cs="Arial" w:eastAsia="Arial" w:hAnsi="Arial"/>
          <w:sz w:val="18"/>
          <w:szCs w:val="18"/>
          <w:color w:val="auto"/>
        </w:rPr>
        <w:t>shall mean (a) a claim of an issued and unexpired patent within the ALNYLAM Patent Rights that (i) has not been rejected, cancelled,</w:t>
      </w:r>
      <w:r>
        <w:rPr>
          <w:rFonts w:ascii="Arial" w:cs="Arial" w:eastAsia="Arial" w:hAnsi="Arial"/>
          <w:sz w:val="18"/>
          <w:szCs w:val="18"/>
          <w:u w:val="single" w:color="auto"/>
          <w:color w:val="auto"/>
        </w:rPr>
        <w:t xml:space="preserve"> </w:t>
      </w:r>
      <w:r>
        <w:rPr>
          <w:rFonts w:ascii="Arial" w:cs="Arial" w:eastAsia="Arial" w:hAnsi="Arial"/>
          <w:sz w:val="18"/>
          <w:szCs w:val="18"/>
          <w:color w:val="auto"/>
        </w:rPr>
        <w:t>revoked or held to be invalid or unenforceable by a court or other authority of competent jurisdiction, from which decision no appeal can be further taken, and (ii) has not been finally abandoned, disclaimed or admitted to be invalid or unenforceable through reissue or disclaimer; or (b) a claim included in a patent application that has not been pending for more than *** (***) years from the earliest priority date for such patent application, cancelled, withdrawn or abandoned or finally determined to be unallowable by the applicable governmental authority (from which no appeal is or can be taken).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 - RESEARCH AND DEVELOPMENT</w:t>
      </w:r>
    </w:p>
    <w:p>
      <w:pPr>
        <w:spacing w:after="0" w:line="22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Target Selection</w:t>
      </w:r>
      <w:r>
        <w:rPr>
          <w:rFonts w:ascii="Arial" w:cs="Arial" w:eastAsia="Arial" w:hAnsi="Arial"/>
          <w:sz w:val="17"/>
          <w:szCs w:val="17"/>
          <w:color w:val="auto"/>
        </w:rPr>
        <w:t>. ARROWHEAD has selected HBV as the Target as of the Effective Date. At any time during the Research Collaboration Term but</w:t>
      </w:r>
      <w:r>
        <w:rPr>
          <w:rFonts w:ascii="Arial" w:cs="Arial" w:eastAsia="Arial" w:hAnsi="Arial"/>
          <w:sz w:val="17"/>
          <w:szCs w:val="17"/>
          <w:u w:val="single" w:color="auto"/>
          <w:color w:val="auto"/>
        </w:rPr>
        <w:t xml:space="preserve"> </w:t>
      </w:r>
      <w:r>
        <w:rPr>
          <w:rFonts w:ascii="Arial" w:cs="Arial" w:eastAsia="Arial" w:hAnsi="Arial"/>
          <w:sz w:val="17"/>
          <w:szCs w:val="17"/>
          <w:color w:val="auto"/>
        </w:rPr>
        <w:t>prior the start of the first study of a Licensed RNAi Product in a non-rodent efficacy animal model, ARROWHEAD may provide ALNYLAM written notice designating one (1) alternative target that ARROWHEAD desires to Research, Develop and Commercialize in accordance with this Agreement. Within ten (10) business days of receipt of such alternative target from ARROWHEAD, ALNYLAM shall provide ARROWHEAD written notice confirming whether such alternative target is available to be licensed by ALNYLAM to ARROWHEAD hereunder; provided that such alternative target shall be deemed available unless prior to the date of such request from ARROWHEAD (a) ALNYLAM has entered into a bona fide collaboration agreement or license agreement with a Third Party pursuant to which ALNYLAM has granted such Third Party license rights with respect to such proposed target or (b) ALNYLAM or its Affiliates have previously initiated a bona fide, active research program with respect to such proposed target and/or are in active discussions with a Third Party concerning a research or business collaboration around such target. In the event that such alternative target is available to be licensed hereunder, (i) such alternative target shall thereafter be deemed the Target (and HBV shall thereafter be deemed not to be the Target) and (ii) ARROWHEAD shall thereafter have no further right to replace the Target with an alternative target except as mutually agreed by the Parties.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Research Collaboration</w:t>
      </w:r>
      <w:r>
        <w:rPr>
          <w:rFonts w:ascii="Arial" w:cs="Arial" w:eastAsia="Arial" w:hAnsi="Arial"/>
          <w:sz w:val="16"/>
          <w:szCs w:val="16"/>
          <w:color w:val="auto"/>
        </w:rPr>
        <w:t>.</w:t>
      </w:r>
    </w:p>
    <w:p>
      <w:pPr>
        <w:spacing w:after="0" w:line="117" w:lineRule="exact"/>
        <w:rPr>
          <w:sz w:val="20"/>
          <w:szCs w:val="20"/>
          <w:color w:val="auto"/>
        </w:rPr>
      </w:pPr>
    </w:p>
    <w:p>
      <w:pPr>
        <w:jc w:val="both"/>
        <w:ind w:left="1280" w:hanging="625"/>
        <w:spacing w:after="0" w:line="257" w:lineRule="auto"/>
        <w:tabs>
          <w:tab w:leader="none" w:pos="128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Research Collaboration Plan</w:t>
      </w:r>
      <w:r>
        <w:rPr>
          <w:rFonts w:ascii="Arial" w:cs="Arial" w:eastAsia="Arial" w:hAnsi="Arial"/>
          <w:sz w:val="18"/>
          <w:szCs w:val="18"/>
          <w:color w:val="auto"/>
        </w:rPr>
        <w:t>. Within ninety (90) days after the Effective Date, the ARROWHEAD shall develop a research collaboration plan, which plan if necessary shall set forth each Party’s obligations and responsibilities during the Research Collaboration Term in connection with the Research and Development of Licensed RNAi Products (“</w:t>
      </w:r>
      <w:r>
        <w:rPr>
          <w:rFonts w:ascii="Arial" w:cs="Arial" w:eastAsia="Arial" w:hAnsi="Arial"/>
          <w:sz w:val="18"/>
          <w:szCs w:val="18"/>
          <w:u w:val="single" w:color="auto"/>
          <w:color w:val="auto"/>
        </w:rPr>
        <w:t>Research Collaboration Plan</w:t>
      </w:r>
      <w:r>
        <w:rPr>
          <w:rFonts w:ascii="Arial" w:cs="Arial" w:eastAsia="Arial" w:hAnsi="Arial"/>
          <w:sz w:val="18"/>
          <w:szCs w:val="18"/>
          <w:color w:val="auto"/>
        </w:rPr>
        <w:t>”), which shall be attached as Exhibit C. Each Party shall use commercially reasonable efforts to conduct the activities that may be allocated to such Party in the Research Collaboration Plan.</w:t>
      </w:r>
    </w:p>
    <w:p>
      <w:pPr>
        <w:spacing w:after="0" w:line="80" w:lineRule="exact"/>
        <w:rPr>
          <w:rFonts w:ascii="Arial" w:cs="Arial" w:eastAsia="Arial" w:hAnsi="Arial"/>
          <w:sz w:val="18"/>
          <w:szCs w:val="18"/>
          <w:color w:val="auto"/>
        </w:rPr>
      </w:pPr>
    </w:p>
    <w:p>
      <w:pPr>
        <w:jc w:val="both"/>
        <w:ind w:left="1280" w:hanging="625"/>
        <w:spacing w:after="0" w:line="259" w:lineRule="auto"/>
        <w:tabs>
          <w:tab w:leader="none" w:pos="128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Final Authority</w:t>
      </w:r>
      <w:r>
        <w:rPr>
          <w:rFonts w:ascii="Arial" w:cs="Arial" w:eastAsia="Arial" w:hAnsi="Arial"/>
          <w:sz w:val="18"/>
          <w:szCs w:val="18"/>
          <w:color w:val="auto"/>
        </w:rPr>
        <w:t>. ARROWHEAD shall have the final authority with respect to all details of the Research Collaboration Plan, except that ARROWHEAD shall not have any authority either (i) to cause ALNYLAM to conduct any activities other than with ALNYLAM’s agreement; or (ii) to materially change the scope of ALNYLAM’s obligations under the Research Collaboration Plan without ALNYLAM’s written consent.</w:t>
      </w:r>
    </w:p>
    <w:p>
      <w:pPr>
        <w:spacing w:after="0" w:line="74" w:lineRule="exact"/>
        <w:rPr>
          <w:rFonts w:ascii="Arial" w:cs="Arial" w:eastAsia="Arial" w:hAnsi="Arial"/>
          <w:sz w:val="18"/>
          <w:szCs w:val="18"/>
          <w:color w:val="auto"/>
        </w:rPr>
      </w:pPr>
    </w:p>
    <w:p>
      <w:pPr>
        <w:ind w:right="680" w:firstLine="8"/>
        <w:spacing w:after="0" w:line="282" w:lineRule="auto"/>
        <w:tabs>
          <w:tab w:leader="none" w:pos="31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49" w:right="239" w:bottom="1440" w:gutter="0" w:footer="0" w:header="0"/>
        </w:sectPr>
      </w:pPr>
    </w:p>
    <w:bookmarkStart w:id="42" w:name="page43"/>
    <w:bookmarkEnd w:id="42"/>
    <w:p>
      <w:pPr>
        <w:jc w:val="both"/>
        <w:ind w:left="660" w:hanging="661"/>
        <w:spacing w:after="0" w:line="254"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Research Collaboration FTEs</w:t>
      </w:r>
      <w:r>
        <w:rPr>
          <w:rFonts w:ascii="Arial" w:cs="Arial" w:eastAsia="Arial" w:hAnsi="Arial"/>
          <w:sz w:val="18"/>
          <w:szCs w:val="18"/>
          <w:color w:val="auto"/>
        </w:rPr>
        <w:t>. During the Research Collaboration Term, subject to Section 2.2(b), the Parties shall prepare annual updates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Research Collaboration Plan setting forth the number of FTEs each Party will commit to the activities under the Research Collaboration Plan during the next calendar year. Such annual updates will be completed and agreed upon at least thirty (30) days prior to the beginning of the next calendar year. During the Research Collaboration Term, ALNYLAM shall provide such number of FTEs as may be specified in the Research Collaboration Plan to perform the activities that may be allocated to ALNYLAM under the Research Collaboration Plan. ARROWHEAD shall reimburse ALNYLAM its FTE costs (at the FTE Rate) with respect to the FTEs provided by ALNYLAM to conduct activities under the Research Collaboration Plan (“FTE Costs”). ALNYLAM shall invoice ARROWHEAD quarterly for such FTE Costs and payment shall be due and payable within thirty (30) days after receipt of invoice.</w:t>
      </w:r>
    </w:p>
    <w:p>
      <w:pPr>
        <w:spacing w:after="0" w:line="192"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u w:val="single" w:color="auto"/>
          <w:color w:val="auto"/>
        </w:rPr>
        <w:t>Status Reports</w:t>
      </w:r>
      <w:r>
        <w:rPr>
          <w:rFonts w:ascii="Arial" w:cs="Arial" w:eastAsia="Arial" w:hAnsi="Arial"/>
          <w:sz w:val="18"/>
          <w:szCs w:val="18"/>
          <w:color w:val="auto"/>
        </w:rPr>
        <w:t>. ARROWHEAD and ALNYLAM shall each provide the JRDC a semi-annual written report summarizing in reasonable detail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Party’s activities under the Research Collaboration Plan. Such semi-annual reports will reflect all material work done and results achieved in carrying out activities under the Research Collaboration Plan in the prior six (6) month period.</w:t>
      </w:r>
    </w:p>
    <w:p>
      <w:pPr>
        <w:spacing w:after="0" w:line="181"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Research, Development, Manufacture and Commercialization following Research Collaboration Term</w:t>
      </w:r>
      <w:r>
        <w:rPr>
          <w:rFonts w:ascii="Arial" w:cs="Arial" w:eastAsia="Arial" w:hAnsi="Arial"/>
          <w:sz w:val="16"/>
          <w:szCs w:val="16"/>
          <w:color w:val="auto"/>
        </w:rPr>
        <w:t>. Following the Research Collaboration Term,</w:t>
      </w:r>
      <w:r>
        <w:rPr>
          <w:rFonts w:ascii="Arial" w:cs="Arial" w:eastAsia="Arial" w:hAnsi="Arial"/>
          <w:sz w:val="16"/>
          <w:szCs w:val="16"/>
          <w:u w:val="single" w:color="auto"/>
          <w:color w:val="auto"/>
        </w:rPr>
        <w:t xml:space="preserve"> </w:t>
      </w:r>
      <w:r>
        <w:rPr>
          <w:rFonts w:ascii="Arial" w:cs="Arial" w:eastAsia="Arial" w:hAnsi="Arial"/>
          <w:sz w:val="16"/>
          <w:szCs w:val="16"/>
          <w:color w:val="auto"/>
        </w:rPr>
        <w:t>ARROWHEAD (or its Affiliates or Sublicensees, as applicable) shall be solely responsible for the Research, Development, manufacture and Commercialization of Licensed RNAi Products in the Field in the Territory, including all costs associated with such activities. ARROWHEAD shall use commercially reasonable efforts to Research, Develop, manufacture and Commercialize Licensed RNAi Products in the Field in the Territory.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 - GOVERNANCE</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JRDC</w:t>
      </w:r>
      <w:r>
        <w:rPr>
          <w:rFonts w:ascii="Arial" w:cs="Arial" w:eastAsia="Arial" w:hAnsi="Arial"/>
          <w:sz w:val="18"/>
          <w:szCs w:val="18"/>
          <w:color w:val="auto"/>
        </w:rPr>
        <w:t>. The Parties shall establish a joint Research and Development committee (the “</w:t>
      </w:r>
      <w:r>
        <w:rPr>
          <w:rFonts w:ascii="Arial" w:cs="Arial" w:eastAsia="Arial" w:hAnsi="Arial"/>
          <w:sz w:val="18"/>
          <w:szCs w:val="18"/>
          <w:u w:val="single" w:color="auto"/>
          <w:color w:val="auto"/>
        </w:rPr>
        <w:t>JRDC</w:t>
      </w:r>
      <w:r>
        <w:rPr>
          <w:rFonts w:ascii="Arial" w:cs="Arial" w:eastAsia="Arial" w:hAnsi="Arial"/>
          <w:sz w:val="18"/>
          <w:szCs w:val="18"/>
          <w:color w:val="auto"/>
        </w:rPr>
        <w:t>”) as more fully described in this Section 3.1. The JRDC</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comprise two (2) representatives from each of ALNYLAM and ARROWHEAD. Each Party may replace its representatives at any time upon written notice to the other Party. The JRDC shall meet twice per calendar year, or as otherwise mutually agreed by the Parties. The JRDC shall perform the following functions:</w:t>
      </w:r>
    </w:p>
    <w:p>
      <w:pPr>
        <w:spacing w:after="0" w:line="79" w:lineRule="exact"/>
        <w:rPr>
          <w:sz w:val="20"/>
          <w:szCs w:val="20"/>
          <w:color w:val="auto"/>
        </w:rPr>
      </w:pPr>
    </w:p>
    <w:p>
      <w:pPr>
        <w:ind w:left="1280" w:hanging="62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review and monitor progress of activities under the Research Collaboration Plan;</w:t>
      </w:r>
    </w:p>
    <w:p>
      <w:pPr>
        <w:spacing w:after="0" w:line="117" w:lineRule="exact"/>
        <w:rPr>
          <w:rFonts w:ascii="Arial" w:cs="Arial" w:eastAsia="Arial" w:hAnsi="Arial"/>
          <w:sz w:val="18"/>
          <w:szCs w:val="18"/>
          <w:color w:val="auto"/>
        </w:rPr>
      </w:pPr>
    </w:p>
    <w:p>
      <w:pPr>
        <w:ind w:left="1280" w:hanging="62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Research Collaboration Plan and any amendments to such plan;</w:t>
      </w:r>
    </w:p>
    <w:p>
      <w:pPr>
        <w:spacing w:after="0" w:line="117" w:lineRule="exact"/>
        <w:rPr>
          <w:rFonts w:ascii="Arial" w:cs="Arial" w:eastAsia="Arial" w:hAnsi="Arial"/>
          <w:sz w:val="18"/>
          <w:szCs w:val="18"/>
          <w:color w:val="auto"/>
        </w:rPr>
      </w:pPr>
    </w:p>
    <w:p>
      <w:pPr>
        <w:ind w:left="1280" w:hanging="62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reports submitted to the JRDC by the Parties;</w:t>
      </w:r>
    </w:p>
    <w:p>
      <w:pPr>
        <w:spacing w:after="0" w:line="117" w:lineRule="exact"/>
        <w:rPr>
          <w:rFonts w:ascii="Arial" w:cs="Arial" w:eastAsia="Arial" w:hAnsi="Arial"/>
          <w:sz w:val="18"/>
          <w:szCs w:val="18"/>
          <w:color w:val="auto"/>
        </w:rPr>
      </w:pPr>
    </w:p>
    <w:p>
      <w:pPr>
        <w:ind w:left="1280" w:hanging="62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and attempt to resolve any deadlock issues submitted to it by the Parties; and</w:t>
      </w:r>
    </w:p>
    <w:p>
      <w:pPr>
        <w:spacing w:after="0" w:line="117" w:lineRule="exact"/>
        <w:rPr>
          <w:rFonts w:ascii="Arial" w:cs="Arial" w:eastAsia="Arial" w:hAnsi="Arial"/>
          <w:sz w:val="18"/>
          <w:szCs w:val="18"/>
          <w:color w:val="auto"/>
        </w:rPr>
      </w:pPr>
    </w:p>
    <w:p>
      <w:pPr>
        <w:ind w:left="1280" w:hanging="625"/>
        <w:spacing w:after="0" w:line="277"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other responsibilities as may be assigned to the JRDC pursuant to this Agreement or as may be mutually agreed upon by the Parties from time to time.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Decision Making; Limits on Authority</w:t>
      </w:r>
      <w:r>
        <w:rPr>
          <w:rFonts w:ascii="Arial" w:cs="Arial" w:eastAsia="Arial" w:hAnsi="Arial"/>
          <w:sz w:val="17"/>
          <w:szCs w:val="17"/>
          <w:color w:val="auto"/>
        </w:rPr>
        <w:t>.</w:t>
      </w:r>
    </w:p>
    <w:p>
      <w:pPr>
        <w:spacing w:after="0" w:line="117" w:lineRule="exact"/>
        <w:rPr>
          <w:sz w:val="20"/>
          <w:szCs w:val="20"/>
          <w:color w:val="auto"/>
        </w:rPr>
      </w:pPr>
    </w:p>
    <w:p>
      <w:pPr>
        <w:jc w:val="both"/>
        <w:ind w:left="1280" w:hanging="625"/>
        <w:spacing w:after="0" w:line="259"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Section 2.5, in the event of any disagreement as to a matter within the JRDC’s responsibilities, ARROWHEAD shall have the final decision-making authority; provided that ARROWHEAD may not exercise its final decision-making authority to: (i) impose additional obligations on ALNYLAM without ALNYLAM’s written consent; or (ii) resolve any dispute between the Parties as to their respective rights and obligations under this Agreement.</w:t>
      </w:r>
    </w:p>
    <w:p>
      <w:pPr>
        <w:spacing w:after="0" w:line="78" w:lineRule="exact"/>
        <w:rPr>
          <w:rFonts w:ascii="Arial" w:cs="Arial" w:eastAsia="Arial" w:hAnsi="Arial"/>
          <w:sz w:val="18"/>
          <w:szCs w:val="18"/>
          <w:color w:val="auto"/>
        </w:rPr>
      </w:pPr>
    </w:p>
    <w:p>
      <w:pPr>
        <w:ind w:left="1280" w:hanging="625"/>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JRDC shall not have any authority beyond the specific matters set forth in this Article III, and in particular shall not have any power to amend or modify the terms of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 - LICENSE GRANTS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Licenses</w:t>
      </w:r>
      <w:r>
        <w:rPr>
          <w:rFonts w:ascii="Arial" w:cs="Arial" w:eastAsia="Arial" w:hAnsi="Arial"/>
          <w:sz w:val="16"/>
          <w:szCs w:val="16"/>
          <w:color w:val="auto"/>
        </w:rPr>
        <w:t>. Subject to the terms and conditions of this Agreement, ALNYLAM hereby grants to ARROWHEAD:</w:t>
      </w:r>
    </w:p>
    <w:p>
      <w:pPr>
        <w:spacing w:after="0" w:line="117" w:lineRule="exact"/>
        <w:rPr>
          <w:sz w:val="20"/>
          <w:szCs w:val="20"/>
          <w:color w:val="auto"/>
        </w:rPr>
      </w:pPr>
    </w:p>
    <w:p>
      <w:pPr>
        <w:ind w:left="1280" w:right="20" w:hanging="618"/>
        <w:spacing w:after="0" w:line="277" w:lineRule="auto"/>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worldwide, non-exclusive, royalty-bearing right and license under the ALNYLAM Broad RNAi Intellectual Property for the sole and exclusive purposes of Researching, Developing and Commercializing Licensed RNAi Products in the Field in the Territory.</w:t>
      </w:r>
    </w:p>
    <w:p>
      <w:pPr>
        <w:spacing w:after="0" w:line="58" w:lineRule="exact"/>
        <w:rPr>
          <w:rFonts w:ascii="Arial" w:cs="Arial" w:eastAsia="Arial" w:hAnsi="Arial"/>
          <w:sz w:val="18"/>
          <w:szCs w:val="18"/>
          <w:color w:val="auto"/>
        </w:rPr>
      </w:pPr>
    </w:p>
    <w:p>
      <w:pPr>
        <w:ind w:right="680" w:firstLine="8"/>
        <w:spacing w:after="0" w:line="282" w:lineRule="auto"/>
        <w:tabs>
          <w:tab w:leader="none" w:pos="31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49" w:right="239" w:bottom="1440" w:gutter="0" w:footer="0" w:header="0"/>
        </w:sectPr>
      </w:pPr>
    </w:p>
    <w:bookmarkStart w:id="43" w:name="page44"/>
    <w:bookmarkEnd w:id="43"/>
    <w:p>
      <w:pPr>
        <w:ind w:left="1280" w:hanging="625"/>
        <w:spacing w:after="0" w:line="308" w:lineRule="auto"/>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worldwide, exclusive, royalty-bearing right and license under the ALNYLAM Target-Specific Patent Rights for the sole and exclusive purposes of Researching, Developing, manufacturing and Commercializing Licensed RNAi Products in the Field in the Territory.</w:t>
      </w:r>
    </w:p>
    <w:p>
      <w:pPr>
        <w:spacing w:after="0" w:line="38" w:lineRule="exact"/>
        <w:rPr>
          <w:rFonts w:ascii="Arial" w:cs="Arial" w:eastAsia="Arial" w:hAnsi="Arial"/>
          <w:sz w:val="17"/>
          <w:szCs w:val="17"/>
          <w:color w:val="auto"/>
        </w:rPr>
      </w:pPr>
    </w:p>
    <w:p>
      <w:pPr>
        <w:jc w:val="both"/>
        <w:ind w:left="1280" w:hanging="625"/>
        <w:spacing w:after="0" w:line="286" w:lineRule="auto"/>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licenses granted to ARROWHEAD under Sections 4.1(a) and (b) include the right to grant sublicenses with respect to Licensed RNAi Products which ARROWHEAD or its Affiliates have identified in good faith as clinical candidate(s) and for which they have previously commenced GLP Toxicology Studies or intend to commence GLP Toxicology Studies within the subsequent six (6) months.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Sublicensing</w:t>
      </w:r>
      <w:r>
        <w:rPr>
          <w:rFonts w:ascii="Arial" w:cs="Arial" w:eastAsia="Arial" w:hAnsi="Arial"/>
          <w:sz w:val="16"/>
          <w:szCs w:val="16"/>
          <w:color w:val="auto"/>
        </w:rPr>
        <w:t>.</w:t>
      </w:r>
    </w:p>
    <w:p>
      <w:pPr>
        <w:spacing w:after="0" w:line="117" w:lineRule="exact"/>
        <w:rPr>
          <w:sz w:val="20"/>
          <w:szCs w:val="20"/>
          <w:color w:val="auto"/>
        </w:rPr>
      </w:pPr>
    </w:p>
    <w:p>
      <w:pPr>
        <w:ind w:left="1280" w:hanging="625"/>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event that ARROWHEAD sublicenses the rights granted under Section 4.1, ARROWHEAD will notify ALNYLAM within thirty</w:t>
      </w:r>
    </w:p>
    <w:p>
      <w:pPr>
        <w:spacing w:after="0" w:line="34" w:lineRule="exact"/>
        <w:rPr>
          <w:rFonts w:ascii="Arial" w:cs="Arial" w:eastAsia="Arial" w:hAnsi="Arial"/>
          <w:sz w:val="17"/>
          <w:szCs w:val="17"/>
          <w:color w:val="auto"/>
        </w:rPr>
      </w:pPr>
    </w:p>
    <w:p>
      <w:pPr>
        <w:jc w:val="both"/>
        <w:ind w:left="1280" w:hanging="4"/>
        <w:spacing w:after="0" w:line="267" w:lineRule="auto"/>
        <w:tabs>
          <w:tab w:leader="none" w:pos="1632"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days after such sublicense becomes effective and provide a copy of the fully executed sublicense agreement to ALNYLAM within the same time frame (which copy may be redacted, provided that information relevant to ARROWHEAD’s obligations to ALNYLAM hereunder shall not be redacted), which shall be treated as Confidential Information of ARROWHEAD, provided that ALNYLAM may disclose such sublicense agreement(s) to Third Parties under confidence if and to the extent required in order to comply with ALNYLAM’s contractual obligations related to ALNYLAM Patent Rights; and provided, further, that such Third Parties are bound in writing by confidentiality obligations consistent with those set forth herein. Should this Agreement or the rights granted to ARROWHEAD hereunder terminate for any reason, any sublicense(s) granted by ARROWHEAD to an ARROWHEAD Sublicensee shall survive such termination, </w:t>
      </w:r>
      <w:r>
        <w:rPr>
          <w:rFonts w:ascii="Arial" w:cs="Arial" w:eastAsia="Arial" w:hAnsi="Arial"/>
          <w:sz w:val="17"/>
          <w:szCs w:val="17"/>
          <w:u w:val="single" w:color="auto"/>
          <w:color w:val="auto"/>
        </w:rPr>
        <w:t>provided that</w:t>
      </w:r>
      <w:r>
        <w:rPr>
          <w:rFonts w:ascii="Arial" w:cs="Arial" w:eastAsia="Arial" w:hAnsi="Arial"/>
          <w:sz w:val="17"/>
          <w:szCs w:val="17"/>
          <w:color w:val="auto"/>
        </w:rPr>
        <w:t>, as to each such ARROWHEAD Sublicensee, the ARROWHEAD Sublicensee is not then in material breach of the sublicense, all financial obligations to ALNYLAM under this Agreement through the date of termination with respect to the, sublicensed rights have been satisfied, all obligations (including without limitation all financial obligations) to ALNYLAM under this Agreement with respect to the sublicensed rights continue to be satisfied by or on behalf of the ARROWHEAD Sublicensee and ALNYLAM shall have no responsibility for ARROWHEAD’ s obligations to the ARROWHEAD Sublicensee under the sublicense.</w:t>
      </w:r>
    </w:p>
    <w:p>
      <w:pPr>
        <w:spacing w:after="0" w:line="185" w:lineRule="exact"/>
        <w:rPr>
          <w:rFonts w:ascii="Arial" w:cs="Arial" w:eastAsia="Arial" w:hAnsi="Arial"/>
          <w:sz w:val="17"/>
          <w:szCs w:val="17"/>
          <w:color w:val="auto"/>
        </w:rPr>
      </w:pPr>
    </w:p>
    <w:p>
      <w:pPr>
        <w:ind w:left="1280" w:hanging="625"/>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Without limiting the foregoing, all sublicenses granted shall be subject to the following conditions:</w:t>
      </w:r>
    </w:p>
    <w:p>
      <w:pPr>
        <w:spacing w:after="0" w:line="117" w:lineRule="exact"/>
        <w:rPr>
          <w:rFonts w:ascii="Arial" w:cs="Arial" w:eastAsia="Arial" w:hAnsi="Arial"/>
          <w:sz w:val="18"/>
          <w:szCs w:val="18"/>
          <w:color w:val="auto"/>
        </w:rPr>
      </w:pPr>
    </w:p>
    <w:p>
      <w:pPr>
        <w:ind w:left="2000" w:hanging="570"/>
        <w:spacing w:after="0"/>
        <w:tabs>
          <w:tab w:leader="none" w:pos="20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Such sublicense shall be consistent with the requirements of this Agreement;</w:t>
      </w:r>
    </w:p>
    <w:p>
      <w:pPr>
        <w:spacing w:after="0" w:line="117" w:lineRule="exact"/>
        <w:rPr>
          <w:rFonts w:ascii="Arial" w:cs="Arial" w:eastAsia="Arial" w:hAnsi="Arial"/>
          <w:sz w:val="18"/>
          <w:szCs w:val="18"/>
          <w:color w:val="auto"/>
        </w:rPr>
      </w:pPr>
    </w:p>
    <w:p>
      <w:pPr>
        <w:ind w:left="2000" w:right="20" w:hanging="570"/>
        <w:spacing w:after="0" w:line="277" w:lineRule="auto"/>
        <w:tabs>
          <w:tab w:leader="none" w:pos="20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ARROWHEAD shall be primarily liable for any failure by its sublicensees to comply with all relevant restrictions, limitations and obligations in this Agreement;</w:t>
      </w:r>
    </w:p>
    <w:p>
      <w:pPr>
        <w:spacing w:after="0" w:line="62" w:lineRule="exact"/>
        <w:rPr>
          <w:rFonts w:ascii="Arial" w:cs="Arial" w:eastAsia="Arial" w:hAnsi="Arial"/>
          <w:sz w:val="18"/>
          <w:szCs w:val="18"/>
          <w:color w:val="auto"/>
        </w:rPr>
      </w:pPr>
    </w:p>
    <w:p>
      <w:pPr>
        <w:ind w:left="2000" w:hanging="570"/>
        <w:spacing w:after="0"/>
        <w:tabs>
          <w:tab w:leader="none" w:pos="20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such sublicense to a Third Party shall be in writing; and</w:t>
      </w:r>
    </w:p>
    <w:p>
      <w:pPr>
        <w:spacing w:after="0" w:line="117" w:lineRule="exact"/>
        <w:rPr>
          <w:rFonts w:ascii="Arial" w:cs="Arial" w:eastAsia="Arial" w:hAnsi="Arial"/>
          <w:sz w:val="18"/>
          <w:szCs w:val="18"/>
          <w:color w:val="auto"/>
        </w:rPr>
      </w:pPr>
    </w:p>
    <w:p>
      <w:pPr>
        <w:jc w:val="both"/>
        <w:ind w:left="2000" w:right="20" w:hanging="570"/>
        <w:spacing w:after="0" w:line="286" w:lineRule="auto"/>
        <w:tabs>
          <w:tab w:leader="none" w:pos="2000" w:val="left"/>
        </w:tabs>
        <w:numPr>
          <w:ilvl w:val="2"/>
          <w:numId w:val="22"/>
        </w:numPr>
        <w:rPr>
          <w:rFonts w:ascii="Arial" w:cs="Arial" w:eastAsia="Arial" w:hAnsi="Arial"/>
          <w:sz w:val="17"/>
          <w:szCs w:val="17"/>
          <w:color w:val="auto"/>
        </w:rPr>
      </w:pPr>
      <w:r>
        <w:rPr>
          <w:rFonts w:ascii="Arial" w:cs="Arial" w:eastAsia="Arial" w:hAnsi="Arial"/>
          <w:sz w:val="17"/>
          <w:szCs w:val="17"/>
          <w:color w:val="auto"/>
        </w:rPr>
        <w:t>In the event that the Sublicensee initiates any legal action seeking a determination that any of the ALNYLAM Patent Rights in any country are invalid, unenforceable, and/or not infringed (including a request for reexamination or opposition of any such ALNYLAM Patent Rights), ARROWHEAD shall terminate the sublicense at the request of ALNYLAM.</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Retained Rights of ALNYLAM</w:t>
      </w:r>
      <w:r>
        <w:rPr>
          <w:rFonts w:ascii="Arial" w:cs="Arial" w:eastAsia="Arial" w:hAnsi="Arial"/>
          <w:sz w:val="17"/>
          <w:szCs w:val="17"/>
          <w:color w:val="auto"/>
        </w:rPr>
        <w:t>. Any rights of ALNYLAM not expressly granted to ARROWHEAD under this Agreement will be retained 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ALNYLAM.</w:t>
      </w:r>
    </w:p>
    <w:p>
      <w:pPr>
        <w:spacing w:after="0" w:line="211"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Additional Patents Option</w:t>
      </w:r>
      <w:r>
        <w:rPr>
          <w:rFonts w:ascii="Arial" w:cs="Arial" w:eastAsia="Arial" w:hAnsi="Arial"/>
          <w:sz w:val="17"/>
          <w:szCs w:val="17"/>
          <w:color w:val="auto"/>
        </w:rPr>
        <w:t>. ALNYLAM further grants to ARROWHEAD an option (the “</w:t>
      </w:r>
      <w:r>
        <w:rPr>
          <w:rFonts w:ascii="Arial" w:cs="Arial" w:eastAsia="Arial" w:hAnsi="Arial"/>
          <w:sz w:val="17"/>
          <w:szCs w:val="17"/>
          <w:u w:val="single" w:color="auto"/>
          <w:color w:val="auto"/>
        </w:rPr>
        <w:t>Additional Patents Option</w:t>
      </w:r>
      <w:r>
        <w:rPr>
          <w:rFonts w:ascii="Arial" w:cs="Arial" w:eastAsia="Arial" w:hAnsi="Arial"/>
          <w:sz w:val="17"/>
          <w:szCs w:val="17"/>
          <w:color w:val="auto"/>
        </w:rPr>
        <w:t>”) to expand the ALNYLAM</w:t>
      </w:r>
      <w:r>
        <w:rPr>
          <w:rFonts w:ascii="Arial" w:cs="Arial" w:eastAsia="Arial" w:hAnsi="Arial"/>
          <w:sz w:val="17"/>
          <w:szCs w:val="17"/>
          <w:u w:val="single" w:color="auto"/>
          <w:color w:val="auto"/>
        </w:rPr>
        <w:t xml:space="preserve"> </w:t>
      </w:r>
      <w:r>
        <w:rPr>
          <w:rFonts w:ascii="Arial" w:cs="Arial" w:eastAsia="Arial" w:hAnsi="Arial"/>
          <w:sz w:val="17"/>
          <w:szCs w:val="17"/>
          <w:color w:val="auto"/>
        </w:rPr>
        <w:t>Broad RNAi Patent Rights to include either the ALNYLAM CRT Additional Patent Rights or the ALNYLAM Stanford Additional Patent Rights, or both, for the sole and exclusive purposes of Researching, Developing, manufacturing and Commercializing Licensed RNAi Products in the Field in the Territory. The Additional Patents Option shall be exercisable by ARROWHEAD by written notice to ALNYLAM of such exercise given by ARROWHEAD anytime during the Term specifying the family or families of additional patent rights to which such exercise applies. Following exercise of the Additional Patents Option, the Parties shall negotiate and enter into a supplemental agreement containing terms and conditions for such license expansion, which shall include terms that pass through ALNYLAM’s costs of granting such expansion as well as terms that ALNYLAM is required to impose on sublicensees under ALNYLAM’s applicable agreement(s) with Third Party(ies), but which terms shall not impose burdens on ARROWHEAD beyond the foregoing costs and pass-through terms and the applicable terms of this Agreement.</w:t>
      </w:r>
    </w:p>
    <w:p>
      <w:pPr>
        <w:spacing w:after="0" w:line="182"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u w:val="single" w:color="auto"/>
          <w:color w:val="auto"/>
        </w:rPr>
        <w:t>Exclusivity</w:t>
      </w:r>
      <w:r>
        <w:rPr>
          <w:rFonts w:ascii="Arial" w:cs="Arial" w:eastAsia="Arial" w:hAnsi="Arial"/>
          <w:sz w:val="18"/>
          <w:szCs w:val="18"/>
          <w:color w:val="auto"/>
        </w:rPr>
        <w:t>. During the Term, neither ALNYLAM nor any of its Affiliates shall, directly or indirectly, Develop, manufacture commercial quantities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or Commercialize, any Licensed RNAi Product in the Field in the Territory, or collaborate with or assist any Third Party with respect to any of the foregoing, except as provided in this Agreement.</w:t>
      </w:r>
    </w:p>
    <w:p>
      <w:pPr>
        <w:spacing w:after="0" w:line="69" w:lineRule="exact"/>
        <w:rPr>
          <w:sz w:val="20"/>
          <w:szCs w:val="20"/>
          <w:color w:val="auto"/>
        </w:rPr>
      </w:pPr>
    </w:p>
    <w:p>
      <w:pPr>
        <w:ind w:right="680" w:firstLine="8"/>
        <w:spacing w:after="0" w:line="282" w:lineRule="auto"/>
        <w:tabs>
          <w:tab w:leader="none" w:pos="31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ARTICLE V - FEES AND ROYALTIES</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FTE Costs</w:t>
      </w:r>
      <w:r>
        <w:rPr>
          <w:rFonts w:ascii="Arial" w:cs="Arial" w:eastAsia="Arial" w:hAnsi="Arial"/>
          <w:sz w:val="18"/>
          <w:szCs w:val="18"/>
          <w:color w:val="auto"/>
        </w:rPr>
        <w:t>. ARROWHEAD shall reimburse ALNYLAM in accordance with Section 2.3 its FTE Costs with respect to the FTEs provided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ALNYLAM to conduct activities under Research Collaboration Plan.</w:t>
      </w:r>
    </w:p>
    <w:p>
      <w:pPr>
        <w:spacing w:after="0" w:line="17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Milestone Payments</w:t>
      </w:r>
      <w:r>
        <w:rPr>
          <w:rFonts w:ascii="Arial" w:cs="Arial" w:eastAsia="Arial" w:hAnsi="Arial"/>
          <w:sz w:val="18"/>
          <w:szCs w:val="18"/>
          <w:color w:val="auto"/>
        </w:rPr>
        <w:t>. Upon the achievement by ARROWHEAD, its Affiliates or Sublicensees of each of the milestone events in the table below with</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respect to a Licensed RNAi Product, ARROWHEAD will provide written notice to ALNYLAM of the occurrence of such milestone event within five (5) days after such event and ARROWHEAD will make the indicated milestone payment to ALNYLAM within thirty (30) days after the occurrence of such event. Milestone payments will be due only once for the first Licensed RNAi Product to achieve the relevant milestone event and not for any subsequent Licensed RNAi Product or second generation of the same.</w:t>
      </w:r>
    </w:p>
    <w:p>
      <w:pPr>
        <w:spacing w:after="0" w:line="183" w:lineRule="exact"/>
        <w:rPr>
          <w:sz w:val="20"/>
          <w:szCs w:val="20"/>
          <w:color w:val="auto"/>
        </w:rPr>
      </w:pPr>
    </w:p>
    <w:tbl>
      <w:tblPr>
        <w:tblLayout w:type="fixed"/>
        <w:tblInd w:w="1450" w:type="dxa"/>
        <w:tblCellMar>
          <w:top w:w="0" w:type="dxa"/>
          <w:left w:w="0" w:type="dxa"/>
          <w:bottom w:w="0" w:type="dxa"/>
          <w:right w:w="0" w:type="dxa"/>
        </w:tblCellMar>
      </w:tblPr>
      <w:tr>
        <w:trPr>
          <w:trHeight w:val="230"/>
        </w:trPr>
        <w:tc>
          <w:tcPr>
            <w:tcW w:w="7400" w:type="dxa"/>
            <w:vAlign w:val="bottom"/>
            <w:tcBorders>
              <w:top w:val="single" w:sz="8" w:color="auto"/>
              <w:left w:val="single" w:sz="8" w:color="auto"/>
              <w:bottom w:val="single" w:sz="8" w:color="auto"/>
              <w:right w:val="single" w:sz="8" w:color="auto"/>
            </w:tcBorders>
          </w:tcPr>
          <w:p>
            <w:pPr>
              <w:ind w:left="3160"/>
              <w:spacing w:after="0"/>
              <w:rPr>
                <w:sz w:val="20"/>
                <w:szCs w:val="20"/>
                <w:color w:val="auto"/>
              </w:rPr>
            </w:pPr>
            <w:r>
              <w:rPr>
                <w:rFonts w:ascii="Arial" w:cs="Arial" w:eastAsia="Arial" w:hAnsi="Arial"/>
                <w:sz w:val="18"/>
                <w:szCs w:val="18"/>
                <w:color w:val="auto"/>
              </w:rPr>
              <w:t>Milestone Event</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Payment</w:t>
            </w:r>
          </w:p>
        </w:tc>
      </w:tr>
      <w:tr>
        <w:trPr>
          <w:trHeight w:val="224"/>
        </w:trPr>
        <w:tc>
          <w:tcPr>
            <w:tcW w:w="7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Initiation of first Clinical Trial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r>
      <w:tr>
        <w:trPr>
          <w:trHeight w:val="53"/>
        </w:trPr>
        <w:tc>
          <w:tcPr>
            <w:tcW w:w="7400" w:type="dxa"/>
            <w:vAlign w:val="bottom"/>
            <w:tcBorders>
              <w:left w:val="single" w:sz="8" w:color="auto"/>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7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Dosing of the first patient in a Pivotal Trial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r>
      <w:tr>
        <w:trPr>
          <w:trHeight w:val="54"/>
        </w:trPr>
        <w:tc>
          <w:tcPr>
            <w:tcW w:w="7400" w:type="dxa"/>
            <w:vAlign w:val="bottom"/>
            <w:tcBorders>
              <w:left w:val="single" w:sz="8" w:color="auto"/>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7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First Approval granted by a Regulatory Authority</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r>
      <w:tr>
        <w:trPr>
          <w:trHeight w:val="54"/>
        </w:trPr>
        <w:tc>
          <w:tcPr>
            <w:tcW w:w="7400" w:type="dxa"/>
            <w:vAlign w:val="bottom"/>
            <w:tcBorders>
              <w:left w:val="single" w:sz="8" w:color="auto"/>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74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First Commercial Sale of a Licensed RNAi Product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one or more milestone events set out above are skipped for any reason, the payment for such skipped milestone events(s) will be due upon the earlier of (a) achievement of the next achieved milestone event or (b) First Commercial Sale of a Licensed RNAi Product. In addition, if a Clinical Trial becomes a Pivotal Trial after the dosing of the first patient in such Clinical Trial, the Milestone payment above for dosing of the first patient in a Pivotal Trial (if not previously paid) shall become payable when such Clinical Trial is determined to be a Pivotal Trial.</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Royalties</w:t>
      </w:r>
      <w:r>
        <w:rPr>
          <w:rFonts w:ascii="Arial" w:cs="Arial" w:eastAsia="Arial" w:hAnsi="Arial"/>
          <w:sz w:val="16"/>
          <w:szCs w:val="16"/>
          <w:color w:val="auto"/>
        </w:rPr>
        <w:t>.</w:t>
      </w:r>
    </w:p>
    <w:p>
      <w:pPr>
        <w:spacing w:after="0" w:line="117" w:lineRule="exact"/>
        <w:rPr>
          <w:sz w:val="20"/>
          <w:szCs w:val="20"/>
          <w:color w:val="auto"/>
        </w:rPr>
      </w:pPr>
    </w:p>
    <w:p>
      <w:pPr>
        <w:jc w:val="both"/>
        <w:ind w:left="1280" w:hanging="625"/>
        <w:spacing w:after="0" w:line="257"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Royalties on worldwide Net Sales, whether such sales are made by ARROWHEAD or through its Affiliates or Sublicensees, will be due and payable by ARROWHEAD to ALNYLAM on a Licensed RNAi Product-by-Licensed RNAi Product and country-by-country basis in the Territory commencing on the First Commercial Sale of such Licensed RNAi Product until the later of (i) ten (10) years following the First Commercial Sale of such Licensed RNAi Product in such country; or (ii) the expiration of the last Valid Claim Covering such Licensed RNAi Product in the country of sale or in the country of manufacture (the “Royalty Term”).</w:t>
      </w:r>
    </w:p>
    <w:p>
      <w:pPr>
        <w:spacing w:after="0" w:line="80" w:lineRule="exact"/>
        <w:rPr>
          <w:rFonts w:ascii="Arial" w:cs="Arial" w:eastAsia="Arial" w:hAnsi="Arial"/>
          <w:sz w:val="18"/>
          <w:szCs w:val="18"/>
          <w:color w:val="auto"/>
        </w:rPr>
      </w:pPr>
    </w:p>
    <w:p>
      <w:pPr>
        <w:ind w:left="1280" w:hanging="625"/>
        <w:spacing w:after="0" w:line="308"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 to subsection (a) of this Section 5.3, the following royalties will be payable by ARROWHEAD to ALNYLAM (all references are to U.S. dollars) on aggregate worldwide Net Sales that fall within the indicated ranges of Net Sales for each calendar year.</w:t>
      </w:r>
    </w:p>
    <w:p>
      <w:pPr>
        <w:spacing w:after="0" w:line="141" w:lineRule="exact"/>
        <w:rPr>
          <w:sz w:val="20"/>
          <w:szCs w:val="20"/>
          <w:color w:val="auto"/>
        </w:rPr>
      </w:pPr>
    </w:p>
    <w:tbl>
      <w:tblPr>
        <w:tblLayout w:type="fixed"/>
        <w:tblInd w:w="1450" w:type="dxa"/>
        <w:tblCellMar>
          <w:top w:w="0" w:type="dxa"/>
          <w:left w:w="0" w:type="dxa"/>
          <w:bottom w:w="0" w:type="dxa"/>
          <w:right w:w="0" w:type="dxa"/>
        </w:tblCellMar>
      </w:tblPr>
      <w:tr>
        <w:trPr>
          <w:trHeight w:val="215"/>
        </w:trPr>
        <w:tc>
          <w:tcPr>
            <w:tcW w:w="740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7"/>
              </w:rPr>
              <w:t>Royalty Rate for annual worldwide Net Sales of Licensed RNAi Products up to and including</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vMerge w:val="continue"/>
          </w:tcPr>
          <w:p>
            <w:pPr>
              <w:spacing w:after="0"/>
              <w:rPr>
                <w:sz w:val="20"/>
                <w:szCs w:val="20"/>
                <w:color w:val="auto"/>
              </w:rPr>
            </w:pPr>
          </w:p>
        </w:tc>
        <w:tc>
          <w:tcPr>
            <w:tcW w:w="4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40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7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4"/>
              </w:rPr>
              <w:t>Royalty Rate for annual worldwide Net Sales of Licensed RNAi Products greater than $*** up to</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and including $***</w:t>
            </w:r>
          </w:p>
        </w:tc>
        <w:tc>
          <w:tcPr>
            <w:tcW w:w="740" w:type="dxa"/>
            <w:vAlign w:val="bottom"/>
            <w:vMerge w:val="continue"/>
          </w:tcPr>
          <w:p>
            <w:pPr>
              <w:spacing w:after="0"/>
              <w:rPr>
                <w:sz w:val="20"/>
                <w:szCs w:val="20"/>
                <w:color w:val="auto"/>
              </w:rPr>
            </w:pPr>
          </w:p>
        </w:tc>
        <w:tc>
          <w:tcPr>
            <w:tcW w:w="4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40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9"/>
              </w:rPr>
              <w:t>Royalty Rate for annual worldwide Net Sales of Licensed RNAi Products greater than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740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80" w:hanging="625"/>
        <w:spacing w:after="0" w:line="257" w:lineRule="auto"/>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during any period within the Royalty Term for a given Licensed RNAi Product in a given country, neither (i) any Valid Claim in such country Covers the manufacture or Commercialization of the Licensed Product in the country of sale, nor (ii) any Valid Claim Covers the manufacture of the Licensed RNAi Product in the country or countries where such Licensed RNAi Product was manufactured, then the royalty rates applicable to such Licensed RNAi Product in such country shall be reduced to *** percent (***%) of the rates set forth in Section 5.3(b) for such portion of the Royalty Term during which such condition exists.</w:t>
      </w:r>
    </w:p>
    <w:p>
      <w:pPr>
        <w:spacing w:after="0" w:line="76" w:lineRule="exact"/>
        <w:rPr>
          <w:rFonts w:ascii="Arial" w:cs="Arial" w:eastAsia="Arial" w:hAnsi="Arial"/>
          <w:sz w:val="18"/>
          <w:szCs w:val="18"/>
          <w:color w:val="auto"/>
        </w:rPr>
      </w:pPr>
    </w:p>
    <w:p>
      <w:pPr>
        <w:ind w:right="680" w:firstLine="8"/>
        <w:spacing w:after="0" w:line="282" w:lineRule="auto"/>
        <w:tabs>
          <w:tab w:leader="none" w:pos="31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9" w:right="239" w:bottom="1440" w:gutter="0" w:footer="0" w:header="0"/>
        </w:sectPr>
      </w:pPr>
    </w:p>
    <w:bookmarkStart w:id="45" w:name="page46"/>
    <w:bookmarkEnd w:id="45"/>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Sales Milestone Payment</w:t>
      </w:r>
      <w:r>
        <w:rPr>
          <w:rFonts w:ascii="Arial" w:cs="Arial" w:eastAsia="Arial" w:hAnsi="Arial"/>
          <w:sz w:val="18"/>
          <w:szCs w:val="18"/>
          <w:color w:val="auto"/>
        </w:rPr>
        <w:t>. For the milestone listed in the table below, ARROWHEAD shall pay, or cause to be paid, to ALNYLAM the following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payments concurrently with ARROWHEAD’s payment of royalties pursuant to Section 6.1 for the Calendar Quarter during which the achievement of the event set forth below occurs:</w:t>
      </w:r>
    </w:p>
    <w:p>
      <w:pPr>
        <w:spacing w:after="0" w:line="176" w:lineRule="exact"/>
        <w:rPr>
          <w:sz w:val="20"/>
          <w:szCs w:val="20"/>
          <w:color w:val="auto"/>
        </w:rPr>
      </w:pPr>
    </w:p>
    <w:tbl>
      <w:tblPr>
        <w:tblLayout w:type="fixed"/>
        <w:tblInd w:w="1450" w:type="dxa"/>
        <w:tblCellMar>
          <w:top w:w="0" w:type="dxa"/>
          <w:left w:w="0" w:type="dxa"/>
          <w:bottom w:w="0" w:type="dxa"/>
          <w:right w:w="0" w:type="dxa"/>
        </w:tblCellMar>
      </w:tblPr>
      <w:tr>
        <w:trPr>
          <w:trHeight w:val="230"/>
        </w:trPr>
        <w:tc>
          <w:tcPr>
            <w:tcW w:w="7400" w:type="dxa"/>
            <w:vAlign w:val="bottom"/>
            <w:tcBorders>
              <w:top w:val="single" w:sz="8" w:color="auto"/>
              <w:left w:val="single" w:sz="8" w:color="auto"/>
              <w:bottom w:val="single" w:sz="8" w:color="auto"/>
              <w:right w:val="single" w:sz="8" w:color="auto"/>
            </w:tcBorders>
          </w:tcPr>
          <w:p>
            <w:pPr>
              <w:ind w:left="3160"/>
              <w:spacing w:after="0"/>
              <w:rPr>
                <w:sz w:val="20"/>
                <w:szCs w:val="20"/>
                <w:color w:val="auto"/>
              </w:rPr>
            </w:pPr>
            <w:r>
              <w:rPr>
                <w:rFonts w:ascii="Arial" w:cs="Arial" w:eastAsia="Arial" w:hAnsi="Arial"/>
                <w:sz w:val="18"/>
                <w:szCs w:val="18"/>
                <w:color w:val="auto"/>
              </w:rPr>
              <w:t>Milestone Event</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w w:val="95"/>
              </w:rPr>
              <w:t>Payment</w:t>
            </w:r>
          </w:p>
        </w:tc>
        <w:tc>
          <w:tcPr>
            <w:tcW w:w="0" w:type="dxa"/>
            <w:vAlign w:val="bottom"/>
          </w:tcPr>
          <w:p>
            <w:pPr>
              <w:spacing w:after="0"/>
              <w:rPr>
                <w:sz w:val="1"/>
                <w:szCs w:val="1"/>
                <w:color w:val="auto"/>
              </w:rPr>
            </w:pPr>
          </w:p>
        </w:tc>
      </w:tr>
      <w:tr>
        <w:trPr>
          <w:trHeight w:val="195"/>
        </w:trPr>
        <w:tc>
          <w:tcPr>
            <w:tcW w:w="7400" w:type="dxa"/>
            <w:vAlign w:val="bottom"/>
            <w:tcBorders>
              <w:left w:val="single" w:sz="8" w:color="auto"/>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9"/>
              </w:rPr>
              <w:t>First calendar year in which aggregate annual Net Sales of Licensed RNAi Products in the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Territory exceed $***</w:t>
            </w:r>
          </w:p>
        </w:tc>
        <w:tc>
          <w:tcPr>
            <w:tcW w:w="180" w:type="dxa"/>
            <w:vAlign w:val="bottom"/>
            <w:vMerge w:val="continue"/>
          </w:tcPr>
          <w:p>
            <w:pPr>
              <w:spacing w:after="0"/>
              <w:rPr>
                <w:sz w:val="20"/>
                <w:szCs w:val="20"/>
                <w:color w:val="auto"/>
              </w:rPr>
            </w:pPr>
          </w:p>
        </w:tc>
        <w:tc>
          <w:tcPr>
            <w:tcW w:w="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400" w:type="dxa"/>
            <w:vAlign w:val="bottom"/>
            <w:tcBorders>
              <w:left w:val="single" w:sz="8" w:color="auto"/>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 the foregoing milestone payment set forth in this Section 5.4 shall be payable no more than once.</w:t>
      </w:r>
    </w:p>
    <w:p>
      <w:pPr>
        <w:spacing w:after="0" w:line="22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Third Party License Fees</w:t>
      </w:r>
      <w:r>
        <w:rPr>
          <w:rFonts w:ascii="Arial" w:cs="Arial" w:eastAsia="Arial" w:hAnsi="Arial"/>
          <w:sz w:val="17"/>
          <w:szCs w:val="17"/>
          <w:color w:val="auto"/>
        </w:rPr>
        <w:t>. ARROWHEAD shall be solely responsible for all licensee fees, milestone payments, royalties, sublicense income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other amounts payable (a) by ALNYLAM pursuant to the applicable Existing ALNYLAM Third Party Agreement identified on Exhibit B that become payable as a result of any license granted by ALNYLAM to ARROWHEAD hereunder with respect to Licensed RNAi Products, and (b) by ARROWHEAD and its Affiliates and Sublicensees to Third Parties for licenses or other rights under patents and intellectual property rights of Third Parties with respect to Licensed RNAi Products Researched, Developed and Commercialized hereunder. ARROWHEAD shall pay to ALNYLAM the amounts payable by ALNYLAM to third parties as described in the foregoing clause (a) within thirty (30) days after any invoice therefor from ALNYLAM to ARROWHEAD. ARROWHEAD shall be entitled to deduct from royalty payments payable hereunder for a given Licensed RNAi Product *** percent (***%) of any Third Party License Fees Payments paid by ARROWHEAD with respect to such Licensed RNAi Product during the applicable reporting period; provided that in no event shall a deduction under this Section 5.5 reduce any royalty payment with respect to any such Licensed RNAi Product payable by ARROWHEAD hereunder to less than *** percent (***%) of the royalty payment amount otherwise payable pursuant to</w:t>
      </w:r>
    </w:p>
    <w:p>
      <w:pPr>
        <w:spacing w:after="0" w:line="7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Section 5.4. In addition, ARROWHEAD shall be entitled to deduct from milestones payable hereunder for any given Licensed RNAi Product *** percent (***%) of any milestone payment actually paid by ARROWHEAD to any Third Party for such Licensed RNAi Product pursuant to an Existing ALNYLAM Third Party Agreement as set forth in the foregoing clause (a).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 REPORTS, TAXES AND PAYMENTS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Reports</w:t>
      </w:r>
      <w:r>
        <w:rPr>
          <w:rFonts w:ascii="Arial" w:cs="Arial" w:eastAsia="Arial" w:hAnsi="Arial"/>
          <w:sz w:val="16"/>
          <w:szCs w:val="16"/>
          <w:color w:val="auto"/>
        </w:rPr>
        <w:t>. As to each Calendar Quarter commencing with the Calendar Quarter during which the First Commercial Sale occurs, within seventy five</w:t>
      </w:r>
    </w:p>
    <w:p>
      <w:pPr>
        <w:spacing w:after="0" w:line="23" w:lineRule="exact"/>
        <w:rPr>
          <w:sz w:val="20"/>
          <w:szCs w:val="20"/>
          <w:color w:val="auto"/>
        </w:rPr>
      </w:pPr>
    </w:p>
    <w:p>
      <w:pPr>
        <w:jc w:val="both"/>
        <w:ind w:left="660" w:hanging="4"/>
        <w:spacing w:after="0" w:line="268" w:lineRule="auto"/>
        <w:tabs>
          <w:tab w:leader="none" w:pos="10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days after the end of such Calendar Quarter, ARROWHEAD will deliver to ALNYLAM a written report showing, on a Licensed RNAi Product-by-Licensed RNAi Product and country-by-country basis, the Net Sales of Licensed RNAi Products calculated under GAAP and its royalty obligation for such Calendar Quarter with respect to such Net Sales under this Agreement together with wire transfer of an amount equal to such royalty obligation. In addition, if the sales milestone set forth in Section 5.4 is achieved during such Calendar Quarter, ARROWHEAD shall also pay to ALNYLAM the sales milestone payment set forth in Section 5.4 with such wire transfer. All Net Sales will be segmented in each such report according to sales by ARROWHEAD and each Affiliate and Sublicensee, including the rates of exchange used to convert Net Sales to United States dollars from the currency in which such sales were made. For the purposes of this Agreement, the rates of exchange to be used for converting Net Sales to United States dollars will be the simple average of the selling and buying rates of Dollars published in </w:t>
      </w:r>
      <w:r>
        <w:rPr>
          <w:rFonts w:ascii="Arial" w:cs="Arial" w:eastAsia="Arial" w:hAnsi="Arial"/>
          <w:sz w:val="17"/>
          <w:szCs w:val="17"/>
          <w:i w:val="1"/>
          <w:iCs w:val="1"/>
          <w:color w:val="auto"/>
        </w:rPr>
        <w:t>The Wall Street Journal East Coast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Edition </w:t>
      </w:r>
      <w:r>
        <w:rPr>
          <w:rFonts w:ascii="Arial" w:cs="Arial" w:eastAsia="Arial" w:hAnsi="Arial"/>
          <w:sz w:val="17"/>
          <w:szCs w:val="17"/>
          <w:color w:val="auto"/>
        </w:rPr>
        <w:t>for the last business day of the Calendar Quarter covered by the report.</w:t>
      </w:r>
    </w:p>
    <w:p>
      <w:pPr>
        <w:spacing w:after="0" w:line="182"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Tax Withholding</w:t>
      </w:r>
      <w:r>
        <w:rPr>
          <w:rFonts w:ascii="Arial" w:cs="Arial" w:eastAsia="Arial" w:hAnsi="Arial"/>
          <w:sz w:val="16"/>
          <w:szCs w:val="16"/>
          <w:color w:val="auto"/>
        </w:rPr>
        <w:t>. ARROWHEAD will use commercially reasonable efforts to reduce tax withholding with respect to payments to be made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ALNYLAM, provided that ALNYLAM will reasonably cooperate with ARROWHEAD for said purposes. Notwithstanding such efforts, if ARROWHEAD concludes that tax withholdings under the laws of any country are required with respect to payments to ALNYLAM, ARROWHEAD will, subject to Section 12.6(c), make the full amount of the required payment to ALNYLAM after any tax withholding. In any such case, ARROWHEAD shall provide ALNYLAM with a written explanation of such withholding and original receipts or other evidence reasonably desirable and sufficient to allow ALNYLAM to document such tax withholdings for purposes of claiming foreign tax credits and similar benefits.</w:t>
      </w:r>
    </w:p>
    <w:p>
      <w:pPr>
        <w:spacing w:after="0" w:line="16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Payments</w:t>
      </w:r>
      <w:r>
        <w:rPr>
          <w:rFonts w:ascii="Arial" w:cs="Arial" w:eastAsia="Arial" w:hAnsi="Arial"/>
          <w:sz w:val="18"/>
          <w:szCs w:val="18"/>
          <w:color w:val="auto"/>
        </w:rPr>
        <w:t>. Unless otherwise agreed by the Parties, all payments required to be made under this Agreement will be made in United States dollars via</w:t>
      </w:r>
      <w:r>
        <w:rPr>
          <w:rFonts w:ascii="Arial" w:cs="Arial" w:eastAsia="Arial" w:hAnsi="Arial"/>
          <w:sz w:val="18"/>
          <w:szCs w:val="18"/>
          <w:u w:val="single" w:color="auto"/>
          <w:color w:val="auto"/>
        </w:rPr>
        <w:t xml:space="preserve"> </w:t>
      </w:r>
      <w:r>
        <w:rPr>
          <w:rFonts w:ascii="Arial" w:cs="Arial" w:eastAsia="Arial" w:hAnsi="Arial"/>
          <w:sz w:val="18"/>
          <w:szCs w:val="18"/>
          <w:color w:val="auto"/>
        </w:rPr>
        <w:t>wire transfer to an account designated in advance by the receiving Party.</w:t>
      </w:r>
    </w:p>
    <w:p>
      <w:pPr>
        <w:spacing w:after="0" w:line="58" w:lineRule="exact"/>
        <w:rPr>
          <w:sz w:val="20"/>
          <w:szCs w:val="20"/>
          <w:color w:val="auto"/>
        </w:rPr>
      </w:pPr>
    </w:p>
    <w:p>
      <w:pPr>
        <w:ind w:right="680" w:firstLine="8"/>
        <w:spacing w:after="0" w:line="282" w:lineRule="auto"/>
        <w:tabs>
          <w:tab w:leader="none" w:pos="31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46" w:name="page47"/>
    <w:bookmarkEnd w:id="46"/>
    <w:p>
      <w:pPr>
        <w:jc w:val="right"/>
        <w:spacing w:after="0" w:line="274"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Audits</w:t>
      </w:r>
      <w:r>
        <w:rPr>
          <w:rFonts w:ascii="Arial" w:cs="Arial" w:eastAsia="Arial" w:hAnsi="Arial"/>
          <w:sz w:val="17"/>
          <w:szCs w:val="17"/>
          <w:color w:val="auto"/>
        </w:rPr>
        <w:t>. At any given point in time, ARROWHEAD will have on file and will require its Affiliates and Sublicensees to have on file complete and accurate records for the last three (3) years of all Net Sales (including associated data). ALNYLAM will have the right, once during each twelve</w:t>
      </w:r>
    </w:p>
    <w:p>
      <w:pPr>
        <w:jc w:val="both"/>
        <w:ind w:left="660" w:firstLine="10"/>
        <w:spacing w:after="0" w:line="253" w:lineRule="auto"/>
        <w:tabs>
          <w:tab w:leader="none" w:pos="10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month period, to retain at its own expense an independent qualified certified public accountant reasonably acceptable to ARROWHEAD to review such records upon reasonable notice, during regular business hours. If the audit demonstrates that the payments owed under this Agreement have been understated, ARROWHEAD will pay the balance to ALNYLAM together with interest on such amounts in accordance with Section 6.5. If the underpayment is greater than five percent (5%) of the amount owed for any calendar year, then ARROWHEAD will reimburse ALNYLAM for its reasonable out-of-pocket costs of the audit.</w:t>
      </w:r>
    </w:p>
    <w:p>
      <w:pPr>
        <w:spacing w:after="0" w:line="19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Late Payments</w:t>
      </w:r>
      <w:r>
        <w:rPr>
          <w:rFonts w:ascii="Arial" w:cs="Arial" w:eastAsia="Arial" w:hAnsi="Arial"/>
          <w:sz w:val="18"/>
          <w:szCs w:val="18"/>
          <w:color w:val="auto"/>
        </w:rPr>
        <w:t>. ARROWHEAD shall pay interest to ALNYLAM on the aggregate amount of any payments (except for those payments which are</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subject of a reasonable, good faith dispute) that are not paid on or before the date such payments are due under this Agreement at a rate equal to the then current 30-day United States dollar LIBOR rate plus two percent per annum.</w:t>
      </w:r>
    </w:p>
    <w:p>
      <w:pPr>
        <w:spacing w:after="0" w:line="393"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ARTICLE VII- INTELLECTUAL PROPERTY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Prosecution and Maintenance of Patent Rights</w:t>
      </w:r>
      <w:r>
        <w:rPr>
          <w:rFonts w:ascii="Arial" w:cs="Arial" w:eastAsia="Arial" w:hAnsi="Arial"/>
          <w:sz w:val="16"/>
          <w:szCs w:val="16"/>
          <w:color w:val="auto"/>
        </w:rPr>
        <w:t>.</w:t>
      </w:r>
    </w:p>
    <w:p>
      <w:pPr>
        <w:spacing w:after="0" w:line="117" w:lineRule="exact"/>
        <w:rPr>
          <w:sz w:val="20"/>
          <w:szCs w:val="20"/>
          <w:color w:val="auto"/>
        </w:rPr>
      </w:pPr>
    </w:p>
    <w:p>
      <w:pPr>
        <w:jc w:val="both"/>
        <w:ind w:left="1280" w:hanging="625"/>
        <w:spacing w:after="0" w:line="279" w:lineRule="auto"/>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ALNYLAM will have the sole and exclusive right to file, prosecute and maintain patent protection (or to decline to do so) in the Territory for all ALNYLAM RNAi Patent Rights in its discretion and the first right to file, prosecute and maintain patent protection (or to decline to do so) in the Territory for all ALNYLAM Target-Specific Patent Rights. ALNYLAM covenants that it will not abandon, sell or exclusively license any portion of the ALNYLAM Patent Rights in any manner that would adversely affect ARROWHEAD’ s rights hereunder.</w:t>
      </w:r>
    </w:p>
    <w:p>
      <w:pPr>
        <w:spacing w:after="0" w:line="63" w:lineRule="exact"/>
        <w:rPr>
          <w:rFonts w:ascii="Arial" w:cs="Arial" w:eastAsia="Arial" w:hAnsi="Arial"/>
          <w:sz w:val="17"/>
          <w:szCs w:val="17"/>
          <w:color w:val="auto"/>
        </w:rPr>
      </w:pPr>
    </w:p>
    <w:p>
      <w:pPr>
        <w:jc w:val="both"/>
        <w:ind w:left="1280" w:hanging="625"/>
        <w:spacing w:after="0" w:line="287" w:lineRule="auto"/>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ALNYLAM shall keep ARROWHEAD informed as to material developments with respect to the filing, prosecution and maintenance of the ALNYLAM Target-Specific Patent Rights, including by providing copies of all substantive office actions or any other substantive documents that ALNYLAM receives from any patent office. ALNYLAM shall provide ARROWHEAD with reasonable opportunities to substantively comment on the filing, prosecution and maintenance of the ALNYLAM Target-Specific Patent Rights prior to taking material actions, and will in good faith consider any actions recommended by ARROWHEAD; provided that ARROWHEAD provides such comments promptly and consistent with any applicable filing deadlines. If ALNYLAM decides not to file an ALNYLAM Target-Specific Patent Right or intends to allow an ALNYLAM Target-Specific Patent Right to lapse or become abandoned without filing a substitute, ALNYLAM shall, notify and consult with ARROWHEAD regarding such decision or intention at least thirty (30) days prior to the date upon which the subject matter of such ALNYLAM Target-Specific Patent Right shall become unpatentable or such ALNYLAM Target-Specific Patent Right shall lapse or become abandoned, and ARROWHEAD shall thereupon have the right, but not the obligation, to assume responsibility for the filing, prosecution and maintenance thereof at its own expense with counsel of its own choice.</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Infringement of ALNYLAM Rights</w:t>
      </w:r>
      <w:r>
        <w:rPr>
          <w:rFonts w:ascii="Arial" w:cs="Arial" w:eastAsia="Arial" w:hAnsi="Arial"/>
          <w:sz w:val="17"/>
          <w:szCs w:val="17"/>
          <w:color w:val="auto"/>
        </w:rPr>
        <w:t>.</w:t>
      </w:r>
    </w:p>
    <w:p>
      <w:pPr>
        <w:spacing w:after="0" w:line="117" w:lineRule="exact"/>
        <w:rPr>
          <w:sz w:val="20"/>
          <w:szCs w:val="20"/>
          <w:color w:val="auto"/>
        </w:rPr>
      </w:pPr>
    </w:p>
    <w:p>
      <w:pPr>
        <w:jc w:val="both"/>
        <w:ind w:left="1280" w:hanging="625"/>
        <w:spacing w:after="0" w:line="257" w:lineRule="auto"/>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Party will promptly report in writing to the other Party during the Term any known or suspected infringement by a Third Party with respect to any ALNYLAM Patent Right by the Research, Development or Commercialization by such Third Party of a product that is or would be competitive with a Licensed RNAi Product being researched, Developed or Commercialized by ARROWHEAD, its Affiliates or Sublicensees (“</w:t>
      </w:r>
      <w:r>
        <w:rPr>
          <w:rFonts w:ascii="Arial" w:cs="Arial" w:eastAsia="Arial" w:hAnsi="Arial"/>
          <w:sz w:val="18"/>
          <w:szCs w:val="18"/>
          <w:u w:val="single" w:color="auto"/>
          <w:color w:val="auto"/>
        </w:rPr>
        <w:t>Competitive Infringement</w:t>
      </w:r>
      <w:r>
        <w:rPr>
          <w:rFonts w:ascii="Arial" w:cs="Arial" w:eastAsia="Arial" w:hAnsi="Arial"/>
          <w:sz w:val="18"/>
          <w:szCs w:val="18"/>
          <w:color w:val="auto"/>
        </w:rPr>
        <w:t>”) and will provide the other Party with all available evidence supporting such Competitive Infringement.</w:t>
      </w:r>
    </w:p>
    <w:p>
      <w:pPr>
        <w:spacing w:after="0" w:line="80" w:lineRule="exact"/>
        <w:rPr>
          <w:rFonts w:ascii="Arial" w:cs="Arial" w:eastAsia="Arial" w:hAnsi="Arial"/>
          <w:sz w:val="18"/>
          <w:szCs w:val="18"/>
          <w:color w:val="auto"/>
        </w:rPr>
      </w:pPr>
    </w:p>
    <w:p>
      <w:pPr>
        <w:ind w:left="1280" w:hanging="625"/>
        <w:spacing w:after="0" w:line="342" w:lineRule="auto"/>
        <w:tabs>
          <w:tab w:leader="none" w:pos="12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ALNYLAM shall have the sole and exclusive right to initiate and control any infringement or other appropriate suit in the Territory against any Third Party who at any time has infringed, or is suspected of infringing, any of the ALNYLAM RNAi Patent Rights in its discretion.</w:t>
      </w:r>
    </w:p>
    <w:p>
      <w:pPr>
        <w:spacing w:after="0" w:line="11" w:lineRule="exact"/>
        <w:rPr>
          <w:rFonts w:ascii="Arial" w:cs="Arial" w:eastAsia="Arial" w:hAnsi="Arial"/>
          <w:sz w:val="16"/>
          <w:szCs w:val="16"/>
          <w:color w:val="auto"/>
        </w:rPr>
      </w:pPr>
    </w:p>
    <w:p>
      <w:pPr>
        <w:ind w:right="680" w:firstLine="8"/>
        <w:spacing w:after="0" w:line="282" w:lineRule="auto"/>
        <w:tabs>
          <w:tab w:leader="none" w:pos="31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9" w:right="239" w:bottom="1440" w:gutter="0" w:footer="0" w:header="0"/>
        </w:sectPr>
      </w:pPr>
    </w:p>
    <w:bookmarkStart w:id="47" w:name="page48"/>
    <w:bookmarkEnd w:id="47"/>
    <w:p>
      <w:pPr>
        <w:jc w:val="both"/>
        <w:ind w:left="1280" w:hanging="618"/>
        <w:spacing w:after="0" w:line="269" w:lineRule="auto"/>
        <w:tabs>
          <w:tab w:leader="none" w:pos="12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ARROWHEAD shall have the first right to initiate and control any infringement or other appropriate suit in the Territory with respect to a Competitive Infringement of an ALNYLAM Target-Specific Patent Right. ALNYLAM shall, at ARROWHEAD’s expense, cooperate with ARROWHEAD in any such suit and shall have the right, at its own expense, to be represented in such action by counsel of its own choice. If ARROWHEAD fails to bring any such action or proceeding within a period of ninety (90) days after first being notified of a Competitive Infringement of an ALNYLAM Target-Specific Patent Right, then ALNYLAM shall have the right to bring and control such an action with respect to such Competitive Infringement of an ALNYLAM Target-Specific Patent Right by counsel of its own choice. ARROWHEAD shall, at ALNYLAM’s expense, cooperate with ALNYLAM in any such suit and have the right to be represented in such action by counsel of its own choice at its own expense. Any recoveries resulting from such an action brought in accordance with this clause (c) shall be applied as follows: (i) first, to reimburse each Party for all out-of-pocket costs incurred in connection with such proceeding (on a pro rata basis, based on each Party’s respective litigation costs, to the extent the recovery was less than all such litigation costs); and (ii) the remainder of any such recovery shall be shared between the Parties with the Party that initiated such action retaining *** of the remainder of such recovery and the other Party receiving *** of the remainder of such recovery.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Claimed Infringement of Third Party Rights, and Third Party Intellectual Property Obligations</w:t>
      </w:r>
      <w:r>
        <w:rPr>
          <w:rFonts w:ascii="Arial" w:cs="Arial" w:eastAsia="Arial" w:hAnsi="Arial"/>
          <w:sz w:val="16"/>
          <w:szCs w:val="16"/>
          <w:color w:val="auto"/>
        </w:rPr>
        <w:t>.</w:t>
      </w:r>
    </w:p>
    <w:p>
      <w:pPr>
        <w:spacing w:after="0" w:line="117" w:lineRule="exact"/>
        <w:rPr>
          <w:sz w:val="20"/>
          <w:szCs w:val="20"/>
          <w:color w:val="auto"/>
        </w:rPr>
      </w:pPr>
    </w:p>
    <w:p>
      <w:pPr>
        <w:jc w:val="both"/>
        <w:ind w:left="1280" w:hanging="625"/>
        <w:spacing w:after="0" w:line="272" w:lineRule="auto"/>
        <w:tabs>
          <w:tab w:leader="none" w:pos="1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event that a Third Party at any time provides written notice of a claim to, or brings an action, suit or proceeding against, either Party, or any of their respective Affiliates or Sublicensees, claiming infringement of its patent rights based upon an assertion or claim arising out of the development, use, manufacture, distribution, importation or sale of Licensed RNAi Products (“Third Party Claim”), such Party will promptly notify the other Party of the claim or the commencement of such action, suit or proceeding, enclosing a copy of the claim and all papers served. Each Party agrees to make available to the other Party its advice and counsel regarding the technical merits of any such claim at no cost to the other Party and, if requested by the other Party, to provide reasonable assistance to the other Party at no cost to the other Party other than out-of-pocket expenses incurred in connection with such assistance.</w:t>
      </w:r>
    </w:p>
    <w:p>
      <w:pPr>
        <w:spacing w:after="0" w:line="69" w:lineRule="exact"/>
        <w:rPr>
          <w:rFonts w:ascii="Arial" w:cs="Arial" w:eastAsia="Arial" w:hAnsi="Arial"/>
          <w:sz w:val="17"/>
          <w:szCs w:val="17"/>
          <w:color w:val="auto"/>
        </w:rPr>
      </w:pPr>
    </w:p>
    <w:p>
      <w:pPr>
        <w:ind w:left="1280" w:hanging="625"/>
        <w:spacing w:after="0" w:line="277" w:lineRule="auto"/>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PARTY DISCLAIMS ALL REPRESENTATIONS AND WARRANTIES, EXPRESS OR IMPLIED, OF NONINFRINGEMENT WITH RESPECT TO ANY LICENSED RNAi PRODUCT.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VIII - CONFIDENTIAL INFORMATION</w:t>
      </w:r>
    </w:p>
    <w:p>
      <w:pPr>
        <w:spacing w:after="0" w:line="22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Non-Use and Non-Disclosure of Confidential Information</w:t>
      </w:r>
      <w:r>
        <w:rPr>
          <w:rFonts w:ascii="Arial" w:cs="Arial" w:eastAsia="Arial" w:hAnsi="Arial"/>
          <w:sz w:val="16"/>
          <w:szCs w:val="16"/>
          <w:color w:val="auto"/>
        </w:rPr>
        <w:t>. Each Party agrees that all Confidential Information of a Party that is disclosed by a Party</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the other Party (a) will not be used by the receiving Party except in connection with the activities contemplated by this Agreement or in order to further the purposes of this Agreement, (b) will be maintained in confidence by the receiving Party and (c) will not be disclosed by the receiving Party to any Third Party who is not a consultant or advisor under an obligation of confidentiality to, the receiving Party or an Affiliate or Sublicensee of the receiving Party, without the prior written consent of the disclosing Party. The disclosing Party is liable for any breach of the non-disclosure obligation of its consultants, advisors, Affiliates and Sublicensees as applicable. Notwithstanding the foregoing, Confidential Information shall not include information which (i) was known by the receiving Party or its Affiliates prior to its date of disclosure by the disclosing Party to the receiving Party as demonstrated by legally admissible evidence available to the receiving Party or its Affiliates, (ii) either before or after the date of the disclosure such Confidential Information is lawfully disclosed to the receiving Party or its Affiliates by sources other than the disclosing Party rightfully in possession of such Confidential Information or other information and not bound by confidentiality obligations to the disclosing Party,</w:t>
      </w:r>
    </w:p>
    <w:p>
      <w:pPr>
        <w:spacing w:after="0" w:line="6" w:lineRule="exact"/>
        <w:rPr>
          <w:sz w:val="20"/>
          <w:szCs w:val="20"/>
          <w:color w:val="auto"/>
        </w:rPr>
      </w:pPr>
    </w:p>
    <w:p>
      <w:pPr>
        <w:jc w:val="both"/>
        <w:ind w:left="660" w:hanging="4"/>
        <w:spacing w:after="0" w:line="254" w:lineRule="auto"/>
        <w:tabs>
          <w:tab w:leader="none" w:pos="975" w:val="left"/>
        </w:tabs>
        <w:numPr>
          <w:ilvl w:val="1"/>
          <w:numId w:val="33"/>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by the disclosing Party to the receiving Party such Confidential Information becomes published or otherwise part of the public domain through no fault or omission on the part of the receiving Party or its Affiliates, or (iv) is independently developed by or for the receiving Party or its Affiliates without reference to or in reliance upon the Confidential Information as demonstrated by legally admissible evidence available to the receiving Party or its Affiliates.</w:t>
      </w:r>
    </w:p>
    <w:p>
      <w:pPr>
        <w:spacing w:after="0" w:line="77" w:lineRule="exact"/>
        <w:rPr>
          <w:rFonts w:ascii="Arial" w:cs="Arial" w:eastAsia="Arial" w:hAnsi="Arial"/>
          <w:sz w:val="18"/>
          <w:szCs w:val="18"/>
          <w:color w:val="auto"/>
        </w:rPr>
      </w:pPr>
    </w:p>
    <w:p>
      <w:pPr>
        <w:ind w:right="680" w:firstLine="8"/>
        <w:spacing w:after="0" w:line="282" w:lineRule="auto"/>
        <w:tabs>
          <w:tab w:leader="none" w:pos="31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48" w:name="page49"/>
    <w:bookmarkEnd w:id="48"/>
    <w:p>
      <w:pPr>
        <w:jc w:val="both"/>
        <w:ind w:left="660" w:hanging="661"/>
        <w:spacing w:after="0" w:line="269"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Permitted Disclosures</w:t>
      </w:r>
      <w:r>
        <w:rPr>
          <w:rFonts w:ascii="Arial" w:cs="Arial" w:eastAsia="Arial" w:hAnsi="Arial"/>
          <w:sz w:val="17"/>
          <w:szCs w:val="17"/>
          <w:color w:val="auto"/>
        </w:rPr>
        <w:t>. Notwithstanding the foregoing provisions of Section 8.1, each Party may disclose Confidential Information belonging to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other Party to the extent: (a) reasonably necessary to Research, Develop, manufacture and Commercialize Licensed RNAi Products, including to obtain Approval of Licensed RNAi Products, (b) to its employees, consultants and advisors, and the employees, consultants and advisors of its Affiliates or Sublicensees as applicable, who have a legitimate business need to know and an obligation to maintain in confidence the Confidential Information of the disclosing Party, (c) reasonably necessary for the prosecution and maintenance of Patent Rights, (d) reasonably required in order for a Party to obtain financing or conduct discussions with Development or Commercialization partners so long as such Third Party recipients are bound by an obligation of confidentiality consistent with that set forth herein, (e) reasonably necessary in connection with prosecuting or defending litigation as permitted by this Agreement, (f) reasonably necessary to enforce its rights under this Agreement or (g) required to be disclosed by the receiving Party to comply with applicable laws or regulations or legal process, including without limitation by the rules or regulations of the United States Securities and Exchange Commission or similar regulatory agency in a country other than the United States or of any stock exchange or NASDAQ, provided that the receiving Party provides prior written notice of such disclosure to the disclosing Party and takes reasonable and lawful actions to avoid or minimize the extent of such disclosure.</w:t>
      </w:r>
    </w:p>
    <w:p>
      <w:pPr>
        <w:spacing w:after="0" w:line="72" w:lineRule="exact"/>
        <w:rPr>
          <w:sz w:val="20"/>
          <w:szCs w:val="20"/>
          <w:color w:val="auto"/>
        </w:rPr>
      </w:pPr>
    </w:p>
    <w:p>
      <w:pPr>
        <w:jc w:val="both"/>
        <w:ind w:left="660" w:hanging="661"/>
        <w:spacing w:after="0" w:line="270"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Publicity</w:t>
      </w:r>
      <w:r>
        <w:rPr>
          <w:rFonts w:ascii="Arial" w:cs="Arial" w:eastAsia="Arial" w:hAnsi="Arial"/>
          <w:sz w:val="17"/>
          <w:szCs w:val="17"/>
          <w:color w:val="auto"/>
        </w:rPr>
        <w:t>. No disclosure of the existence of, or the terms of, this Agreement may be made by either Party, and no Party shall use the name,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trademark, trade name or logo of the other Party or its employees in any publicity, news release or disclosure relating to this Agreement or its subject matter, without the prior express written permission of the other Party, except as may be required by law or as set forth in this Section 8.3. The Parties acknowledge and agree that, upon and following the Effective Date, the Parties shall jointly issue a press release announcing the execution of this Agreement in form and substance substantially as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Either Party may issue such other press releases or otherwise make such public statements or disclosures (such as in annual reports to stockholders or filings with the Securities and Exchange Commission) as it determines, based on advice of counsel, are reasonably necessary to comply with applicable laws and regulations. In addition, following any initial press release(s) announcing this Agreement or other public disclosure approved by both Parties, either Party shall be free to disclose, without the other Party’s prior written consent, the existence of this Agreement, the identity of the other Party and those terms of the Agreement which have already been publicly disclosed in accordance herewith.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IX - INDEMNIFICATION AND INSURANCE</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ARROWHEAD Indemnification</w:t>
      </w:r>
      <w:r>
        <w:rPr>
          <w:rFonts w:ascii="Arial" w:cs="Arial" w:eastAsia="Arial" w:hAnsi="Arial"/>
          <w:sz w:val="16"/>
          <w:szCs w:val="16"/>
          <w:color w:val="auto"/>
        </w:rPr>
        <w:t>. ARROWHEAD agrees to indemnify and hold harmless ALNYLAM and its Affiliates, and their respective agents,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directors, officers and employees and their respective successors and assigns (the “</w:t>
      </w:r>
      <w:r>
        <w:rPr>
          <w:rFonts w:ascii="Arial" w:cs="Arial" w:eastAsia="Arial" w:hAnsi="Arial"/>
          <w:sz w:val="16"/>
          <w:szCs w:val="16"/>
          <w:u w:val="single" w:color="auto"/>
          <w:color w:val="auto"/>
        </w:rPr>
        <w:t>ALNYLAM Indemnitees</w:t>
      </w:r>
      <w:r>
        <w:rPr>
          <w:rFonts w:ascii="Arial" w:cs="Arial" w:eastAsia="Arial" w:hAnsi="Arial"/>
          <w:sz w:val="16"/>
          <w:szCs w:val="16"/>
          <w:color w:val="auto"/>
        </w:rPr>
        <w:t>”) from and against any and all losses, costs, damages, fees or expenses (“</w:t>
      </w:r>
      <w:r>
        <w:rPr>
          <w:rFonts w:ascii="Arial" w:cs="Arial" w:eastAsia="Arial" w:hAnsi="Arial"/>
          <w:sz w:val="16"/>
          <w:szCs w:val="16"/>
          <w:u w:val="single" w:color="auto"/>
          <w:color w:val="auto"/>
        </w:rPr>
        <w:t>Losses</w:t>
      </w:r>
      <w:r>
        <w:rPr>
          <w:rFonts w:ascii="Arial" w:cs="Arial" w:eastAsia="Arial" w:hAnsi="Arial"/>
          <w:sz w:val="16"/>
          <w:szCs w:val="16"/>
          <w:color w:val="auto"/>
        </w:rPr>
        <w:t>”) incurred by an ALNYLAM Indemnitee arising out of or in connection with any claim, suit, demand, investigation or proceeding brought by a Third Party (“</w:t>
      </w:r>
      <w:r>
        <w:rPr>
          <w:rFonts w:ascii="Arial" w:cs="Arial" w:eastAsia="Arial" w:hAnsi="Arial"/>
          <w:sz w:val="16"/>
          <w:szCs w:val="16"/>
          <w:u w:val="single" w:color="auto"/>
          <w:color w:val="auto"/>
        </w:rPr>
        <w:t>Claim</w:t>
      </w:r>
      <w:r>
        <w:rPr>
          <w:rFonts w:ascii="Arial" w:cs="Arial" w:eastAsia="Arial" w:hAnsi="Arial"/>
          <w:sz w:val="16"/>
          <w:szCs w:val="16"/>
          <w:color w:val="auto"/>
        </w:rPr>
        <w:t>”) based on (a) the development, use, manufacture, distribution or sale of any Licensed RNAi Product by ARROWHEAD or any of its Affiliates or Sublicensees, including, but not limited to, any claims made against ALNYLAM by Third Parties alleging infringement, injury, damage, death or other consequence occurring to any person claimed to result, directly or indirectly, from the possession, use or consumption of, or treatment with, any Licensed RNAi Product, whether claimed by reason of breach of warranty, negligence, product defect or otherwise, and regardless of the form or forum in which any such claim is made, (b) any breach of any representation, warranty or covenant of ARROWHEAD in this Agreement, or (c) any act or omission by ARROWHEAD or an ARROWHEAD Indemnitee, which constitutes recklessness, gross negligence, or willful misconduct on the part of ARROWHEAD or an ARROWHEAD Indemnitee in connection with this Agreement. The above indemnification shall not apply to the extent that any Losses are due to (i) a material breach of any of ALNYLAM’s representations, warranties, covenants and/or obligations under this Agreement; or (ii) any act or omission by ALNYLAM, or an ALNYLAM Indemnitee, which constitutes recklessness, gross negligence, or willful misconduct on the part of ALNYLAM, or an ALNYLAM Indemnitee.</w:t>
      </w:r>
    </w:p>
    <w:p>
      <w:pPr>
        <w:spacing w:after="0" w:line="175"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ALNYLAM Indemnification</w:t>
      </w:r>
      <w:r>
        <w:rPr>
          <w:rFonts w:ascii="Arial" w:cs="Arial" w:eastAsia="Arial" w:hAnsi="Arial"/>
          <w:sz w:val="16"/>
          <w:szCs w:val="16"/>
          <w:color w:val="auto"/>
        </w:rPr>
        <w:t>. ALNYLAM agrees to indemnify and hold harmless ARROWHEAD and its Affiliates, and their respective agents,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directors, officers and employees and their respective successors and assigns (the “</w:t>
      </w:r>
      <w:r>
        <w:rPr>
          <w:rFonts w:ascii="Arial" w:cs="Arial" w:eastAsia="Arial" w:hAnsi="Arial"/>
          <w:sz w:val="16"/>
          <w:szCs w:val="16"/>
          <w:u w:val="single" w:color="auto"/>
          <w:color w:val="auto"/>
        </w:rPr>
        <w:t>ARROWHEAD Indemnitees</w:t>
      </w:r>
      <w:r>
        <w:rPr>
          <w:rFonts w:ascii="Arial" w:cs="Arial" w:eastAsia="Arial" w:hAnsi="Arial"/>
          <w:sz w:val="16"/>
          <w:szCs w:val="16"/>
          <w:color w:val="auto"/>
        </w:rPr>
        <w:t>”) from and against any and all Losses incurred by an ARROWHEAD Indemnitee arising out of or in connection with any Claim based on (a) any breach of any representation, warranty or covenant of ALNYLAM in this Agreement, or (b) any act or omission by ALNYLAM or an ALNYLAM Indemnitee, which constitutes recklessness, gross negligence, or willful misconduct on the part of ALNYLAM or an ALNYLAM Indemnitee in connection with this Agreement. The above indemnification shall not apply to the extent that any Losses are due to (i) a material breach of any of ARROWHEAD’ s representations, warranties, covenants and/or obligations under this Agreement, or (ii) any act or omission by ARROWHEAD, or an ARROWHEAD Indemnitee, which constitutes recklessness, gross negligence, or willful misconduct on the part of ARROWHEAD, or an ARROWHEAD Indemnitee.</w:t>
      </w:r>
    </w:p>
    <w:p>
      <w:pPr>
        <w:spacing w:after="0" w:line="54" w:lineRule="exact"/>
        <w:rPr>
          <w:sz w:val="20"/>
          <w:szCs w:val="20"/>
          <w:color w:val="auto"/>
        </w:rPr>
      </w:pPr>
    </w:p>
    <w:p>
      <w:pPr>
        <w:ind w:right="680" w:firstLine="8"/>
        <w:spacing w:after="0" w:line="282" w:lineRule="auto"/>
        <w:tabs>
          <w:tab w:leader="none" w:pos="31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7" w:right="239" w:bottom="1440" w:gutter="0" w:footer="0" w:header="0"/>
        </w:sectPr>
      </w:pPr>
    </w:p>
    <w:bookmarkStart w:id="49" w:name="page50"/>
    <w:bookmarkEnd w:id="49"/>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117" w:lineRule="exact"/>
        <w:rPr>
          <w:sz w:val="20"/>
          <w:szCs w:val="20"/>
          <w:color w:val="auto"/>
        </w:rPr>
      </w:pPr>
    </w:p>
    <w:p>
      <w:pPr>
        <w:jc w:val="both"/>
        <w:ind w:left="1280" w:hanging="625"/>
        <w:spacing w:after="0" w:line="270" w:lineRule="auto"/>
        <w:tabs>
          <w:tab w:leader="none" w:pos="1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indemnified party shall notify the indemnifying party in writing (and in reasonable detail) of the Claim within ten (10) business days after receipt by such indemnified party of notice of a Claim or otherwise becoming aware of the existence or threatened existence thereof. Failure to give such notice shall not constitute a defense, in whole or in part, to any claim by an indemnified party hereunder except to the extent the rights of the indemnifying party are materially prejudiced by such failure to give notice. The indemnifying party shall notify the indemnified party of its intentions as to defense of the Claim or potential Claim in writing within ten (10) business days after receipt of notice of the Claim. If the indemnifying party assumes the defense of a Claim against an indemnified party, an indemnifying party shall have no obligation or liability under this Article IX as to any Claim for which settlement or compromise of such Claim or an offer of settlement or compromise of such Claim is made by an indemnified party without the prior written consent of the indemnifying party, which consent shall not be unreasonably withheld, conditioned or delayed.</w:t>
      </w:r>
    </w:p>
    <w:p>
      <w:pPr>
        <w:spacing w:after="0" w:line="73" w:lineRule="exact"/>
        <w:rPr>
          <w:rFonts w:ascii="Arial" w:cs="Arial" w:eastAsia="Arial" w:hAnsi="Arial"/>
          <w:sz w:val="17"/>
          <w:szCs w:val="17"/>
          <w:color w:val="auto"/>
        </w:rPr>
      </w:pPr>
    </w:p>
    <w:p>
      <w:pPr>
        <w:jc w:val="both"/>
        <w:ind w:left="1280" w:hanging="618"/>
        <w:spacing w:after="0" w:line="293" w:lineRule="auto"/>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indemnifying party shall assume exclusive control of the defense and settlement (including all decisions relating to litigation, defense and appeal) of any such Claim (so long as it has confirmed its indemnification obligation responsibility to such indemnified party under this Section 9.3(b) with respect to a given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indemnifying party may not settle such Claim in any manner that would require payment by the indemnified party, or would materially adversely affect the rights granted to the indemnified party hereunder, or would materially conflict with the terms of this Agreement, or adversely affect other products of the indemnified party, without first obtaining the indemnified party’s prior written consent, which consent shall not be unreasonably withheld, conditioned or delayed.</w:t>
      </w:r>
    </w:p>
    <w:p>
      <w:pPr>
        <w:spacing w:after="0" w:line="56" w:lineRule="exact"/>
        <w:rPr>
          <w:rFonts w:ascii="Arial" w:cs="Arial" w:eastAsia="Arial" w:hAnsi="Arial"/>
          <w:sz w:val="16"/>
          <w:szCs w:val="16"/>
          <w:color w:val="auto"/>
        </w:rPr>
      </w:pPr>
    </w:p>
    <w:p>
      <w:pPr>
        <w:jc w:val="both"/>
        <w:ind w:left="1280" w:hanging="625"/>
        <w:spacing w:after="0" w:line="286" w:lineRule="auto"/>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indemnified party shall reasonably cooperate with the indemnifying party in its defense of the Claim (including making documents and records available for review and copying and making persons within its control available for pertinent testimony in accordance with the confidentiality provisions of Article VII, and neither party shall be required to divulge privileged material to the other) at the indemnifying party’s expense. If the indemnifying party assumes defense of the Claim, an indemnified party may participate in, but not control, the defense of such Claim using attorneys of its choice and at its sole cost and expense, with such cost and expense not being covered by the indemnifying party. If an indemnifying party does not agree to assume the defense of the Claim asserted against the indemnified party (or does not give notice that it is assuming such defense), or if the indemnifying party assumes the defense of the Claim in accordance with Section 9.3(b) yet fails to defend or take other reasonable, timely action, in response to such Claim asserted against the indemnified party, the indemnified party shall have the right to defend or take other reasonable action to defend its interests in such proceedings, and shall have the right to litigate, settle or otherwise dispose of any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indemnified party shall not have the right to settle such Claim in any manner that would adversely affect the rights granted to the other party hereunder, or would materially conflict with this Agreement, or would require a payment by the other party, or adversely affect the products of the other party, without the prior written consent of the other party, which consent shall not be unreasonably withheld, conditioned or delayed.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 - EXPORT</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The Parties acknowledge that the exportation from the United States of materials, products and related technical data (and the re-export</w:t>
      </w:r>
      <w:r>
        <w:rPr>
          <w:rFonts w:ascii="Arial" w:cs="Arial" w:eastAsia="Arial" w:hAnsi="Arial"/>
          <w:sz w:val="18"/>
          <w:szCs w:val="18"/>
          <w:u w:val="single" w:color="auto"/>
          <w:color w:val="auto"/>
        </w:rPr>
        <w:t xml:space="preserve"> </w:t>
      </w:r>
      <w:r>
        <w:rPr>
          <w:rFonts w:ascii="Arial" w:cs="Arial" w:eastAsia="Arial" w:hAnsi="Arial"/>
          <w:sz w:val="18"/>
          <w:szCs w:val="18"/>
          <w:color w:val="auto"/>
        </w:rPr>
        <w:t>from elsewhere of United States origin items) may be subject to compliance with United States export laws, including without limitation the United States Bureau of Export Administration’s Export Administration Regulations, the Act and regulations of the FDA issued thereunder, and the United States Department of State’s International Traffic and Arms Regulations which restrict export, re-export, and release of materials, products and their related technical data, and the direct products of such technical data. The Parties agree to comply with all applicable exports laws and to commit no act that, directly or indirectly, would violate any United States law, regulation, or treaty, or any other international treaty or agreement, relating to the export, re-export, or release of any materials, products or their related technical data to which the United States adheres or with which the United States complies.</w:t>
      </w:r>
    </w:p>
    <w:p>
      <w:pPr>
        <w:spacing w:after="0" w:line="192"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Delays</w:t>
      </w:r>
      <w:r>
        <w:rPr>
          <w:rFonts w:ascii="Arial" w:cs="Arial" w:eastAsia="Arial" w:hAnsi="Arial"/>
          <w:sz w:val="18"/>
          <w:szCs w:val="18"/>
          <w:color w:val="auto"/>
        </w:rPr>
        <w:t>. The Parties acknowledge that they cannot be responsible for any delays attributable to export controls which are beyond the reasonable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control of either Party.</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Assistance</w:t>
      </w:r>
      <w:r>
        <w:rPr>
          <w:rFonts w:ascii="Arial" w:cs="Arial" w:eastAsia="Arial" w:hAnsi="Arial"/>
          <w:sz w:val="18"/>
          <w:szCs w:val="18"/>
          <w:color w:val="auto"/>
        </w:rPr>
        <w:t>. The Parties agree to provide assistance to one another in connection with each Party’s efforts to fulfill its obligations under this Article</w:t>
      </w:r>
      <w:r>
        <w:rPr>
          <w:rFonts w:ascii="Arial" w:cs="Arial" w:eastAsia="Arial" w:hAnsi="Arial"/>
          <w:sz w:val="18"/>
          <w:szCs w:val="18"/>
          <w:u w:val="single" w:color="auto"/>
          <w:color w:val="auto"/>
        </w:rPr>
        <w:t xml:space="preserve"> </w:t>
      </w:r>
      <w:r>
        <w:rPr>
          <w:rFonts w:ascii="Arial" w:cs="Arial" w:eastAsia="Arial" w:hAnsi="Arial"/>
          <w:sz w:val="18"/>
          <w:szCs w:val="18"/>
          <w:color w:val="auto"/>
        </w:rPr>
        <w:t>X.</w:t>
      </w:r>
    </w:p>
    <w:p>
      <w:pPr>
        <w:spacing w:after="0" w:line="58" w:lineRule="exact"/>
        <w:rPr>
          <w:sz w:val="20"/>
          <w:szCs w:val="20"/>
          <w:color w:val="auto"/>
        </w:rPr>
      </w:pPr>
    </w:p>
    <w:p>
      <w:pPr>
        <w:ind w:right="680" w:firstLine="8"/>
        <w:spacing w:after="0" w:line="282" w:lineRule="auto"/>
        <w:tabs>
          <w:tab w:leader="none" w:pos="31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t>ARTICLE XI - TERM AND TERMINATION</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remain in effect until the end of the last-to-expire Royalty Term with respect to all Licensed RNAi Products (the “</w:t>
      </w:r>
      <w:r>
        <w:rPr>
          <w:rFonts w:ascii="Arial" w:cs="Arial" w:eastAsia="Arial" w:hAnsi="Arial"/>
          <w:sz w:val="18"/>
          <w:szCs w:val="18"/>
          <w:u w:val="single" w:color="auto"/>
          <w:color w:val="auto"/>
        </w:rPr>
        <w:t>Term</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unless terminated in accordance with this Article XI.</w:t>
      </w:r>
    </w:p>
    <w:p>
      <w:pPr>
        <w:spacing w:after="0" w:line="17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u w:val="single" w:color="auto"/>
          <w:color w:val="auto"/>
        </w:rPr>
        <w:t>Material Breach</w:t>
      </w:r>
      <w:r>
        <w:rPr>
          <w:rFonts w:ascii="Arial" w:cs="Arial" w:eastAsia="Arial" w:hAnsi="Arial"/>
          <w:sz w:val="18"/>
          <w:szCs w:val="18"/>
          <w:color w:val="auto"/>
        </w:rPr>
        <w:t>. Either Party (the “</w:t>
      </w:r>
      <w:r>
        <w:rPr>
          <w:rFonts w:ascii="Arial" w:cs="Arial" w:eastAsia="Arial" w:hAnsi="Arial"/>
          <w:sz w:val="18"/>
          <w:szCs w:val="18"/>
          <w:u w:val="single" w:color="auto"/>
          <w:color w:val="auto"/>
        </w:rPr>
        <w:t>Non-Breaching Party</w:t>
      </w:r>
      <w:r>
        <w:rPr>
          <w:rFonts w:ascii="Arial" w:cs="Arial" w:eastAsia="Arial" w:hAnsi="Arial"/>
          <w:sz w:val="18"/>
          <w:szCs w:val="18"/>
          <w:color w:val="auto"/>
        </w:rPr>
        <w:t>”) will have the right to terminate this Agreement, upon written notice to the other Party</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Breaching Party</w:t>
      </w:r>
      <w:r>
        <w:rPr>
          <w:rFonts w:ascii="Arial" w:cs="Arial" w:eastAsia="Arial" w:hAnsi="Arial"/>
          <w:sz w:val="18"/>
          <w:szCs w:val="18"/>
          <w:color w:val="auto"/>
        </w:rPr>
        <w:t>”), in the event the latter materially breaches its obligations under this Agreement and does not remedy such breach within sixty (60) days (thirty (30) days for payment breaches) after receipt of written notice from the Non-Breaching Party specifically identifying the breach and stating it intends to terminate the Agreement if the Breaching Party fails to remedy the breach within the sixty (60)-day (or thirty (30)-day for payment breaches) notice period.</w:t>
      </w:r>
    </w:p>
    <w:p>
      <w:pPr>
        <w:spacing w:after="0" w:line="18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u w:val="single" w:color="auto"/>
          <w:color w:val="auto"/>
        </w:rPr>
        <w:t>Termination by ARROWHEAD</w:t>
      </w:r>
      <w:r>
        <w:rPr>
          <w:rFonts w:ascii="Arial" w:cs="Arial" w:eastAsia="Arial" w:hAnsi="Arial"/>
          <w:sz w:val="18"/>
          <w:szCs w:val="18"/>
          <w:color w:val="auto"/>
        </w:rPr>
        <w:t>. ARROWHEAD will have the right to terminate this Agreement for any reason upon thirty (30) days’ prior written</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notice to ALNYLAM.</w:t>
      </w:r>
    </w:p>
    <w:p>
      <w:pPr>
        <w:spacing w:after="0" w:line="17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u w:val="single" w:color="auto"/>
          <w:color w:val="auto"/>
        </w:rPr>
        <w:t>Termination Due to Patent Challenge</w:t>
      </w:r>
      <w:r>
        <w:rPr>
          <w:rFonts w:ascii="Arial" w:cs="Arial" w:eastAsia="Arial" w:hAnsi="Arial"/>
          <w:sz w:val="18"/>
          <w:szCs w:val="18"/>
          <w:color w:val="auto"/>
        </w:rPr>
        <w:t>. If ARROWHEAD or any of its Affiliates or Sublicensees initiates, or assists any Third Party in initiating,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legal action seeking a determination that any of the ALNYLAM Patent Rights in any country are invalid, unenforceable, and/or not infringed (including a request for reexamination or opposition of any such ALNYLAM Patent Rights), to the extent permitted by the applicable law of such country, ALNYLAM may terminate this Agreement upon thirty (30) days’ prior written notice to ARROWHEAD,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prior to the end of such thirty (30)-day period ARROWHEAD is able to obtain a full and complete withdrawal of such action and ARROWHEAD shall pay all of ALNYLAM’s costs associated therewith, the termination shall not become effective and this Agreement shall remain in full force and effect.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u w:val="single" w:color="auto"/>
          <w:color w:val="auto"/>
        </w:rPr>
        <w:t>Consequences of Termination; Survival</w:t>
      </w:r>
      <w:r>
        <w:rPr>
          <w:rFonts w:ascii="Arial" w:cs="Arial" w:eastAsia="Arial" w:hAnsi="Arial"/>
          <w:sz w:val="16"/>
          <w:szCs w:val="16"/>
          <w:color w:val="auto"/>
        </w:rPr>
        <w:t>.</w:t>
      </w:r>
    </w:p>
    <w:p>
      <w:pPr>
        <w:spacing w:after="0" w:line="117" w:lineRule="exact"/>
        <w:rPr>
          <w:sz w:val="20"/>
          <w:szCs w:val="20"/>
          <w:color w:val="auto"/>
        </w:rPr>
      </w:pPr>
    </w:p>
    <w:p>
      <w:pPr>
        <w:ind w:left="1280" w:hanging="625"/>
        <w:spacing w:after="0" w:line="277"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this Agreement is terminated under Section 11.2, 11.3 or 11.4, all licenses and other rights granted by ALNYLAM to ARROWHEAD under this Agreement will terminate.</w:t>
      </w:r>
    </w:p>
    <w:p>
      <w:pPr>
        <w:spacing w:after="0" w:line="62" w:lineRule="exact"/>
        <w:rPr>
          <w:rFonts w:ascii="Arial" w:cs="Arial" w:eastAsia="Arial" w:hAnsi="Arial"/>
          <w:sz w:val="18"/>
          <w:szCs w:val="18"/>
          <w:color w:val="auto"/>
        </w:rPr>
      </w:pPr>
    </w:p>
    <w:p>
      <w:pPr>
        <w:jc w:val="both"/>
        <w:ind w:left="1280" w:right="20" w:hanging="625"/>
        <w:spacing w:after="0" w:line="286"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Expiration or termination of this Agreement shall not relieve the Parties of any obligation accruing prior to such expiration or termination or any rights of the Parties that accrued prior to such expiration or termination. Termination of this Agreement, for whatever reason in accordance with the provisions hereof, shall not limit remedies that may be otherwise available in law or equity.</w:t>
      </w:r>
    </w:p>
    <w:p>
      <w:pPr>
        <w:spacing w:after="0" w:line="57" w:lineRule="exact"/>
        <w:rPr>
          <w:rFonts w:ascii="Arial" w:cs="Arial" w:eastAsia="Arial" w:hAnsi="Arial"/>
          <w:sz w:val="17"/>
          <w:szCs w:val="17"/>
          <w:color w:val="auto"/>
        </w:rPr>
      </w:pPr>
    </w:p>
    <w:p>
      <w:pPr>
        <w:jc w:val="both"/>
        <w:ind w:left="1280" w:hanging="625"/>
        <w:spacing w:after="0" w:line="264"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provisions of Article VIII shall survive the expiration or termination of this Agreement for any cause and shall continue in effect as applicable for ten (10) years from the date of initial disclosure. In addition, the provisions of Articles V, VI, IX and XII (other than 12.1 and 12.2), and this Section 11.5 shall survive any expiration or termination of this Agreement.</w:t>
      </w:r>
    </w:p>
    <w:p>
      <w:pPr>
        <w:spacing w:after="0" w:line="393"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ARTICLE XII - MISCELLANEOUS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u w:val="single" w:color="auto"/>
          <w:color w:val="auto"/>
        </w:rPr>
        <w:t>Representations by ARROWHEAD and ALNYLAM</w:t>
      </w:r>
      <w:r>
        <w:rPr>
          <w:rFonts w:ascii="Arial" w:cs="Arial" w:eastAsia="Arial" w:hAnsi="Arial"/>
          <w:sz w:val="17"/>
          <w:szCs w:val="17"/>
          <w:color w:val="auto"/>
        </w:rPr>
        <w:t>.</w:t>
      </w:r>
    </w:p>
    <w:p>
      <w:pPr>
        <w:spacing w:after="0" w:line="117" w:lineRule="exact"/>
        <w:rPr>
          <w:sz w:val="20"/>
          <w:szCs w:val="20"/>
          <w:color w:val="auto"/>
        </w:rPr>
      </w:pPr>
    </w:p>
    <w:p>
      <w:pPr>
        <w:ind w:left="1280" w:hanging="625"/>
        <w:spacing w:after="0"/>
        <w:tabs>
          <w:tab w:leader="none" w:pos="12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Party hereby represents and warrants to the other Party, as of the Effective Date, that:</w:t>
      </w:r>
    </w:p>
    <w:p>
      <w:pPr>
        <w:spacing w:after="0" w:line="117" w:lineRule="exact"/>
        <w:rPr>
          <w:rFonts w:ascii="Arial" w:cs="Arial" w:eastAsia="Arial" w:hAnsi="Arial"/>
          <w:sz w:val="18"/>
          <w:szCs w:val="18"/>
          <w:color w:val="auto"/>
        </w:rPr>
      </w:pPr>
    </w:p>
    <w:p>
      <w:pPr>
        <w:jc w:val="both"/>
        <w:ind w:left="2000" w:right="20" w:hanging="570"/>
        <w:spacing w:after="0" w:line="286" w:lineRule="auto"/>
        <w:tabs>
          <w:tab w:leader="none" w:pos="2000" w:val="left"/>
        </w:tabs>
        <w:numPr>
          <w:ilvl w:val="2"/>
          <w:numId w:val="38"/>
        </w:numPr>
        <w:rPr>
          <w:rFonts w:ascii="Arial" w:cs="Arial" w:eastAsia="Arial" w:hAnsi="Arial"/>
          <w:sz w:val="17"/>
          <w:szCs w:val="17"/>
          <w:color w:val="auto"/>
        </w:rPr>
      </w:pPr>
      <w:r>
        <w:rPr>
          <w:rFonts w:ascii="Arial" w:cs="Arial" w:eastAsia="Arial" w:hAnsi="Arial"/>
          <w:sz w:val="17"/>
          <w:szCs w:val="17"/>
          <w:color w:val="auto"/>
        </w:rPr>
        <w:t>Such Party is duly organized under the laws of the state or country of its formation, and has all necessary power and authority to conduct its business in the manner in which it is currently being conducted, to own and use its assets in the manner in which its assets are currently owned and used, and to enter into and perform its obligations under this Agreement.</w:t>
      </w:r>
    </w:p>
    <w:p>
      <w:pPr>
        <w:spacing w:after="0" w:line="57" w:lineRule="exact"/>
        <w:rPr>
          <w:rFonts w:ascii="Arial" w:cs="Arial" w:eastAsia="Arial" w:hAnsi="Arial"/>
          <w:sz w:val="17"/>
          <w:szCs w:val="17"/>
          <w:color w:val="auto"/>
        </w:rPr>
      </w:pPr>
    </w:p>
    <w:p>
      <w:pPr>
        <w:jc w:val="both"/>
        <w:ind w:left="2000" w:right="20" w:hanging="570"/>
        <w:spacing w:after="0" w:line="276" w:lineRule="auto"/>
        <w:tabs>
          <w:tab w:leader="none" w:pos="2000" w:val="left"/>
        </w:tabs>
        <w:numPr>
          <w:ilvl w:val="2"/>
          <w:numId w:val="38"/>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 has been duly authorized by all necessary action on the part of such Party and its Board of Directors (or comparable governance body) and (B) does not and will not conflict with, or constitute a default under, any agreement, instrument or understanding, oral or written, to which such Party is a party or by which it is bound. Further, no consent, approval, order or authorization of, or registration, declaration or filing with any Third Party or governmental authority is necessary for the execution, delivery or performance of this Agreement.</w:t>
      </w:r>
    </w:p>
    <w:p>
      <w:pPr>
        <w:spacing w:after="0" w:line="60" w:lineRule="exact"/>
        <w:rPr>
          <w:rFonts w:ascii="Arial" w:cs="Arial" w:eastAsia="Arial" w:hAnsi="Arial"/>
          <w:sz w:val="17"/>
          <w:szCs w:val="17"/>
          <w:color w:val="auto"/>
        </w:rPr>
      </w:pPr>
    </w:p>
    <w:p>
      <w:pPr>
        <w:ind w:right="680" w:firstLine="8"/>
        <w:spacing w:after="0" w:line="282" w:lineRule="auto"/>
        <w:tabs>
          <w:tab w:leader="none" w:pos="31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69" w:right="239" w:bottom="1440" w:gutter="0" w:footer="0" w:header="0"/>
        </w:sectPr>
      </w:pPr>
    </w:p>
    <w:bookmarkStart w:id="51" w:name="page52"/>
    <w:bookmarkEnd w:id="51"/>
    <w:p>
      <w:pPr>
        <w:jc w:val="both"/>
        <w:ind w:left="2000" w:right="20" w:hanging="577"/>
        <w:spacing w:after="0" w:line="264" w:lineRule="auto"/>
        <w:tabs>
          <w:tab w:leader="none" w:pos="2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Agreement constitutes the legal, valid and binding obligation of such Party, enforceable against it in accordance with its terms, subject to (A) laws of general application relating to bankruptcy, insolvency and the relief of debtors, and (B) rules of law governing specific performance, injunctive relief and other equitable remedies.</w:t>
      </w:r>
    </w:p>
    <w:p>
      <w:pPr>
        <w:spacing w:after="0" w:line="73" w:lineRule="exact"/>
        <w:rPr>
          <w:rFonts w:ascii="Arial" w:cs="Arial" w:eastAsia="Arial" w:hAnsi="Arial"/>
          <w:sz w:val="18"/>
          <w:szCs w:val="18"/>
          <w:color w:val="auto"/>
        </w:rPr>
      </w:pPr>
    </w:p>
    <w:p>
      <w:pPr>
        <w:ind w:left="2000" w:right="20" w:hanging="570"/>
        <w:spacing w:after="0" w:line="277" w:lineRule="auto"/>
        <w:tabs>
          <w:tab w:leader="none" w:pos="2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Neither such Party nor any of its Affiliates has been found in breach of any laws or regulations governing the production of medicinal products in the United States or any other jurisdiction within the Territory.</w:t>
      </w:r>
    </w:p>
    <w:p>
      <w:pPr>
        <w:spacing w:after="0" w:line="62" w:lineRule="exact"/>
        <w:rPr>
          <w:rFonts w:ascii="Arial" w:cs="Arial" w:eastAsia="Arial" w:hAnsi="Arial"/>
          <w:sz w:val="18"/>
          <w:szCs w:val="18"/>
          <w:color w:val="auto"/>
        </w:rPr>
      </w:pPr>
    </w:p>
    <w:p>
      <w:pPr>
        <w:jc w:val="both"/>
        <w:ind w:left="2000" w:right="20" w:hanging="570"/>
        <w:spacing w:after="0" w:line="264" w:lineRule="auto"/>
        <w:tabs>
          <w:tab w:leader="none" w:pos="2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Neither such Party nor any of its Affiliates has been debarred (nor is such Party or any of its Affiliates using in any capacity in connection with its activities under this Agreement any person who has been debarred) by the FDA from working for or providing services to any pharmaceutical or biotechnology company under Section 306 of the Act.</w:t>
      </w:r>
    </w:p>
    <w:p>
      <w:pPr>
        <w:spacing w:after="0" w:line="73" w:lineRule="exact"/>
        <w:rPr>
          <w:rFonts w:ascii="Arial" w:cs="Arial" w:eastAsia="Arial" w:hAnsi="Arial"/>
          <w:sz w:val="18"/>
          <w:szCs w:val="18"/>
          <w:color w:val="auto"/>
        </w:rPr>
      </w:pPr>
    </w:p>
    <w:p>
      <w:pPr>
        <w:jc w:val="both"/>
        <w:ind w:left="2000" w:right="20" w:hanging="570"/>
        <w:spacing w:after="0" w:line="264" w:lineRule="auto"/>
        <w:tabs>
          <w:tab w:leader="none" w:pos="2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Such Party has never approved or commenced any proceeding, or made any election contemplating, the winding up or cessation of such Party’s business or affairs or the assignment of such Party’s material assets for the benefit of creditors. To such Party’s knowledge, no such proceeding is pending or threatened.</w:t>
      </w:r>
    </w:p>
    <w:p>
      <w:pPr>
        <w:spacing w:after="0" w:line="73" w:lineRule="exact"/>
        <w:rPr>
          <w:rFonts w:ascii="Arial" w:cs="Arial" w:eastAsia="Arial" w:hAnsi="Arial"/>
          <w:sz w:val="18"/>
          <w:szCs w:val="18"/>
          <w:color w:val="auto"/>
        </w:rPr>
      </w:pPr>
    </w:p>
    <w:p>
      <w:pPr>
        <w:ind w:left="1280" w:hanging="625"/>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ALNYLAM represents and warrants to ARROWHEAD that as of the Effective Date:</w:t>
      </w:r>
    </w:p>
    <w:p>
      <w:pPr>
        <w:spacing w:after="0" w:line="117" w:lineRule="exact"/>
        <w:rPr>
          <w:rFonts w:ascii="Arial" w:cs="Arial" w:eastAsia="Arial" w:hAnsi="Arial"/>
          <w:sz w:val="18"/>
          <w:szCs w:val="18"/>
          <w:color w:val="auto"/>
        </w:rPr>
      </w:pPr>
    </w:p>
    <w:p>
      <w:pPr>
        <w:ind w:left="2000" w:right="20" w:hanging="570"/>
        <w:spacing w:after="0" w:line="277" w:lineRule="auto"/>
        <w:tabs>
          <w:tab w:leader="none" w:pos="2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ALNYLAM has the right to grant ARROWHEAD the licenses granted hereunder and has not granted any conflicting rights to any other person or entity.</w:t>
      </w:r>
    </w:p>
    <w:p>
      <w:pPr>
        <w:spacing w:after="0" w:line="62" w:lineRule="exact"/>
        <w:rPr>
          <w:rFonts w:ascii="Arial" w:cs="Arial" w:eastAsia="Arial" w:hAnsi="Arial"/>
          <w:sz w:val="18"/>
          <w:szCs w:val="18"/>
          <w:color w:val="auto"/>
        </w:rPr>
      </w:pPr>
    </w:p>
    <w:p>
      <w:pPr>
        <w:ind w:left="2000" w:right="20" w:hanging="570"/>
        <w:spacing w:after="0" w:line="277" w:lineRule="auto"/>
        <w:tabs>
          <w:tab w:leader="none" w:pos="2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ALNYLAM has not previously granted any right, license or interest in or to the ALNYLAM Patent Rights, or any portion thereof, that is in conflict with the rights or licenses granted to ARROWHEAD under this Agreement.</w:t>
      </w:r>
    </w:p>
    <w:p>
      <w:pPr>
        <w:spacing w:after="0" w:line="62" w:lineRule="exact"/>
        <w:rPr>
          <w:rFonts w:ascii="Arial" w:cs="Arial" w:eastAsia="Arial" w:hAnsi="Arial"/>
          <w:sz w:val="18"/>
          <w:szCs w:val="18"/>
          <w:color w:val="auto"/>
        </w:rPr>
      </w:pPr>
    </w:p>
    <w:p>
      <w:pPr>
        <w:ind w:left="2000" w:right="20" w:hanging="570"/>
        <w:spacing w:after="0" w:line="277" w:lineRule="auto"/>
        <w:tabs>
          <w:tab w:leader="none" w:pos="2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ALNYLAM and its Affiliates have taken reasonable measures to protect the ALNYLAM Intellectual Property, consistent with prudent commercial practices in the biotechnology industry.</w:t>
      </w:r>
    </w:p>
    <w:p>
      <w:pPr>
        <w:spacing w:after="0" w:line="62" w:lineRule="exact"/>
        <w:rPr>
          <w:rFonts w:ascii="Arial" w:cs="Arial" w:eastAsia="Arial" w:hAnsi="Arial"/>
          <w:sz w:val="18"/>
          <w:szCs w:val="18"/>
          <w:color w:val="auto"/>
        </w:rPr>
      </w:pPr>
    </w:p>
    <w:p>
      <w:pPr>
        <w:jc w:val="both"/>
        <w:ind w:left="1280" w:right="20" w:hanging="625"/>
        <w:spacing w:after="0" w:line="264"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OTHERWISE EXPRESSLY SET FORTH IN THIS ARTICLE XII, NEITHER PARTY MAKES ANY REPRESENTATION OR EXTENDS ANY WARRANTIES OF ANY KIND, EITHER EXPRESS OR IMPLIED, TO THE OTHER PARTY, INCLUDING ANY WARRANTIES OF MERCHANTABILITY OR FITNESS FOR A PARTICULAR PURPOSE.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Mutual Covenants</w:t>
      </w:r>
      <w:r>
        <w:rPr>
          <w:rFonts w:ascii="Arial" w:cs="Arial" w:eastAsia="Arial" w:hAnsi="Arial"/>
          <w:sz w:val="16"/>
          <w:szCs w:val="16"/>
          <w:color w:val="auto"/>
        </w:rPr>
        <w:t>. Each Party hereby covenants to the other Party that:</w:t>
      </w:r>
    </w:p>
    <w:p>
      <w:pPr>
        <w:spacing w:after="0" w:line="117" w:lineRule="exact"/>
        <w:rPr>
          <w:sz w:val="20"/>
          <w:szCs w:val="20"/>
          <w:color w:val="auto"/>
        </w:rPr>
      </w:pPr>
    </w:p>
    <w:p>
      <w:pPr>
        <w:ind w:left="1280" w:right="20" w:hanging="625"/>
        <w:spacing w:after="0" w:line="342" w:lineRule="auto"/>
        <w:tabs>
          <w:tab w:leader="none" w:pos="1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Such Party shall comply with all applicable laws, rules and regulations in connection with this Agreement and the transactions contemplated hereby and will perform its activities pursuant to this Agreement in compliance in all material respects with GLP and GCP; and</w:t>
      </w:r>
    </w:p>
    <w:p>
      <w:pPr>
        <w:spacing w:after="0" w:line="15" w:lineRule="exact"/>
        <w:rPr>
          <w:rFonts w:ascii="Arial" w:cs="Arial" w:eastAsia="Arial" w:hAnsi="Arial"/>
          <w:sz w:val="16"/>
          <w:szCs w:val="16"/>
          <w:color w:val="auto"/>
        </w:rPr>
      </w:pPr>
    </w:p>
    <w:p>
      <w:pPr>
        <w:ind w:left="1280" w:right="20" w:hanging="625"/>
        <w:spacing w:after="0" w:line="277"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employees of such Party or its Affiliates working under this Agreement will be under the obligation to assign all right, title and interest in and to their inventions and discoveries, whether or not patentable, to such Party as the sole owner thereof</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Dispute Resolution; Arbitration Procedures</w:t>
      </w:r>
      <w:r>
        <w:rPr>
          <w:rFonts w:ascii="Arial" w:cs="Arial" w:eastAsia="Arial" w:hAnsi="Arial"/>
          <w:sz w:val="16"/>
          <w:szCs w:val="16"/>
          <w:color w:val="auto"/>
        </w:rPr>
        <w:t>.</w:t>
      </w:r>
    </w:p>
    <w:p>
      <w:pPr>
        <w:spacing w:after="0" w:line="117" w:lineRule="exact"/>
        <w:rPr>
          <w:sz w:val="20"/>
          <w:szCs w:val="20"/>
          <w:color w:val="auto"/>
        </w:rPr>
      </w:pPr>
    </w:p>
    <w:p>
      <w:pPr>
        <w:jc w:val="both"/>
        <w:ind w:left="1280" w:hanging="625"/>
        <w:spacing w:after="0" w:line="255" w:lineRule="auto"/>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event of any dispute, controversy or claim arising out of or relating to this Agreement or the breach thereof, the Parties will try to settle such dispute, controversy or claim amicably between themselves, including referring such dispute, controversy or claim to the Executive Officers. In the event that after forty-five (45) days the designated officers of both Parties fail to resolve the matter, either Party may submit such dispute, controversy or claim that is not an “Excluded Claim” for resolution by binding arbitration under the Rules of Arbitration of the American Arbitration Association. Judgment on the arbitration award may be entered in any court of competent jurisdiction. The arbitration will be conducted in New York, New York and the language of all communications and proceedings relating to the arbitration will be English.</w:t>
      </w:r>
    </w:p>
    <w:p>
      <w:pPr>
        <w:spacing w:after="0" w:line="77" w:lineRule="exact"/>
        <w:rPr>
          <w:rFonts w:ascii="Arial" w:cs="Arial" w:eastAsia="Arial" w:hAnsi="Arial"/>
          <w:sz w:val="18"/>
          <w:szCs w:val="18"/>
          <w:color w:val="auto"/>
        </w:rPr>
      </w:pPr>
    </w:p>
    <w:p>
      <w:pPr>
        <w:ind w:right="680" w:firstLine="8"/>
        <w:spacing w:after="0" w:line="282" w:lineRule="auto"/>
        <w:tabs>
          <w:tab w:leader="none" w:pos="31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52" w:name="page53"/>
    <w:bookmarkEnd w:id="52"/>
    <w:p>
      <w:pPr>
        <w:jc w:val="both"/>
        <w:ind w:left="1280" w:hanging="618"/>
        <w:spacing w:after="0" w:line="285" w:lineRule="auto"/>
        <w:tabs>
          <w:tab w:leader="none" w:pos="12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arbitration shall be conducted by a panel of three persons experienced in the pharmaceutical business. Within thirty (30) days after initiation of arbitration, each Party shall select one person to act as arbitrator and the two Party-selected arbitrators shall select a third arbitrator within thirty (30) days of their appointment. If the arbitrators selected by the Parties are unable or fail to agree upon the third arbitrator, the Parties shall select two replacement arbitrators to replace the arbitrators originally selected, which replacement arbitrators shall select a third arbitrator within thirty (30) days of their appointment. The Parties agree (a) to meet with the arbitrator(s) within thirty</w:t>
      </w:r>
    </w:p>
    <w:p>
      <w:pPr>
        <w:spacing w:after="0" w:line="2" w:lineRule="exact"/>
        <w:rPr>
          <w:rFonts w:ascii="Arial" w:cs="Arial" w:eastAsia="Arial" w:hAnsi="Arial"/>
          <w:sz w:val="16"/>
          <w:szCs w:val="16"/>
          <w:color w:val="auto"/>
        </w:rPr>
      </w:pPr>
    </w:p>
    <w:p>
      <w:pPr>
        <w:jc w:val="both"/>
        <w:ind w:left="1280" w:firstLine="3"/>
        <w:spacing w:after="0" w:line="252" w:lineRule="auto"/>
        <w:tabs>
          <w:tab w:leader="none" w:pos="164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days of selection and (b) to agree at that meeting or before as to the conduct of the hearing which will result in the hearing being concluded within no more than six (6) months after selection of the arbitrator(s) and in the award being rendered within thirty (30) days of any post-hearing briefing, which briefing will be completed by both sides within thirty (30) days after the conclusion of the hearings, or within sixty (60) days of the conclusion of the hearings if there is no post-hearing briefing. In no event will the arbitrator(s), absent agreement of the Parties, allow more than three (3) days per side for the hearing or more than a total of six (6) days for the hearing. Multiple hearing days will be scheduled consecutively to the greatest extent possible.</w:t>
      </w:r>
    </w:p>
    <w:p>
      <w:pPr>
        <w:spacing w:after="0" w:line="86" w:lineRule="exact"/>
        <w:rPr>
          <w:rFonts w:ascii="Arial" w:cs="Arial" w:eastAsia="Arial" w:hAnsi="Arial"/>
          <w:sz w:val="18"/>
          <w:szCs w:val="18"/>
          <w:color w:val="auto"/>
        </w:rPr>
      </w:pPr>
    </w:p>
    <w:p>
      <w:pPr>
        <w:jc w:val="both"/>
        <w:ind w:left="1280" w:hanging="625"/>
        <w:spacing w:after="0" w:line="255"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 Party may apply to the arbitrators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that Party pending the arbitration award. The arbitrators shall have no authority to award punitive or any other type of damages not measured by a Party’s compensatory damages. The costs, expenses, attorneys’ fees and arbitrators’ fees and any administrative fees of arbitration of both Parties shall be borne by the Parties as determined by the arbitrators, who shall take into account the nature of the dispute and reasonableness of the Parties’ positions with respect to the dispute in making such determination.</w:t>
      </w:r>
    </w:p>
    <w:p>
      <w:pPr>
        <w:spacing w:after="0" w:line="81" w:lineRule="exact"/>
        <w:rPr>
          <w:rFonts w:ascii="Arial" w:cs="Arial" w:eastAsia="Arial" w:hAnsi="Arial"/>
          <w:sz w:val="18"/>
          <w:szCs w:val="18"/>
          <w:color w:val="auto"/>
        </w:rPr>
      </w:pPr>
    </w:p>
    <w:p>
      <w:pPr>
        <w:jc w:val="both"/>
        <w:ind w:left="1280" w:hanging="625"/>
        <w:spacing w:after="0" w:line="259"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to the extent necessary to confirm an award or as may be required by law, neither a Party nor an arbitrator may disclose the existence, content, or results of an arbitration without the prior written consent of both Parties. In no event shall an arbitration be initiated after the date when commencement of a legal or equitable proceeding based on the dispute, controversy or claim would be barred by the applicable Massachusetts statute of limitations.</w:t>
      </w:r>
    </w:p>
    <w:p>
      <w:pPr>
        <w:spacing w:after="0" w:line="78" w:lineRule="exact"/>
        <w:rPr>
          <w:rFonts w:ascii="Arial" w:cs="Arial" w:eastAsia="Arial" w:hAnsi="Arial"/>
          <w:sz w:val="18"/>
          <w:szCs w:val="18"/>
          <w:color w:val="auto"/>
        </w:rPr>
      </w:pPr>
    </w:p>
    <w:p>
      <w:pPr>
        <w:jc w:val="both"/>
        <w:ind w:left="1280" w:hanging="625"/>
        <w:spacing w:after="0" w:line="264"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 Party may seek a temporary restraining order or a preliminary injunction from any court of competent jurisdiction in order to prevent immediate and irreparable injury, loss, or damage on a provisional basis, pending an award of the arbitrators on the ultimate merits of any dispute.</w:t>
      </w:r>
    </w:p>
    <w:p>
      <w:pPr>
        <w:spacing w:after="0" w:line="73" w:lineRule="exact"/>
        <w:rPr>
          <w:rFonts w:ascii="Arial" w:cs="Arial" w:eastAsia="Arial" w:hAnsi="Arial"/>
          <w:sz w:val="18"/>
          <w:szCs w:val="18"/>
          <w:color w:val="auto"/>
        </w:rPr>
      </w:pPr>
    </w:p>
    <w:p>
      <w:pPr>
        <w:jc w:val="both"/>
        <w:ind w:left="1280" w:hanging="625"/>
        <w:spacing w:after="0" w:line="264"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used in this Section 12.3, the term “Excluded Claim” shall mean a dispute, controversy or claim that concerns (i) the validity or infringement of a patent, trademark or copyright; or (ii) any antitrust, anti-monopoly or competition law or regulation, whether or not statutory. Excluded Claims shall be resolved in a court of competent jurisdiction.</w:t>
      </w:r>
    </w:p>
    <w:p>
      <w:pPr>
        <w:spacing w:after="0" w:line="18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u w:val="single" w:color="auto"/>
          <w:color w:val="auto"/>
        </w:rPr>
        <w:t>Force Majeure</w:t>
      </w:r>
      <w:r>
        <w:rPr>
          <w:rFonts w:ascii="Arial" w:cs="Arial" w:eastAsia="Arial" w:hAnsi="Arial"/>
          <w:sz w:val="18"/>
          <w:szCs w:val="18"/>
          <w:color w:val="auto"/>
        </w:rPr>
        <w:t>. No failure or omission by the Parties in the performance of any obligation of this Agreement will be deemed a breach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or create any liability if the same will arise from any cause or causes beyond the control of the Parties, including, but not limited to, the following: acts of God; acts or omissions of any government; any rules, regulations or orders issued by any governmental authority or by any officer, department, agency or instrumentality thereof; fire; flood; storm; earthquake; accident; war; rebellion; insurrection; riot; and invasion. The affected Party shall notify the other Party of such force majeure circumstances as soon as reasonably practical, and shall promptly undertake all reasonable efforts necessary to cure such force majeure circumstances.</w:t>
      </w:r>
    </w:p>
    <w:p>
      <w:pPr>
        <w:spacing w:after="0" w:line="193"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u w:val="single" w:color="auto"/>
          <w:color w:val="auto"/>
        </w:rPr>
        <w:t>Consequential Damages</w:t>
      </w:r>
      <w:r>
        <w:rPr>
          <w:rFonts w:ascii="Arial" w:cs="Arial" w:eastAsia="Arial" w:hAnsi="Arial"/>
          <w:sz w:val="17"/>
          <w:szCs w:val="17"/>
          <w:color w:val="auto"/>
        </w:rPr>
        <w:t>. NEITHER PARTY (INCLUDING ITS AFFILIATES AND SUBLICENSEES) SHALL BE LIABLE UNDER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FOR ANY SPECIAL, INDIRECT, INCIDENTAL, OR CONSEQUENTIAL DAMAGES OR FOR LOSS OF PROFIT OR LOST REVENUE, EVEN IF SUCH PARTY HAS BEEN ADVISED OF THE POSSIBILITY OF SUCH DAMAGES. NOTWITHSTANDING THE FOREGOING, NOTHING IN THIS SECTION 12.5 IS INTENDED TO OR SHALL LIMIT OR RESTRICT THE INDEMNIFICATION RIGHTS OF A PARTY OR DAMAGES AVAILABLE FOR A PARTY’S BREACH OF CONFIDENTIALITY OBLIGATIONS IN ARTICLE VIII.</w:t>
      </w:r>
    </w:p>
    <w:p>
      <w:pPr>
        <w:spacing w:after="0" w:line="60" w:lineRule="exact"/>
        <w:rPr>
          <w:sz w:val="20"/>
          <w:szCs w:val="20"/>
          <w:color w:val="auto"/>
        </w:rPr>
      </w:pPr>
    </w:p>
    <w:p>
      <w:pPr>
        <w:ind w:right="680" w:firstLine="8"/>
        <w:spacing w:after="0" w:line="282" w:lineRule="auto"/>
        <w:tabs>
          <w:tab w:leader="none" w:pos="31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53" w:name="page54"/>
    <w:bookmarkEnd w:id="53"/>
    <w:p>
      <w:pPr>
        <w:spacing w:after="0"/>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w:t>
      </w:r>
    </w:p>
    <w:p>
      <w:pPr>
        <w:spacing w:after="0" w:line="117" w:lineRule="exact"/>
        <w:rPr>
          <w:sz w:val="20"/>
          <w:szCs w:val="20"/>
          <w:color w:val="auto"/>
        </w:rPr>
      </w:pPr>
    </w:p>
    <w:p>
      <w:pPr>
        <w:jc w:val="both"/>
        <w:ind w:left="1280" w:hanging="618"/>
        <w:spacing w:after="0" w:line="255" w:lineRule="auto"/>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This Agreement and any of its rights and obligations may not be assigned or otherwise transferred by either Party without the prior written consent of the other Party, which consent may not be unreasonably withheld, delayed or conditioned;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either Party may assign this Agreement, without the consent of the other Party, in connection with such Party’s merger, consolidation or transfer or sale of all or substantially all of the business or assets of such Party relating to the subject matter of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successor, surviving entity, purchaser of assets, or transferee, as applicable, expressly assumes in writing such Party’s obligations under this Agreement. Any purported assignment in contravention of this Section 12.6 shall, at the option of the non-assigning Party, be null and void and of no effect.</w:t>
      </w:r>
    </w:p>
    <w:p>
      <w:pPr>
        <w:spacing w:after="0" w:line="81" w:lineRule="exact"/>
        <w:rPr>
          <w:rFonts w:ascii="Arial" w:cs="Arial" w:eastAsia="Arial" w:hAnsi="Arial"/>
          <w:sz w:val="18"/>
          <w:szCs w:val="18"/>
          <w:color w:val="auto"/>
        </w:rPr>
      </w:pPr>
    </w:p>
    <w:p>
      <w:pPr>
        <w:jc w:val="both"/>
        <w:ind w:left="1280" w:hanging="625"/>
        <w:spacing w:after="0" w:line="259" w:lineRule="auto"/>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Party agrees that, notwithstanding any provisions of this Agreement to the contrary, if this Agreement is assigned by a Party in connection with such Party’s merger, consolidation or transfer or sale of all or substantially all of the business or assets of such Party relating to the subject matter of this Agreement, such assignment shall not provide the non-assigning Party with rights or access to any intellectual property or technology of the acquirer of the assigning Party.</w:t>
      </w:r>
    </w:p>
    <w:p>
      <w:pPr>
        <w:spacing w:after="0" w:line="78" w:lineRule="exact"/>
        <w:rPr>
          <w:rFonts w:ascii="Arial" w:cs="Arial" w:eastAsia="Arial" w:hAnsi="Arial"/>
          <w:sz w:val="18"/>
          <w:szCs w:val="18"/>
          <w:color w:val="auto"/>
        </w:rPr>
      </w:pPr>
    </w:p>
    <w:p>
      <w:pPr>
        <w:jc w:val="both"/>
        <w:ind w:left="1280" w:hanging="625"/>
        <w:spacing w:after="0" w:line="276" w:lineRule="auto"/>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ARROWHEAD assigns its rights and obligations hereunder to an Affiliate or Third Party outside the United States pursuant to this Section 12.6, and if such Affiliate or Third Party shall be required by applicable Law to withhold any additional taxes from or in respect of any amount payable under this Agreement as a result of such assignment, then any such amount payable under this Agreement shall be increased to take into account the additional taxes withheld as may be necessary so that, after making all required withholdings, ALNYLAM receives an amount equal to the sum it would have received had no such assignment been made.</w:t>
      </w:r>
    </w:p>
    <w:p>
      <w:pPr>
        <w:spacing w:after="0" w:line="64" w:lineRule="exact"/>
        <w:rPr>
          <w:rFonts w:ascii="Arial" w:cs="Arial" w:eastAsia="Arial" w:hAnsi="Arial"/>
          <w:sz w:val="17"/>
          <w:szCs w:val="17"/>
          <w:color w:val="auto"/>
        </w:rPr>
      </w:pPr>
    </w:p>
    <w:p>
      <w:pPr>
        <w:ind w:left="1280" w:hanging="625"/>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will be binding upon and inure to the benefit of the Parties and their permitted successors and assigns.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ALNYLAM will be addressed to:</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Alnylam Pharmaceuticals, Inc.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300 Third Street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Cambridge, Massachusetts 02142</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Chief Business Officer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Facsimile No.: (617) 551-8101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to:</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Wilmer Cutler Pickering Hale and Don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Boston, Massachusetts 02109</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Steven D. Barrett, Esq.</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Facsimile No.: (617) 526-5000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ARROWHEAD will be addressed to:</w:t>
      </w:r>
    </w:p>
    <w:p>
      <w:pPr>
        <w:sectPr>
          <w:pgSz w:w="11900" w:h="16838" w:orient="portrait"/>
          <w:cols w:equalWidth="0" w:num="1">
            <w:col w:w="11420"/>
          </w:cols>
          <w:pgMar w:left="240" w:top="557" w:right="239" w:bottom="1440" w:gutter="0" w:footer="0" w:header="0"/>
        </w:sectPr>
      </w:pP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Brendan Rae, Ph.D., J.D.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Arrowhead Research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225 South Lake Avenue, 3rd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(626) 304-3400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(626) 304-3401</w:t>
      </w:r>
    </w:p>
    <w:p>
      <w:pPr>
        <w:spacing w:after="0" w:line="99" w:lineRule="exact"/>
        <w:rPr>
          <w:sz w:val="20"/>
          <w:szCs w:val="20"/>
          <w:color w:val="auto"/>
        </w:rPr>
      </w:pPr>
    </w:p>
    <w:p>
      <w:pPr>
        <w:sectPr>
          <w:pgSz w:w="11900" w:h="16838" w:orient="portrait"/>
          <w:cols w:equalWidth="0" w:num="2">
            <w:col w:w="2040" w:space="440"/>
            <w:col w:w="8940"/>
          </w:cols>
          <w:pgMar w:left="240" w:top="557" w:right="239" w:bottom="1440" w:gutter="0" w:footer="0" w:header="0"/>
          <w:type w:val="continuous"/>
        </w:sectPr>
      </w:pPr>
    </w:p>
    <w:p>
      <w:pPr>
        <w:ind w:right="680" w:firstLine="8"/>
        <w:spacing w:after="0" w:line="282" w:lineRule="auto"/>
        <w:tabs>
          <w:tab w:leader="none" w:pos="31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7" w:right="239" w:bottom="1440" w:gutter="0" w:footer="0" w:header="0"/>
          <w:type w:val="continuous"/>
        </w:sectPr>
      </w:pPr>
    </w:p>
    <w:bookmarkStart w:id="54" w:name="page55"/>
    <w:bookmarkEnd w:id="54"/>
    <w:p>
      <w:pPr>
        <w:ind w:left="660"/>
        <w:spacing w:after="0"/>
        <w:rPr>
          <w:sz w:val="20"/>
          <w:szCs w:val="20"/>
          <w:color w:val="auto"/>
        </w:rPr>
      </w:pPr>
      <w:r>
        <w:rPr>
          <w:rFonts w:ascii="Arial" w:cs="Arial" w:eastAsia="Arial" w:hAnsi="Arial"/>
          <w:sz w:val="16"/>
          <w:szCs w:val="16"/>
          <w:color w:val="auto"/>
        </w:rPr>
        <w:t>With copy to:</w:t>
      </w:r>
    </w:p>
    <w:p>
      <w:pPr>
        <w:sectPr>
          <w:pgSz w:w="11900" w:h="16838" w:orient="portrait"/>
          <w:cols w:equalWidth="0" w:num="1">
            <w:col w:w="11420"/>
          </w:cols>
          <w:pgMar w:left="240" w:top="557" w:right="239" w:bottom="1440" w:gutter="0" w:footer="0" w:header="0"/>
        </w:sectPr>
      </w:pPr>
    </w:p>
    <w:p>
      <w:pPr>
        <w:spacing w:after="0" w:line="14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Thomas Haag, Ph.D., Esq.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Fanelli Haag PLLC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1909 K St. NW, Suite 1120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202.706.7910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Fax: 202.706.7920</w:t>
      </w:r>
    </w:p>
    <w:p>
      <w:pPr>
        <w:spacing w:after="0" w:line="200" w:lineRule="exact"/>
        <w:rPr>
          <w:sz w:val="20"/>
          <w:szCs w:val="20"/>
          <w:color w:val="auto"/>
        </w:rPr>
      </w:pPr>
    </w:p>
    <w:p>
      <w:pPr>
        <w:sectPr>
          <w:pgSz w:w="11900" w:h="16838" w:orient="portrait"/>
          <w:cols w:equalWidth="0" w:num="2">
            <w:col w:w="2040" w:space="440"/>
            <w:col w:w="8940"/>
          </w:cols>
          <w:pgMar w:left="240" w:top="557" w:right="239" w:bottom="1440" w:gutter="0" w:footer="0" w:header="0"/>
          <w:type w:val="continuous"/>
        </w:sectPr>
      </w:pP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Party may change its address by giving notice to the other Party in the manner provided in this Section 12.7. Any notice required or provided for by the terms of this Agreement will be in writing and will be (a) sent by certified mail, return receipt requested, postage prepaid, (b) sent via a reputable national express courier service, or (c) sent by facsimile transmission, with a copy by regular mail. The effective date of the notice will be the actual date of receipt by the receiving Party.</w:t>
      </w:r>
    </w:p>
    <w:p>
      <w:pPr>
        <w:spacing w:after="0" w:line="18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It is understood and agreed that the relationship between the Parties is that of independent contractors and that nothing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will be construed as authorization for either Party to act as the agent for the other Party.</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will be governed and interpreted in accordance with the substantive laws of the State of New York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U.S.A., notwithstanding the provisions governing conflict of laws under such law of the State of New York to the contrary, provided that matters of intellectual property law will be determined in accordance with the national intellectual property laws relevant to the intellectual property in question.</w:t>
      </w:r>
    </w:p>
    <w:p>
      <w:pPr>
        <w:spacing w:after="0" w:line="187"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of this Agreement is held by a court of competent jurisdiction to be unenforceable because it is invalid</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in conflict with any law of the relevant jurisdiction, the validity of the remaining provisions will not be affected and the rights and obligations of the Parties will be construed and enforced as if the Agreement did not contain the particular provisions held to be unenforceable, provided that the Parties will negotiate in good faith a modification of this Agreement with a view to revising this Agreement in a manner which reflects, as closely as is reasonably practicable, the commercial terms of this Agreement as originally signed.</w:t>
      </w:r>
    </w:p>
    <w:p>
      <w:pPr>
        <w:spacing w:after="0" w:line="173"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u w:val="single" w:color="auto"/>
          <w:color w:val="auto"/>
        </w:rPr>
        <w:t>No Implied Waivers</w:t>
      </w:r>
      <w:r>
        <w:rPr>
          <w:rFonts w:ascii="Arial" w:cs="Arial" w:eastAsia="Arial" w:hAnsi="Arial"/>
          <w:sz w:val="16"/>
          <w:szCs w:val="16"/>
          <w:color w:val="auto"/>
        </w:rPr>
        <w:t>. The waiver by either Party of a breach or default of any provision of this Agreement by the other Party will not be construed as</w:t>
      </w:r>
      <w:r>
        <w:rPr>
          <w:rFonts w:ascii="Arial" w:cs="Arial" w:eastAsia="Arial" w:hAnsi="Arial"/>
          <w:sz w:val="16"/>
          <w:szCs w:val="16"/>
          <w:u w:val="single" w:color="auto"/>
          <w:color w:val="auto"/>
        </w:rPr>
        <w:t xml:space="preserve"> </w:t>
      </w:r>
      <w:r>
        <w:rPr>
          <w:rFonts w:ascii="Arial" w:cs="Arial" w:eastAsia="Arial" w:hAnsi="Arial"/>
          <w:sz w:val="16"/>
          <w:szCs w:val="16"/>
          <w:color w:val="auto"/>
        </w:rPr>
        <w:t>a waiver of any succeeding breach of the same or any other provision, nor will any delay or omission on the part of either Party to exercise or avail itself of any right, power or privilege that it has or may have hereunder operate as a waiver of any right, power or privilege by such Party.</w:t>
      </w:r>
    </w:p>
    <w:p>
      <w:pPr>
        <w:spacing w:after="0" w:line="147"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along with that certain Confidential Disclosure Agreement by and between the Parties dated as of October 28,</w:t>
      </w:r>
      <w:r>
        <w:rPr>
          <w:rFonts w:ascii="Arial" w:cs="Arial" w:eastAsia="Arial" w:hAnsi="Arial"/>
          <w:sz w:val="16"/>
          <w:szCs w:val="16"/>
          <w:u w:val="single" w:color="auto"/>
          <w:color w:val="auto"/>
        </w:rPr>
        <w:t xml:space="preserve"> </w:t>
      </w:r>
      <w:r>
        <w:rPr>
          <w:rFonts w:ascii="Arial" w:cs="Arial" w:eastAsia="Arial" w:hAnsi="Arial"/>
          <w:sz w:val="16"/>
          <w:szCs w:val="16"/>
          <w:color w:val="auto"/>
        </w:rPr>
        <w:t>2011, constitutes the entire agreement between the Parties with respect to its subject matter and supersedes all previous written or oral representations, agreements and understandings between the Parties. This Agreement may be amended only in a writing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80" w:firstLine="8"/>
        <w:spacing w:after="0" w:line="282" w:lineRule="auto"/>
        <w:tabs>
          <w:tab w:leader="none" w:pos="31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type w:val="continuous"/>
        </w:sectPr>
      </w:pPr>
    </w:p>
    <w:bookmarkStart w:id="55" w:name="page56"/>
    <w:bookmarkEnd w:id="55"/>
    <w:p>
      <w:pPr>
        <w:jc w:val="both"/>
        <w:ind w:left="660" w:hanging="661"/>
        <w:spacing w:after="0" w:line="283" w:lineRule="auto"/>
        <w:tabs>
          <w:tab w:leader="none" w:pos="64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6"/>
          <w:szCs w:val="16"/>
          <w:u w:val="single" w:color="auto"/>
          <w:color w:val="auto"/>
        </w:rPr>
        <w:t>Headings; Construction; Interpretation</w:t>
      </w:r>
      <w:r>
        <w:rPr>
          <w:rFonts w:ascii="Arial" w:cs="Arial" w:eastAsia="Arial" w:hAnsi="Arial"/>
          <w:sz w:val="16"/>
          <w:szCs w:val="16"/>
          <w:color w:val="auto"/>
        </w:rPr>
        <w:t>. Headings used herein are for convenience only and shall not in any way affect the construction of or be taken</w:t>
      </w:r>
      <w:r>
        <w:rPr>
          <w:rFonts w:ascii="Arial" w:cs="Arial" w:eastAsia="Arial" w:hAnsi="Arial"/>
          <w:sz w:val="16"/>
          <w:szCs w:val="16"/>
          <w:u w:val="single" w:color="auto"/>
          <w:color w:val="auto"/>
        </w:rPr>
        <w:t xml:space="preserve"> </w:t>
      </w:r>
      <w:r>
        <w:rPr>
          <w:rFonts w:ascii="Arial" w:cs="Arial" w:eastAsia="Arial" w:hAnsi="Arial"/>
          <w:sz w:val="16"/>
          <w:szCs w:val="16"/>
          <w:color w:val="auto"/>
        </w:rPr>
        <w:t>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their usual and customary meanings, and each of the Parties hereto hereby waives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Schedule or Exhibit shall be deemed to be a reference to any Article, Section, subsection, paragraph, clause, Schedule or Exhibit, of or to, as the case may be,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w:t>
      </w:r>
    </w:p>
    <w:p>
      <w:pPr>
        <w:spacing w:after="0" w:line="5" w:lineRule="exact"/>
        <w:rPr>
          <w:sz w:val="20"/>
          <w:szCs w:val="20"/>
          <w:color w:val="auto"/>
        </w:rPr>
      </w:pPr>
    </w:p>
    <w:p>
      <w:pPr>
        <w:jc w:val="both"/>
        <w:ind w:left="660" w:firstLine="10"/>
        <w:spacing w:after="0" w:line="281" w:lineRule="auto"/>
        <w:tabs>
          <w:tab w:leader="none" w:pos="9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reference to any law, rule or regulation refers to such law, rule or regulation as from time to time enacted, repealed or amended, (c) the words “herein,” “hereof’ and “hereunder,” and words of similar import, refer to this Agreement in its entirety and not to any particular provision hereof,</w:t>
      </w:r>
    </w:p>
    <w:p>
      <w:pPr>
        <w:spacing w:after="0" w:line="1" w:lineRule="exact"/>
        <w:rPr>
          <w:rFonts w:ascii="Arial" w:cs="Arial" w:eastAsia="Arial" w:hAnsi="Arial"/>
          <w:sz w:val="16"/>
          <w:szCs w:val="16"/>
          <w:color w:val="auto"/>
        </w:rPr>
      </w:pPr>
    </w:p>
    <w:p>
      <w:pPr>
        <w:jc w:val="both"/>
        <w:ind w:left="660" w:firstLine="10"/>
        <w:spacing w:after="0" w:line="255" w:lineRule="auto"/>
        <w:tabs>
          <w:tab w:leader="none" w:pos="9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words “include,” “includes,” “including,” “exclude,” “excludes,” and “excluding,” shall be deemed to be followed by the phrase “but not limited to,” “without limitation” or words of similar import, (e) except where the context otherwise requires, the word “or” is used in the inclusive sense, and (f) all references to “dollars” or “$” herein shall mean US Dollars.</w:t>
      </w:r>
    </w:p>
    <w:p>
      <w:pPr>
        <w:spacing w:after="0" w:line="190" w:lineRule="exact"/>
        <w:rPr>
          <w:sz w:val="20"/>
          <w:szCs w:val="20"/>
          <w:color w:val="auto"/>
        </w:rPr>
      </w:pPr>
    </w:p>
    <w:p>
      <w:pPr>
        <w:jc w:val="both"/>
        <w:ind w:left="660" w:hanging="661"/>
        <w:spacing w:after="0" w:line="312" w:lineRule="auto"/>
        <w:tabs>
          <w:tab w:leader="none" w:pos="64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signed in counterparts, each and every one of which shall be deemed an original, notwithstanding variations</w:t>
      </w:r>
      <w:r>
        <w:rPr>
          <w:rFonts w:ascii="Arial" w:cs="Arial" w:eastAsia="Arial" w:hAnsi="Arial"/>
          <w:sz w:val="16"/>
          <w:szCs w:val="16"/>
          <w:u w:val="single" w:color="auto"/>
          <w:color w:val="auto"/>
        </w:rPr>
        <w:t xml:space="preserve"> </w:t>
      </w:r>
      <w:r>
        <w:rPr>
          <w:rFonts w:ascii="Arial" w:cs="Arial" w:eastAsia="Arial" w:hAnsi="Arial"/>
          <w:sz w:val="16"/>
          <w:szCs w:val="16"/>
          <w:color w:val="auto"/>
        </w:rPr>
        <w:t>in format or file designation which may result from the electronic transmission, storage and printing of copies from separate computers or printers. Facsimile signatures and signatures transmitted via portable document format (PDF) shall be treated as original signatures.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set their hand as of the Effective Date.</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ALNYLAM PHARMACEUTICALS,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E. Reid</w:t>
            </w:r>
          </w:p>
        </w:tc>
      </w:tr>
      <w:tr>
        <w:trPr>
          <w:trHeight w:val="195"/>
        </w:trPr>
        <w:tc>
          <w:tcPr>
            <w:tcW w:w="60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Name: L.E. Reid</w:t>
            </w:r>
          </w:p>
        </w:tc>
      </w:tr>
      <w:tr>
        <w:trPr>
          <w:trHeight w:val="230"/>
        </w:trPr>
        <w:tc>
          <w:tcPr>
            <w:tcW w:w="60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Title: CBO</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Anzalone</w:t>
            </w:r>
          </w:p>
        </w:tc>
      </w:tr>
      <w:tr>
        <w:trPr>
          <w:trHeight w:val="195"/>
        </w:trPr>
        <w:tc>
          <w:tcPr>
            <w:tcW w:w="60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Name: Chris Anzalone</w:t>
            </w:r>
          </w:p>
        </w:tc>
      </w:tr>
      <w:tr>
        <w:trPr>
          <w:trHeight w:val="230"/>
        </w:trPr>
        <w:tc>
          <w:tcPr>
            <w:tcW w:w="60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Title: President &amp; CEO</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ARROWHEAD MADISON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Anzalone</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Chris Anzalone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80" w:firstLine="8"/>
        <w:spacing w:after="0" w:line="282" w:lineRule="auto"/>
        <w:tabs>
          <w:tab w:leader="none" w:pos="31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License Agreement</w:t>
      </w:r>
    </w:p>
    <w:p>
      <w:pPr>
        <w:sectPr>
          <w:pgSz w:w="11900" w:h="16838" w:orient="portrait"/>
          <w:cols w:equalWidth="0" w:num="1">
            <w:col w:w="11420"/>
          </w:cols>
          <w:pgMar w:left="240" w:top="34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ALNYLAM Patent Rights</w:t>
      </w:r>
    </w:p>
    <w:p>
      <w:pPr>
        <w:sectPr>
          <w:pgSz w:w="11900" w:h="16838" w:orient="portrait"/>
          <w:cols w:equalWidth="0" w:num="1">
            <w:col w:w="9019"/>
          </w:cols>
          <w:pgMar w:left="1440" w:top="337"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1520" w:type="dxa"/>
            <w:vAlign w:val="bottom"/>
          </w:tcPr>
          <w:p>
            <w:pPr>
              <w:jc w:val="center"/>
              <w:ind w:right="31"/>
              <w:spacing w:after="0"/>
              <w:rPr>
                <w:sz w:val="20"/>
                <w:szCs w:val="20"/>
                <w:color w:val="auto"/>
              </w:rPr>
            </w:pPr>
            <w:r>
              <w:rPr>
                <w:rFonts w:ascii="Arial" w:cs="Arial" w:eastAsia="Arial" w:hAnsi="Arial"/>
                <w:sz w:val="14"/>
                <w:szCs w:val="14"/>
                <w:b w:val="1"/>
                <w:bCs w:val="1"/>
                <w:color w:val="auto"/>
                <w:w w:val="97"/>
              </w:rPr>
              <w:t>Our Ref. No.</w:t>
            </w: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Country</w:t>
            </w:r>
          </w:p>
        </w:tc>
        <w:tc>
          <w:tcPr>
            <w:tcW w:w="1600" w:type="dxa"/>
            <w:vAlign w:val="bottom"/>
          </w:tcPr>
          <w:p>
            <w:pPr>
              <w:ind w:left="420"/>
              <w:spacing w:after="0"/>
              <w:rPr>
                <w:sz w:val="20"/>
                <w:szCs w:val="20"/>
                <w:color w:val="auto"/>
              </w:rPr>
            </w:pPr>
            <w:r>
              <w:rPr>
                <w:rFonts w:ascii="Arial" w:cs="Arial" w:eastAsia="Arial" w:hAnsi="Arial"/>
                <w:sz w:val="14"/>
                <w:szCs w:val="14"/>
                <w:b w:val="1"/>
                <w:bCs w:val="1"/>
                <w:color w:val="auto"/>
              </w:rPr>
              <w:t>Application No.</w:t>
            </w: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Patent No.</w:t>
            </w:r>
          </w:p>
        </w:tc>
        <w:tc>
          <w:tcPr>
            <w:tcW w:w="1020" w:type="dxa"/>
            <w:vAlign w:val="bottom"/>
          </w:tcPr>
          <w:p>
            <w:pPr>
              <w:ind w:left="440"/>
              <w:spacing w:after="0"/>
              <w:rPr>
                <w:sz w:val="20"/>
                <w:szCs w:val="20"/>
                <w:color w:val="auto"/>
              </w:rPr>
            </w:pPr>
            <w:r>
              <w:rPr>
                <w:rFonts w:ascii="Arial" w:cs="Arial" w:eastAsia="Arial" w:hAnsi="Arial"/>
                <w:sz w:val="14"/>
                <w:szCs w:val="14"/>
                <w:b w:val="1"/>
                <w:bCs w:val="1"/>
                <w:color w:val="auto"/>
              </w:rPr>
              <w:t>Status</w:t>
            </w:r>
          </w:p>
        </w:tc>
        <w:tc>
          <w:tcPr>
            <w:tcW w:w="4400" w:type="dxa"/>
            <w:vAlign w:val="bottom"/>
          </w:tcPr>
          <w:p>
            <w:pPr>
              <w:ind w:left="1920"/>
              <w:spacing w:after="0"/>
              <w:rPr>
                <w:sz w:val="20"/>
                <w:szCs w:val="20"/>
                <w:color w:val="auto"/>
              </w:rPr>
            </w:pPr>
            <w:r>
              <w:rPr>
                <w:rFonts w:ascii="Arial" w:cs="Arial" w:eastAsia="Arial" w:hAnsi="Arial"/>
                <w:sz w:val="14"/>
                <w:szCs w:val="14"/>
                <w:b w:val="1"/>
                <w:bCs w:val="1"/>
                <w:color w:val="auto"/>
              </w:rPr>
              <w:t>Application Title</w:t>
            </w:r>
          </w:p>
        </w:tc>
      </w:tr>
      <w:tr>
        <w:trPr>
          <w:trHeight w:val="216"/>
        </w:trPr>
        <w:tc>
          <w:tcPr>
            <w:tcW w:w="1520" w:type="dxa"/>
            <w:vAlign w:val="bottom"/>
          </w:tcPr>
          <w:p>
            <w:pPr>
              <w:jc w:val="center"/>
              <w:ind w:right="31"/>
              <w:spacing w:after="0"/>
              <w:rPr>
                <w:sz w:val="20"/>
                <w:szCs w:val="20"/>
                <w:color w:val="auto"/>
              </w:rPr>
            </w:pPr>
            <w:r>
              <w:rPr>
                <w:rFonts w:ascii="Arial" w:cs="Arial" w:eastAsia="Arial" w:hAnsi="Arial"/>
                <w:sz w:val="18"/>
                <w:szCs w:val="18"/>
                <w:color w:val="auto"/>
                <w:w w:val="94"/>
              </w:rPr>
              <w:t>RIB-001.3AT1</w:t>
            </w: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Austria</w:t>
            </w:r>
          </w:p>
        </w:tc>
        <w:tc>
          <w:tcPr>
            <w:tcW w:w="1600" w:type="dxa"/>
            <w:vAlign w:val="bottom"/>
          </w:tcPr>
          <w:p>
            <w:pPr>
              <w:ind w:left="340"/>
              <w:spacing w:after="0"/>
              <w:rPr>
                <w:sz w:val="20"/>
                <w:szCs w:val="20"/>
                <w:color w:val="auto"/>
              </w:rPr>
            </w:pPr>
            <w:r>
              <w:rPr>
                <w:rFonts w:ascii="Arial" w:cs="Arial" w:eastAsia="Arial" w:hAnsi="Arial"/>
                <w:sz w:val="18"/>
                <w:szCs w:val="18"/>
                <w:color w:val="auto"/>
              </w:rPr>
              <w:t>EP 02003683</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E297.463</w:t>
            </w:r>
          </w:p>
        </w:tc>
        <w:tc>
          <w:tcPr>
            <w:tcW w:w="5420" w:type="dxa"/>
            <w:vAlign w:val="bottom"/>
            <w:gridSpan w:val="2"/>
          </w:tcPr>
          <w:p>
            <w:pPr>
              <w:ind w:left="10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31"/>
              <w:spacing w:after="0"/>
              <w:rPr>
                <w:sz w:val="20"/>
                <w:szCs w:val="20"/>
                <w:color w:val="auto"/>
              </w:rPr>
            </w:pPr>
            <w:r>
              <w:rPr>
                <w:rFonts w:ascii="Arial" w:cs="Arial" w:eastAsia="Arial" w:hAnsi="Arial"/>
                <w:sz w:val="18"/>
                <w:szCs w:val="18"/>
                <w:color w:val="auto"/>
                <w:w w:val="94"/>
              </w:rPr>
              <w:t>RIB-001.3AT2</w:t>
            </w: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Austria</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E418.60</w:t>
            </w:r>
          </w:p>
        </w:tc>
        <w:tc>
          <w:tcPr>
            <w:tcW w:w="1020" w:type="dxa"/>
            <w:vAlign w:val="bottom"/>
          </w:tcPr>
          <w:p>
            <w:pPr>
              <w:ind w:left="280"/>
              <w:spacing w:after="0"/>
              <w:rPr>
                <w:sz w:val="20"/>
                <w:szCs w:val="20"/>
                <w:color w:val="auto"/>
              </w:rPr>
            </w:pPr>
            <w:r>
              <w:rPr>
                <w:rFonts w:ascii="Arial" w:cs="Arial" w:eastAsia="Arial" w:hAnsi="Arial"/>
                <w:sz w:val="18"/>
                <w:szCs w:val="18"/>
                <w:color w:val="auto"/>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6"/>
              </w:rPr>
              <w:t>RIB-001.3AU</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2000032713</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778474</w:t>
            </w:r>
          </w:p>
        </w:tc>
        <w:tc>
          <w:tcPr>
            <w:tcW w:w="5420" w:type="dxa"/>
            <w:vAlign w:val="bottom"/>
            <w:gridSpan w:val="2"/>
          </w:tcPr>
          <w:p>
            <w:pPr>
              <w:ind w:left="10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31"/>
              <w:spacing w:after="0"/>
              <w:rPr>
                <w:sz w:val="20"/>
                <w:szCs w:val="20"/>
                <w:color w:val="auto"/>
              </w:rPr>
            </w:pPr>
            <w:r>
              <w:rPr>
                <w:rFonts w:ascii="Arial" w:cs="Arial" w:eastAsia="Arial" w:hAnsi="Arial"/>
                <w:sz w:val="18"/>
                <w:szCs w:val="18"/>
                <w:color w:val="auto"/>
                <w:w w:val="96"/>
              </w:rPr>
              <w:t>RIB-001.3AU1</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2005201044</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2005201044</w:t>
            </w:r>
          </w:p>
        </w:tc>
        <w:tc>
          <w:tcPr>
            <w:tcW w:w="5420" w:type="dxa"/>
            <w:vAlign w:val="bottom"/>
            <w:gridSpan w:val="2"/>
          </w:tcPr>
          <w:p>
            <w:pPr>
              <w:ind w:left="10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31"/>
              <w:spacing w:after="0"/>
              <w:rPr>
                <w:sz w:val="20"/>
                <w:szCs w:val="20"/>
                <w:color w:val="auto"/>
              </w:rPr>
            </w:pPr>
            <w:r>
              <w:rPr>
                <w:rFonts w:ascii="Arial" w:cs="Arial" w:eastAsia="Arial" w:hAnsi="Arial"/>
                <w:sz w:val="18"/>
                <w:szCs w:val="18"/>
                <w:color w:val="auto"/>
                <w:w w:val="96"/>
              </w:rPr>
              <w:t>RIB-001.3AUD2</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2008202208</w:t>
            </w:r>
          </w:p>
        </w:tc>
        <w:tc>
          <w:tcPr>
            <w:tcW w:w="1440" w:type="dxa"/>
            <w:vAlign w:val="bottom"/>
          </w:tcPr>
          <w:p>
            <w:pPr>
              <w:spacing w:after="0"/>
              <w:rPr>
                <w:sz w:val="18"/>
                <w:szCs w:val="18"/>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Opposed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6"/>
              </w:rPr>
              <w:t>RIB-001.3CA</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2,359,180</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2,359,180</w:t>
            </w:r>
          </w:p>
        </w:tc>
        <w:tc>
          <w:tcPr>
            <w:tcW w:w="1020" w:type="dxa"/>
            <w:vAlign w:val="bottom"/>
          </w:tcPr>
          <w:p>
            <w:pPr>
              <w:ind w:left="280"/>
              <w:spacing w:after="0"/>
              <w:rPr>
                <w:sz w:val="20"/>
                <w:szCs w:val="20"/>
                <w:color w:val="auto"/>
              </w:rPr>
            </w:pPr>
            <w:r>
              <w:rPr>
                <w:rFonts w:ascii="Arial" w:cs="Arial" w:eastAsia="Arial" w:hAnsi="Arial"/>
                <w:sz w:val="18"/>
                <w:szCs w:val="18"/>
                <w:color w:val="auto"/>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3"/>
              </w:rPr>
              <w:t>RIB-001.3CH1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1600" w:type="dxa"/>
            <w:vAlign w:val="bottom"/>
          </w:tcPr>
          <w:p>
            <w:pPr>
              <w:ind w:left="340"/>
              <w:spacing w:after="0"/>
              <w:rPr>
                <w:sz w:val="20"/>
                <w:szCs w:val="20"/>
                <w:color w:val="auto"/>
              </w:rPr>
            </w:pPr>
            <w:r>
              <w:rPr>
                <w:rFonts w:ascii="Arial" w:cs="Arial" w:eastAsia="Arial" w:hAnsi="Arial"/>
                <w:sz w:val="18"/>
                <w:szCs w:val="18"/>
                <w:color w:val="auto"/>
              </w:rPr>
              <w:t>EP 02003683</w:t>
            </w:r>
          </w:p>
        </w:tc>
        <w:tc>
          <w:tcPr>
            <w:tcW w:w="1440" w:type="dxa"/>
            <w:vAlign w:val="bottom"/>
          </w:tcPr>
          <w:p>
            <w:pPr>
              <w:ind w:left="180"/>
              <w:spacing w:after="0"/>
              <w:rPr>
                <w:sz w:val="20"/>
                <w:szCs w:val="20"/>
                <w:color w:val="auto"/>
              </w:rPr>
            </w:pPr>
            <w:r>
              <w:rPr>
                <w:rFonts w:ascii="Arial" w:cs="Arial" w:eastAsia="Arial" w:hAnsi="Arial"/>
                <w:sz w:val="18"/>
                <w:szCs w:val="18"/>
                <w:color w:val="auto"/>
                <w:w w:val="98"/>
              </w:rPr>
              <w:t>EP 1214945 B1</w:t>
            </w:r>
          </w:p>
        </w:tc>
        <w:tc>
          <w:tcPr>
            <w:tcW w:w="5420" w:type="dxa"/>
            <w:vAlign w:val="bottom"/>
            <w:gridSpan w:val="2"/>
          </w:tcPr>
          <w:p>
            <w:pPr>
              <w:ind w:left="10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3"/>
              </w:rPr>
              <w:t>RIB-001.3CH2</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20" w:type="dxa"/>
            <w:vAlign w:val="bottom"/>
          </w:tcPr>
          <w:p>
            <w:pPr>
              <w:ind w:left="280"/>
              <w:spacing w:after="0"/>
              <w:rPr>
                <w:sz w:val="20"/>
                <w:szCs w:val="20"/>
                <w:color w:val="auto"/>
              </w:rPr>
            </w:pPr>
            <w:r>
              <w:rPr>
                <w:rFonts w:ascii="Arial" w:cs="Arial" w:eastAsia="Arial" w:hAnsi="Arial"/>
                <w:sz w:val="18"/>
                <w:szCs w:val="18"/>
                <w:color w:val="auto"/>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4"/>
              </w:rPr>
              <w:t>RIB-001.3CY1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Cyprus</w:t>
            </w:r>
          </w:p>
        </w:tc>
        <w:tc>
          <w:tcPr>
            <w:tcW w:w="1600" w:type="dxa"/>
            <w:vAlign w:val="bottom"/>
          </w:tcPr>
          <w:p>
            <w:pPr>
              <w:ind w:left="340"/>
              <w:spacing w:after="0"/>
              <w:rPr>
                <w:sz w:val="20"/>
                <w:szCs w:val="20"/>
                <w:color w:val="auto"/>
              </w:rPr>
            </w:pPr>
            <w:r>
              <w:rPr>
                <w:rFonts w:ascii="Arial" w:cs="Arial" w:eastAsia="Arial" w:hAnsi="Arial"/>
                <w:sz w:val="18"/>
                <w:szCs w:val="18"/>
                <w:color w:val="auto"/>
              </w:rPr>
              <w:t>EP 02003683</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CY05/1101016</w:t>
            </w:r>
          </w:p>
        </w:tc>
        <w:tc>
          <w:tcPr>
            <w:tcW w:w="1020" w:type="dxa"/>
            <w:vAlign w:val="bottom"/>
          </w:tcPr>
          <w:p>
            <w:pPr>
              <w:ind w:left="280"/>
              <w:spacing w:after="0"/>
              <w:rPr>
                <w:sz w:val="20"/>
                <w:szCs w:val="20"/>
                <w:color w:val="auto"/>
              </w:rPr>
            </w:pPr>
            <w:r>
              <w:rPr>
                <w:rFonts w:ascii="Arial" w:cs="Arial" w:eastAsia="Arial" w:hAnsi="Arial"/>
                <w:sz w:val="18"/>
                <w:szCs w:val="18"/>
                <w:color w:val="auto"/>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4"/>
              </w:rPr>
              <w:t>RIB-001.3CY2</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Cyprus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20" w:type="dxa"/>
            <w:vAlign w:val="bottom"/>
          </w:tcPr>
          <w:p>
            <w:pPr>
              <w:ind w:left="280"/>
              <w:spacing w:after="0"/>
              <w:rPr>
                <w:sz w:val="20"/>
                <w:szCs w:val="20"/>
                <w:color w:val="auto"/>
              </w:rPr>
            </w:pPr>
            <w:r>
              <w:rPr>
                <w:rFonts w:ascii="Arial" w:cs="Arial" w:eastAsia="Arial" w:hAnsi="Arial"/>
                <w:sz w:val="18"/>
                <w:szCs w:val="18"/>
                <w:color w:val="auto"/>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4"/>
              </w:rPr>
              <w:t>RIB-001.3DE0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50000414.5-08</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1144623</w:t>
            </w:r>
          </w:p>
        </w:tc>
        <w:tc>
          <w:tcPr>
            <w:tcW w:w="5420" w:type="dxa"/>
            <w:vAlign w:val="bottom"/>
            <w:gridSpan w:val="2"/>
          </w:tcPr>
          <w:p>
            <w:pPr>
              <w:ind w:left="10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4"/>
              </w:rPr>
              <w:t>RIB-001.3DE1</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1600" w:type="dxa"/>
            <w:vAlign w:val="bottom"/>
          </w:tcPr>
          <w:p>
            <w:pPr>
              <w:ind w:left="340"/>
              <w:spacing w:after="0"/>
              <w:rPr>
                <w:sz w:val="20"/>
                <w:szCs w:val="20"/>
                <w:color w:val="auto"/>
              </w:rPr>
            </w:pPr>
            <w:r>
              <w:rPr>
                <w:rFonts w:ascii="Arial" w:cs="Arial" w:eastAsia="Arial" w:hAnsi="Arial"/>
                <w:sz w:val="18"/>
                <w:szCs w:val="18"/>
                <w:color w:val="auto"/>
              </w:rPr>
              <w:t>EP 02003683</w:t>
            </w:r>
          </w:p>
        </w:tc>
        <w:tc>
          <w:tcPr>
            <w:tcW w:w="1440" w:type="dxa"/>
            <w:vAlign w:val="bottom"/>
          </w:tcPr>
          <w:p>
            <w:pPr>
              <w:ind w:left="160"/>
              <w:spacing w:after="0"/>
              <w:rPr>
                <w:sz w:val="20"/>
                <w:szCs w:val="20"/>
                <w:color w:val="auto"/>
              </w:rPr>
            </w:pPr>
            <w:r>
              <w:rPr>
                <w:rFonts w:ascii="Arial" w:cs="Arial" w:eastAsia="Arial" w:hAnsi="Arial"/>
                <w:sz w:val="18"/>
                <w:szCs w:val="18"/>
                <w:color w:val="auto"/>
                <w:w w:val="99"/>
              </w:rPr>
              <w:t>EP 1214945 B1</w:t>
            </w:r>
          </w:p>
        </w:tc>
        <w:tc>
          <w:tcPr>
            <w:tcW w:w="1020" w:type="dxa"/>
            <w:vAlign w:val="bottom"/>
          </w:tcPr>
          <w:p>
            <w:pPr>
              <w:ind w:left="280"/>
              <w:spacing w:after="0"/>
              <w:rPr>
                <w:sz w:val="20"/>
                <w:szCs w:val="20"/>
                <w:color w:val="auto"/>
              </w:rPr>
            </w:pPr>
            <w:r>
              <w:rPr>
                <w:rFonts w:ascii="Arial" w:cs="Arial" w:eastAsia="Arial" w:hAnsi="Arial"/>
                <w:sz w:val="18"/>
                <w:szCs w:val="18"/>
                <w:color w:val="auto"/>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4"/>
              </w:rPr>
              <w:t>RIB-001.3DE1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50010528.6-08</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1214945</w:t>
            </w:r>
          </w:p>
        </w:tc>
        <w:tc>
          <w:tcPr>
            <w:tcW w:w="5420" w:type="dxa"/>
            <w:vAlign w:val="bottom"/>
            <w:gridSpan w:val="2"/>
          </w:tcPr>
          <w:p>
            <w:pPr>
              <w:ind w:left="10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4"/>
              </w:rPr>
              <w:t>RIB-001.3DE2</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20" w:type="dxa"/>
            <w:vAlign w:val="bottom"/>
          </w:tcPr>
          <w:p>
            <w:pPr>
              <w:ind w:left="280"/>
              <w:spacing w:after="0"/>
              <w:rPr>
                <w:sz w:val="20"/>
                <w:szCs w:val="20"/>
                <w:color w:val="auto"/>
              </w:rPr>
            </w:pPr>
            <w:r>
              <w:rPr>
                <w:rFonts w:ascii="Arial" w:cs="Arial" w:eastAsia="Arial" w:hAnsi="Arial"/>
                <w:sz w:val="18"/>
                <w:szCs w:val="18"/>
                <w:color w:val="auto"/>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4"/>
              </w:rPr>
              <w:t>RIB-001.3DE2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20" w:type="dxa"/>
            <w:vAlign w:val="bottom"/>
          </w:tcPr>
          <w:p>
            <w:pPr>
              <w:ind w:left="280"/>
              <w:spacing w:after="0"/>
              <w:rPr>
                <w:sz w:val="20"/>
                <w:szCs w:val="20"/>
                <w:color w:val="auto"/>
              </w:rPr>
            </w:pPr>
            <w:r>
              <w:rPr>
                <w:rFonts w:ascii="Arial" w:cs="Arial" w:eastAsia="Arial" w:hAnsi="Arial"/>
                <w:sz w:val="18"/>
                <w:szCs w:val="18"/>
                <w:color w:val="auto"/>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4"/>
              </w:rPr>
              <w:t>RIB-001.3DED1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10066235.8</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10066235.8</w:t>
            </w:r>
          </w:p>
        </w:tc>
        <w:tc>
          <w:tcPr>
            <w:tcW w:w="1020" w:type="dxa"/>
            <w:vAlign w:val="bottom"/>
          </w:tcPr>
          <w:p>
            <w:pPr>
              <w:ind w:left="280"/>
              <w:spacing w:after="0"/>
              <w:rPr>
                <w:sz w:val="20"/>
                <w:szCs w:val="20"/>
                <w:color w:val="auto"/>
              </w:rPr>
            </w:pPr>
            <w:r>
              <w:rPr>
                <w:rFonts w:ascii="Arial" w:cs="Arial" w:eastAsia="Arial" w:hAnsi="Arial"/>
                <w:sz w:val="18"/>
                <w:szCs w:val="18"/>
                <w:color w:val="auto"/>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4"/>
              </w:rPr>
              <w:t>RIB-001.3DED2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10066344.3</w:t>
            </w:r>
          </w:p>
        </w:tc>
        <w:tc>
          <w:tcPr>
            <w:tcW w:w="1440" w:type="dxa"/>
            <w:vAlign w:val="bottom"/>
          </w:tcPr>
          <w:p>
            <w:pPr>
              <w:spacing w:after="0"/>
              <w:rPr>
                <w:sz w:val="18"/>
                <w:szCs w:val="18"/>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Pending</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51"/>
              <w:spacing w:after="0"/>
              <w:rPr>
                <w:sz w:val="20"/>
                <w:szCs w:val="20"/>
                <w:color w:val="auto"/>
              </w:rPr>
            </w:pPr>
            <w:r>
              <w:rPr>
                <w:rFonts w:ascii="Arial" w:cs="Arial" w:eastAsia="Arial" w:hAnsi="Arial"/>
                <w:sz w:val="18"/>
                <w:szCs w:val="18"/>
                <w:color w:val="auto"/>
                <w:w w:val="94"/>
              </w:rPr>
              <w:t>RIB-001.3DED3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10066382.6</w:t>
            </w:r>
          </w:p>
        </w:tc>
        <w:tc>
          <w:tcPr>
            <w:tcW w:w="1440" w:type="dxa"/>
            <w:vAlign w:val="bottom"/>
          </w:tcPr>
          <w:p>
            <w:pPr>
              <w:spacing w:after="0"/>
              <w:rPr>
                <w:sz w:val="18"/>
                <w:szCs w:val="18"/>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Pending</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31"/>
              <w:spacing w:after="0"/>
              <w:rPr>
                <w:sz w:val="20"/>
                <w:szCs w:val="20"/>
                <w:color w:val="auto"/>
              </w:rPr>
            </w:pPr>
            <w:r>
              <w:rPr>
                <w:rFonts w:ascii="Arial" w:cs="Arial" w:eastAsia="Arial" w:hAnsi="Arial"/>
                <w:sz w:val="18"/>
                <w:szCs w:val="18"/>
                <w:color w:val="auto"/>
                <w:w w:val="96"/>
              </w:rPr>
              <w:t>RIB-001.3DEUTM</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20023125.1</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DE20023125 U1</w:t>
            </w:r>
          </w:p>
        </w:tc>
        <w:tc>
          <w:tcPr>
            <w:tcW w:w="5420" w:type="dxa"/>
            <w:vAlign w:val="bottom"/>
            <w:gridSpan w:val="2"/>
          </w:tcPr>
          <w:p>
            <w:pPr>
              <w:ind w:left="80"/>
              <w:spacing w:after="0"/>
              <w:rPr>
                <w:sz w:val="20"/>
                <w:szCs w:val="20"/>
                <w:color w:val="auto"/>
              </w:rPr>
            </w:pPr>
            <w:r>
              <w:rPr>
                <w:rFonts w:ascii="Arial" w:cs="Arial" w:eastAsia="Arial" w:hAnsi="Arial"/>
                <w:sz w:val="18"/>
                <w:szCs w:val="18"/>
                <w:color w:val="auto"/>
                <w:w w:val="98"/>
              </w:rPr>
              <w:t>RegUtilMode 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31"/>
              <w:spacing w:after="0"/>
              <w:rPr>
                <w:sz w:val="20"/>
                <w:szCs w:val="20"/>
                <w:color w:val="auto"/>
              </w:rPr>
            </w:pPr>
            <w:r>
              <w:rPr>
                <w:rFonts w:ascii="Arial" w:cs="Arial" w:eastAsia="Arial" w:hAnsi="Arial"/>
                <w:sz w:val="18"/>
                <w:szCs w:val="18"/>
                <w:color w:val="auto"/>
                <w:w w:val="96"/>
              </w:rPr>
              <w:t>RIB-001.3DK1</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Denmark</w:t>
            </w:r>
          </w:p>
        </w:tc>
        <w:tc>
          <w:tcPr>
            <w:tcW w:w="1600" w:type="dxa"/>
            <w:vAlign w:val="bottom"/>
          </w:tcPr>
          <w:p>
            <w:pPr>
              <w:ind w:left="340"/>
              <w:spacing w:after="0"/>
              <w:rPr>
                <w:sz w:val="20"/>
                <w:szCs w:val="20"/>
                <w:color w:val="auto"/>
              </w:rPr>
            </w:pPr>
            <w:r>
              <w:rPr>
                <w:rFonts w:ascii="Arial" w:cs="Arial" w:eastAsia="Arial" w:hAnsi="Arial"/>
                <w:sz w:val="18"/>
                <w:szCs w:val="18"/>
                <w:color w:val="auto"/>
              </w:rPr>
              <w:t>EP 02003683</w:t>
            </w:r>
          </w:p>
        </w:tc>
        <w:tc>
          <w:tcPr>
            <w:tcW w:w="1440" w:type="dxa"/>
            <w:vAlign w:val="bottom"/>
          </w:tcPr>
          <w:p>
            <w:pPr>
              <w:ind w:left="160"/>
              <w:spacing w:after="0"/>
              <w:rPr>
                <w:sz w:val="20"/>
                <w:szCs w:val="20"/>
                <w:color w:val="auto"/>
              </w:rPr>
            </w:pPr>
            <w:r>
              <w:rPr>
                <w:rFonts w:ascii="Arial" w:cs="Arial" w:eastAsia="Arial" w:hAnsi="Arial"/>
                <w:sz w:val="18"/>
                <w:szCs w:val="18"/>
                <w:color w:val="auto"/>
                <w:w w:val="99"/>
              </w:rPr>
              <w:t>EP 1214945 B1</w:t>
            </w:r>
          </w:p>
        </w:tc>
        <w:tc>
          <w:tcPr>
            <w:tcW w:w="5420" w:type="dxa"/>
            <w:vAlign w:val="bottom"/>
            <w:gridSpan w:val="2"/>
          </w:tcPr>
          <w:p>
            <w:pPr>
              <w:ind w:left="10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20" w:type="dxa"/>
            <w:vAlign w:val="bottom"/>
          </w:tcPr>
          <w:p>
            <w:pPr>
              <w:jc w:val="center"/>
              <w:ind w:right="31"/>
              <w:spacing w:after="0"/>
              <w:rPr>
                <w:sz w:val="20"/>
                <w:szCs w:val="20"/>
                <w:color w:val="auto"/>
              </w:rPr>
            </w:pPr>
            <w:r>
              <w:rPr>
                <w:rFonts w:ascii="Arial" w:cs="Arial" w:eastAsia="Arial" w:hAnsi="Arial"/>
                <w:sz w:val="18"/>
                <w:szCs w:val="18"/>
                <w:color w:val="auto"/>
                <w:w w:val="96"/>
              </w:rPr>
              <w:t>RIB-001.3DK2</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Denmark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20" w:type="dxa"/>
            <w:vAlign w:val="bottom"/>
          </w:tcPr>
          <w:p>
            <w:pPr>
              <w:ind w:left="280"/>
              <w:spacing w:after="0"/>
              <w:rPr>
                <w:sz w:val="20"/>
                <w:szCs w:val="20"/>
                <w:color w:val="auto"/>
              </w:rPr>
            </w:pPr>
            <w:r>
              <w:rPr>
                <w:rFonts w:ascii="Arial" w:cs="Arial" w:eastAsia="Arial" w:hAnsi="Arial"/>
                <w:sz w:val="18"/>
                <w:szCs w:val="18"/>
                <w:color w:val="auto"/>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30"/>
        </w:trPr>
        <w:tc>
          <w:tcPr>
            <w:tcW w:w="1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bl>
    <w:p>
      <w:pPr>
        <w:sectPr>
          <w:pgSz w:w="11900" w:h="16838" w:orient="portrait"/>
          <w:cols w:equalWidth="0" w:num="1">
            <w:col w:w="11140"/>
          </w:cols>
          <w:pgMar w:left="260" w:top="545" w:right="49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RIB-001.3EPD1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02003683.6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1214945</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RIB-001.3EPD2</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05002454.6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1550719</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RIB-001.3EPD3</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06025389.5</w:t>
            </w:r>
          </w:p>
        </w:tc>
        <w:tc>
          <w:tcPr>
            <w:tcW w:w="140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8"/>
              </w:rPr>
              <w:t>Published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RIB-001.3EPD4</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10011217.6</w:t>
            </w:r>
          </w:p>
        </w:tc>
        <w:tc>
          <w:tcPr>
            <w:tcW w:w="140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8"/>
              </w:rPr>
              <w:t>Published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RIB-001.3ES1</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Spain</w:t>
            </w:r>
          </w:p>
        </w:tc>
        <w:tc>
          <w:tcPr>
            <w:tcW w:w="156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ES2243608</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RIB-001.3ES2</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Spain</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5"/>
              </w:rPr>
              <w:t>RIB-001.3FI1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Finland</w:t>
            </w:r>
          </w:p>
        </w:tc>
        <w:tc>
          <w:tcPr>
            <w:tcW w:w="156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400" w:type="dxa"/>
            <w:vAlign w:val="bottom"/>
          </w:tcPr>
          <w:p>
            <w:pPr>
              <w:ind w:left="160"/>
              <w:spacing w:after="0"/>
              <w:rPr>
                <w:sz w:val="20"/>
                <w:szCs w:val="20"/>
                <w:color w:val="auto"/>
              </w:rPr>
            </w:pPr>
            <w:r>
              <w:rPr>
                <w:rFonts w:ascii="Arial" w:cs="Arial" w:eastAsia="Arial" w:hAnsi="Arial"/>
                <w:sz w:val="18"/>
                <w:szCs w:val="18"/>
                <w:color w:val="auto"/>
                <w:w w:val="96"/>
              </w:rPr>
              <w:t>EP 1214945 B1</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5"/>
              </w:rPr>
              <w:t>RIB-001.3FI2</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Finland</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RIB-001.3FR1</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156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400" w:type="dxa"/>
            <w:vAlign w:val="bottom"/>
          </w:tcPr>
          <w:p>
            <w:pPr>
              <w:ind w:left="140"/>
              <w:spacing w:after="0"/>
              <w:rPr>
                <w:sz w:val="20"/>
                <w:szCs w:val="20"/>
                <w:color w:val="auto"/>
              </w:rPr>
            </w:pPr>
            <w:r>
              <w:rPr>
                <w:rFonts w:ascii="Arial" w:cs="Arial" w:eastAsia="Arial" w:hAnsi="Arial"/>
                <w:sz w:val="18"/>
                <w:szCs w:val="18"/>
                <w:color w:val="auto"/>
                <w:w w:val="98"/>
              </w:rPr>
              <w:t>EP 1214945 B1</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RIB-001.3FR2</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RIB-001.3GB1</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c>
          <w:tcPr>
            <w:tcW w:w="156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EP1214945</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RIB-001.3GB2</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RIB-001.3GR1</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Greece</w:t>
            </w:r>
          </w:p>
        </w:tc>
        <w:tc>
          <w:tcPr>
            <w:tcW w:w="156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3054579</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RIB-001.3GR2</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Greece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5"/>
              </w:rPr>
              <w:t>RIB-001.3IE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Ireland</w:t>
            </w:r>
          </w:p>
        </w:tc>
        <w:tc>
          <w:tcPr>
            <w:tcW w:w="1560" w:type="dxa"/>
            <w:vAlign w:val="bottom"/>
          </w:tcPr>
          <w:p>
            <w:pPr>
              <w:ind w:left="280"/>
              <w:spacing w:after="0"/>
              <w:rPr>
                <w:sz w:val="20"/>
                <w:szCs w:val="20"/>
                <w:color w:val="auto"/>
              </w:rPr>
            </w:pPr>
            <w:r>
              <w:rPr>
                <w:rFonts w:ascii="Arial" w:cs="Arial" w:eastAsia="Arial" w:hAnsi="Arial"/>
                <w:sz w:val="18"/>
                <w:szCs w:val="18"/>
                <w:color w:val="auto"/>
              </w:rPr>
              <w:t>EP 00910510</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1144623 B9</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0"/>
              </w:rPr>
              <w:t>Revoked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4"/>
              </w:rPr>
              <w:t>RIB-001.3IE1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Ireland</w:t>
            </w:r>
          </w:p>
        </w:tc>
        <w:tc>
          <w:tcPr>
            <w:tcW w:w="156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400" w:type="dxa"/>
            <w:vAlign w:val="bottom"/>
          </w:tcPr>
          <w:p>
            <w:pPr>
              <w:ind w:left="140"/>
              <w:spacing w:after="0"/>
              <w:rPr>
                <w:sz w:val="20"/>
                <w:szCs w:val="20"/>
                <w:color w:val="auto"/>
              </w:rPr>
            </w:pPr>
            <w:r>
              <w:rPr>
                <w:rFonts w:ascii="Arial" w:cs="Arial" w:eastAsia="Arial" w:hAnsi="Arial"/>
                <w:sz w:val="18"/>
                <w:szCs w:val="18"/>
                <w:color w:val="auto"/>
                <w:w w:val="98"/>
              </w:rPr>
              <w:t>EP 1214945 B1</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4"/>
              </w:rPr>
              <w:t>RIB-001.3IE2</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Ireland</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5"/>
              </w:rPr>
              <w:t>RIB-001.3IT1</w:t>
            </w:r>
          </w:p>
        </w:tc>
        <w:tc>
          <w:tcPr>
            <w:tcW w:w="1380" w:type="dxa"/>
            <w:vAlign w:val="bottom"/>
          </w:tcPr>
          <w:p>
            <w:pPr>
              <w:jc w:val="center"/>
              <w:spacing w:after="0"/>
              <w:rPr>
                <w:sz w:val="20"/>
                <w:szCs w:val="20"/>
                <w:color w:val="auto"/>
              </w:rPr>
            </w:pPr>
            <w:r>
              <w:rPr>
                <w:rFonts w:ascii="Arial" w:cs="Arial" w:eastAsia="Arial" w:hAnsi="Arial"/>
                <w:sz w:val="18"/>
                <w:szCs w:val="18"/>
                <w:color w:val="auto"/>
                <w:w w:val="96"/>
              </w:rPr>
              <w:t>Italy</w:t>
            </w:r>
          </w:p>
        </w:tc>
        <w:tc>
          <w:tcPr>
            <w:tcW w:w="156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400" w:type="dxa"/>
            <w:vAlign w:val="bottom"/>
          </w:tcPr>
          <w:p>
            <w:pPr>
              <w:ind w:left="140"/>
              <w:spacing w:after="0"/>
              <w:rPr>
                <w:sz w:val="20"/>
                <w:szCs w:val="20"/>
                <w:color w:val="auto"/>
              </w:rPr>
            </w:pPr>
            <w:r>
              <w:rPr>
                <w:rFonts w:ascii="Arial" w:cs="Arial" w:eastAsia="Arial" w:hAnsi="Arial"/>
                <w:sz w:val="18"/>
                <w:szCs w:val="18"/>
                <w:color w:val="auto"/>
                <w:w w:val="98"/>
              </w:rPr>
              <w:t>EP 1214945 B1</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5"/>
              </w:rPr>
              <w:t>RIB-001.3IT2</w:t>
            </w:r>
          </w:p>
        </w:tc>
        <w:tc>
          <w:tcPr>
            <w:tcW w:w="1380" w:type="dxa"/>
            <w:vAlign w:val="bottom"/>
          </w:tcPr>
          <w:p>
            <w:pPr>
              <w:jc w:val="center"/>
              <w:spacing w:after="0"/>
              <w:rPr>
                <w:sz w:val="20"/>
                <w:szCs w:val="20"/>
                <w:color w:val="auto"/>
              </w:rPr>
            </w:pPr>
            <w:r>
              <w:rPr>
                <w:rFonts w:ascii="Arial" w:cs="Arial" w:eastAsia="Arial" w:hAnsi="Arial"/>
                <w:sz w:val="18"/>
                <w:szCs w:val="18"/>
                <w:color w:val="auto"/>
                <w:w w:val="96"/>
              </w:rPr>
              <w:t>Italy</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RIB-001.3JPD10</w:t>
            </w:r>
          </w:p>
        </w:tc>
        <w:tc>
          <w:tcPr>
            <w:tcW w:w="138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2009-285706</w:t>
            </w:r>
          </w:p>
        </w:tc>
        <w:tc>
          <w:tcPr>
            <w:tcW w:w="140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8"/>
              </w:rPr>
              <w:t>Published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RIB-001.3JPD3</w:t>
            </w:r>
          </w:p>
        </w:tc>
        <w:tc>
          <w:tcPr>
            <w:tcW w:w="138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2007-186341</w:t>
            </w:r>
          </w:p>
        </w:tc>
        <w:tc>
          <w:tcPr>
            <w:tcW w:w="140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1"/>
              </w:rPr>
              <w:t>Appealed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RIB-001.3JPD4</w:t>
            </w:r>
          </w:p>
        </w:tc>
        <w:tc>
          <w:tcPr>
            <w:tcW w:w="138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2007-186340</w:t>
            </w:r>
          </w:p>
        </w:tc>
        <w:tc>
          <w:tcPr>
            <w:tcW w:w="140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1"/>
              </w:rPr>
              <w:t>Appealed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30"/>
        </w:trPr>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bl>
    <w:p>
      <w:pPr>
        <w:sectPr>
          <w:pgSz w:w="11900" w:h="16838" w:orient="portrait"/>
          <w:cols w:equalWidth="0" w:num="1">
            <w:col w:w="11060"/>
          </w:cols>
          <w:pgMar w:left="260" w:top="341" w:right="57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jc w:val="center"/>
              <w:ind w:right="10"/>
              <w:spacing w:after="0"/>
              <w:rPr>
                <w:sz w:val="20"/>
                <w:szCs w:val="20"/>
                <w:color w:val="auto"/>
              </w:rPr>
            </w:pPr>
            <w:r>
              <w:rPr>
                <w:rFonts w:ascii="Arial" w:cs="Arial" w:eastAsia="Arial" w:hAnsi="Arial"/>
                <w:sz w:val="18"/>
                <w:szCs w:val="18"/>
                <w:color w:val="auto"/>
                <w:w w:val="92"/>
              </w:rPr>
              <w:t>RIB-001.3JPD5</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2007-186339</w:t>
            </w:r>
          </w:p>
        </w:tc>
        <w:tc>
          <w:tcPr>
            <w:tcW w:w="1380" w:type="dxa"/>
            <w:vAlign w:val="bottom"/>
          </w:tcPr>
          <w:p>
            <w:pPr>
              <w:spacing w:after="0"/>
              <w:rPr>
                <w:sz w:val="18"/>
                <w:szCs w:val="18"/>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ExamReq</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ind w:right="10"/>
              <w:spacing w:after="0"/>
              <w:rPr>
                <w:sz w:val="20"/>
                <w:szCs w:val="20"/>
                <w:color w:val="auto"/>
              </w:rPr>
            </w:pPr>
            <w:r>
              <w:rPr>
                <w:rFonts w:ascii="Arial" w:cs="Arial" w:eastAsia="Arial" w:hAnsi="Arial"/>
                <w:sz w:val="18"/>
                <w:szCs w:val="18"/>
                <w:color w:val="auto"/>
                <w:w w:val="92"/>
              </w:rPr>
              <w:t>RIB-001.3JPD7</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2009-002825</w:t>
            </w:r>
          </w:p>
        </w:tc>
        <w:tc>
          <w:tcPr>
            <w:tcW w:w="1380" w:type="dxa"/>
            <w:vAlign w:val="bottom"/>
          </w:tcPr>
          <w:p>
            <w:pPr>
              <w:spacing w:after="0"/>
              <w:rPr>
                <w:sz w:val="18"/>
                <w:szCs w:val="18"/>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Published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ind w:right="10"/>
              <w:spacing w:after="0"/>
              <w:rPr>
                <w:sz w:val="20"/>
                <w:szCs w:val="20"/>
                <w:color w:val="auto"/>
              </w:rPr>
            </w:pPr>
            <w:r>
              <w:rPr>
                <w:rFonts w:ascii="Arial" w:cs="Arial" w:eastAsia="Arial" w:hAnsi="Arial"/>
                <w:sz w:val="18"/>
                <w:szCs w:val="18"/>
                <w:color w:val="auto"/>
                <w:w w:val="92"/>
              </w:rPr>
              <w:t>RIB-001.3JPD9</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2009-285705</w:t>
            </w:r>
          </w:p>
        </w:tc>
        <w:tc>
          <w:tcPr>
            <w:tcW w:w="1380" w:type="dxa"/>
            <w:vAlign w:val="bottom"/>
          </w:tcPr>
          <w:p>
            <w:pPr>
              <w:spacing w:after="0"/>
              <w:rPr>
                <w:sz w:val="18"/>
                <w:szCs w:val="18"/>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Published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6"/>
              </w:rPr>
              <w:t>RIB-001.3LI1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Liechtenstein</w:t>
            </w:r>
          </w:p>
        </w:tc>
        <w:tc>
          <w:tcPr>
            <w:tcW w:w="1600" w:type="dxa"/>
            <w:vAlign w:val="bottom"/>
          </w:tcPr>
          <w:p>
            <w:pPr>
              <w:ind w:left="32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6"/>
              </w:rPr>
              <w:t>RIB-001.3LI2</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Liechtenstein</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6"/>
              </w:rPr>
              <w:t>RIB-001.3LU1</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1600" w:type="dxa"/>
            <w:vAlign w:val="bottom"/>
          </w:tcPr>
          <w:p>
            <w:pPr>
              <w:ind w:left="32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6"/>
              </w:rPr>
              <w:t>RIB-001.3LU2</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5"/>
              </w:rPr>
              <w:t>RIB-001.3MC1</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Monaco</w:t>
            </w:r>
          </w:p>
        </w:tc>
        <w:tc>
          <w:tcPr>
            <w:tcW w:w="1600" w:type="dxa"/>
            <w:vAlign w:val="bottom"/>
          </w:tcPr>
          <w:p>
            <w:pPr>
              <w:ind w:left="32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5"/>
              </w:rPr>
              <w:t>RIB-001.3MC2</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Monaco</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6"/>
              </w:rPr>
              <w:t>RIB-001.3NL1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Netherlands</w:t>
            </w:r>
          </w:p>
        </w:tc>
        <w:tc>
          <w:tcPr>
            <w:tcW w:w="1600" w:type="dxa"/>
            <w:vAlign w:val="bottom"/>
          </w:tcPr>
          <w:p>
            <w:pPr>
              <w:ind w:left="32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6"/>
              </w:rPr>
              <w:t>RIB-001.3NL2</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Netherlands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2"/>
              </w:rPr>
              <w:t>RIB-001.3PT1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Portugal</w:t>
            </w:r>
          </w:p>
        </w:tc>
        <w:tc>
          <w:tcPr>
            <w:tcW w:w="1600" w:type="dxa"/>
            <w:vAlign w:val="bottom"/>
          </w:tcPr>
          <w:p>
            <w:pPr>
              <w:ind w:left="32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2"/>
              </w:rPr>
              <w:t>RIB-001.3PT2</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Portugal</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2"/>
              </w:rPr>
              <w:t>RIB-001.3SE1</w:t>
            </w: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Sweden</w:t>
            </w:r>
          </w:p>
        </w:tc>
        <w:tc>
          <w:tcPr>
            <w:tcW w:w="1600" w:type="dxa"/>
            <w:vAlign w:val="bottom"/>
          </w:tcPr>
          <w:p>
            <w:pPr>
              <w:ind w:left="32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w w:val="97"/>
              </w:rPr>
              <w:t>GrantedInOp 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2"/>
              </w:rPr>
              <w:t>RIB-001.3SE2</w:t>
            </w: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Sweden</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EP1550719</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3"/>
              </w:rPr>
              <w:t>RIB-001.3USCON1</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11/982325</w:t>
            </w:r>
          </w:p>
        </w:tc>
        <w:tc>
          <w:tcPr>
            <w:tcW w:w="1380" w:type="dxa"/>
            <w:vAlign w:val="bottom"/>
          </w:tcPr>
          <w:p>
            <w:pPr>
              <w:spacing w:after="0"/>
              <w:rPr>
                <w:sz w:val="18"/>
                <w:szCs w:val="18"/>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Published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3"/>
              </w:rPr>
              <w:t>RIB-001.3USCON2</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11/982305</w:t>
            </w:r>
          </w:p>
        </w:tc>
        <w:tc>
          <w:tcPr>
            <w:tcW w:w="138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8"/>
              </w:rPr>
              <w:t>Allowed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3"/>
              </w:rPr>
              <w:t>RIB-001.3USCON3</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11/982425</w:t>
            </w:r>
          </w:p>
        </w:tc>
        <w:tc>
          <w:tcPr>
            <w:tcW w:w="138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8"/>
              </w:rPr>
              <w:t>Allowed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3"/>
              </w:rPr>
              <w:t>RIB-001.3USCON4</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11/982441</w:t>
            </w:r>
          </w:p>
        </w:tc>
        <w:tc>
          <w:tcPr>
            <w:tcW w:w="138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8"/>
              </w:rPr>
              <w:t>Allowed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3"/>
              </w:rPr>
              <w:t>RIB-001.3USCON5</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11/982345</w:t>
            </w:r>
          </w:p>
        </w:tc>
        <w:tc>
          <w:tcPr>
            <w:tcW w:w="1380" w:type="dxa"/>
            <w:vAlign w:val="bottom"/>
          </w:tcPr>
          <w:p>
            <w:pPr>
              <w:spacing w:after="0"/>
              <w:rPr>
                <w:sz w:val="18"/>
                <w:szCs w:val="18"/>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Published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3"/>
              </w:rPr>
              <w:t>RIB-001.3USCON6</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11/982434</w:t>
            </w:r>
          </w:p>
        </w:tc>
        <w:tc>
          <w:tcPr>
            <w:tcW w:w="138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8"/>
              </w:rPr>
              <w:t>Allowed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4"/>
              </w:rPr>
              <w:t>RIB-001.3USD1</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10/382395</w:t>
            </w:r>
          </w:p>
        </w:tc>
        <w:tc>
          <w:tcPr>
            <w:tcW w:w="138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8"/>
              </w:rPr>
              <w:t>Allowed</w:t>
            </w:r>
          </w:p>
        </w:tc>
        <w:tc>
          <w:tcPr>
            <w:tcW w:w="4400" w:type="dxa"/>
            <w:vAlign w:val="bottom"/>
          </w:tcPr>
          <w:p>
            <w:pPr>
              <w:ind w:left="100"/>
              <w:spacing w:after="0"/>
              <w:rPr>
                <w:sz w:val="20"/>
                <w:szCs w:val="20"/>
                <w:color w:val="auto"/>
              </w:rPr>
            </w:pPr>
            <w:r>
              <w:rPr>
                <w:rFonts w:ascii="Arial" w:cs="Arial" w:eastAsia="Arial" w:hAnsi="Arial"/>
                <w:sz w:val="18"/>
                <w:szCs w:val="18"/>
                <w:color w:val="auto"/>
                <w:w w:val="99"/>
              </w:rPr>
              <w:t>METHOD AND MEDICAMENT FOR INHIBITION THE</w:t>
            </w:r>
          </w:p>
        </w:tc>
      </w:tr>
      <w:tr>
        <w:trPr>
          <w:trHeight w:val="230"/>
        </w:trPr>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bl>
    <w:p>
      <w:pPr>
        <w:sectPr>
          <w:pgSz w:w="11900" w:h="16838" w:orient="portrait"/>
          <w:cols w:equalWidth="0" w:num="1">
            <w:col w:w="11180"/>
          </w:cols>
          <w:pgMar w:left="260" w:top="341" w:right="45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4"/>
              </w:rPr>
              <w:t>RIB-001.3USD2</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10/383099</w:t>
            </w:r>
          </w:p>
        </w:tc>
        <w:tc>
          <w:tcPr>
            <w:tcW w:w="144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8"/>
              </w:rPr>
              <w:t>Allowed</w:t>
            </w:r>
          </w:p>
        </w:tc>
        <w:tc>
          <w:tcPr>
            <w:tcW w:w="4760" w:type="dxa"/>
            <w:vAlign w:val="bottom"/>
          </w:tcPr>
          <w:p>
            <w:pPr>
              <w:ind w:left="100"/>
              <w:spacing w:after="0"/>
              <w:rPr>
                <w:sz w:val="20"/>
                <w:szCs w:val="20"/>
                <w:color w:val="auto"/>
              </w:rPr>
            </w:pPr>
            <w:r>
              <w:rPr>
                <w:rFonts w:ascii="Arial" w:cs="Arial" w:eastAsia="Arial" w:hAnsi="Arial"/>
                <w:sz w:val="18"/>
                <w:szCs w:val="18"/>
                <w:color w:val="auto"/>
              </w:rPr>
              <w:t>METHOD AND MEDICAMENT FOR INHIBITION THE</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4"/>
              </w:rPr>
              <w:t>RIB-001.3USD3</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10/382768</w:t>
            </w:r>
          </w:p>
        </w:tc>
        <w:tc>
          <w:tcPr>
            <w:tcW w:w="144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8"/>
              </w:rPr>
              <w:t>Allowed</w:t>
            </w:r>
          </w:p>
        </w:tc>
        <w:tc>
          <w:tcPr>
            <w:tcW w:w="4760" w:type="dxa"/>
            <w:vAlign w:val="bottom"/>
          </w:tcPr>
          <w:p>
            <w:pPr>
              <w:ind w:left="100"/>
              <w:spacing w:after="0"/>
              <w:rPr>
                <w:sz w:val="20"/>
                <w:szCs w:val="20"/>
                <w:color w:val="auto"/>
              </w:rPr>
            </w:pPr>
            <w:r>
              <w:rPr>
                <w:rFonts w:ascii="Arial" w:cs="Arial" w:eastAsia="Arial" w:hAnsi="Arial"/>
                <w:sz w:val="18"/>
                <w:szCs w:val="18"/>
                <w:color w:val="auto"/>
              </w:rPr>
              <w:t>METHOD AND MEDICAMENT FOR INHIBITION THE</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4"/>
              </w:rPr>
              <w:t>RIB-001.3USD4</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10/612179</w:t>
            </w:r>
          </w:p>
        </w:tc>
        <w:tc>
          <w:tcPr>
            <w:tcW w:w="144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8"/>
              </w:rPr>
              <w:t>Published</w:t>
            </w:r>
          </w:p>
        </w:tc>
        <w:tc>
          <w:tcPr>
            <w:tcW w:w="4760" w:type="dxa"/>
            <w:vAlign w:val="bottom"/>
          </w:tcPr>
          <w:p>
            <w:pPr>
              <w:ind w:left="100"/>
              <w:spacing w:after="0"/>
              <w:rPr>
                <w:sz w:val="20"/>
                <w:szCs w:val="20"/>
                <w:color w:val="auto"/>
              </w:rPr>
            </w:pPr>
            <w:r>
              <w:rPr>
                <w:rFonts w:ascii="Arial" w:cs="Arial" w:eastAsia="Arial" w:hAnsi="Arial"/>
                <w:sz w:val="18"/>
                <w:szCs w:val="18"/>
                <w:color w:val="auto"/>
              </w:rPr>
              <w:t>METHOD AND MEDICAMENT FOR INHIBITION THE</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4"/>
              </w:rPr>
              <w:t>RIB-001.3WO</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PCT/DE00/00244</w:t>
            </w:r>
          </w:p>
        </w:tc>
        <w:tc>
          <w:tcPr>
            <w:tcW w:w="1440" w:type="dxa"/>
            <w:vAlign w:val="bottom"/>
          </w:tcPr>
          <w:p>
            <w:pPr>
              <w:spacing w:after="0"/>
              <w:rPr>
                <w:sz w:val="18"/>
                <w:szCs w:val="18"/>
                <w:color w:val="auto"/>
              </w:rPr>
            </w:pPr>
          </w:p>
        </w:tc>
        <w:tc>
          <w:tcPr>
            <w:tcW w:w="5780" w:type="dxa"/>
            <w:vAlign w:val="bottom"/>
            <w:gridSpan w:val="2"/>
          </w:tcPr>
          <w:p>
            <w:pPr>
              <w:ind w:left="80"/>
              <w:spacing w:after="0"/>
              <w:rPr>
                <w:sz w:val="20"/>
                <w:szCs w:val="20"/>
                <w:color w:val="auto"/>
              </w:rPr>
            </w:pPr>
            <w:r>
              <w:rPr>
                <w:rFonts w:ascii="Arial" w:cs="Arial" w:eastAsia="Arial" w:hAnsi="Arial"/>
                <w:sz w:val="18"/>
                <w:szCs w:val="18"/>
                <w:color w:val="auto"/>
              </w:rPr>
              <w:t>CompletedNt METHOD AND MEDICAMENT FOR INHIBITION THE</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7"/>
              </w:rPr>
              <w:t>RIB-001.3ZA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South Africa</w:t>
            </w:r>
          </w:p>
        </w:tc>
        <w:tc>
          <w:tcPr>
            <w:tcW w:w="1540" w:type="dxa"/>
            <w:vAlign w:val="bottom"/>
          </w:tcPr>
          <w:p>
            <w:pPr>
              <w:ind w:left="260"/>
              <w:spacing w:after="0"/>
              <w:rPr>
                <w:sz w:val="20"/>
                <w:szCs w:val="20"/>
                <w:color w:val="auto"/>
              </w:rPr>
            </w:pPr>
            <w:r>
              <w:rPr>
                <w:rFonts w:ascii="Arial" w:cs="Arial" w:eastAsia="Arial" w:hAnsi="Arial"/>
                <w:sz w:val="18"/>
                <w:szCs w:val="18"/>
                <w:color w:val="auto"/>
              </w:rPr>
              <w:t>ZA 20015909</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2001/5909</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9"/>
              </w:rPr>
              <w:t>Granted</w:t>
            </w:r>
          </w:p>
        </w:tc>
        <w:tc>
          <w:tcPr>
            <w:tcW w:w="4760" w:type="dxa"/>
            <w:vAlign w:val="bottom"/>
          </w:tcPr>
          <w:p>
            <w:pPr>
              <w:ind w:left="100"/>
              <w:spacing w:after="0"/>
              <w:rPr>
                <w:sz w:val="20"/>
                <w:szCs w:val="20"/>
                <w:color w:val="auto"/>
              </w:rPr>
            </w:pPr>
            <w:r>
              <w:rPr>
                <w:rFonts w:ascii="Arial" w:cs="Arial" w:eastAsia="Arial" w:hAnsi="Arial"/>
                <w:sz w:val="18"/>
                <w:szCs w:val="18"/>
                <w:color w:val="auto"/>
              </w:rPr>
              <w:t>METHOD AND MEDICAMENT FOR INHIBITION THE</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6"/>
              </w:rPr>
              <w:t>RIB-002.1DE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10100586.5-09</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DE10100586 C1</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9"/>
              </w:rPr>
              <w:t>Granted</w:t>
            </w:r>
          </w:p>
        </w:tc>
        <w:tc>
          <w:tcPr>
            <w:tcW w:w="4760" w:type="dxa"/>
            <w:vAlign w:val="bottom"/>
          </w:tcPr>
          <w:p>
            <w:pPr>
              <w:ind w:left="100"/>
              <w:spacing w:after="0"/>
              <w:rPr>
                <w:sz w:val="20"/>
                <w:szCs w:val="20"/>
                <w:color w:val="auto"/>
              </w:rPr>
            </w:pPr>
            <w:r>
              <w:rPr>
                <w:rFonts w:ascii="Arial" w:cs="Arial" w:eastAsia="Arial" w:hAnsi="Arial"/>
                <w:sz w:val="18"/>
                <w:szCs w:val="18"/>
                <w:color w:val="auto"/>
                <w:w w:val="96"/>
              </w:rPr>
              <w:t>INHIBITING GENE EXPRESSION IN CELLS, USEFUL FOR</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w w:val="99"/>
              </w:rPr>
              <w:t>e.g., TREATING TUMORS, BY INTRODUCING DOUBLE-</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STRANDED COMPLEMENTARY OLIGORNA HAVING</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6"/>
              </w:rPr>
              <w:t>RIB-002.4</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12/894018</w:t>
            </w:r>
          </w:p>
        </w:tc>
        <w:tc>
          <w:tcPr>
            <w:tcW w:w="144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8"/>
              </w:rPr>
              <w:t>Published</w:t>
            </w:r>
          </w:p>
        </w:tc>
        <w:tc>
          <w:tcPr>
            <w:tcW w:w="476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4"/>
              </w:rPr>
              <w:t>RIB-002.4AT</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Austria</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02710786.1</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E328.075</w:t>
            </w: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GrantedInOp 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6"/>
              </w:rPr>
              <w:t>RIB-002.4AU</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2002229701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2002229701</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9"/>
              </w:rPr>
              <w:t>Granted</w:t>
            </w:r>
          </w:p>
        </w:tc>
        <w:tc>
          <w:tcPr>
            <w:tcW w:w="476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RIB-002.4CH</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02710786.1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1352061</w:t>
            </w: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GrantedInOp 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6"/>
              </w:rPr>
              <w:t>RIB-002.4CY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Cyprus</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02710786.1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1352061</w:t>
            </w: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GrantedInOp 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6"/>
              </w:rPr>
              <w:t>RIB-002.4DE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50206993.7-08</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1352061</w:t>
            </w: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GrantedInOp 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3"/>
              </w:rPr>
              <w:t>RIB-002.4EP</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02710786.1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1352061</w:t>
            </w: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GrantedInOp 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RIB-002.4GB</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540" w:type="dxa"/>
            <w:vAlign w:val="bottom"/>
          </w:tcPr>
          <w:p>
            <w:pPr>
              <w:ind w:left="280"/>
              <w:spacing w:after="0"/>
              <w:rPr>
                <w:sz w:val="20"/>
                <w:szCs w:val="20"/>
                <w:color w:val="auto"/>
              </w:rPr>
            </w:pPr>
            <w:r>
              <w:rPr>
                <w:rFonts w:ascii="Arial" w:cs="Arial" w:eastAsia="Arial" w:hAnsi="Arial"/>
                <w:sz w:val="18"/>
                <w:szCs w:val="18"/>
                <w:color w:val="auto"/>
              </w:rPr>
              <w:t>EP 02710786</w:t>
            </w:r>
          </w:p>
        </w:tc>
        <w:tc>
          <w:tcPr>
            <w:tcW w:w="1440" w:type="dxa"/>
            <w:vAlign w:val="bottom"/>
          </w:tcPr>
          <w:p>
            <w:pPr>
              <w:ind w:left="300"/>
              <w:spacing w:after="0"/>
              <w:rPr>
                <w:sz w:val="20"/>
                <w:szCs w:val="20"/>
                <w:color w:val="auto"/>
              </w:rPr>
            </w:pPr>
            <w:r>
              <w:rPr>
                <w:rFonts w:ascii="Arial" w:cs="Arial" w:eastAsia="Arial" w:hAnsi="Arial"/>
                <w:sz w:val="18"/>
                <w:szCs w:val="18"/>
                <w:color w:val="auto"/>
              </w:rPr>
              <w:t>EP 1352061</w:t>
            </w: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GrantedInOp 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RIB-002.4IE</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02710786.1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1352061</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9"/>
              </w:rPr>
              <w:t>Granted</w:t>
            </w:r>
          </w:p>
        </w:tc>
        <w:tc>
          <w:tcPr>
            <w:tcW w:w="476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2"/>
              </w:rPr>
              <w:t>RIB-002.4JP</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2002-556740</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4210116</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9"/>
              </w:rPr>
              <w:t>Granted</w:t>
            </w:r>
          </w:p>
        </w:tc>
        <w:tc>
          <w:tcPr>
            <w:tcW w:w="476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RIB-002.4JPD1</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2002-556739</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4209678</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9"/>
              </w:rPr>
              <w:t>Granted</w:t>
            </w:r>
          </w:p>
        </w:tc>
        <w:tc>
          <w:tcPr>
            <w:tcW w:w="476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7"/>
              </w:rPr>
              <w:t>RIB-002.4LI</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Liechtenstein</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02710786.1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1352061</w:t>
            </w: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GrantedInOp 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7"/>
              </w:rPr>
              <w:t>RIB-002.4LU</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02710786.1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1352061</w:t>
            </w: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GrantedInOp 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3"/>
              </w:rPr>
              <w:t>RIB-002.4TR</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Turkey</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02710786.1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1352061</w:t>
            </w: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GrantedInOp COMPOSITIONS AND METHODS FOR INHIBITING</w:t>
            </w: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2"/>
              </w:rPr>
              <w:t>RIB-002.4US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10/384,339</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7,829,693</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6"/>
              </w:rPr>
              <w:t>Issued</w:t>
            </w:r>
          </w:p>
        </w:tc>
        <w:tc>
          <w:tcPr>
            <w:tcW w:w="476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30"/>
        </w:trPr>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bl>
    <w:p>
      <w:pPr>
        <w:sectPr>
          <w:pgSz w:w="11900" w:h="16838" w:orient="portrait"/>
          <w:cols w:equalWidth="0" w:num="1">
            <w:col w:w="11380"/>
          </w:cols>
          <w:pgMar w:left="260" w:top="341" w:right="25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4"/>
              </w:rPr>
              <w:t>RIB-002.4WO</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PCT/EP02/00152</w:t>
            </w:r>
          </w:p>
        </w:tc>
        <w:tc>
          <w:tcPr>
            <w:tcW w:w="1360" w:type="dxa"/>
            <w:vAlign w:val="bottom"/>
          </w:tcPr>
          <w:p>
            <w:pPr>
              <w:spacing w:after="0"/>
              <w:rPr>
                <w:sz w:val="18"/>
                <w:szCs w:val="18"/>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CompletedNt COMPOSITIONS AND METHODS FOR INHIBITING</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4"/>
              </w:rPr>
              <w:t>RIB-006.1DE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02702247.4-</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50214866.9-08</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98"/>
              </w:rPr>
              <w:t>Allowed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2405/1349</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3"/>
              </w:rPr>
              <w:t>RIB-006.1EP</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02702247.4</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EP1349927</w:t>
            </w: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GrantedInOp 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3"/>
              </w:rPr>
              <w:t>RIB-006.1EPD1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10002422.3</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7"/>
              </w:rPr>
              <w:t>Pending</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3"/>
              </w:rPr>
              <w:t>RIB-006.1EPD2</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10011812.4</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3"/>
              </w:rPr>
              <w:t>RIB-006.1ES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02702247</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ES2204360</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9"/>
              </w:rPr>
              <w:t>Granted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3"/>
              </w:rPr>
              <w:t>RIB-006.1FR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1540" w:type="dxa"/>
            <w:vAlign w:val="bottom"/>
          </w:tcPr>
          <w:p>
            <w:pPr>
              <w:ind w:left="260"/>
              <w:spacing w:after="0"/>
              <w:rPr>
                <w:sz w:val="20"/>
                <w:szCs w:val="20"/>
                <w:color w:val="auto"/>
              </w:rPr>
            </w:pPr>
            <w:r>
              <w:rPr>
                <w:rFonts w:ascii="Arial" w:cs="Arial" w:eastAsia="Arial" w:hAnsi="Arial"/>
                <w:sz w:val="18"/>
                <w:szCs w:val="18"/>
                <w:color w:val="auto"/>
              </w:rPr>
              <w:t>EP 02702247</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EP1349927</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9"/>
              </w:rPr>
              <w:t>Granted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5"/>
              </w:rPr>
              <w:t>RIB-006.1GB</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02702247.4-</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EP1349927</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9"/>
              </w:rPr>
              <w:t>Granted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2405/1349</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6"/>
              </w:rPr>
              <w:t>RIB-006.1HKD1</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Hong Kong</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11100629.6</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6"/>
              </w:rPr>
              <w:t>RIB-006.1HKD2</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Hong Kong</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11111936.1</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7"/>
              </w:rPr>
              <w:t>Pending</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6"/>
              </w:rPr>
              <w:t>RIB-006.1NL</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1540" w:type="dxa"/>
            <w:vAlign w:val="bottom"/>
          </w:tcPr>
          <w:p>
            <w:pPr>
              <w:ind w:left="260"/>
              <w:spacing w:after="0"/>
              <w:rPr>
                <w:sz w:val="20"/>
                <w:szCs w:val="20"/>
                <w:color w:val="auto"/>
              </w:rPr>
            </w:pPr>
            <w:r>
              <w:rPr>
                <w:rFonts w:ascii="Arial" w:cs="Arial" w:eastAsia="Arial" w:hAnsi="Arial"/>
                <w:sz w:val="18"/>
                <w:szCs w:val="18"/>
                <w:color w:val="auto"/>
              </w:rPr>
              <w:t>EP 02702247</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EP1349927</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9"/>
              </w:rPr>
              <w:t>Granted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4"/>
              </w:rPr>
              <w:t>RIB-006.1WO</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PCT/EP02/00151</w:t>
            </w:r>
          </w:p>
        </w:tc>
        <w:tc>
          <w:tcPr>
            <w:tcW w:w="1360" w:type="dxa"/>
            <w:vAlign w:val="bottom"/>
          </w:tcPr>
          <w:p>
            <w:pPr>
              <w:spacing w:after="0"/>
              <w:rPr>
                <w:sz w:val="18"/>
                <w:szCs w:val="18"/>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CompletedNt METHOD FOR INHIBITING THE EXPRESSION OF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4"/>
              </w:rPr>
              <w:t>RIB-006.2US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10/384,260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7,473,525</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6"/>
              </w:rPr>
              <w:t>Issued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4"/>
              </w:rPr>
              <w:t>RIB-006.2US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12/276,270</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7"/>
              </w:rPr>
              <w:t>Pending</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6"/>
              </w:rPr>
              <w:t>RIB-006.4AU</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2005284729</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98"/>
              </w:rPr>
              <w:t>Allowed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6"/>
              </w:rPr>
              <w:t>RIB-006.4CA</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2580560</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3"/>
              </w:rPr>
              <w:t>RIB-006.4EP</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05797892.6</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3"/>
              </w:rPr>
              <w:t>RIB-006.4EPD1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11004902.0</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6"/>
              </w:rPr>
              <w:t>RIB-006.4HK</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Hong Kong</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07114036.0</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4"/>
              </w:rPr>
              <w:t>RIB-006.4US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10/941663</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7767802</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6"/>
              </w:rPr>
              <w:t>Issued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3"/>
              </w:rPr>
              <w:t>RIB-006.4USCIP2</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11/229183</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7423142</w:t>
            </w: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86"/>
              </w:rPr>
              <w:t>Issued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3"/>
              </w:rPr>
              <w:t>RIB-006.4USCON2</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12/961337</w:t>
            </w:r>
          </w:p>
        </w:tc>
        <w:tc>
          <w:tcPr>
            <w:tcW w:w="136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color w:val="auto"/>
                <w:w w:val="98"/>
              </w:rPr>
              <w:t>Allowed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30"/>
        </w:trPr>
        <w:tc>
          <w:tcPr>
            <w:tcW w:w="1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bl>
    <w:p>
      <w:pPr>
        <w:sectPr>
          <w:pgSz w:w="11900" w:h="16838" w:orient="portrait"/>
          <w:cols w:equalWidth="0" w:num="1">
            <w:col w:w="11320"/>
          </w:cols>
          <w:pgMar w:left="260" w:top="341" w:right="31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RIB-006.4USD1</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12/175,938</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7,868,160</w:t>
            </w: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6"/>
              </w:rPr>
              <w:t>Issued</w:t>
            </w:r>
          </w:p>
        </w:tc>
        <w:tc>
          <w:tcPr>
            <w:tcW w:w="45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RIB-006.4WO</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PCT</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PCT/US2005/033 309</w:t>
            </w:r>
          </w:p>
        </w:tc>
        <w:tc>
          <w:tcPr>
            <w:tcW w:w="1220" w:type="dxa"/>
            <w:vAlign w:val="bottom"/>
          </w:tcPr>
          <w:p>
            <w:pPr>
              <w:spacing w:after="0"/>
              <w:rPr>
                <w:sz w:val="18"/>
                <w:szCs w:val="18"/>
                <w:color w:val="auto"/>
              </w:rPr>
            </w:pPr>
          </w:p>
        </w:tc>
        <w:tc>
          <w:tcPr>
            <w:tcW w:w="5660" w:type="dxa"/>
            <w:vAlign w:val="bottom"/>
            <w:gridSpan w:val="2"/>
          </w:tcPr>
          <w:p>
            <w:pPr>
              <w:ind w:left="140"/>
              <w:spacing w:after="0"/>
              <w:rPr>
                <w:sz w:val="20"/>
                <w:szCs w:val="20"/>
                <w:color w:val="auto"/>
              </w:rPr>
            </w:pPr>
            <w:r>
              <w:rPr>
                <w:rFonts w:ascii="Arial" w:cs="Arial" w:eastAsia="Arial" w:hAnsi="Arial"/>
                <w:sz w:val="18"/>
                <w:szCs w:val="18"/>
                <w:color w:val="auto"/>
              </w:rPr>
              <w:t>CompletedNt COMPOSITIONS AND METHODS FOR INHIBITING</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620" w:type="dxa"/>
            <w:vAlign w:val="bottom"/>
          </w:tcPr>
          <w:p>
            <w:pPr>
              <w:jc w:val="center"/>
              <w:ind w:right="90"/>
              <w:spacing w:after="0"/>
              <w:rPr>
                <w:sz w:val="20"/>
                <w:szCs w:val="20"/>
                <w:color w:val="auto"/>
              </w:rPr>
            </w:pPr>
            <w:r>
              <w:rPr>
                <w:rFonts w:ascii="Arial" w:cs="Arial" w:eastAsia="Arial" w:hAnsi="Arial"/>
                <w:sz w:val="18"/>
                <w:szCs w:val="18"/>
                <w:color w:val="auto"/>
                <w:w w:val="94"/>
              </w:rPr>
              <w:t>RIB-008.2DE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Germany</w:t>
            </w:r>
          </w:p>
        </w:tc>
        <w:tc>
          <w:tcPr>
            <w:tcW w:w="1880" w:type="dxa"/>
            <w:vAlign w:val="bottom"/>
          </w:tcPr>
          <w:p>
            <w:pPr>
              <w:ind w:left="460"/>
              <w:spacing w:after="0"/>
              <w:rPr>
                <w:sz w:val="20"/>
                <w:szCs w:val="20"/>
                <w:color w:val="auto"/>
              </w:rPr>
            </w:pPr>
            <w:r>
              <w:rPr>
                <w:rFonts w:ascii="Arial" w:cs="Arial" w:eastAsia="Arial" w:hAnsi="Arial"/>
                <w:sz w:val="18"/>
                <w:szCs w:val="18"/>
                <w:color w:val="auto"/>
              </w:rPr>
              <w:t>DE 10163098</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DE10163098</w:t>
            </w: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9"/>
              </w:rPr>
              <w:t>Granted</w:t>
            </w:r>
          </w:p>
        </w:tc>
        <w:tc>
          <w:tcPr>
            <w:tcW w:w="4580" w:type="dxa"/>
            <w:vAlign w:val="bottom"/>
          </w:tcPr>
          <w:p>
            <w:pPr>
              <w:ind w:left="100"/>
              <w:spacing w:after="0"/>
              <w:rPr>
                <w:sz w:val="20"/>
                <w:szCs w:val="20"/>
                <w:color w:val="auto"/>
              </w:rPr>
            </w:pPr>
            <w:r>
              <w:rPr>
                <w:rFonts w:ascii="Arial" w:cs="Arial" w:eastAsia="Arial" w:hAnsi="Arial"/>
                <w:sz w:val="18"/>
                <w:szCs w:val="18"/>
                <w:color w:val="auto"/>
              </w:rPr>
              <w:t>METHOD FOR INHIBITING THE REPLICATION OF</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VIRUSES</w:t>
            </w:r>
          </w:p>
        </w:tc>
      </w:tr>
      <w:tr>
        <w:trPr>
          <w:trHeight w:val="216"/>
        </w:trPr>
        <w:tc>
          <w:tcPr>
            <w:tcW w:w="1620" w:type="dxa"/>
            <w:vAlign w:val="bottom"/>
          </w:tcPr>
          <w:p>
            <w:pPr>
              <w:jc w:val="center"/>
              <w:ind w:right="90"/>
              <w:spacing w:after="0"/>
              <w:rPr>
                <w:sz w:val="20"/>
                <w:szCs w:val="20"/>
                <w:color w:val="auto"/>
              </w:rPr>
            </w:pPr>
            <w:r>
              <w:rPr>
                <w:rFonts w:ascii="Arial" w:cs="Arial" w:eastAsia="Arial" w:hAnsi="Arial"/>
                <w:sz w:val="18"/>
                <w:szCs w:val="18"/>
                <w:color w:val="auto"/>
                <w:w w:val="94"/>
              </w:rPr>
              <w:t>RIB-008.3USCIP</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10/384,512</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7,348,314</w:t>
            </w: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6"/>
              </w:rPr>
              <w:t>Issued</w:t>
            </w:r>
          </w:p>
        </w:tc>
        <w:tc>
          <w:tcPr>
            <w:tcW w:w="4580" w:type="dxa"/>
            <w:vAlign w:val="bottom"/>
          </w:tcPr>
          <w:p>
            <w:pPr>
              <w:ind w:left="100"/>
              <w:spacing w:after="0"/>
              <w:rPr>
                <w:sz w:val="20"/>
                <w:szCs w:val="20"/>
                <w:color w:val="auto"/>
              </w:rPr>
            </w:pPr>
            <w:r>
              <w:rPr>
                <w:rFonts w:ascii="Arial" w:cs="Arial" w:eastAsia="Arial" w:hAnsi="Arial"/>
                <w:sz w:val="18"/>
                <w:szCs w:val="18"/>
                <w:color w:val="auto"/>
                <w:w w:val="97"/>
              </w:rPr>
              <w:t>METHOD TO INHIBIT THE REPLICATION OF VIRUSES</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RIB-008.3USCON</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11/959,936</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7,745,418</w:t>
            </w: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6"/>
              </w:rPr>
              <w:t>Issued</w:t>
            </w:r>
          </w:p>
        </w:tc>
        <w:tc>
          <w:tcPr>
            <w:tcW w:w="4580" w:type="dxa"/>
            <w:vAlign w:val="bottom"/>
          </w:tcPr>
          <w:p>
            <w:pPr>
              <w:ind w:left="100"/>
              <w:spacing w:after="0"/>
              <w:rPr>
                <w:sz w:val="20"/>
                <w:szCs w:val="20"/>
                <w:color w:val="auto"/>
              </w:rPr>
            </w:pPr>
            <w:r>
              <w:rPr>
                <w:rFonts w:ascii="Arial" w:cs="Arial" w:eastAsia="Arial" w:hAnsi="Arial"/>
                <w:sz w:val="18"/>
                <w:szCs w:val="18"/>
                <w:color w:val="auto"/>
                <w:w w:val="97"/>
              </w:rPr>
              <w:t>METHOD TO INHIBIT THE REPLICATION OF VIRUSES</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3"/>
              </w:rPr>
              <w:t>RIB-008.3USCON1</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12/631689</w:t>
            </w:r>
          </w:p>
        </w:tc>
        <w:tc>
          <w:tcPr>
            <w:tcW w:w="122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8"/>
              </w:rPr>
              <w:t>Published</w:t>
            </w:r>
          </w:p>
        </w:tc>
        <w:tc>
          <w:tcPr>
            <w:tcW w:w="4580" w:type="dxa"/>
            <w:vAlign w:val="bottom"/>
          </w:tcPr>
          <w:p>
            <w:pPr>
              <w:ind w:left="100"/>
              <w:spacing w:after="0"/>
              <w:rPr>
                <w:sz w:val="20"/>
                <w:szCs w:val="20"/>
                <w:color w:val="auto"/>
              </w:rPr>
            </w:pPr>
            <w:r>
              <w:rPr>
                <w:rFonts w:ascii="Arial" w:cs="Arial" w:eastAsia="Arial" w:hAnsi="Arial"/>
                <w:sz w:val="18"/>
                <w:szCs w:val="18"/>
                <w:color w:val="auto"/>
                <w:w w:val="97"/>
              </w:rPr>
              <w:t>METHOD TO INHIBIT THE REPLICATION OF VIRUSES</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RIB-011.2WO</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PCT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PCT/EP02/11973</w:t>
            </w:r>
          </w:p>
        </w:tc>
        <w:tc>
          <w:tcPr>
            <w:tcW w:w="1220" w:type="dxa"/>
            <w:vAlign w:val="bottom"/>
          </w:tcPr>
          <w:p>
            <w:pPr>
              <w:spacing w:after="0"/>
              <w:rPr>
                <w:sz w:val="18"/>
                <w:szCs w:val="18"/>
                <w:color w:val="auto"/>
              </w:rPr>
            </w:pPr>
          </w:p>
        </w:tc>
        <w:tc>
          <w:tcPr>
            <w:tcW w:w="5660" w:type="dxa"/>
            <w:vAlign w:val="bottom"/>
            <w:gridSpan w:val="2"/>
          </w:tcPr>
          <w:p>
            <w:pPr>
              <w:ind w:left="140"/>
              <w:spacing w:after="0"/>
              <w:rPr>
                <w:sz w:val="20"/>
                <w:szCs w:val="20"/>
                <w:color w:val="auto"/>
              </w:rPr>
            </w:pPr>
            <w:r>
              <w:rPr>
                <w:rFonts w:ascii="Arial" w:cs="Arial" w:eastAsia="Arial" w:hAnsi="Arial"/>
                <w:sz w:val="18"/>
                <w:szCs w:val="18"/>
                <w:color w:val="auto"/>
                <w:w w:val="99"/>
              </w:rPr>
              <w:t>CompletedNt USE OF DOUBLE STRAND RIBONUCLEIC ACID FOR</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w w:val="98"/>
              </w:rPr>
              <w:t>TREATING AN INFECTION WITH A POSTIVE-STRAND</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RNA-VIRUS</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3"/>
              </w:rPr>
              <w:t>RIB-012.2EP</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02779511.1</w:t>
            </w:r>
          </w:p>
        </w:tc>
        <w:tc>
          <w:tcPr>
            <w:tcW w:w="122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91"/>
              </w:rPr>
              <w:t>Appealed</w:t>
            </w:r>
          </w:p>
        </w:tc>
        <w:tc>
          <w:tcPr>
            <w:tcW w:w="4580" w:type="dxa"/>
            <w:vAlign w:val="bottom"/>
          </w:tcPr>
          <w:p>
            <w:pPr>
              <w:ind w:left="100"/>
              <w:spacing w:after="0"/>
              <w:rPr>
                <w:sz w:val="20"/>
                <w:szCs w:val="20"/>
                <w:color w:val="auto"/>
              </w:rPr>
            </w:pPr>
            <w:r>
              <w:rPr>
                <w:rFonts w:ascii="Arial" w:cs="Arial" w:eastAsia="Arial" w:hAnsi="Arial"/>
                <w:sz w:val="18"/>
                <w:szCs w:val="18"/>
                <w:color w:val="auto"/>
              </w:rPr>
              <w:t>USE OF A DOUBLE-STRANDED RIBONUCLEIC ACID</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w w:val="96"/>
              </w:rPr>
              <w:t>FOR SPECIFICALLY INHIBITING THE EXPRESSION OF</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A GIVEN TARGET GENE</w:t>
            </w:r>
          </w:p>
        </w:tc>
      </w:tr>
      <w:tr>
        <w:trPr>
          <w:trHeight w:val="216"/>
        </w:trPr>
        <w:tc>
          <w:tcPr>
            <w:tcW w:w="1620" w:type="dxa"/>
            <w:vAlign w:val="bottom"/>
          </w:tcPr>
          <w:p>
            <w:pPr>
              <w:jc w:val="center"/>
              <w:ind w:right="90"/>
              <w:spacing w:after="0"/>
              <w:rPr>
                <w:sz w:val="20"/>
                <w:szCs w:val="20"/>
                <w:color w:val="auto"/>
              </w:rPr>
            </w:pPr>
            <w:r>
              <w:rPr>
                <w:rFonts w:ascii="Arial" w:cs="Arial" w:eastAsia="Arial" w:hAnsi="Arial"/>
                <w:sz w:val="18"/>
                <w:szCs w:val="18"/>
                <w:color w:val="auto"/>
                <w:w w:val="93"/>
              </w:rPr>
              <w:t>RIB-012.2EPD1</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10011813.2</w:t>
            </w:r>
          </w:p>
        </w:tc>
        <w:tc>
          <w:tcPr>
            <w:tcW w:w="122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8"/>
              </w:rPr>
              <w:t>Published</w:t>
            </w:r>
          </w:p>
        </w:tc>
        <w:tc>
          <w:tcPr>
            <w:tcW w:w="4580" w:type="dxa"/>
            <w:vAlign w:val="bottom"/>
          </w:tcPr>
          <w:p>
            <w:pPr>
              <w:ind w:left="100"/>
              <w:spacing w:after="0"/>
              <w:rPr>
                <w:sz w:val="20"/>
                <w:szCs w:val="20"/>
                <w:color w:val="auto"/>
              </w:rPr>
            </w:pPr>
            <w:r>
              <w:rPr>
                <w:rFonts w:ascii="Arial" w:cs="Arial" w:eastAsia="Arial" w:hAnsi="Arial"/>
                <w:sz w:val="18"/>
                <w:szCs w:val="18"/>
                <w:color w:val="auto"/>
              </w:rPr>
              <w:t>USE OF A DOUBLE-STRANDED RIBONUCLEIC ACID</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w w:val="96"/>
              </w:rPr>
              <w:t>FOR SPECIFICALLY INHIBITING THE EXPRESSION OF</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A GIVEN TARGET GENE</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RIB-012.2WO</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PCT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PCT/EP02/11969</w:t>
            </w:r>
          </w:p>
        </w:tc>
        <w:tc>
          <w:tcPr>
            <w:tcW w:w="1220" w:type="dxa"/>
            <w:vAlign w:val="bottom"/>
          </w:tcPr>
          <w:p>
            <w:pPr>
              <w:spacing w:after="0"/>
              <w:rPr>
                <w:sz w:val="18"/>
                <w:szCs w:val="18"/>
                <w:color w:val="auto"/>
              </w:rPr>
            </w:pPr>
          </w:p>
        </w:tc>
        <w:tc>
          <w:tcPr>
            <w:tcW w:w="5660" w:type="dxa"/>
            <w:vAlign w:val="bottom"/>
            <w:gridSpan w:val="2"/>
          </w:tcPr>
          <w:p>
            <w:pPr>
              <w:ind w:left="140"/>
              <w:spacing w:after="0"/>
              <w:rPr>
                <w:sz w:val="20"/>
                <w:szCs w:val="20"/>
                <w:color w:val="auto"/>
              </w:rPr>
            </w:pPr>
            <w:r>
              <w:rPr>
                <w:rFonts w:ascii="Arial" w:cs="Arial" w:eastAsia="Arial" w:hAnsi="Arial"/>
                <w:sz w:val="18"/>
                <w:szCs w:val="18"/>
                <w:color w:val="auto"/>
                <w:w w:val="99"/>
              </w:rPr>
              <w:t>CompletedNt USE OF A DOUBLE-STRANDED RIBONUCLEIC ACID</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w w:val="96"/>
              </w:rPr>
              <w:t>FOR SPECIFICALLY INHIBITING THE EXPRESSION OF</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A GIVEN TARGET GENE</w:t>
            </w:r>
          </w:p>
        </w:tc>
      </w:tr>
      <w:tr>
        <w:trPr>
          <w:trHeight w:val="216"/>
        </w:trPr>
        <w:tc>
          <w:tcPr>
            <w:tcW w:w="1620" w:type="dxa"/>
            <w:vAlign w:val="bottom"/>
          </w:tcPr>
          <w:p>
            <w:pPr>
              <w:jc w:val="center"/>
              <w:ind w:right="90"/>
              <w:spacing w:after="0"/>
              <w:rPr>
                <w:sz w:val="20"/>
                <w:szCs w:val="20"/>
                <w:color w:val="auto"/>
              </w:rPr>
            </w:pPr>
            <w:r>
              <w:rPr>
                <w:rFonts w:ascii="Arial" w:cs="Arial" w:eastAsia="Arial" w:hAnsi="Arial"/>
                <w:sz w:val="18"/>
                <w:szCs w:val="18"/>
                <w:color w:val="auto"/>
                <w:w w:val="94"/>
              </w:rPr>
              <w:t>RIB-012.3US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10/384,463</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7,763,590</w:t>
            </w: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6"/>
              </w:rPr>
              <w:t>Issued</w:t>
            </w:r>
          </w:p>
        </w:tc>
        <w:tc>
          <w:tcPr>
            <w:tcW w:w="45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THE EXPRESSION OF A MUTANT GENE</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3"/>
              </w:rPr>
              <w:t>RIB-012.3USCON1</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13/177316</w:t>
            </w:r>
          </w:p>
        </w:tc>
        <w:tc>
          <w:tcPr>
            <w:tcW w:w="122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8"/>
              </w:rPr>
              <w:t>Published</w:t>
            </w:r>
          </w:p>
        </w:tc>
        <w:tc>
          <w:tcPr>
            <w:tcW w:w="45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THE EXPRESSION OF A MUTANT GENE</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RIB-012.3USD1</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12/817009</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7994309</w:t>
            </w: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98"/>
              </w:rPr>
              <w:t>Allowed</w:t>
            </w:r>
          </w:p>
        </w:tc>
        <w:tc>
          <w:tcPr>
            <w:tcW w:w="45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THE EXPRESSION OF A MUTANT GENE</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RIB-013.1WO</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PCT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PCT/EP02/11972</w:t>
            </w:r>
          </w:p>
        </w:tc>
        <w:tc>
          <w:tcPr>
            <w:tcW w:w="1220" w:type="dxa"/>
            <w:vAlign w:val="bottom"/>
          </w:tcPr>
          <w:p>
            <w:pPr>
              <w:spacing w:after="0"/>
              <w:rPr>
                <w:sz w:val="18"/>
                <w:szCs w:val="18"/>
                <w:color w:val="auto"/>
              </w:rPr>
            </w:pPr>
          </w:p>
        </w:tc>
        <w:tc>
          <w:tcPr>
            <w:tcW w:w="5660" w:type="dxa"/>
            <w:vAlign w:val="bottom"/>
            <w:gridSpan w:val="2"/>
          </w:tcPr>
          <w:p>
            <w:pPr>
              <w:ind w:left="140"/>
              <w:spacing w:after="0"/>
              <w:rPr>
                <w:sz w:val="20"/>
                <w:szCs w:val="20"/>
                <w:color w:val="auto"/>
              </w:rPr>
            </w:pPr>
            <w:r>
              <w:rPr>
                <w:rFonts w:ascii="Arial" w:cs="Arial" w:eastAsia="Arial" w:hAnsi="Arial"/>
                <w:sz w:val="18"/>
                <w:szCs w:val="18"/>
                <w:color w:val="auto"/>
              </w:rPr>
              <w:t>CompletedNt DRUG FOR TREATING A FIBROTIC DISEASE</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THROUGH RNA INTERFERENCE</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RIB-014.1WO</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PCT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PCT/EP02/12221</w:t>
            </w:r>
          </w:p>
        </w:tc>
        <w:tc>
          <w:tcPr>
            <w:tcW w:w="122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94"/>
              </w:rPr>
              <w:t>Expired</w:t>
            </w:r>
          </w:p>
        </w:tc>
        <w:tc>
          <w:tcPr>
            <w:tcW w:w="4580" w:type="dxa"/>
            <w:vAlign w:val="bottom"/>
          </w:tcPr>
          <w:p>
            <w:pPr>
              <w:ind w:left="100"/>
              <w:spacing w:after="0"/>
              <w:rPr>
                <w:sz w:val="20"/>
                <w:szCs w:val="20"/>
                <w:color w:val="auto"/>
              </w:rPr>
            </w:pPr>
            <w:r>
              <w:rPr>
                <w:rFonts w:ascii="Arial" w:cs="Arial" w:eastAsia="Arial" w:hAnsi="Arial"/>
                <w:sz w:val="18"/>
                <w:szCs w:val="18"/>
                <w:color w:val="auto"/>
              </w:rPr>
              <w:t>SMAD7 INHIBITORS FOR THE TREATMENT OF CNS</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DISEASES</w:t>
            </w:r>
          </w:p>
        </w:tc>
      </w:tr>
      <w:tr>
        <w:trPr>
          <w:trHeight w:val="216"/>
        </w:trPr>
        <w:tc>
          <w:tcPr>
            <w:tcW w:w="1620" w:type="dxa"/>
            <w:vAlign w:val="bottom"/>
          </w:tcPr>
          <w:p>
            <w:pPr>
              <w:jc w:val="center"/>
              <w:ind w:right="90"/>
              <w:spacing w:after="0"/>
              <w:rPr>
                <w:sz w:val="20"/>
                <w:szCs w:val="20"/>
                <w:color w:val="auto"/>
              </w:rPr>
            </w:pPr>
            <w:r>
              <w:rPr>
                <w:rFonts w:ascii="Arial" w:cs="Arial" w:eastAsia="Arial" w:hAnsi="Arial"/>
                <w:sz w:val="18"/>
                <w:szCs w:val="18"/>
                <w:color w:val="auto"/>
                <w:w w:val="94"/>
              </w:rPr>
              <w:t>RIB-015.2US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10/349,320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7,196,184</w:t>
            </w: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6"/>
              </w:rPr>
              <w:t>Issued</w:t>
            </w:r>
          </w:p>
        </w:tc>
        <w:tc>
          <w:tcPr>
            <w:tcW w:w="4580" w:type="dxa"/>
            <w:vAlign w:val="bottom"/>
          </w:tcPr>
          <w:p>
            <w:pPr>
              <w:ind w:left="100"/>
              <w:spacing w:after="0"/>
              <w:rPr>
                <w:sz w:val="20"/>
                <w:szCs w:val="20"/>
                <w:color w:val="auto"/>
              </w:rPr>
            </w:pPr>
            <w:r>
              <w:rPr>
                <w:rFonts w:ascii="Arial" w:cs="Arial" w:eastAsia="Arial" w:hAnsi="Arial"/>
                <w:sz w:val="18"/>
                <w:szCs w:val="18"/>
                <w:color w:val="auto"/>
              </w:rPr>
              <w:t>DOUBLE-STRANDED RNA (dsRNA) AND METHOD</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w w:val="95"/>
              </w:rPr>
              <w:t>FOR USE FOR INHIBITING EXPRESSION OF A FUSION</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GENE</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3"/>
              </w:rPr>
              <w:t>RIB-015.2USCON1</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12/912616</w:t>
            </w:r>
          </w:p>
        </w:tc>
        <w:tc>
          <w:tcPr>
            <w:tcW w:w="122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8"/>
              </w:rPr>
              <w:t>Published</w:t>
            </w:r>
          </w:p>
        </w:tc>
        <w:tc>
          <w:tcPr>
            <w:tcW w:w="4580" w:type="dxa"/>
            <w:vAlign w:val="bottom"/>
          </w:tcPr>
          <w:p>
            <w:pPr>
              <w:ind w:left="100"/>
              <w:spacing w:after="0"/>
              <w:rPr>
                <w:sz w:val="20"/>
                <w:szCs w:val="20"/>
                <w:color w:val="auto"/>
              </w:rPr>
            </w:pPr>
            <w:r>
              <w:rPr>
                <w:rFonts w:ascii="Arial" w:cs="Arial" w:eastAsia="Arial" w:hAnsi="Arial"/>
                <w:sz w:val="18"/>
                <w:szCs w:val="18"/>
                <w:color w:val="auto"/>
              </w:rPr>
              <w:t>DOUBLE-STRANDED RNA (dsRNA) AND METHOD</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w w:val="95"/>
              </w:rPr>
              <w:t>FOR USE FOR INHIBITING EXPRESSION OF A FUSION</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GENE</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RIB-015.2USD1</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11/656,349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7,846,907</w:t>
            </w: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98"/>
              </w:rPr>
              <w:t>Allowed</w:t>
            </w:r>
          </w:p>
        </w:tc>
        <w:tc>
          <w:tcPr>
            <w:tcW w:w="4580" w:type="dxa"/>
            <w:vAlign w:val="bottom"/>
          </w:tcPr>
          <w:p>
            <w:pPr>
              <w:ind w:left="100"/>
              <w:spacing w:after="0"/>
              <w:rPr>
                <w:sz w:val="20"/>
                <w:szCs w:val="20"/>
                <w:color w:val="auto"/>
              </w:rPr>
            </w:pPr>
            <w:r>
              <w:rPr>
                <w:rFonts w:ascii="Arial" w:cs="Arial" w:eastAsia="Arial" w:hAnsi="Arial"/>
                <w:sz w:val="18"/>
                <w:szCs w:val="18"/>
                <w:color w:val="auto"/>
              </w:rPr>
              <w:t>DOUBLE-STRANDED RNA (dsRNA) AND METHOD</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w w:val="95"/>
              </w:rPr>
              <w:t>FOR USE FOR INHIBITING EXPRESSION OF A FUSION</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GENE</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RIB-015.3WO</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PCT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PCT/EP03/00604</w:t>
            </w:r>
          </w:p>
        </w:tc>
        <w:tc>
          <w:tcPr>
            <w:tcW w:w="122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94"/>
              </w:rPr>
              <w:t>Expired</w:t>
            </w:r>
          </w:p>
        </w:tc>
        <w:tc>
          <w:tcPr>
            <w:tcW w:w="4580" w:type="dxa"/>
            <w:vAlign w:val="bottom"/>
          </w:tcPr>
          <w:p>
            <w:pPr>
              <w:ind w:left="100"/>
              <w:spacing w:after="0"/>
              <w:rPr>
                <w:sz w:val="20"/>
                <w:szCs w:val="20"/>
                <w:color w:val="auto"/>
              </w:rPr>
            </w:pPr>
            <w:r>
              <w:rPr>
                <w:rFonts w:ascii="Arial" w:cs="Arial" w:eastAsia="Arial" w:hAnsi="Arial"/>
                <w:sz w:val="18"/>
                <w:szCs w:val="18"/>
                <w:color w:val="auto"/>
                <w:w w:val="98"/>
              </w:rPr>
              <w:t>METHOD FOR INCREASING THE EFFICIENCY OF AN</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INHIBITOR OF TYROSINE KINASE ACTIVITY</w:t>
            </w:r>
          </w:p>
        </w:tc>
      </w:tr>
      <w:tr>
        <w:trPr>
          <w:trHeight w:val="216"/>
        </w:trPr>
        <w:tc>
          <w:tcPr>
            <w:tcW w:w="1620" w:type="dxa"/>
            <w:vAlign w:val="bottom"/>
          </w:tcPr>
          <w:p>
            <w:pPr>
              <w:jc w:val="center"/>
              <w:ind w:right="90"/>
              <w:spacing w:after="0"/>
              <w:rPr>
                <w:sz w:val="20"/>
                <w:szCs w:val="20"/>
                <w:color w:val="auto"/>
              </w:rPr>
            </w:pPr>
            <w:r>
              <w:rPr>
                <w:rFonts w:ascii="Arial" w:cs="Arial" w:eastAsia="Arial" w:hAnsi="Arial"/>
                <w:sz w:val="18"/>
                <w:szCs w:val="18"/>
                <w:color w:val="auto"/>
                <w:w w:val="94"/>
              </w:rPr>
              <w:t>RIB-016.1DE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Germany</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10302421.2-41</w:t>
            </w:r>
          </w:p>
        </w:tc>
        <w:tc>
          <w:tcPr>
            <w:tcW w:w="122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8"/>
              </w:rPr>
              <w:t>Published</w:t>
            </w:r>
          </w:p>
        </w:tc>
        <w:tc>
          <w:tcPr>
            <w:tcW w:w="4580" w:type="dxa"/>
            <w:vAlign w:val="bottom"/>
          </w:tcPr>
          <w:p>
            <w:pPr>
              <w:ind w:left="100"/>
              <w:spacing w:after="0"/>
              <w:rPr>
                <w:sz w:val="20"/>
                <w:szCs w:val="20"/>
                <w:color w:val="auto"/>
              </w:rPr>
            </w:pPr>
            <w:r>
              <w:rPr>
                <w:rFonts w:ascii="Arial" w:cs="Arial" w:eastAsia="Arial" w:hAnsi="Arial"/>
                <w:sz w:val="18"/>
                <w:szCs w:val="18"/>
                <w:color w:val="auto"/>
              </w:rPr>
              <w:t>DOUBLE-STRANDED RIBONUCLEIC ACID WITH</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IMPROVED ACTIVITY</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4"/>
              </w:rPr>
              <w:t>RIB-016.2AT</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Austria</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E367441</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1587926</w:t>
            </w: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9"/>
              </w:rPr>
              <w:t>Granted</w:t>
            </w:r>
          </w:p>
        </w:tc>
        <w:tc>
          <w:tcPr>
            <w:tcW w:w="4580" w:type="dxa"/>
            <w:vAlign w:val="bottom"/>
          </w:tcPr>
          <w:p>
            <w:pPr>
              <w:ind w:left="100"/>
              <w:spacing w:after="0"/>
              <w:rPr>
                <w:sz w:val="20"/>
                <w:szCs w:val="20"/>
                <w:color w:val="auto"/>
              </w:rPr>
            </w:pPr>
            <w:r>
              <w:rPr>
                <w:rFonts w:ascii="Arial" w:cs="Arial" w:eastAsia="Arial" w:hAnsi="Arial"/>
                <w:sz w:val="18"/>
                <w:szCs w:val="18"/>
                <w:color w:val="auto"/>
              </w:rPr>
              <w:t>LIPOPHILIC DERIVATIVES OF DOUBLE-STRANDED</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620" w:type="dxa"/>
            <w:vAlign w:val="bottom"/>
          </w:tcPr>
          <w:p>
            <w:pPr>
              <w:jc w:val="center"/>
              <w:ind w:right="70"/>
              <w:spacing w:after="0"/>
              <w:rPr>
                <w:sz w:val="20"/>
                <w:szCs w:val="20"/>
                <w:color w:val="auto"/>
              </w:rPr>
            </w:pPr>
            <w:r>
              <w:rPr>
                <w:rFonts w:ascii="Arial" w:cs="Arial" w:eastAsia="Arial" w:hAnsi="Arial"/>
                <w:sz w:val="18"/>
                <w:szCs w:val="18"/>
                <w:color w:val="auto"/>
                <w:w w:val="96"/>
              </w:rPr>
              <w:t>RIB-016.2AU</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2004206255</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2004206255</w:t>
            </w: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6"/>
              </w:rPr>
              <w:t>Issued</w:t>
            </w:r>
          </w:p>
        </w:tc>
        <w:tc>
          <w:tcPr>
            <w:tcW w:w="4580" w:type="dxa"/>
            <w:vAlign w:val="bottom"/>
          </w:tcPr>
          <w:p>
            <w:pPr>
              <w:ind w:left="100"/>
              <w:spacing w:after="0"/>
              <w:rPr>
                <w:sz w:val="20"/>
                <w:szCs w:val="20"/>
                <w:color w:val="auto"/>
              </w:rPr>
            </w:pPr>
            <w:r>
              <w:rPr>
                <w:rFonts w:ascii="Arial" w:cs="Arial" w:eastAsia="Arial" w:hAnsi="Arial"/>
                <w:sz w:val="18"/>
                <w:szCs w:val="18"/>
                <w:color w:val="auto"/>
              </w:rPr>
              <w:t>LIPOPHILIC DERIVATIVES OF DOUBLE-STRANDED</w:t>
            </w: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620" w:type="dxa"/>
            <w:vAlign w:val="bottom"/>
          </w:tcPr>
          <w:p>
            <w:pPr>
              <w:jc w:val="center"/>
              <w:ind w:right="90"/>
              <w:spacing w:after="0"/>
              <w:rPr>
                <w:sz w:val="20"/>
                <w:szCs w:val="20"/>
                <w:color w:val="auto"/>
              </w:rPr>
            </w:pPr>
            <w:r>
              <w:rPr>
                <w:rFonts w:ascii="Arial" w:cs="Arial" w:eastAsia="Arial" w:hAnsi="Arial"/>
                <w:sz w:val="18"/>
                <w:szCs w:val="18"/>
                <w:color w:val="auto"/>
                <w:w w:val="96"/>
              </w:rPr>
              <w:t>RIB-016.2AUD1</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2008203538</w:t>
            </w:r>
          </w:p>
        </w:tc>
        <w:tc>
          <w:tcPr>
            <w:tcW w:w="122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Arial" w:cs="Arial" w:eastAsia="Arial" w:hAnsi="Arial"/>
                <w:sz w:val="18"/>
                <w:szCs w:val="18"/>
                <w:color w:val="auto"/>
                <w:w w:val="87"/>
              </w:rPr>
              <w:t>Pending</w:t>
            </w:r>
          </w:p>
        </w:tc>
        <w:tc>
          <w:tcPr>
            <w:tcW w:w="4580" w:type="dxa"/>
            <w:vAlign w:val="bottom"/>
          </w:tcPr>
          <w:p>
            <w:pPr>
              <w:ind w:left="100"/>
              <w:spacing w:after="0"/>
              <w:rPr>
                <w:sz w:val="20"/>
                <w:szCs w:val="20"/>
                <w:color w:val="auto"/>
              </w:rPr>
            </w:pPr>
            <w:r>
              <w:rPr>
                <w:rFonts w:ascii="Arial" w:cs="Arial" w:eastAsia="Arial" w:hAnsi="Arial"/>
                <w:sz w:val="18"/>
                <w:szCs w:val="18"/>
                <w:color w:val="auto"/>
              </w:rPr>
              <w:t>LIPOPHILIC DERIVATIVES OF DOUBLE-STRANDED</w:t>
            </w:r>
          </w:p>
        </w:tc>
      </w:tr>
      <w:tr>
        <w:trPr>
          <w:trHeight w:val="230"/>
        </w:trPr>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RIBONUCLEIC ACID</w:t>
            </w:r>
          </w:p>
        </w:tc>
      </w:tr>
    </w:tbl>
    <w:p>
      <w:pPr>
        <w:sectPr>
          <w:pgSz w:w="11900" w:h="16838" w:orient="portrait"/>
          <w:cols w:equalWidth="0" w:num="1">
            <w:col w:w="11380"/>
          </w:cols>
          <w:pgMar w:left="260" w:top="341" w:right="25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3"/>
              </w:rPr>
              <w:t>RIB-016.2BE</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04704041.5</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6"/>
              </w:rPr>
              <w:t>RIB-016.2CA</w:t>
            </w:r>
          </w:p>
        </w:tc>
        <w:tc>
          <w:tcPr>
            <w:tcW w:w="132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2513809</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2513809</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5"/>
              </w:rPr>
              <w:t>RIB-016.2CH</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04704041.5</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6"/>
              </w:rPr>
              <w:t>RIB-016.2CY</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Cyprus</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6"/>
              </w:rPr>
              <w:t>RIB-016.2DE</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602004007620.1- 08</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6"/>
              </w:rPr>
              <w:t>RIB-016.2DK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Denmark</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04704041.5</w:t>
            </w:r>
          </w:p>
        </w:tc>
        <w:tc>
          <w:tcPr>
            <w:tcW w:w="1440" w:type="dxa"/>
            <w:vAlign w:val="bottom"/>
          </w:tcPr>
          <w:p>
            <w:pPr>
              <w:ind w:left="80"/>
              <w:spacing w:after="0"/>
              <w:rPr>
                <w:sz w:val="20"/>
                <w:szCs w:val="20"/>
                <w:color w:val="auto"/>
              </w:rPr>
            </w:pPr>
            <w:r>
              <w:rPr>
                <w:rFonts w:ascii="Arial" w:cs="Arial" w:eastAsia="Arial" w:hAnsi="Arial"/>
                <w:sz w:val="18"/>
                <w:szCs w:val="18"/>
                <w:color w:val="auto"/>
              </w:rPr>
              <w:t>DK/EP 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3"/>
              </w:rPr>
              <w:t>RIB-016.2EP</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2"/>
              </w:rPr>
              <w:t>RIB-016.2EPD1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07010839.4</w:t>
            </w:r>
          </w:p>
        </w:tc>
        <w:tc>
          <w:tcPr>
            <w:tcW w:w="14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3"/>
              </w:rPr>
              <w:t>RIB-016.2ES</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3"/>
              </w:rPr>
              <w:t>RIB-016.2FR</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EP1587926B1</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5"/>
              </w:rPr>
              <w:t>RIB-016.2GB</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6"/>
              </w:rPr>
              <w:t>RIB-016.2HK</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08105048.3</w:t>
            </w:r>
          </w:p>
        </w:tc>
        <w:tc>
          <w:tcPr>
            <w:tcW w:w="14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5"/>
              </w:rPr>
              <w:t>RIB-016.2HU</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Hungary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5"/>
              </w:rPr>
              <w:t>RIB-016.2IE</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04704041.5</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6"/>
              </w:rPr>
              <w:t>RIB-016.2IT</w:t>
            </w:r>
          </w:p>
        </w:tc>
        <w:tc>
          <w:tcPr>
            <w:tcW w:w="1320" w:type="dxa"/>
            <w:vAlign w:val="bottom"/>
          </w:tcPr>
          <w:p>
            <w:pPr>
              <w:jc w:val="center"/>
              <w:spacing w:after="0"/>
              <w:rPr>
                <w:sz w:val="20"/>
                <w:szCs w:val="20"/>
                <w:color w:val="auto"/>
              </w:rPr>
            </w:pPr>
            <w:r>
              <w:rPr>
                <w:rFonts w:ascii="Arial" w:cs="Arial" w:eastAsia="Arial" w:hAnsi="Arial"/>
                <w:sz w:val="18"/>
                <w:szCs w:val="18"/>
                <w:color w:val="auto"/>
              </w:rPr>
              <w:t>Italy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7"/>
              </w:rPr>
              <w:t>RIB-016.2LI</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Liechtenstein</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7"/>
              </w:rPr>
              <w:t>RIB-016.2LU</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7"/>
              </w:rPr>
              <w:t>RIB-016.2NL</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EP1587926B1</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4"/>
              </w:rPr>
              <w:t>RIB-016.2PT</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Portugal</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3"/>
              </w:rPr>
              <w:t>RIB-016.2SE</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Sweden</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EP1587926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5"/>
              </w:rPr>
              <w:t>RIB-016.2SI</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Slovenia</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3"/>
              </w:rPr>
              <w:t>RIB-016.2TR</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Turkey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1587926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30"/>
        </w:trPr>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bl>
    <w:p>
      <w:pPr>
        <w:sectPr>
          <w:pgSz w:w="11900" w:h="16838" w:orient="portrait"/>
          <w:cols w:equalWidth="0" w:num="1">
            <w:col w:w="10940"/>
          </w:cols>
          <w:pgMar w:left="280" w:top="341" w:right="67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jc w:val="center"/>
              <w:ind w:right="170"/>
              <w:spacing w:after="0"/>
              <w:rPr>
                <w:sz w:val="20"/>
                <w:szCs w:val="20"/>
                <w:color w:val="auto"/>
              </w:rPr>
            </w:pPr>
            <w:r>
              <w:rPr>
                <w:rFonts w:ascii="Arial" w:cs="Arial" w:eastAsia="Arial" w:hAnsi="Arial"/>
                <w:sz w:val="18"/>
                <w:szCs w:val="18"/>
                <w:color w:val="auto"/>
                <w:w w:val="92"/>
              </w:rPr>
              <w:t>RIB-016.2US</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2460" w:type="dxa"/>
            <w:vAlign w:val="bottom"/>
          </w:tcPr>
          <w:p>
            <w:pPr>
              <w:jc w:val="center"/>
              <w:ind w:right="410"/>
              <w:spacing w:after="0"/>
              <w:rPr>
                <w:sz w:val="20"/>
                <w:szCs w:val="20"/>
                <w:color w:val="auto"/>
              </w:rPr>
            </w:pPr>
            <w:r>
              <w:rPr>
                <w:rFonts w:ascii="Arial" w:cs="Arial" w:eastAsia="Arial" w:hAnsi="Arial"/>
                <w:sz w:val="18"/>
                <w:szCs w:val="18"/>
                <w:color w:val="auto"/>
                <w:w w:val="89"/>
              </w:rPr>
              <w:t>10/543048</w:t>
            </w:r>
          </w:p>
        </w:tc>
        <w:tc>
          <w:tcPr>
            <w:tcW w:w="1780" w:type="dxa"/>
            <w:vAlign w:val="bottom"/>
          </w:tcPr>
          <w:p>
            <w:pPr>
              <w:jc w:val="center"/>
              <w:ind w:left="750"/>
              <w:spacing w:after="0"/>
              <w:rPr>
                <w:sz w:val="20"/>
                <w:szCs w:val="20"/>
                <w:color w:val="auto"/>
              </w:rPr>
            </w:pPr>
            <w:r>
              <w:rPr>
                <w:rFonts w:ascii="Arial" w:cs="Arial" w:eastAsia="Arial" w:hAnsi="Arial"/>
                <w:sz w:val="18"/>
                <w:szCs w:val="18"/>
                <w:color w:val="auto"/>
                <w:w w:val="91"/>
              </w:rPr>
              <w:t>Appealed</w:t>
            </w:r>
          </w:p>
        </w:tc>
        <w:tc>
          <w:tcPr>
            <w:tcW w:w="4320" w:type="dxa"/>
            <w:vAlign w:val="bottom"/>
          </w:tcPr>
          <w:p>
            <w:pPr>
              <w:ind w:left="8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RIBONUCLEIC ACID</w:t>
            </w:r>
          </w:p>
        </w:tc>
      </w:tr>
      <w:tr>
        <w:trPr>
          <w:trHeight w:val="216"/>
        </w:trPr>
        <w:tc>
          <w:tcPr>
            <w:tcW w:w="1480" w:type="dxa"/>
            <w:vAlign w:val="bottom"/>
          </w:tcPr>
          <w:p>
            <w:pPr>
              <w:jc w:val="center"/>
              <w:ind w:right="170"/>
              <w:spacing w:after="0"/>
              <w:rPr>
                <w:sz w:val="20"/>
                <w:szCs w:val="20"/>
                <w:color w:val="auto"/>
              </w:rPr>
            </w:pPr>
            <w:r>
              <w:rPr>
                <w:rFonts w:ascii="Arial" w:cs="Arial" w:eastAsia="Arial" w:hAnsi="Arial"/>
                <w:sz w:val="18"/>
                <w:szCs w:val="18"/>
                <w:color w:val="auto"/>
                <w:w w:val="94"/>
              </w:rPr>
              <w:t>RIB-016.2WO</w:t>
            </w: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2460" w:type="dxa"/>
            <w:vAlign w:val="bottom"/>
          </w:tcPr>
          <w:p>
            <w:pPr>
              <w:jc w:val="center"/>
              <w:ind w:right="410"/>
              <w:spacing w:after="0"/>
              <w:rPr>
                <w:sz w:val="20"/>
                <w:szCs w:val="20"/>
                <w:color w:val="auto"/>
              </w:rPr>
            </w:pPr>
            <w:r>
              <w:rPr>
                <w:rFonts w:ascii="Arial" w:cs="Arial" w:eastAsia="Arial" w:hAnsi="Arial"/>
                <w:sz w:val="18"/>
                <w:szCs w:val="18"/>
                <w:color w:val="auto"/>
                <w:w w:val="90"/>
              </w:rPr>
              <w:t>PCT/US2004/001</w:t>
            </w:r>
          </w:p>
        </w:tc>
        <w:tc>
          <w:tcPr>
            <w:tcW w:w="6100" w:type="dxa"/>
            <w:vAlign w:val="bottom"/>
            <w:gridSpan w:val="2"/>
          </w:tcPr>
          <w:p>
            <w:pPr>
              <w:ind w:left="820"/>
              <w:spacing w:after="0"/>
              <w:rPr>
                <w:sz w:val="20"/>
                <w:szCs w:val="20"/>
                <w:color w:val="auto"/>
              </w:rPr>
            </w:pPr>
            <w:r>
              <w:rPr>
                <w:rFonts w:ascii="Arial" w:cs="Arial" w:eastAsia="Arial" w:hAnsi="Arial"/>
                <w:sz w:val="18"/>
                <w:szCs w:val="18"/>
                <w:color w:val="auto"/>
                <w:w w:val="96"/>
              </w:rPr>
              <w:t>CompletedNt LIPOPHILIC DERIVATIVES OF DOUBLE-STRANDED</w:t>
            </w:r>
          </w:p>
        </w:tc>
      </w:tr>
      <w:tr>
        <w:trPr>
          <w:trHeight w:val="216"/>
        </w:trPr>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60" w:type="dxa"/>
            <w:vAlign w:val="bottom"/>
          </w:tcPr>
          <w:p>
            <w:pPr>
              <w:jc w:val="center"/>
              <w:ind w:right="410"/>
              <w:spacing w:after="0"/>
              <w:rPr>
                <w:sz w:val="20"/>
                <w:szCs w:val="20"/>
                <w:color w:val="auto"/>
              </w:rPr>
            </w:pPr>
            <w:r>
              <w:rPr>
                <w:rFonts w:ascii="Arial" w:cs="Arial" w:eastAsia="Arial" w:hAnsi="Arial"/>
                <w:sz w:val="18"/>
                <w:szCs w:val="18"/>
                <w:color w:val="auto"/>
                <w:w w:val="93"/>
              </w:rPr>
              <w:t>461</w:t>
            </w:r>
          </w:p>
        </w:tc>
        <w:tc>
          <w:tcPr>
            <w:tcW w:w="178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RIBONUCLEIC ACID</w:t>
            </w:r>
          </w:p>
        </w:tc>
      </w:tr>
      <w:tr>
        <w:trPr>
          <w:trHeight w:val="230"/>
        </w:trPr>
        <w:tc>
          <w:tcPr>
            <w:tcW w:w="1480" w:type="dxa"/>
            <w:vAlign w:val="bottom"/>
          </w:tcPr>
          <w:p>
            <w:pPr>
              <w:jc w:val="center"/>
              <w:ind w:right="170"/>
              <w:spacing w:after="0"/>
              <w:rPr>
                <w:sz w:val="20"/>
                <w:szCs w:val="20"/>
                <w:color w:val="auto"/>
              </w:rPr>
            </w:pPr>
            <w:r>
              <w:rPr>
                <w:rFonts w:ascii="Arial" w:cs="Arial" w:eastAsia="Arial" w:hAnsi="Arial"/>
                <w:sz w:val="18"/>
                <w:szCs w:val="18"/>
                <w:color w:val="auto"/>
                <w:w w:val="93"/>
              </w:rPr>
              <w:t>RIB-017.1EPUS</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2460" w:type="dxa"/>
            <w:vAlign w:val="bottom"/>
          </w:tcPr>
          <w:p>
            <w:pPr>
              <w:jc w:val="center"/>
              <w:ind w:right="410"/>
              <w:spacing w:after="0"/>
              <w:rPr>
                <w:sz w:val="20"/>
                <w:szCs w:val="20"/>
                <w:color w:val="auto"/>
              </w:rPr>
            </w:pPr>
            <w:r>
              <w:rPr>
                <w:rFonts w:ascii="Arial" w:cs="Arial" w:eastAsia="Arial" w:hAnsi="Arial"/>
                <w:sz w:val="18"/>
                <w:szCs w:val="18"/>
                <w:color w:val="auto"/>
                <w:w w:val="88"/>
              </w:rPr>
              <w:t>60/479,354</w:t>
            </w:r>
          </w:p>
        </w:tc>
        <w:tc>
          <w:tcPr>
            <w:tcW w:w="1780" w:type="dxa"/>
            <w:vAlign w:val="bottom"/>
          </w:tcPr>
          <w:p>
            <w:pPr>
              <w:jc w:val="center"/>
              <w:ind w:left="750"/>
              <w:spacing w:after="0"/>
              <w:rPr>
                <w:sz w:val="20"/>
                <w:szCs w:val="20"/>
                <w:color w:val="auto"/>
              </w:rPr>
            </w:pPr>
            <w:r>
              <w:rPr>
                <w:rFonts w:ascii="Arial" w:cs="Arial" w:eastAsia="Arial" w:hAnsi="Arial"/>
                <w:sz w:val="18"/>
                <w:szCs w:val="18"/>
                <w:color w:val="auto"/>
                <w:w w:val="89"/>
              </w:rPr>
              <w:t>Converted</w:t>
            </w:r>
          </w:p>
        </w:tc>
        <w:tc>
          <w:tcPr>
            <w:tcW w:w="4320" w:type="dxa"/>
            <w:vAlign w:val="bottom"/>
          </w:tcPr>
          <w:p>
            <w:pPr>
              <w:ind w:left="80"/>
              <w:spacing w:after="0"/>
              <w:rPr>
                <w:sz w:val="20"/>
                <w:szCs w:val="20"/>
                <w:color w:val="auto"/>
              </w:rPr>
            </w:pPr>
            <w:r>
              <w:rPr>
                <w:rFonts w:ascii="Arial" w:cs="Arial" w:eastAsia="Arial" w:hAnsi="Arial"/>
                <w:sz w:val="18"/>
                <w:szCs w:val="18"/>
                <w:color w:val="auto"/>
              </w:rPr>
              <w:t>SiRNA WITH INCREASED STABILITY IN SERUM</w:t>
            </w:r>
          </w:p>
        </w:tc>
      </w:tr>
    </w:tbl>
    <w:p>
      <w:pPr>
        <w:sectPr>
          <w:pgSz w:w="11900" w:h="16838" w:orient="portrait"/>
          <w:cols w:equalWidth="0" w:num="1">
            <w:col w:w="10960"/>
          </w:cols>
          <w:pgMar w:left="260" w:top="341" w:right="67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Arial" w:cs="Arial" w:eastAsia="Arial" w:hAnsi="Arial"/>
                <w:sz w:val="14"/>
                <w:szCs w:val="14"/>
                <w:b w:val="1"/>
                <w:bCs w:val="1"/>
                <w:color w:val="auto"/>
              </w:rPr>
              <w:t>Isis Docket No.</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Status</w:t>
            </w:r>
          </w:p>
        </w:tc>
        <w:tc>
          <w:tcPr>
            <w:tcW w:w="1560" w:type="dxa"/>
            <w:vAlign w:val="bottom"/>
          </w:tcPr>
          <w:p>
            <w:pPr>
              <w:ind w:left="580"/>
              <w:spacing w:after="0"/>
              <w:rPr>
                <w:sz w:val="20"/>
                <w:szCs w:val="20"/>
                <w:color w:val="auto"/>
              </w:rPr>
            </w:pPr>
            <w:r>
              <w:rPr>
                <w:rFonts w:ascii="Arial" w:cs="Arial" w:eastAsia="Arial" w:hAnsi="Arial"/>
                <w:sz w:val="14"/>
                <w:szCs w:val="14"/>
                <w:b w:val="1"/>
                <w:bCs w:val="1"/>
                <w:color w:val="auto"/>
              </w:rPr>
              <w:t>Patent No.</w:t>
            </w:r>
          </w:p>
        </w:tc>
        <w:tc>
          <w:tcPr>
            <w:tcW w:w="5540" w:type="dxa"/>
            <w:vAlign w:val="bottom"/>
          </w:tcPr>
          <w:p>
            <w:pPr>
              <w:ind w:left="120"/>
              <w:spacing w:after="0"/>
              <w:rPr>
                <w:sz w:val="20"/>
                <w:szCs w:val="20"/>
                <w:color w:val="auto"/>
              </w:rPr>
            </w:pPr>
            <w:r>
              <w:rPr>
                <w:rFonts w:ascii="Arial" w:cs="Arial" w:eastAsia="Arial" w:hAnsi="Arial"/>
                <w:sz w:val="14"/>
                <w:szCs w:val="14"/>
                <w:b w:val="1"/>
                <w:bCs w:val="1"/>
                <w:color w:val="auto"/>
              </w:rPr>
              <w:t>Title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GLIS-0129</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AT</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3"/>
              </w:rPr>
              <w:t>ATE190981T1</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GLIS-0130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CH</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31"/>
              <w:spacing w:after="0"/>
              <w:rPr>
                <w:sz w:val="20"/>
                <w:szCs w:val="20"/>
                <w:color w:val="auto"/>
              </w:rPr>
            </w:pPr>
            <w:r>
              <w:rPr>
                <w:rFonts w:ascii="Arial" w:cs="Arial" w:eastAsia="Arial" w:hAnsi="Arial"/>
                <w:sz w:val="18"/>
                <w:szCs w:val="18"/>
                <w:color w:val="auto"/>
                <w:w w:val="89"/>
              </w:rPr>
              <w:t>497875</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GLIS-0131</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690 33 495.8</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GLIS-0132</w:t>
            </w:r>
          </w:p>
        </w:tc>
        <w:tc>
          <w:tcPr>
            <w:tcW w:w="1380" w:type="dxa"/>
            <w:vAlign w:val="bottom"/>
          </w:tcPr>
          <w:p>
            <w:pPr>
              <w:jc w:val="center"/>
              <w:spacing w:after="0"/>
              <w:rPr>
                <w:sz w:val="20"/>
                <w:szCs w:val="20"/>
                <w:color w:val="auto"/>
              </w:rPr>
            </w:pPr>
            <w:r>
              <w:rPr>
                <w:rFonts w:ascii="Arial" w:cs="Arial" w:eastAsia="Arial" w:hAnsi="Arial"/>
                <w:sz w:val="18"/>
                <w:szCs w:val="18"/>
                <w:color w:val="auto"/>
              </w:rPr>
              <w:t>DK</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31"/>
              <w:spacing w:after="0"/>
              <w:rPr>
                <w:sz w:val="20"/>
                <w:szCs w:val="20"/>
                <w:color w:val="auto"/>
              </w:rPr>
            </w:pPr>
            <w:r>
              <w:rPr>
                <w:rFonts w:ascii="Arial" w:cs="Arial" w:eastAsia="Arial" w:hAnsi="Arial"/>
                <w:sz w:val="18"/>
                <w:szCs w:val="18"/>
                <w:color w:val="auto"/>
                <w:w w:val="89"/>
              </w:rPr>
              <w:t>497875</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GLIS-0133</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FR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31"/>
              <w:spacing w:after="0"/>
              <w:rPr>
                <w:sz w:val="20"/>
                <w:szCs w:val="20"/>
                <w:color w:val="auto"/>
              </w:rPr>
            </w:pPr>
            <w:r>
              <w:rPr>
                <w:rFonts w:ascii="Arial" w:cs="Arial" w:eastAsia="Arial" w:hAnsi="Arial"/>
                <w:sz w:val="18"/>
                <w:szCs w:val="18"/>
                <w:color w:val="auto"/>
                <w:w w:val="89"/>
              </w:rPr>
              <w:t>497875</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GLIS-0134</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GB</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31"/>
              <w:spacing w:after="0"/>
              <w:rPr>
                <w:sz w:val="20"/>
                <w:szCs w:val="20"/>
                <w:color w:val="auto"/>
              </w:rPr>
            </w:pPr>
            <w:r>
              <w:rPr>
                <w:rFonts w:ascii="Arial" w:cs="Arial" w:eastAsia="Arial" w:hAnsi="Arial"/>
                <w:sz w:val="18"/>
                <w:szCs w:val="18"/>
                <w:color w:val="auto"/>
                <w:w w:val="89"/>
              </w:rPr>
              <w:t>497875</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GLIS-0135</w:t>
            </w:r>
          </w:p>
        </w:tc>
        <w:tc>
          <w:tcPr>
            <w:tcW w:w="1380" w:type="dxa"/>
            <w:vAlign w:val="bottom"/>
          </w:tcPr>
          <w:p>
            <w:pPr>
              <w:jc w:val="center"/>
              <w:spacing w:after="0"/>
              <w:rPr>
                <w:sz w:val="20"/>
                <w:szCs w:val="20"/>
                <w:color w:val="auto"/>
              </w:rPr>
            </w:pPr>
            <w:r>
              <w:rPr>
                <w:rFonts w:ascii="Arial" w:cs="Arial" w:eastAsia="Arial" w:hAnsi="Arial"/>
                <w:sz w:val="18"/>
                <w:szCs w:val="18"/>
                <w:color w:val="auto"/>
              </w:rPr>
              <w:t>LX</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31"/>
              <w:spacing w:after="0"/>
              <w:rPr>
                <w:sz w:val="20"/>
                <w:szCs w:val="20"/>
                <w:color w:val="auto"/>
              </w:rPr>
            </w:pPr>
            <w:r>
              <w:rPr>
                <w:rFonts w:ascii="Arial" w:cs="Arial" w:eastAsia="Arial" w:hAnsi="Arial"/>
                <w:sz w:val="18"/>
                <w:szCs w:val="18"/>
                <w:color w:val="auto"/>
                <w:w w:val="89"/>
              </w:rPr>
              <w:t>497875</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GLIS-0136</w:t>
            </w:r>
          </w:p>
        </w:tc>
        <w:tc>
          <w:tcPr>
            <w:tcW w:w="1380" w:type="dxa"/>
            <w:vAlign w:val="bottom"/>
          </w:tcPr>
          <w:p>
            <w:pPr>
              <w:jc w:val="center"/>
              <w:spacing w:after="0"/>
              <w:rPr>
                <w:sz w:val="20"/>
                <w:szCs w:val="20"/>
                <w:color w:val="auto"/>
              </w:rPr>
            </w:pPr>
            <w:r>
              <w:rPr>
                <w:rFonts w:ascii="Arial" w:cs="Arial" w:eastAsia="Arial" w:hAnsi="Arial"/>
                <w:sz w:val="18"/>
                <w:szCs w:val="18"/>
                <w:color w:val="auto"/>
                <w:w w:val="83"/>
              </w:rPr>
              <w:t>SE</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31"/>
              <w:spacing w:after="0"/>
              <w:rPr>
                <w:sz w:val="20"/>
                <w:szCs w:val="20"/>
                <w:color w:val="auto"/>
              </w:rPr>
            </w:pPr>
            <w:r>
              <w:rPr>
                <w:rFonts w:ascii="Arial" w:cs="Arial" w:eastAsia="Arial" w:hAnsi="Arial"/>
                <w:sz w:val="18"/>
                <w:szCs w:val="18"/>
                <w:color w:val="auto"/>
                <w:w w:val="89"/>
              </w:rPr>
              <w:t>497875</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GLIS-0041</w:t>
            </w:r>
          </w:p>
        </w:tc>
        <w:tc>
          <w:tcPr>
            <w:tcW w:w="1380" w:type="dxa"/>
            <w:vAlign w:val="bottom"/>
          </w:tcPr>
          <w:p>
            <w:pPr>
              <w:jc w:val="center"/>
              <w:spacing w:after="0"/>
              <w:rPr>
                <w:sz w:val="20"/>
                <w:szCs w:val="20"/>
                <w:color w:val="auto"/>
              </w:rPr>
            </w:pPr>
            <w:r>
              <w:rPr>
                <w:rFonts w:ascii="Arial" w:cs="Arial" w:eastAsia="Arial" w:hAnsi="Arial"/>
                <w:sz w:val="18"/>
                <w:szCs w:val="18"/>
                <w:color w:val="auto"/>
              </w:rPr>
              <w:t>AU</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31"/>
              <w:spacing w:after="0"/>
              <w:rPr>
                <w:sz w:val="20"/>
                <w:szCs w:val="20"/>
                <w:color w:val="auto"/>
              </w:rPr>
            </w:pPr>
            <w:r>
              <w:rPr>
                <w:rFonts w:ascii="Arial" w:cs="Arial" w:eastAsia="Arial" w:hAnsi="Arial"/>
                <w:sz w:val="18"/>
                <w:szCs w:val="18"/>
                <w:color w:val="auto"/>
                <w:w w:val="89"/>
              </w:rPr>
              <w:t>658562</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NUCLEOSIDE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GLIS-0042</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NUCLEOSIDE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GLIS-0043</w:t>
            </w:r>
          </w:p>
        </w:tc>
        <w:tc>
          <w:tcPr>
            <w:tcW w:w="13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31"/>
              <w:spacing w:after="0"/>
              <w:rPr>
                <w:sz w:val="20"/>
                <w:szCs w:val="20"/>
                <w:color w:val="auto"/>
              </w:rPr>
            </w:pPr>
            <w:r>
              <w:rPr>
                <w:rFonts w:ascii="Arial" w:cs="Arial" w:eastAsia="Arial" w:hAnsi="Arial"/>
                <w:sz w:val="18"/>
                <w:szCs w:val="18"/>
                <w:color w:val="auto"/>
                <w:w w:val="89"/>
              </w:rPr>
              <w:t>497875</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NUCLEOSIDE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GLIS-0045</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5792847</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NUCLEOSIDE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GLIS-0047</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5466786</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NUCLEOSIDE AND NUCLEOTIDE COMPOUNDS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GLIS-0046</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6476205</w:t>
            </w: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GLIS-0126</w:t>
            </w:r>
          </w:p>
        </w:tc>
        <w:tc>
          <w:tcPr>
            <w:tcW w:w="13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GLIS-0148</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ISIS-4178</w:t>
            </w:r>
          </w:p>
        </w:tc>
        <w:tc>
          <w:tcPr>
            <w:tcW w:w="13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2’-O-ALKYLATED GUANOSINE 3’o-PHOSPHORAMIDITES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GLIS-0146</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2-AMINOPYRIDINE AND 2-PYRIDONE C-NUCLEOSIDES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GLIS-0113</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6447998</w:t>
            </w:r>
          </w:p>
        </w:tc>
        <w:tc>
          <w:tcPr>
            <w:tcW w:w="5540" w:type="dxa"/>
            <w:vAlign w:val="bottom"/>
          </w:tcPr>
          <w:p>
            <w:pPr>
              <w:ind w:left="120"/>
              <w:spacing w:after="0"/>
              <w:rPr>
                <w:sz w:val="20"/>
                <w:szCs w:val="20"/>
                <w:color w:val="auto"/>
              </w:rPr>
            </w:pPr>
            <w:r>
              <w:rPr>
                <w:rFonts w:ascii="Arial" w:cs="Arial" w:eastAsia="Arial" w:hAnsi="Arial"/>
                <w:sz w:val="18"/>
                <w:szCs w:val="18"/>
                <w:color w:val="auto"/>
              </w:rPr>
              <w:t>2-AMINOPYRIDINE AND 2-PYRIDONE C-NUCLEOSIDES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ISIS-5017</w:t>
            </w:r>
          </w:p>
        </w:tc>
        <w:tc>
          <w:tcPr>
            <w:tcW w:w="13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w w:val="98"/>
              </w:rPr>
              <w:t>2’-GUANIDINYL-SUBSTITUTED OLIGONUCLEOTIDES AND GENE</w:t>
            </w:r>
          </w:p>
        </w:tc>
      </w:tr>
      <w:tr>
        <w:trPr>
          <w:trHeight w:val="216"/>
        </w:trPr>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EXPRESSION MODULATION THEREWITH</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ISIS-4997</w:t>
            </w:r>
          </w:p>
        </w:tc>
        <w:tc>
          <w:tcPr>
            <w:tcW w:w="13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w w:val="98"/>
              </w:rPr>
              <w:t>2’-GUANIDINYL-SUBSTITUTED OLIGONUCLEOTIDES AND GENE</w:t>
            </w:r>
          </w:p>
        </w:tc>
      </w:tr>
      <w:tr>
        <w:trPr>
          <w:trHeight w:val="216"/>
        </w:trPr>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EXPRESSION MODULATION THEREWITH</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ISIS-2004</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5859221</w:t>
            </w:r>
          </w:p>
        </w:tc>
        <w:tc>
          <w:tcPr>
            <w:tcW w:w="5540" w:type="dxa"/>
            <w:vAlign w:val="bottom"/>
          </w:tcPr>
          <w:p>
            <w:pPr>
              <w:ind w:left="120"/>
              <w:spacing w:after="0"/>
              <w:rPr>
                <w:sz w:val="20"/>
                <w:szCs w:val="20"/>
                <w:color w:val="auto"/>
              </w:rPr>
            </w:pPr>
            <w:r>
              <w:rPr>
                <w:rFonts w:ascii="Arial" w:cs="Arial" w:eastAsia="Arial" w:hAnsi="Arial"/>
                <w:sz w:val="18"/>
                <w:szCs w:val="18"/>
                <w:color w:val="auto"/>
              </w:rPr>
              <w:t>2’-MODIFIED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ISIS-2826</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6005087</w:t>
            </w:r>
          </w:p>
        </w:tc>
        <w:tc>
          <w:tcPr>
            <w:tcW w:w="5540" w:type="dxa"/>
            <w:vAlign w:val="bottom"/>
          </w:tcPr>
          <w:p>
            <w:pPr>
              <w:ind w:left="120"/>
              <w:spacing w:after="0"/>
              <w:rPr>
                <w:sz w:val="20"/>
                <w:szCs w:val="20"/>
                <w:color w:val="auto"/>
              </w:rPr>
            </w:pPr>
            <w:r>
              <w:rPr>
                <w:rFonts w:ascii="Arial" w:cs="Arial" w:eastAsia="Arial" w:hAnsi="Arial"/>
                <w:sz w:val="18"/>
                <w:szCs w:val="18"/>
                <w:color w:val="auto"/>
              </w:rPr>
              <w:t>2’-MODIFIED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ISIS-4099</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6531584</w:t>
            </w:r>
          </w:p>
        </w:tc>
        <w:tc>
          <w:tcPr>
            <w:tcW w:w="5540" w:type="dxa"/>
            <w:vAlign w:val="bottom"/>
          </w:tcPr>
          <w:p>
            <w:pPr>
              <w:ind w:left="120"/>
              <w:spacing w:after="0"/>
              <w:rPr>
                <w:sz w:val="20"/>
                <w:szCs w:val="20"/>
                <w:color w:val="auto"/>
              </w:rPr>
            </w:pPr>
            <w:r>
              <w:rPr>
                <w:rFonts w:ascii="Arial" w:cs="Arial" w:eastAsia="Arial" w:hAnsi="Arial"/>
                <w:sz w:val="18"/>
                <w:szCs w:val="18"/>
                <w:color w:val="auto"/>
              </w:rPr>
              <w:t>2’-MODIFIED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ISIS-5137</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ISIS-4071</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6147200</w:t>
            </w:r>
          </w:p>
        </w:tc>
        <w:tc>
          <w:tcPr>
            <w:tcW w:w="5540" w:type="dxa"/>
            <w:vAlign w:val="bottom"/>
          </w:tcPr>
          <w:p>
            <w:pPr>
              <w:ind w:left="120"/>
              <w:spacing w:after="0"/>
              <w:rPr>
                <w:sz w:val="20"/>
                <w:szCs w:val="20"/>
                <w:color w:val="auto"/>
              </w:rPr>
            </w:pPr>
            <w:r>
              <w:rPr>
                <w:rFonts w:ascii="Arial" w:cs="Arial" w:eastAsia="Arial" w:hAnsi="Arial"/>
                <w:sz w:val="18"/>
                <w:szCs w:val="18"/>
                <w:color w:val="auto"/>
              </w:rPr>
              <w:t>2’-O-ACETAMIDO MODIFIED MONOMERS AND OLIGOMERS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ISIS-4477</w:t>
            </w:r>
          </w:p>
        </w:tc>
        <w:tc>
          <w:tcPr>
            <w:tcW w:w="13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2’-O-ACETAMIDO MODIFIED MONOMERS AND OLIGOMERS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ISIS-4496</w:t>
            </w:r>
          </w:p>
        </w:tc>
        <w:tc>
          <w:tcPr>
            <w:tcW w:w="13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2’-O-ACETAMIDO MODIFIED MONOMERS AND OLIGOMERS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ISIS-4044</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6600032</w:t>
            </w:r>
          </w:p>
        </w:tc>
        <w:tc>
          <w:tcPr>
            <w:tcW w:w="5540" w:type="dxa"/>
            <w:vAlign w:val="bottom"/>
          </w:tcPr>
          <w:p>
            <w:pPr>
              <w:ind w:left="120"/>
              <w:spacing w:after="0"/>
              <w:rPr>
                <w:sz w:val="20"/>
                <w:szCs w:val="20"/>
                <w:color w:val="auto"/>
              </w:rPr>
            </w:pPr>
            <w:r>
              <w:rPr>
                <w:rFonts w:ascii="Arial" w:cs="Arial" w:eastAsia="Arial" w:hAnsi="Arial"/>
                <w:sz w:val="18"/>
                <w:szCs w:val="18"/>
                <w:color w:val="auto"/>
              </w:rPr>
              <w:t>2’-O-AMINOETHYLOXYETHYL-MODIFIED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ISIS-5036</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6673912</w:t>
            </w:r>
          </w:p>
        </w:tc>
        <w:tc>
          <w:tcPr>
            <w:tcW w:w="5540" w:type="dxa"/>
            <w:vAlign w:val="bottom"/>
          </w:tcPr>
          <w:p>
            <w:pPr>
              <w:ind w:left="120"/>
              <w:spacing w:after="0"/>
              <w:rPr>
                <w:sz w:val="20"/>
                <w:szCs w:val="20"/>
                <w:color w:val="auto"/>
              </w:rPr>
            </w:pPr>
            <w:r>
              <w:rPr>
                <w:rFonts w:ascii="Arial" w:cs="Arial" w:eastAsia="Arial" w:hAnsi="Arial"/>
                <w:sz w:val="18"/>
                <w:szCs w:val="18"/>
                <w:color w:val="auto"/>
              </w:rPr>
              <w:t>2’-O-AMINOETHYLOXYETHYL-MODIFIED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ISIS-2824</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6127533</w:t>
            </w:r>
          </w:p>
        </w:tc>
        <w:tc>
          <w:tcPr>
            <w:tcW w:w="5540" w:type="dxa"/>
            <w:vAlign w:val="bottom"/>
          </w:tcPr>
          <w:p>
            <w:pPr>
              <w:ind w:left="120"/>
              <w:spacing w:after="0"/>
              <w:rPr>
                <w:sz w:val="20"/>
                <w:szCs w:val="20"/>
                <w:color w:val="auto"/>
              </w:rPr>
            </w:pPr>
            <w:r>
              <w:rPr>
                <w:rFonts w:ascii="Arial" w:cs="Arial" w:eastAsia="Arial" w:hAnsi="Arial"/>
                <w:sz w:val="18"/>
                <w:szCs w:val="18"/>
                <w:color w:val="auto"/>
              </w:rPr>
              <w:t>2’-O-AMINOOXY-MODIFIED OLIGONUCLEOTIDES (as amended)</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ISIS-3156</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6043352</w:t>
            </w:r>
          </w:p>
        </w:tc>
        <w:tc>
          <w:tcPr>
            <w:tcW w:w="5540" w:type="dxa"/>
            <w:vAlign w:val="bottom"/>
          </w:tcPr>
          <w:p>
            <w:pPr>
              <w:ind w:left="120"/>
              <w:spacing w:after="0"/>
              <w:rPr>
                <w:sz w:val="20"/>
                <w:szCs w:val="20"/>
                <w:color w:val="auto"/>
              </w:rPr>
            </w:pPr>
            <w:r>
              <w:rPr>
                <w:rFonts w:ascii="Arial" w:cs="Arial" w:eastAsia="Arial" w:hAnsi="Arial"/>
                <w:sz w:val="18"/>
                <w:szCs w:val="18"/>
                <w:color w:val="auto"/>
              </w:rPr>
              <w:t>2’-O-DIMETHYLAMINOETHYLOXYETHYL-MODIFIED</w:t>
            </w:r>
          </w:p>
        </w:tc>
      </w:tr>
      <w:tr>
        <w:trPr>
          <w:trHeight w:val="216"/>
        </w:trPr>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ISIS-4047</w:t>
            </w:r>
          </w:p>
        </w:tc>
        <w:tc>
          <w:tcPr>
            <w:tcW w:w="1380" w:type="dxa"/>
            <w:vAlign w:val="bottom"/>
          </w:tcPr>
          <w:p>
            <w:pPr>
              <w:jc w:val="center"/>
              <w:spacing w:after="0"/>
              <w:rPr>
                <w:sz w:val="20"/>
                <w:szCs w:val="20"/>
                <w:color w:val="auto"/>
              </w:rPr>
            </w:pPr>
            <w:r>
              <w:rPr>
                <w:rFonts w:ascii="Arial" w:cs="Arial" w:eastAsia="Arial" w:hAnsi="Arial"/>
                <w:sz w:val="18"/>
                <w:szCs w:val="18"/>
                <w:color w:val="auto"/>
              </w:rPr>
              <w:t>AU</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31"/>
              <w:spacing w:after="0"/>
              <w:rPr>
                <w:sz w:val="20"/>
                <w:szCs w:val="20"/>
                <w:color w:val="auto"/>
              </w:rPr>
            </w:pPr>
            <w:r>
              <w:rPr>
                <w:rFonts w:ascii="Arial" w:cs="Arial" w:eastAsia="Arial" w:hAnsi="Arial"/>
                <w:sz w:val="18"/>
                <w:szCs w:val="18"/>
                <w:color w:val="auto"/>
                <w:w w:val="89"/>
              </w:rPr>
              <w:t>750469</w:t>
            </w:r>
          </w:p>
        </w:tc>
        <w:tc>
          <w:tcPr>
            <w:tcW w:w="5540" w:type="dxa"/>
            <w:vAlign w:val="bottom"/>
          </w:tcPr>
          <w:p>
            <w:pPr>
              <w:ind w:left="120"/>
              <w:spacing w:after="0"/>
              <w:rPr>
                <w:sz w:val="20"/>
                <w:szCs w:val="20"/>
                <w:color w:val="auto"/>
              </w:rPr>
            </w:pPr>
            <w:r>
              <w:rPr>
                <w:rFonts w:ascii="Arial" w:cs="Arial" w:eastAsia="Arial" w:hAnsi="Arial"/>
                <w:sz w:val="18"/>
                <w:szCs w:val="18"/>
                <w:color w:val="auto"/>
              </w:rPr>
              <w:t>2’-O-DIMETHYLAMINOETHYLOXYETHYL-MODIFIED</w:t>
            </w:r>
          </w:p>
        </w:tc>
      </w:tr>
      <w:tr>
        <w:trPr>
          <w:trHeight w:val="216"/>
        </w:trPr>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ISIS-4048</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2’-O-DIMETHYLAMINOETHYLOXYETHYL-MODIFIED</w:t>
            </w:r>
          </w:p>
        </w:tc>
      </w:tr>
      <w:tr>
        <w:trPr>
          <w:trHeight w:val="216"/>
        </w:trPr>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ISIS-4049</w:t>
            </w:r>
          </w:p>
        </w:tc>
        <w:tc>
          <w:tcPr>
            <w:tcW w:w="13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2’-O-DIMETHYLAMINOETHYLOXYETHYL-MODIFIED</w:t>
            </w:r>
          </w:p>
        </w:tc>
      </w:tr>
      <w:tr>
        <w:trPr>
          <w:trHeight w:val="216"/>
        </w:trPr>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ISIS-4068</w:t>
            </w:r>
          </w:p>
        </w:tc>
        <w:tc>
          <w:tcPr>
            <w:tcW w:w="13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2’-O-DIMETHYLAMINOETHYLOXYETHYL-MODIFIED</w:t>
            </w:r>
          </w:p>
        </w:tc>
      </w:tr>
      <w:tr>
        <w:trPr>
          <w:trHeight w:val="216"/>
        </w:trPr>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ISIS-5018</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Pending</w:t>
            </w: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2’-O-DIMETHYLAMINOETHYLOXYETHYL-MODIFIED</w:t>
            </w:r>
          </w:p>
        </w:tc>
      </w:tr>
      <w:tr>
        <w:trPr>
          <w:trHeight w:val="216"/>
        </w:trPr>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ISIS-1082</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5914396</w:t>
            </w:r>
          </w:p>
        </w:tc>
        <w:tc>
          <w:tcPr>
            <w:tcW w:w="5540" w:type="dxa"/>
            <w:vAlign w:val="bottom"/>
          </w:tcPr>
          <w:p>
            <w:pPr>
              <w:ind w:left="120"/>
              <w:spacing w:after="0"/>
              <w:rPr>
                <w:sz w:val="20"/>
                <w:szCs w:val="20"/>
                <w:color w:val="auto"/>
              </w:rPr>
            </w:pPr>
            <w:r>
              <w:rPr>
                <w:rFonts w:ascii="Arial" w:cs="Arial" w:eastAsia="Arial" w:hAnsi="Arial"/>
                <w:sz w:val="18"/>
                <w:szCs w:val="18"/>
                <w:color w:val="auto"/>
              </w:rPr>
              <w:t>2’-O-MODIFIED NUCLEOSIDES AND PHOSPHORAMIDITES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ISIS-2005</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5872232</w:t>
            </w:r>
          </w:p>
        </w:tc>
        <w:tc>
          <w:tcPr>
            <w:tcW w:w="5540" w:type="dxa"/>
            <w:vAlign w:val="bottom"/>
          </w:tcPr>
          <w:p>
            <w:pPr>
              <w:ind w:left="120"/>
              <w:spacing w:after="0"/>
              <w:rPr>
                <w:sz w:val="20"/>
                <w:szCs w:val="20"/>
                <w:color w:val="auto"/>
              </w:rPr>
            </w:pPr>
            <w:r>
              <w:rPr>
                <w:rFonts w:ascii="Arial" w:cs="Arial" w:eastAsia="Arial" w:hAnsi="Arial"/>
                <w:sz w:val="18"/>
                <w:szCs w:val="18"/>
                <w:color w:val="auto"/>
              </w:rPr>
              <w:t>2’-O-MODIFIED OLIGONUCLEOTIDES</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ISIS-0780</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1"/>
              </w:rPr>
              <w:t>5457191</w:t>
            </w:r>
          </w:p>
        </w:tc>
        <w:tc>
          <w:tcPr>
            <w:tcW w:w="5540" w:type="dxa"/>
            <w:vAlign w:val="bottom"/>
          </w:tcPr>
          <w:p>
            <w:pPr>
              <w:ind w:left="120"/>
              <w:spacing w:after="0"/>
              <w:rPr>
                <w:sz w:val="20"/>
                <w:szCs w:val="20"/>
                <w:color w:val="auto"/>
              </w:rPr>
            </w:pPr>
            <w:r>
              <w:rPr>
                <w:rFonts w:ascii="Arial" w:cs="Arial" w:eastAsia="Arial" w:hAnsi="Arial"/>
                <w:sz w:val="18"/>
                <w:szCs w:val="18"/>
                <w:color w:val="auto"/>
              </w:rPr>
              <w:t>3-DEAZAPURINES</w:t>
            </w:r>
          </w:p>
        </w:tc>
      </w:tr>
    </w:tbl>
    <w:p>
      <w:pPr>
        <w:sectPr>
          <w:pgSz w:w="11900" w:h="16838" w:orient="portrait"/>
          <w:cols w:equalWidth="0" w:num="1">
            <w:col w:w="11220"/>
          </w:cols>
          <w:pgMar w:left="240" w:top="545" w:right="4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ISIS-2044</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5587470</w:t>
            </w:r>
          </w:p>
        </w:tc>
        <w:tc>
          <w:tcPr>
            <w:tcW w:w="5680" w:type="dxa"/>
            <w:vAlign w:val="bottom"/>
          </w:tcPr>
          <w:p>
            <w:pPr>
              <w:ind w:left="160"/>
              <w:spacing w:after="0"/>
              <w:rPr>
                <w:sz w:val="20"/>
                <w:szCs w:val="20"/>
                <w:color w:val="auto"/>
              </w:rPr>
            </w:pPr>
            <w:r>
              <w:rPr>
                <w:rFonts w:ascii="Arial" w:cs="Arial" w:eastAsia="Arial" w:hAnsi="Arial"/>
                <w:sz w:val="18"/>
                <w:szCs w:val="18"/>
                <w:color w:val="auto"/>
              </w:rPr>
              <w:t>3-DEAZAPURINES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ISIS-0002</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5223618</w:t>
            </w:r>
          </w:p>
        </w:tc>
        <w:tc>
          <w:tcPr>
            <w:tcW w:w="5680" w:type="dxa"/>
            <w:vAlign w:val="bottom"/>
          </w:tcPr>
          <w:p>
            <w:pPr>
              <w:ind w:left="160"/>
              <w:spacing w:after="0"/>
              <w:rPr>
                <w:sz w:val="20"/>
                <w:szCs w:val="20"/>
                <w:color w:val="auto"/>
              </w:rPr>
            </w:pPr>
            <w:r>
              <w:rPr>
                <w:rFonts w:ascii="Arial" w:cs="Arial" w:eastAsia="Arial" w:hAnsi="Arial"/>
                <w:sz w:val="18"/>
                <w:szCs w:val="18"/>
                <w:color w:val="auto"/>
              </w:rPr>
              <w:t>4’-DESMETHYL NUCLEOSIDE ANALOG COMPOUNDS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ISIS-4260</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6320040</w:t>
            </w:r>
          </w:p>
        </w:tc>
        <w:tc>
          <w:tcPr>
            <w:tcW w:w="5680" w:type="dxa"/>
            <w:vAlign w:val="bottom"/>
          </w:tcPr>
          <w:p>
            <w:pPr>
              <w:ind w:left="160"/>
              <w:spacing w:after="0"/>
              <w:rPr>
                <w:sz w:val="20"/>
                <w:szCs w:val="20"/>
                <w:color w:val="auto"/>
              </w:rPr>
            </w:pPr>
            <w:r>
              <w:rPr>
                <w:rFonts w:ascii="Arial" w:cs="Arial" w:eastAsia="Arial" w:hAnsi="Arial"/>
                <w:sz w:val="18"/>
                <w:szCs w:val="18"/>
                <w:color w:val="auto"/>
              </w:rPr>
              <w:t>4’-DESMETHYL NUCLEOSIDE ANALOGS, AND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THEREOF</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ISIS-2090</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5998603</w:t>
            </w:r>
          </w:p>
        </w:tc>
        <w:tc>
          <w:tcPr>
            <w:tcW w:w="5680" w:type="dxa"/>
            <w:vAlign w:val="bottom"/>
          </w:tcPr>
          <w:p>
            <w:pPr>
              <w:ind w:left="160"/>
              <w:spacing w:after="0"/>
              <w:rPr>
                <w:sz w:val="20"/>
                <w:szCs w:val="20"/>
                <w:color w:val="auto"/>
              </w:rPr>
            </w:pPr>
            <w:r>
              <w:rPr>
                <w:rFonts w:ascii="Arial" w:cs="Arial" w:eastAsia="Arial" w:hAnsi="Arial"/>
                <w:sz w:val="18"/>
                <w:szCs w:val="18"/>
                <w:color w:val="auto"/>
              </w:rPr>
              <w:t>4’-DESMETHYL NUCLEOSIDE ANALOGS, AND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THEREOF</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HYBN-221.0US</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5912332</w:t>
            </w: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AFFINITY-BASED PURIFICATION OF OLIGONUCLEOTIDES USING</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SOLUBLE MULTIMERIC OLIGONUCLEOTIDES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ISIS-1692</w:t>
            </w:r>
          </w:p>
        </w:tc>
        <w:tc>
          <w:tcPr>
            <w:tcW w:w="1100" w:type="dxa"/>
            <w:vAlign w:val="bottom"/>
          </w:tcPr>
          <w:p>
            <w:pPr>
              <w:ind w:left="340"/>
              <w:spacing w:after="0"/>
              <w:rPr>
                <w:sz w:val="20"/>
                <w:szCs w:val="20"/>
                <w:color w:val="auto"/>
              </w:rPr>
            </w:pPr>
            <w:r>
              <w:rPr>
                <w:rFonts w:ascii="Arial" w:cs="Arial" w:eastAsia="Arial" w:hAnsi="Arial"/>
                <w:sz w:val="18"/>
                <w:szCs w:val="18"/>
                <w:color w:val="auto"/>
              </w:rPr>
              <w:t>AU</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679566</w:t>
            </w: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ISIS-1693</w:t>
            </w:r>
          </w:p>
        </w:tc>
        <w:tc>
          <w:tcPr>
            <w:tcW w:w="1100" w:type="dxa"/>
            <w:vAlign w:val="bottom"/>
          </w:tcPr>
          <w:p>
            <w:pPr>
              <w:ind w:left="340"/>
              <w:spacing w:after="0"/>
              <w:rPr>
                <w:sz w:val="20"/>
                <w:szCs w:val="20"/>
                <w:color w:val="auto"/>
              </w:rPr>
            </w:pPr>
            <w:r>
              <w:rPr>
                <w:rFonts w:ascii="Arial" w:cs="Arial" w:eastAsia="Arial" w:hAnsi="Arial"/>
                <w:sz w:val="18"/>
                <w:szCs w:val="18"/>
                <w:color w:val="auto"/>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2170869</w:t>
            </w: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ISIS-1694</w:t>
            </w:r>
          </w:p>
        </w:tc>
        <w:tc>
          <w:tcPr>
            <w:tcW w:w="1100" w:type="dxa"/>
            <w:vAlign w:val="bottom"/>
          </w:tcPr>
          <w:p>
            <w:pPr>
              <w:ind w:left="36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694 33 036.1</w:t>
            </w: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ISIS-1698</w:t>
            </w:r>
          </w:p>
        </w:tc>
        <w:tc>
          <w:tcPr>
            <w:tcW w:w="1100" w:type="dxa"/>
            <w:vAlign w:val="bottom"/>
          </w:tcPr>
          <w:p>
            <w:pPr>
              <w:ind w:left="360"/>
              <w:spacing w:after="0"/>
              <w:rPr>
                <w:sz w:val="20"/>
                <w:szCs w:val="20"/>
                <w:color w:val="auto"/>
              </w:rPr>
            </w:pPr>
            <w:r>
              <w:rPr>
                <w:rFonts w:ascii="Arial" w:cs="Arial" w:eastAsia="Arial" w:hAnsi="Arial"/>
                <w:sz w:val="18"/>
                <w:szCs w:val="18"/>
                <w:color w:val="auto"/>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728139</w:t>
            </w: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ISIS-1699</w:t>
            </w:r>
          </w:p>
        </w:tc>
        <w:tc>
          <w:tcPr>
            <w:tcW w:w="1100" w:type="dxa"/>
            <w:vAlign w:val="bottom"/>
          </w:tcPr>
          <w:p>
            <w:pPr>
              <w:ind w:left="340"/>
              <w:spacing w:after="0"/>
              <w:rPr>
                <w:sz w:val="20"/>
                <w:szCs w:val="20"/>
                <w:color w:val="auto"/>
              </w:rPr>
            </w:pPr>
            <w:r>
              <w:rPr>
                <w:rFonts w:ascii="Arial" w:cs="Arial" w:eastAsia="Arial" w:hAnsi="Arial"/>
                <w:sz w:val="18"/>
                <w:szCs w:val="18"/>
                <w:color w:val="auto"/>
              </w:rPr>
              <w:t>GB</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728139</w:t>
            </w: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ISIS-1700</w:t>
            </w:r>
          </w:p>
        </w:tc>
        <w:tc>
          <w:tcPr>
            <w:tcW w:w="1100" w:type="dxa"/>
            <w:vAlign w:val="bottom"/>
          </w:tcPr>
          <w:p>
            <w:pPr>
              <w:ind w:left="340"/>
              <w:spacing w:after="0"/>
              <w:rPr>
                <w:sz w:val="20"/>
                <w:szCs w:val="20"/>
                <w:color w:val="auto"/>
              </w:rPr>
            </w:pPr>
            <w:r>
              <w:rPr>
                <w:rFonts w:ascii="Arial" w:cs="Arial" w:eastAsia="Arial" w:hAnsi="Arial"/>
                <w:sz w:val="18"/>
                <w:szCs w:val="18"/>
                <w:color w:val="auto"/>
              </w:rPr>
              <w:t>DE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728139</w:t>
            </w: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ISIS-1702</w:t>
            </w:r>
          </w:p>
        </w:tc>
        <w:tc>
          <w:tcPr>
            <w:tcW w:w="1100" w:type="dxa"/>
            <w:vAlign w:val="bottom"/>
          </w:tcPr>
          <w:p>
            <w:pPr>
              <w:ind w:left="380"/>
              <w:spacing w:after="0"/>
              <w:rPr>
                <w:sz w:val="20"/>
                <w:szCs w:val="20"/>
                <w:color w:val="auto"/>
              </w:rPr>
            </w:pPr>
            <w:r>
              <w:rPr>
                <w:rFonts w:ascii="Arial" w:cs="Arial" w:eastAsia="Arial" w:hAnsi="Arial"/>
                <w:sz w:val="18"/>
                <w:szCs w:val="18"/>
                <w:color w:val="auto"/>
              </w:rPr>
              <w:t>IE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728139</w:t>
            </w: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ISIS-1710</w:t>
            </w:r>
          </w:p>
        </w:tc>
        <w:tc>
          <w:tcPr>
            <w:tcW w:w="1100" w:type="dxa"/>
            <w:vAlign w:val="bottom"/>
          </w:tcPr>
          <w:p>
            <w:pPr>
              <w:ind w:left="340"/>
              <w:spacing w:after="0"/>
              <w:rPr>
                <w:sz w:val="20"/>
                <w:szCs w:val="20"/>
                <w:color w:val="auto"/>
              </w:rPr>
            </w:pPr>
            <w:r>
              <w:rPr>
                <w:rFonts w:ascii="Arial" w:cs="Arial" w:eastAsia="Arial" w:hAnsi="Arial"/>
                <w:sz w:val="18"/>
                <w:szCs w:val="18"/>
                <w:color w:val="auto"/>
              </w:rPr>
              <w:t>CH</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728139</w:t>
            </w: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ISIS-1711</w:t>
            </w:r>
          </w:p>
        </w:tc>
        <w:tc>
          <w:tcPr>
            <w:tcW w:w="1100" w:type="dxa"/>
            <w:vAlign w:val="bottom"/>
          </w:tcPr>
          <w:p>
            <w:pPr>
              <w:ind w:left="38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3484197</w:t>
            </w: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ISIS-1712</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ISIS-2000</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99"/>
              </w:rPr>
              <w:t>AMINE-DERIVATIZED NUCLEOSIDES AND 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ISIS-1788</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5834607</w:t>
            </w:r>
          </w:p>
        </w:tc>
        <w:tc>
          <w:tcPr>
            <w:tcW w:w="5680" w:type="dxa"/>
            <w:vAlign w:val="bottom"/>
          </w:tcPr>
          <w:p>
            <w:pPr>
              <w:ind w:left="160"/>
              <w:spacing w:after="0"/>
              <w:rPr>
                <w:sz w:val="20"/>
                <w:szCs w:val="20"/>
                <w:color w:val="auto"/>
              </w:rPr>
            </w:pPr>
            <w:r>
              <w:rPr>
                <w:rFonts w:ascii="Arial" w:cs="Arial" w:eastAsia="Arial" w:hAnsi="Arial"/>
                <w:sz w:val="18"/>
                <w:szCs w:val="18"/>
                <w:color w:val="auto"/>
              </w:rPr>
              <w:t>AMINES AND METHODS OF MAKING AND USING THE SAME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ISIS-3508</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6576752</w:t>
            </w:r>
          </w:p>
        </w:tc>
        <w:tc>
          <w:tcPr>
            <w:tcW w:w="5680" w:type="dxa"/>
            <w:vAlign w:val="bottom"/>
          </w:tcPr>
          <w:p>
            <w:pPr>
              <w:ind w:left="160"/>
              <w:spacing w:after="0"/>
              <w:rPr>
                <w:sz w:val="20"/>
                <w:szCs w:val="20"/>
                <w:color w:val="auto"/>
              </w:rPr>
            </w:pPr>
            <w:r>
              <w:rPr>
                <w:rFonts w:ascii="Arial" w:cs="Arial" w:eastAsia="Arial" w:hAnsi="Arial"/>
                <w:sz w:val="18"/>
                <w:szCs w:val="18"/>
                <w:color w:val="auto"/>
              </w:rPr>
              <w:t>AMINOOXY FUNCTIONALIZED OLIGOMERS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ISIS-5089</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AMINOOXY FUNCTIONALIZED OLIGOMERS, OLIGOMER ARRAYS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METHODS OF USING THEM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ISIS-3993</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6639062</w:t>
            </w:r>
          </w:p>
        </w:tc>
        <w:tc>
          <w:tcPr>
            <w:tcW w:w="5680" w:type="dxa"/>
            <w:vAlign w:val="bottom"/>
          </w:tcPr>
          <w:p>
            <w:pPr>
              <w:ind w:left="160"/>
              <w:spacing w:after="0"/>
              <w:rPr>
                <w:sz w:val="20"/>
                <w:szCs w:val="20"/>
                <w:color w:val="auto"/>
              </w:rPr>
            </w:pPr>
            <w:r>
              <w:rPr>
                <w:rFonts w:ascii="Arial" w:cs="Arial" w:eastAsia="Arial" w:hAnsi="Arial"/>
                <w:sz w:val="18"/>
                <w:szCs w:val="18"/>
                <w:color w:val="auto"/>
              </w:rPr>
              <w:t>AMINOOXY-MODIFIED NUCLEOSIDIC COMPOUNDS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OLIGOMERIC COMPOUNDS PREPARED THEREFROM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ISIS-2829</w:t>
            </w:r>
          </w:p>
        </w:tc>
        <w:tc>
          <w:tcPr>
            <w:tcW w:w="1100" w:type="dxa"/>
            <w:vAlign w:val="bottom"/>
          </w:tcPr>
          <w:p>
            <w:pPr>
              <w:ind w:left="340"/>
              <w:spacing w:after="0"/>
              <w:rPr>
                <w:sz w:val="20"/>
                <w:szCs w:val="20"/>
                <w:color w:val="auto"/>
              </w:rPr>
            </w:pPr>
            <w:r>
              <w:rPr>
                <w:rFonts w:ascii="Arial" w:cs="Arial" w:eastAsia="Arial" w:hAnsi="Arial"/>
                <w:sz w:val="18"/>
                <w:szCs w:val="18"/>
                <w:color w:val="auto"/>
              </w:rPr>
              <w:t>AU</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740799</w:t>
            </w:r>
          </w:p>
        </w:tc>
        <w:tc>
          <w:tcPr>
            <w:tcW w:w="5680" w:type="dxa"/>
            <w:vAlign w:val="bottom"/>
          </w:tcPr>
          <w:p>
            <w:pPr>
              <w:ind w:left="160"/>
              <w:spacing w:after="0"/>
              <w:rPr>
                <w:sz w:val="20"/>
                <w:szCs w:val="20"/>
                <w:color w:val="auto"/>
              </w:rPr>
            </w:pPr>
            <w:r>
              <w:rPr>
                <w:rFonts w:ascii="Arial" w:cs="Arial" w:eastAsia="Arial" w:hAnsi="Arial"/>
                <w:sz w:val="18"/>
                <w:szCs w:val="18"/>
                <w:color w:val="auto"/>
              </w:rPr>
              <w:t>AMINOOXY-MODIFIED OLIGONUCLEOTIDES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ISIS-2830</w:t>
            </w:r>
          </w:p>
        </w:tc>
        <w:tc>
          <w:tcPr>
            <w:tcW w:w="1100" w:type="dxa"/>
            <w:vAlign w:val="bottom"/>
          </w:tcPr>
          <w:p>
            <w:pPr>
              <w:ind w:left="340"/>
              <w:spacing w:after="0"/>
              <w:rPr>
                <w:sz w:val="20"/>
                <w:szCs w:val="20"/>
                <w:color w:val="auto"/>
              </w:rPr>
            </w:pPr>
            <w:r>
              <w:rPr>
                <w:rFonts w:ascii="Arial" w:cs="Arial" w:eastAsia="Arial" w:hAnsi="Arial"/>
                <w:sz w:val="18"/>
                <w:szCs w:val="18"/>
                <w:color w:val="auto"/>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AMINOOXY-MODIFIED OLIGONUCLEOTIDES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ISIS-2831</w:t>
            </w:r>
          </w:p>
        </w:tc>
        <w:tc>
          <w:tcPr>
            <w:tcW w:w="1100" w:type="dxa"/>
            <w:vAlign w:val="bottom"/>
          </w:tcPr>
          <w:p>
            <w:pPr>
              <w:ind w:left="36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AMINOOXY-MODIFIED OLIGONUCLEOTIDES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ISIS-2849</w:t>
            </w:r>
          </w:p>
        </w:tc>
        <w:tc>
          <w:tcPr>
            <w:tcW w:w="1100" w:type="dxa"/>
            <w:vAlign w:val="bottom"/>
          </w:tcPr>
          <w:p>
            <w:pPr>
              <w:ind w:left="38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AMINOOXY-MODIFIED OLIGONUCLEOTIDES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ISIS-2850</w:t>
            </w:r>
          </w:p>
        </w:tc>
        <w:tc>
          <w:tcPr>
            <w:tcW w:w="1100" w:type="dxa"/>
            <w:vAlign w:val="bottom"/>
          </w:tcPr>
          <w:p>
            <w:pPr>
              <w:ind w:left="340"/>
              <w:spacing w:after="0"/>
              <w:rPr>
                <w:sz w:val="20"/>
                <w:szCs w:val="20"/>
                <w:color w:val="auto"/>
              </w:rPr>
            </w:pPr>
            <w:r>
              <w:rPr>
                <w:rFonts w:ascii="Arial" w:cs="Arial" w:eastAsia="Arial" w:hAnsi="Arial"/>
                <w:sz w:val="18"/>
                <w:szCs w:val="18"/>
                <w:color w:val="auto"/>
              </w:rPr>
              <w:t>KR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399743</w:t>
            </w:r>
          </w:p>
        </w:tc>
        <w:tc>
          <w:tcPr>
            <w:tcW w:w="5680" w:type="dxa"/>
            <w:vAlign w:val="bottom"/>
          </w:tcPr>
          <w:p>
            <w:pPr>
              <w:ind w:left="160"/>
              <w:spacing w:after="0"/>
              <w:rPr>
                <w:sz w:val="20"/>
                <w:szCs w:val="20"/>
                <w:color w:val="auto"/>
              </w:rPr>
            </w:pPr>
            <w:r>
              <w:rPr>
                <w:rFonts w:ascii="Arial" w:cs="Arial" w:eastAsia="Arial" w:hAnsi="Arial"/>
                <w:sz w:val="18"/>
                <w:szCs w:val="18"/>
                <w:color w:val="auto"/>
              </w:rPr>
              <w:t>AMINOOXY-MODIFIED OLIGONUCLEOTIDES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ISIS-2955</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6172209</w:t>
            </w:r>
          </w:p>
        </w:tc>
        <w:tc>
          <w:tcPr>
            <w:tcW w:w="5680" w:type="dxa"/>
            <w:vAlign w:val="bottom"/>
          </w:tcPr>
          <w:p>
            <w:pPr>
              <w:ind w:left="160"/>
              <w:spacing w:after="0"/>
              <w:rPr>
                <w:sz w:val="20"/>
                <w:szCs w:val="20"/>
                <w:color w:val="auto"/>
              </w:rPr>
            </w:pPr>
            <w:r>
              <w:rPr>
                <w:rFonts w:ascii="Arial" w:cs="Arial" w:eastAsia="Arial" w:hAnsi="Arial"/>
                <w:sz w:val="18"/>
                <w:szCs w:val="18"/>
                <w:color w:val="auto"/>
                <w:w w:val="97"/>
              </w:rPr>
              <w:t>AMINOOXY-MODIFIED OLIGONUCLEOTIDES AND METHODS FOR</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MAKING SAME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ISIS-3996</w:t>
            </w:r>
          </w:p>
        </w:tc>
        <w:tc>
          <w:tcPr>
            <w:tcW w:w="1100" w:type="dxa"/>
            <w:vAlign w:val="bottom"/>
          </w:tcPr>
          <w:p>
            <w:pPr>
              <w:ind w:left="340"/>
              <w:spacing w:after="0"/>
              <w:rPr>
                <w:sz w:val="20"/>
                <w:szCs w:val="20"/>
                <w:color w:val="auto"/>
              </w:rPr>
            </w:pPr>
            <w:r>
              <w:rPr>
                <w:rFonts w:ascii="Arial" w:cs="Arial" w:eastAsia="Arial" w:hAnsi="Arial"/>
                <w:sz w:val="18"/>
                <w:szCs w:val="18"/>
                <w:color w:val="auto"/>
              </w:rPr>
              <w:t>AU</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752878</w:t>
            </w:r>
          </w:p>
        </w:tc>
        <w:tc>
          <w:tcPr>
            <w:tcW w:w="5680" w:type="dxa"/>
            <w:vAlign w:val="bottom"/>
          </w:tcPr>
          <w:p>
            <w:pPr>
              <w:ind w:left="160"/>
              <w:spacing w:after="0"/>
              <w:rPr>
                <w:sz w:val="20"/>
                <w:szCs w:val="20"/>
                <w:color w:val="auto"/>
              </w:rPr>
            </w:pPr>
            <w:r>
              <w:rPr>
                <w:rFonts w:ascii="Arial" w:cs="Arial" w:eastAsia="Arial" w:hAnsi="Arial"/>
                <w:sz w:val="18"/>
                <w:szCs w:val="18"/>
                <w:color w:val="auto"/>
                <w:w w:val="97"/>
              </w:rPr>
              <w:t>AMINOOXY-MODIFIED OLIGONUCLEOTIDES AND METHODS FOR</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MAKING SAME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ISIS-3997</w:t>
            </w:r>
          </w:p>
        </w:tc>
        <w:tc>
          <w:tcPr>
            <w:tcW w:w="1100" w:type="dxa"/>
            <w:vAlign w:val="bottom"/>
          </w:tcPr>
          <w:p>
            <w:pPr>
              <w:ind w:left="340"/>
              <w:spacing w:after="0"/>
              <w:rPr>
                <w:sz w:val="20"/>
                <w:szCs w:val="20"/>
                <w:color w:val="auto"/>
              </w:rPr>
            </w:pPr>
            <w:r>
              <w:rPr>
                <w:rFonts w:ascii="Arial" w:cs="Arial" w:eastAsia="Arial" w:hAnsi="Arial"/>
                <w:sz w:val="18"/>
                <w:szCs w:val="18"/>
                <w:color w:val="auto"/>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97"/>
              </w:rPr>
              <w:t>AMINOOXY-MODIFIED OLIGONUCLEOTIDES AND METHODS FOR</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MAKING SAME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ISIS-3998</w:t>
            </w:r>
          </w:p>
        </w:tc>
        <w:tc>
          <w:tcPr>
            <w:tcW w:w="1100" w:type="dxa"/>
            <w:vAlign w:val="bottom"/>
          </w:tcPr>
          <w:p>
            <w:pPr>
              <w:ind w:left="36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97"/>
              </w:rPr>
              <w:t>AMINOOXY-MODIFIED OLIGONUCLEOTIDES AND METHODS FOR</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MAKING SAME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ISIS-4017</w:t>
            </w:r>
          </w:p>
        </w:tc>
        <w:tc>
          <w:tcPr>
            <w:tcW w:w="1100" w:type="dxa"/>
            <w:vAlign w:val="bottom"/>
          </w:tcPr>
          <w:p>
            <w:pPr>
              <w:ind w:left="38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97"/>
              </w:rPr>
              <w:t>AMINOOXY-MODIFIED OLIGONUCLEOTIDES AND METHODS FOR</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MAKING SAME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ISIS-4309</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6194598</w:t>
            </w:r>
          </w:p>
        </w:tc>
        <w:tc>
          <w:tcPr>
            <w:tcW w:w="5680" w:type="dxa"/>
            <w:vAlign w:val="bottom"/>
          </w:tcPr>
          <w:p>
            <w:pPr>
              <w:ind w:left="160"/>
              <w:spacing w:after="0"/>
              <w:rPr>
                <w:sz w:val="20"/>
                <w:szCs w:val="20"/>
                <w:color w:val="auto"/>
              </w:rPr>
            </w:pPr>
            <w:r>
              <w:rPr>
                <w:rFonts w:ascii="Arial" w:cs="Arial" w:eastAsia="Arial" w:hAnsi="Arial"/>
                <w:sz w:val="18"/>
                <w:szCs w:val="18"/>
                <w:color w:val="auto"/>
              </w:rPr>
              <w:t>AMINOOXY-MODIFIED OLIGONUCLEOTIDES SYNTHETIC</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INTERMDIATES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GLIS-0054</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5214136</w:t>
            </w:r>
          </w:p>
        </w:tc>
        <w:tc>
          <w:tcPr>
            <w:tcW w:w="5680" w:type="dxa"/>
            <w:vAlign w:val="bottom"/>
          </w:tcPr>
          <w:p>
            <w:pPr>
              <w:ind w:left="160"/>
              <w:spacing w:after="0"/>
              <w:rPr>
                <w:sz w:val="20"/>
                <w:szCs w:val="20"/>
                <w:color w:val="auto"/>
              </w:rPr>
            </w:pPr>
            <w:r>
              <w:rPr>
                <w:rFonts w:ascii="Arial" w:cs="Arial" w:eastAsia="Arial" w:hAnsi="Arial"/>
                <w:sz w:val="18"/>
                <w:szCs w:val="18"/>
                <w:color w:val="auto"/>
              </w:rPr>
              <w:t>ANTHRAQUINONE-DERIVATIVES OLIGONUCLEOTIDES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5929226</w:t>
            </w:r>
          </w:p>
        </w:tc>
        <w:tc>
          <w:tcPr>
            <w:tcW w:w="5680" w:type="dxa"/>
            <w:vAlign w:val="bottom"/>
          </w:tcPr>
          <w:p>
            <w:pPr>
              <w:ind w:left="160"/>
              <w:spacing w:after="0"/>
              <w:rPr>
                <w:sz w:val="20"/>
                <w:szCs w:val="20"/>
                <w:color w:val="auto"/>
              </w:rPr>
            </w:pPr>
            <w:r>
              <w:rPr>
                <w:rFonts w:ascii="Arial" w:cs="Arial" w:eastAsia="Arial" w:hAnsi="Arial"/>
                <w:sz w:val="18"/>
                <w:szCs w:val="18"/>
                <w:color w:val="auto"/>
              </w:rPr>
              <w:t>ANTISENSE OLIGONUCLEOTIDE ALKYLPHOSPHONOTHIOATES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116.0USC1</w:t>
            </w: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ARYLPOSPOHONOTHIOATES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ISIS-0718</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5386023</w:t>
            </w:r>
          </w:p>
        </w:tc>
        <w:tc>
          <w:tcPr>
            <w:tcW w:w="5680" w:type="dxa"/>
            <w:vAlign w:val="bottom"/>
          </w:tcPr>
          <w:p>
            <w:pPr>
              <w:ind w:left="160"/>
              <w:spacing w:after="0"/>
              <w:rPr>
                <w:sz w:val="20"/>
                <w:szCs w:val="20"/>
                <w:color w:val="auto"/>
              </w:rPr>
            </w:pPr>
            <w:r>
              <w:rPr>
                <w:rFonts w:ascii="Arial" w:cs="Arial" w:eastAsia="Arial" w:hAnsi="Arial"/>
                <w:sz w:val="18"/>
                <w:szCs w:val="18"/>
                <w:color w:val="auto"/>
              </w:rPr>
              <w:t>BACKBONE MODIFIED OLIGNUCLEOTIDE ANALOGS AND</w:t>
            </w:r>
          </w:p>
        </w:tc>
      </w:tr>
      <w:tr>
        <w:trPr>
          <w:trHeight w:val="230"/>
        </w:trPr>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PREPARATION THEREOF THROUGH REDUCTIVE COUPLING</w:t>
            </w:r>
          </w:p>
        </w:tc>
      </w:tr>
    </w:tbl>
    <w:p>
      <w:pPr>
        <w:sectPr>
          <w:pgSz w:w="11900" w:h="16838" w:orient="portrait"/>
          <w:cols w:equalWidth="0" w:num="1">
            <w:col w:w="11320"/>
          </w:cols>
          <w:pgMar w:left="240" w:top="341"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ISIS-0031</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5378825</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 ANALOGS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NVIS-0026</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5602240</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 ANALOGS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ISIS-3293</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6025482</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 ANALOGS AND</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PERPARATION THEREOF THROUGH REDUCTIVE COUPLING</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ISIS-2420</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5969118</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 ANALOGS AND</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PREPARATION THEREOF THROUGH RADICAL COUPLING</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ISIS-0716</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5541307</w:t>
            </w:r>
          </w:p>
        </w:tc>
        <w:tc>
          <w:tcPr>
            <w:tcW w:w="5740" w:type="dxa"/>
            <w:vAlign w:val="bottom"/>
          </w:tcPr>
          <w:p>
            <w:pPr>
              <w:ind w:left="160"/>
              <w:spacing w:after="0"/>
              <w:rPr>
                <w:sz w:val="20"/>
                <w:szCs w:val="20"/>
                <w:color w:val="auto"/>
              </w:rPr>
            </w:pPr>
            <w:r>
              <w:rPr>
                <w:rFonts w:ascii="Arial" w:cs="Arial" w:eastAsia="Arial" w:hAnsi="Arial"/>
                <w:sz w:val="18"/>
                <w:szCs w:val="18"/>
                <w:color w:val="auto"/>
                <w:w w:val="98"/>
              </w:rPr>
              <w:t>BACKBONE MODIFIED OLIGONUCLEOTIDE ANALOGS AND SOLID</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PHASE SYNTHESIS THEREOF</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ISIS-0543</w:t>
            </w:r>
          </w:p>
        </w:tc>
        <w:tc>
          <w:tcPr>
            <w:tcW w:w="1080" w:type="dxa"/>
            <w:vAlign w:val="bottom"/>
          </w:tcPr>
          <w:p>
            <w:pPr>
              <w:ind w:left="320"/>
              <w:spacing w:after="0"/>
              <w:rPr>
                <w:sz w:val="20"/>
                <w:szCs w:val="20"/>
                <w:color w:val="auto"/>
              </w:rPr>
            </w:pPr>
            <w:r>
              <w:rPr>
                <w:rFonts w:ascii="Arial" w:cs="Arial" w:eastAsia="Arial" w:hAnsi="Arial"/>
                <w:sz w:val="18"/>
                <w:szCs w:val="18"/>
                <w:color w:val="auto"/>
              </w:rPr>
              <w:t>AU</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666121</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ISIS-0545</w:t>
            </w:r>
          </w:p>
        </w:tc>
        <w:tc>
          <w:tcPr>
            <w:tcW w:w="1080" w:type="dxa"/>
            <w:vAlign w:val="bottom"/>
          </w:tcPr>
          <w:p>
            <w:pPr>
              <w:ind w:left="320"/>
              <w:spacing w:after="0"/>
              <w:rPr>
                <w:sz w:val="20"/>
                <w:szCs w:val="20"/>
                <w:color w:val="auto"/>
              </w:rPr>
            </w:pPr>
            <w:r>
              <w:rPr>
                <w:rFonts w:ascii="Arial" w:cs="Arial" w:eastAsia="Arial" w:hAnsi="Arial"/>
                <w:sz w:val="18"/>
                <w:szCs w:val="18"/>
                <w:color w:val="auto"/>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ISIS-0550</w:t>
            </w:r>
          </w:p>
        </w:tc>
        <w:tc>
          <w:tcPr>
            <w:tcW w:w="1080" w:type="dxa"/>
            <w:vAlign w:val="bottom"/>
          </w:tcPr>
          <w:p>
            <w:pPr>
              <w:ind w:left="340"/>
              <w:spacing w:after="0"/>
              <w:rPr>
                <w:sz w:val="20"/>
                <w:szCs w:val="20"/>
                <w:color w:val="auto"/>
              </w:rPr>
            </w:pPr>
            <w:r>
              <w:rPr>
                <w:rFonts w:ascii="Arial" w:cs="Arial" w:eastAsia="Arial" w:hAnsi="Arial"/>
                <w:sz w:val="18"/>
                <w:szCs w:val="18"/>
                <w:color w:val="auto"/>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586570</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ISIS-0551</w:t>
            </w:r>
          </w:p>
        </w:tc>
        <w:tc>
          <w:tcPr>
            <w:tcW w:w="1080" w:type="dxa"/>
            <w:vAlign w:val="bottom"/>
          </w:tcPr>
          <w:p>
            <w:pPr>
              <w:ind w:left="320"/>
              <w:spacing w:after="0"/>
              <w:rPr>
                <w:sz w:val="20"/>
                <w:szCs w:val="20"/>
                <w:color w:val="auto"/>
              </w:rPr>
            </w:pPr>
            <w:r>
              <w:rPr>
                <w:rFonts w:ascii="Arial" w:cs="Arial" w:eastAsia="Arial" w:hAnsi="Arial"/>
                <w:sz w:val="18"/>
                <w:szCs w:val="18"/>
                <w:color w:val="auto"/>
              </w:rPr>
              <w:t>DE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692 31 441.5</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ISIS-0552</w:t>
            </w:r>
          </w:p>
        </w:tc>
        <w:tc>
          <w:tcPr>
            <w:tcW w:w="1080" w:type="dxa"/>
            <w:vAlign w:val="bottom"/>
          </w:tcPr>
          <w:p>
            <w:pPr>
              <w:ind w:left="320"/>
              <w:spacing w:after="0"/>
              <w:rPr>
                <w:sz w:val="20"/>
                <w:szCs w:val="20"/>
                <w:color w:val="auto"/>
              </w:rPr>
            </w:pPr>
            <w:r>
              <w:rPr>
                <w:rFonts w:ascii="Arial" w:cs="Arial" w:eastAsia="Arial" w:hAnsi="Arial"/>
                <w:sz w:val="18"/>
                <w:szCs w:val="18"/>
                <w:color w:val="auto"/>
              </w:rPr>
              <w:t>GB</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586570</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ISIS-0560</w:t>
            </w:r>
          </w:p>
        </w:tc>
        <w:tc>
          <w:tcPr>
            <w:tcW w:w="1080" w:type="dxa"/>
            <w:vAlign w:val="bottom"/>
          </w:tcPr>
          <w:p>
            <w:pPr>
              <w:ind w:left="320"/>
              <w:spacing w:after="0"/>
              <w:rPr>
                <w:sz w:val="20"/>
                <w:szCs w:val="20"/>
                <w:color w:val="auto"/>
              </w:rPr>
            </w:pPr>
            <w:r>
              <w:rPr>
                <w:rFonts w:ascii="Arial" w:cs="Arial" w:eastAsia="Arial" w:hAnsi="Arial"/>
                <w:sz w:val="18"/>
                <w:szCs w:val="18"/>
                <w:color w:val="auto"/>
              </w:rPr>
              <w:t>CH</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586570</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ISIS-0564</w:t>
            </w:r>
          </w:p>
        </w:tc>
        <w:tc>
          <w:tcPr>
            <w:tcW w:w="1080" w:type="dxa"/>
            <w:vAlign w:val="bottom"/>
          </w:tcPr>
          <w:p>
            <w:pPr>
              <w:ind w:left="36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85"/>
              </w:rPr>
              <w:t>2711180</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ISIS-0565</w:t>
            </w:r>
          </w:p>
        </w:tc>
        <w:tc>
          <w:tcPr>
            <w:tcW w:w="1080" w:type="dxa"/>
            <w:vAlign w:val="bottom"/>
          </w:tcPr>
          <w:p>
            <w:pPr>
              <w:ind w:left="320"/>
              <w:spacing w:after="0"/>
              <w:rPr>
                <w:sz w:val="20"/>
                <w:szCs w:val="20"/>
                <w:color w:val="auto"/>
              </w:rPr>
            </w:pPr>
            <w:r>
              <w:rPr>
                <w:rFonts w:ascii="Arial" w:cs="Arial" w:eastAsia="Arial" w:hAnsi="Arial"/>
                <w:sz w:val="18"/>
                <w:szCs w:val="18"/>
                <w:color w:val="auto"/>
              </w:rPr>
              <w:t>KR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155574</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ISIS-4293</w:t>
            </w:r>
          </w:p>
        </w:tc>
        <w:tc>
          <w:tcPr>
            <w:tcW w:w="1080" w:type="dxa"/>
            <w:vAlign w:val="bottom"/>
          </w:tcPr>
          <w:p>
            <w:pPr>
              <w:ind w:left="34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ISIS-0567</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5610289</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 ANALOGS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ISIS-0546</w:t>
            </w:r>
          </w:p>
        </w:tc>
        <w:tc>
          <w:tcPr>
            <w:tcW w:w="1080" w:type="dxa"/>
            <w:vAlign w:val="bottom"/>
          </w:tcPr>
          <w:p>
            <w:pPr>
              <w:ind w:left="34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586570</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 ANALOGUES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ISIS-2404</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5965721</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 MODIFIED OLIGONUCLEOTIDES ANALOGUES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ISIS-5061</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BACKBONE-MODIFIED OLIGONUCLEOTIDE ANALOGS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ISIS-1713</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5618704</w:t>
            </w:r>
          </w:p>
        </w:tc>
        <w:tc>
          <w:tcPr>
            <w:tcW w:w="5740" w:type="dxa"/>
            <w:vAlign w:val="bottom"/>
          </w:tcPr>
          <w:p>
            <w:pPr>
              <w:ind w:left="160"/>
              <w:spacing w:after="0"/>
              <w:rPr>
                <w:sz w:val="20"/>
                <w:szCs w:val="20"/>
                <w:color w:val="auto"/>
              </w:rPr>
            </w:pPr>
            <w:r>
              <w:rPr>
                <w:rFonts w:ascii="Arial" w:cs="Arial" w:eastAsia="Arial" w:hAnsi="Arial"/>
                <w:sz w:val="18"/>
                <w:szCs w:val="18"/>
                <w:color w:val="auto"/>
              </w:rPr>
              <w:t>BACKBONE-MODIFIED OLIGONUCLEOTIDE ANALOGS AND</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PREPARATION TH EREOF THROUGH RADICAL COUPLING</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GLIS-0097</w:t>
            </w:r>
          </w:p>
        </w:tc>
        <w:tc>
          <w:tcPr>
            <w:tcW w:w="1080" w:type="dxa"/>
            <w:vAlign w:val="bottom"/>
          </w:tcPr>
          <w:p>
            <w:pPr>
              <w:ind w:left="34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643720</w:t>
            </w:r>
          </w:p>
        </w:tc>
        <w:tc>
          <w:tcPr>
            <w:tcW w:w="5740" w:type="dxa"/>
            <w:vAlign w:val="bottom"/>
          </w:tcPr>
          <w:p>
            <w:pPr>
              <w:ind w:left="160"/>
              <w:spacing w:after="0"/>
              <w:rPr>
                <w:sz w:val="20"/>
                <w:szCs w:val="20"/>
                <w:color w:val="auto"/>
              </w:rPr>
            </w:pPr>
            <w:r>
              <w:rPr>
                <w:rFonts w:ascii="Arial" w:cs="Arial" w:eastAsia="Arial" w:hAnsi="Arial"/>
                <w:sz w:val="18"/>
                <w:szCs w:val="18"/>
                <w:color w:val="auto"/>
                <w:w w:val="98"/>
              </w:rPr>
              <w:t>BINDING COMPETENT OLIGOMERS CONTAINING 2’, 5’ LINKAGES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GLIS-0122</w:t>
            </w:r>
          </w:p>
        </w:tc>
        <w:tc>
          <w:tcPr>
            <w:tcW w:w="1080" w:type="dxa"/>
            <w:vAlign w:val="bottom"/>
          </w:tcPr>
          <w:p>
            <w:pPr>
              <w:ind w:left="320"/>
              <w:spacing w:after="0"/>
              <w:rPr>
                <w:sz w:val="20"/>
                <w:szCs w:val="20"/>
                <w:color w:val="auto"/>
              </w:rPr>
            </w:pPr>
            <w:r>
              <w:rPr>
                <w:rFonts w:ascii="Arial" w:cs="Arial" w:eastAsia="Arial" w:hAnsi="Arial"/>
                <w:sz w:val="18"/>
                <w:szCs w:val="18"/>
                <w:color w:val="auto"/>
              </w:rPr>
              <w:t>GB</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643720</w:t>
            </w:r>
          </w:p>
        </w:tc>
        <w:tc>
          <w:tcPr>
            <w:tcW w:w="5740" w:type="dxa"/>
            <w:vAlign w:val="bottom"/>
          </w:tcPr>
          <w:p>
            <w:pPr>
              <w:ind w:left="160"/>
              <w:spacing w:after="0"/>
              <w:rPr>
                <w:sz w:val="20"/>
                <w:szCs w:val="20"/>
                <w:color w:val="auto"/>
              </w:rPr>
            </w:pPr>
            <w:r>
              <w:rPr>
                <w:rFonts w:ascii="Arial" w:cs="Arial" w:eastAsia="Arial" w:hAnsi="Arial"/>
                <w:sz w:val="18"/>
                <w:szCs w:val="18"/>
                <w:color w:val="auto"/>
                <w:w w:val="98"/>
              </w:rPr>
              <w:t>BINDING COMPETENT OLIGOMERS CONTAINING 2’, 5’ LINKAGES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GLIS-0123</w:t>
            </w:r>
          </w:p>
        </w:tc>
        <w:tc>
          <w:tcPr>
            <w:tcW w:w="1080" w:type="dxa"/>
            <w:vAlign w:val="bottom"/>
          </w:tcPr>
          <w:p>
            <w:pPr>
              <w:ind w:left="320"/>
              <w:spacing w:after="0"/>
              <w:rPr>
                <w:sz w:val="20"/>
                <w:szCs w:val="20"/>
                <w:color w:val="auto"/>
              </w:rPr>
            </w:pPr>
            <w:r>
              <w:rPr>
                <w:rFonts w:ascii="Arial" w:cs="Arial" w:eastAsia="Arial" w:hAnsi="Arial"/>
                <w:sz w:val="18"/>
                <w:szCs w:val="18"/>
                <w:color w:val="auto"/>
              </w:rPr>
              <w:t>DE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88"/>
              </w:rPr>
              <w:t>693 22 640</w:t>
            </w:r>
          </w:p>
        </w:tc>
        <w:tc>
          <w:tcPr>
            <w:tcW w:w="5740" w:type="dxa"/>
            <w:vAlign w:val="bottom"/>
          </w:tcPr>
          <w:p>
            <w:pPr>
              <w:ind w:left="160"/>
              <w:spacing w:after="0"/>
              <w:rPr>
                <w:sz w:val="20"/>
                <w:szCs w:val="20"/>
                <w:color w:val="auto"/>
              </w:rPr>
            </w:pPr>
            <w:r>
              <w:rPr>
                <w:rFonts w:ascii="Arial" w:cs="Arial" w:eastAsia="Arial" w:hAnsi="Arial"/>
                <w:sz w:val="18"/>
                <w:szCs w:val="18"/>
                <w:color w:val="auto"/>
                <w:w w:val="98"/>
              </w:rPr>
              <w:t>BINDING COMPETENT OLIGOMERS CONTAINING 2’, 5’ LINKAGES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GLIS-0124</w:t>
            </w:r>
          </w:p>
        </w:tc>
        <w:tc>
          <w:tcPr>
            <w:tcW w:w="1080" w:type="dxa"/>
            <w:vAlign w:val="bottom"/>
          </w:tcPr>
          <w:p>
            <w:pPr>
              <w:ind w:left="340"/>
              <w:spacing w:after="0"/>
              <w:rPr>
                <w:sz w:val="20"/>
                <w:szCs w:val="20"/>
                <w:color w:val="auto"/>
              </w:rPr>
            </w:pPr>
            <w:r>
              <w:rPr>
                <w:rFonts w:ascii="Arial" w:cs="Arial" w:eastAsia="Arial" w:hAnsi="Arial"/>
                <w:sz w:val="18"/>
                <w:szCs w:val="18"/>
                <w:color w:val="auto"/>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643720</w:t>
            </w:r>
          </w:p>
        </w:tc>
        <w:tc>
          <w:tcPr>
            <w:tcW w:w="5740" w:type="dxa"/>
            <w:vAlign w:val="bottom"/>
          </w:tcPr>
          <w:p>
            <w:pPr>
              <w:ind w:left="160"/>
              <w:spacing w:after="0"/>
              <w:rPr>
                <w:sz w:val="20"/>
                <w:szCs w:val="20"/>
                <w:color w:val="auto"/>
              </w:rPr>
            </w:pPr>
            <w:r>
              <w:rPr>
                <w:rFonts w:ascii="Arial" w:cs="Arial" w:eastAsia="Arial" w:hAnsi="Arial"/>
                <w:sz w:val="18"/>
                <w:szCs w:val="18"/>
                <w:color w:val="auto"/>
                <w:w w:val="98"/>
              </w:rPr>
              <w:t>BINDING COMPETENT OLIGOMERS CONTAINING 2’, 5’ LINKAGES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GLIS-0125</w:t>
            </w:r>
          </w:p>
        </w:tc>
        <w:tc>
          <w:tcPr>
            <w:tcW w:w="1080" w:type="dxa"/>
            <w:vAlign w:val="bottom"/>
          </w:tcPr>
          <w:p>
            <w:pPr>
              <w:ind w:left="320"/>
              <w:spacing w:after="0"/>
              <w:rPr>
                <w:sz w:val="20"/>
                <w:szCs w:val="20"/>
                <w:color w:val="auto"/>
              </w:rPr>
            </w:pPr>
            <w:r>
              <w:rPr>
                <w:rFonts w:ascii="Arial" w:cs="Arial" w:eastAsia="Arial" w:hAnsi="Arial"/>
                <w:sz w:val="18"/>
                <w:szCs w:val="18"/>
                <w:color w:val="auto"/>
              </w:rPr>
              <w:t>CH</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643720</w:t>
            </w:r>
          </w:p>
        </w:tc>
        <w:tc>
          <w:tcPr>
            <w:tcW w:w="5740" w:type="dxa"/>
            <w:vAlign w:val="bottom"/>
          </w:tcPr>
          <w:p>
            <w:pPr>
              <w:ind w:left="160"/>
              <w:spacing w:after="0"/>
              <w:rPr>
                <w:sz w:val="20"/>
                <w:szCs w:val="20"/>
                <w:color w:val="auto"/>
              </w:rPr>
            </w:pPr>
            <w:r>
              <w:rPr>
                <w:rFonts w:ascii="Arial" w:cs="Arial" w:eastAsia="Arial" w:hAnsi="Arial"/>
                <w:sz w:val="18"/>
                <w:szCs w:val="18"/>
                <w:color w:val="auto"/>
                <w:w w:val="98"/>
              </w:rPr>
              <w:t>BINDING COMPETENT OLIGOMERS CONTAINING 2’, 5’ LINKAGES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GLIS-0099</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5434257</w:t>
            </w:r>
          </w:p>
        </w:tc>
        <w:tc>
          <w:tcPr>
            <w:tcW w:w="5740" w:type="dxa"/>
            <w:vAlign w:val="bottom"/>
          </w:tcPr>
          <w:p>
            <w:pPr>
              <w:ind w:left="160"/>
              <w:spacing w:after="0"/>
              <w:rPr>
                <w:sz w:val="20"/>
                <w:szCs w:val="20"/>
                <w:color w:val="auto"/>
              </w:rPr>
            </w:pPr>
            <w:r>
              <w:rPr>
                <w:rFonts w:ascii="Arial" w:cs="Arial" w:eastAsia="Arial" w:hAnsi="Arial"/>
                <w:sz w:val="18"/>
                <w:szCs w:val="18"/>
                <w:color w:val="auto"/>
                <w:w w:val="98"/>
              </w:rPr>
              <w:t>BINDING COMPETENT OLIGOMERS CONTAINING UNSATURATED</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3’,5’ AND 2’,5’ LINKAGES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HYBN-132.0AT</w:t>
            </w:r>
          </w:p>
        </w:tc>
        <w:tc>
          <w:tcPr>
            <w:tcW w:w="1080" w:type="dxa"/>
            <w:vAlign w:val="bottom"/>
          </w:tcPr>
          <w:p>
            <w:pPr>
              <w:ind w:left="340"/>
              <w:spacing w:after="0"/>
              <w:rPr>
                <w:sz w:val="20"/>
                <w:szCs w:val="20"/>
                <w:color w:val="auto"/>
              </w:rPr>
            </w:pPr>
            <w:r>
              <w:rPr>
                <w:rFonts w:ascii="Arial" w:cs="Arial" w:eastAsia="Arial" w:hAnsi="Arial"/>
                <w:sz w:val="18"/>
                <w:szCs w:val="18"/>
                <w:color w:val="auto"/>
              </w:rPr>
              <w:t>AT</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763050</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HYBN-132.0AU</w:t>
            </w:r>
          </w:p>
        </w:tc>
        <w:tc>
          <w:tcPr>
            <w:tcW w:w="1080" w:type="dxa"/>
            <w:vAlign w:val="bottom"/>
          </w:tcPr>
          <w:p>
            <w:pPr>
              <w:ind w:left="320"/>
              <w:spacing w:after="0"/>
              <w:rPr>
                <w:sz w:val="20"/>
                <w:szCs w:val="20"/>
                <w:color w:val="auto"/>
              </w:rPr>
            </w:pPr>
            <w:r>
              <w:rPr>
                <w:rFonts w:ascii="Arial" w:cs="Arial" w:eastAsia="Arial" w:hAnsi="Arial"/>
                <w:sz w:val="18"/>
                <w:szCs w:val="18"/>
                <w:color w:val="auto"/>
              </w:rPr>
              <w:t>AU</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2604995</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HYBN-132.0BE</w:t>
            </w:r>
          </w:p>
        </w:tc>
        <w:tc>
          <w:tcPr>
            <w:tcW w:w="1080" w:type="dxa"/>
            <w:vAlign w:val="bottom"/>
          </w:tcPr>
          <w:p>
            <w:pPr>
              <w:ind w:left="320"/>
              <w:spacing w:after="0"/>
              <w:rPr>
                <w:sz w:val="20"/>
                <w:szCs w:val="20"/>
                <w:color w:val="auto"/>
              </w:rPr>
            </w:pPr>
            <w:r>
              <w:rPr>
                <w:rFonts w:ascii="Arial" w:cs="Arial" w:eastAsia="Arial" w:hAnsi="Arial"/>
                <w:sz w:val="18"/>
                <w:szCs w:val="18"/>
                <w:color w:val="auto"/>
              </w:rPr>
              <w:t>BE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763050</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HYBN-132.0CA</w:t>
            </w:r>
          </w:p>
        </w:tc>
        <w:tc>
          <w:tcPr>
            <w:tcW w:w="1080" w:type="dxa"/>
            <w:vAlign w:val="bottom"/>
          </w:tcPr>
          <w:p>
            <w:pPr>
              <w:ind w:left="320"/>
              <w:spacing w:after="0"/>
              <w:rPr>
                <w:sz w:val="20"/>
                <w:szCs w:val="20"/>
                <w:color w:val="auto"/>
              </w:rPr>
            </w:pPr>
            <w:r>
              <w:rPr>
                <w:rFonts w:ascii="Arial" w:cs="Arial" w:eastAsia="Arial" w:hAnsi="Arial"/>
                <w:sz w:val="18"/>
                <w:szCs w:val="18"/>
                <w:color w:val="auto"/>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HYBN-132.0CH</w:t>
            </w:r>
          </w:p>
        </w:tc>
        <w:tc>
          <w:tcPr>
            <w:tcW w:w="1080" w:type="dxa"/>
            <w:vAlign w:val="bottom"/>
          </w:tcPr>
          <w:p>
            <w:pPr>
              <w:ind w:left="320"/>
              <w:spacing w:after="0"/>
              <w:rPr>
                <w:sz w:val="20"/>
                <w:szCs w:val="20"/>
                <w:color w:val="auto"/>
              </w:rPr>
            </w:pPr>
            <w:r>
              <w:rPr>
                <w:rFonts w:ascii="Arial" w:cs="Arial" w:eastAsia="Arial" w:hAnsi="Arial"/>
                <w:sz w:val="18"/>
                <w:szCs w:val="18"/>
                <w:color w:val="auto"/>
              </w:rPr>
              <w:t>CH</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763050</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HYBN-132.0CN</w:t>
            </w:r>
          </w:p>
        </w:tc>
        <w:tc>
          <w:tcPr>
            <w:tcW w:w="1080" w:type="dxa"/>
            <w:vAlign w:val="bottom"/>
          </w:tcPr>
          <w:p>
            <w:pPr>
              <w:ind w:left="320"/>
              <w:spacing w:after="0"/>
              <w:rPr>
                <w:sz w:val="20"/>
                <w:szCs w:val="20"/>
                <w:color w:val="auto"/>
              </w:rPr>
            </w:pPr>
            <w:r>
              <w:rPr>
                <w:rFonts w:ascii="Arial" w:cs="Arial" w:eastAsia="Arial" w:hAnsi="Arial"/>
                <w:sz w:val="18"/>
                <w:szCs w:val="18"/>
                <w:color w:val="auto"/>
              </w:rPr>
              <w:t>CN</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HYBN-132.0DE</w:t>
            </w:r>
          </w:p>
        </w:tc>
        <w:tc>
          <w:tcPr>
            <w:tcW w:w="1080" w:type="dxa"/>
            <w:vAlign w:val="bottom"/>
          </w:tcPr>
          <w:p>
            <w:pPr>
              <w:ind w:left="320"/>
              <w:spacing w:after="0"/>
              <w:rPr>
                <w:sz w:val="20"/>
                <w:szCs w:val="20"/>
                <w:color w:val="auto"/>
              </w:rPr>
            </w:pPr>
            <w:r>
              <w:rPr>
                <w:rFonts w:ascii="Arial" w:cs="Arial" w:eastAsia="Arial" w:hAnsi="Arial"/>
                <w:sz w:val="18"/>
                <w:szCs w:val="18"/>
                <w:color w:val="auto"/>
              </w:rPr>
              <w:t>DE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89"/>
              </w:rPr>
              <w:t>69514351</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HYBN-132.0EP</w:t>
            </w:r>
          </w:p>
        </w:tc>
        <w:tc>
          <w:tcPr>
            <w:tcW w:w="1080" w:type="dxa"/>
            <w:vAlign w:val="bottom"/>
          </w:tcPr>
          <w:p>
            <w:pPr>
              <w:ind w:left="34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763050</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HYBN-132.0FR</w:t>
            </w:r>
          </w:p>
        </w:tc>
        <w:tc>
          <w:tcPr>
            <w:tcW w:w="1080" w:type="dxa"/>
            <w:vAlign w:val="bottom"/>
          </w:tcPr>
          <w:p>
            <w:pPr>
              <w:ind w:left="340"/>
              <w:spacing w:after="0"/>
              <w:rPr>
                <w:sz w:val="20"/>
                <w:szCs w:val="20"/>
                <w:color w:val="auto"/>
              </w:rPr>
            </w:pPr>
            <w:r>
              <w:rPr>
                <w:rFonts w:ascii="Arial" w:cs="Arial" w:eastAsia="Arial" w:hAnsi="Arial"/>
                <w:sz w:val="18"/>
                <w:szCs w:val="18"/>
                <w:color w:val="auto"/>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763050</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HYBN-132.0GB</w:t>
            </w:r>
          </w:p>
        </w:tc>
        <w:tc>
          <w:tcPr>
            <w:tcW w:w="1080" w:type="dxa"/>
            <w:vAlign w:val="bottom"/>
          </w:tcPr>
          <w:p>
            <w:pPr>
              <w:ind w:left="320"/>
              <w:spacing w:after="0"/>
              <w:rPr>
                <w:sz w:val="20"/>
                <w:szCs w:val="20"/>
                <w:color w:val="auto"/>
              </w:rPr>
            </w:pPr>
            <w:r>
              <w:rPr>
                <w:rFonts w:ascii="Arial" w:cs="Arial" w:eastAsia="Arial" w:hAnsi="Arial"/>
                <w:sz w:val="18"/>
                <w:szCs w:val="18"/>
                <w:color w:val="auto"/>
              </w:rPr>
              <w:t>GB</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763050</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HYBN-132.0IE</w:t>
            </w:r>
          </w:p>
        </w:tc>
        <w:tc>
          <w:tcPr>
            <w:tcW w:w="1080" w:type="dxa"/>
            <w:vAlign w:val="bottom"/>
          </w:tcPr>
          <w:p>
            <w:pPr>
              <w:ind w:left="360"/>
              <w:spacing w:after="0"/>
              <w:rPr>
                <w:sz w:val="20"/>
                <w:szCs w:val="20"/>
                <w:color w:val="auto"/>
              </w:rPr>
            </w:pPr>
            <w:r>
              <w:rPr>
                <w:rFonts w:ascii="Arial" w:cs="Arial" w:eastAsia="Arial" w:hAnsi="Arial"/>
                <w:sz w:val="18"/>
                <w:szCs w:val="18"/>
                <w:color w:val="auto"/>
              </w:rPr>
              <w:t>IE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763050</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HYBN-132.0JP</w:t>
            </w:r>
          </w:p>
        </w:tc>
        <w:tc>
          <w:tcPr>
            <w:tcW w:w="1080" w:type="dxa"/>
            <w:vAlign w:val="bottom"/>
          </w:tcPr>
          <w:p>
            <w:pPr>
              <w:ind w:left="36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HYBN-132.0NL</w:t>
            </w:r>
          </w:p>
        </w:tc>
        <w:tc>
          <w:tcPr>
            <w:tcW w:w="1080" w:type="dxa"/>
            <w:vAlign w:val="bottom"/>
          </w:tcPr>
          <w:p>
            <w:pPr>
              <w:ind w:left="320"/>
              <w:spacing w:after="0"/>
              <w:rPr>
                <w:sz w:val="20"/>
                <w:szCs w:val="20"/>
                <w:color w:val="auto"/>
              </w:rPr>
            </w:pPr>
            <w:r>
              <w:rPr>
                <w:rFonts w:ascii="Arial" w:cs="Arial" w:eastAsia="Arial" w:hAnsi="Arial"/>
                <w:sz w:val="18"/>
                <w:szCs w:val="18"/>
                <w:color w:val="auto"/>
              </w:rPr>
              <w:t>NL</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763050</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HYBN-132.0SE</w:t>
            </w:r>
          </w:p>
        </w:tc>
        <w:tc>
          <w:tcPr>
            <w:tcW w:w="1080" w:type="dxa"/>
            <w:vAlign w:val="bottom"/>
          </w:tcPr>
          <w:p>
            <w:pPr>
              <w:ind w:left="340"/>
              <w:spacing w:after="0"/>
              <w:rPr>
                <w:sz w:val="20"/>
                <w:szCs w:val="20"/>
                <w:color w:val="auto"/>
              </w:rPr>
            </w:pPr>
            <w:r>
              <w:rPr>
                <w:rFonts w:ascii="Arial" w:cs="Arial" w:eastAsia="Arial" w:hAnsi="Arial"/>
                <w:sz w:val="18"/>
                <w:szCs w:val="18"/>
                <w:color w:val="auto"/>
              </w:rPr>
              <w:t>SE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763050</w:t>
            </w:r>
          </w:p>
        </w:tc>
        <w:tc>
          <w:tcPr>
            <w:tcW w:w="5740" w:type="dxa"/>
            <w:vAlign w:val="bottom"/>
          </w:tcPr>
          <w:p>
            <w:pPr>
              <w:ind w:left="160"/>
              <w:spacing w:after="0"/>
              <w:rPr>
                <w:sz w:val="20"/>
                <w:szCs w:val="20"/>
                <w:color w:val="auto"/>
              </w:rPr>
            </w:pPr>
            <w:r>
              <w:rPr>
                <w:rFonts w:ascii="Arial" w:cs="Arial" w:eastAsia="Arial" w:hAnsi="Arial"/>
                <w:sz w:val="18"/>
                <w:szCs w:val="18"/>
                <w:color w:val="auto"/>
              </w:rPr>
              <w:t>BRANCHED OLIGONUCLEOTIDE AS PATHOGEN-INHIBITORY</w:t>
            </w:r>
          </w:p>
        </w:tc>
      </w:tr>
      <w:tr>
        <w:trPr>
          <w:trHeight w:val="230"/>
        </w:trPr>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AGENTS</w:t>
            </w:r>
          </w:p>
        </w:tc>
      </w:tr>
    </w:tbl>
    <w:p>
      <w:pPr>
        <w:sectPr>
          <w:pgSz w:w="11900" w:h="16838" w:orient="portrait"/>
          <w:cols w:equalWidth="0" w:num="1">
            <w:col w:w="11380"/>
          </w:cols>
          <w:pgMar w:left="240" w:top="341" w:right="27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HYBN-132.0US</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BRANCHED OLIGONUCLEOTIDES AS PATHOGEN-INHIBITORY</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AGENTS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6489464</w:t>
            </w:r>
          </w:p>
        </w:tc>
        <w:tc>
          <w:tcPr>
            <w:tcW w:w="5760" w:type="dxa"/>
            <w:vAlign w:val="bottom"/>
          </w:tcPr>
          <w:p>
            <w:pPr>
              <w:ind w:left="240"/>
              <w:spacing w:after="0"/>
              <w:rPr>
                <w:sz w:val="20"/>
                <w:szCs w:val="20"/>
                <w:color w:val="auto"/>
              </w:rPr>
            </w:pPr>
            <w:r>
              <w:rPr>
                <w:rFonts w:ascii="Arial" w:cs="Arial" w:eastAsia="Arial" w:hAnsi="Arial"/>
                <w:sz w:val="18"/>
                <w:szCs w:val="18"/>
                <w:color w:val="auto"/>
              </w:rPr>
              <w:t>BRANCHED OLIGONUCLEOTIDES AS PATHOGEN-INHIBITORY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132.0USC1</w:t>
            </w: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AGENTS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HYBN-128.0US</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BUILDING BLOCKS WITH CARBAMATE INTERNUCLEOSIDE</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LINKAGES AND NOVEL OLIGONUCLEOTIDES DERIVED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THEREFROM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ISIS-2350</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5"/>
              </w:rPr>
              <w:t>6111085</w:t>
            </w:r>
          </w:p>
        </w:tc>
        <w:tc>
          <w:tcPr>
            <w:tcW w:w="5760" w:type="dxa"/>
            <w:vAlign w:val="bottom"/>
          </w:tcPr>
          <w:p>
            <w:pPr>
              <w:ind w:left="240"/>
              <w:spacing w:after="0"/>
              <w:rPr>
                <w:sz w:val="20"/>
                <w:szCs w:val="20"/>
                <w:color w:val="auto"/>
              </w:rPr>
            </w:pPr>
            <w:r>
              <w:rPr>
                <w:rFonts w:ascii="Arial" w:cs="Arial" w:eastAsia="Arial" w:hAnsi="Arial"/>
                <w:sz w:val="18"/>
                <w:szCs w:val="18"/>
                <w:color w:val="auto"/>
              </w:rPr>
              <w:t>CARBAMATE-DERIVATIZED NUCLEOSIDES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ISIS-4070</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6166188</w:t>
            </w:r>
          </w:p>
        </w:tc>
        <w:tc>
          <w:tcPr>
            <w:tcW w:w="5760" w:type="dxa"/>
            <w:vAlign w:val="bottom"/>
          </w:tcPr>
          <w:p>
            <w:pPr>
              <w:ind w:left="240"/>
              <w:spacing w:after="0"/>
              <w:rPr>
                <w:sz w:val="20"/>
                <w:szCs w:val="20"/>
                <w:color w:val="auto"/>
              </w:rPr>
            </w:pPr>
            <w:r>
              <w:rPr>
                <w:rFonts w:ascii="Arial" w:cs="Arial" w:eastAsia="Arial" w:hAnsi="Arial"/>
                <w:sz w:val="18"/>
                <w:szCs w:val="18"/>
                <w:color w:val="auto"/>
              </w:rPr>
              <w:t>CARBAMATE-DERIVATIZED NUCLEOSIDES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ISIS-4507</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6322987</w:t>
            </w:r>
          </w:p>
        </w:tc>
        <w:tc>
          <w:tcPr>
            <w:tcW w:w="5760" w:type="dxa"/>
            <w:vAlign w:val="bottom"/>
          </w:tcPr>
          <w:p>
            <w:pPr>
              <w:ind w:left="240"/>
              <w:spacing w:after="0"/>
              <w:rPr>
                <w:sz w:val="20"/>
                <w:szCs w:val="20"/>
                <w:color w:val="auto"/>
              </w:rPr>
            </w:pPr>
            <w:r>
              <w:rPr>
                <w:rFonts w:ascii="Arial" w:cs="Arial" w:eastAsia="Arial" w:hAnsi="Arial"/>
                <w:sz w:val="18"/>
                <w:szCs w:val="18"/>
                <w:color w:val="auto"/>
              </w:rPr>
              <w:t>CARBAMATE-DERIVATIZED NUCLEOSIDES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ISIS-4802</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CARBAMATE-DERIVATIZED NUCLEOSIDES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ISIS-5239</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CARBAMATE-DERIVATIZED NUCLEOSIDES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OLIGONUCLEOSIDES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ISIS-2951</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6277967</w:t>
            </w:r>
          </w:p>
        </w:tc>
        <w:tc>
          <w:tcPr>
            <w:tcW w:w="5760" w:type="dxa"/>
            <w:vAlign w:val="bottom"/>
          </w:tcPr>
          <w:p>
            <w:pPr>
              <w:ind w:left="240"/>
              <w:spacing w:after="0"/>
              <w:rPr>
                <w:sz w:val="20"/>
                <w:szCs w:val="20"/>
                <w:color w:val="auto"/>
              </w:rPr>
            </w:pPr>
            <w:r>
              <w:rPr>
                <w:rFonts w:ascii="Arial" w:cs="Arial" w:eastAsia="Arial" w:hAnsi="Arial"/>
                <w:sz w:val="18"/>
                <w:szCs w:val="18"/>
                <w:color w:val="auto"/>
                <w:w w:val="98"/>
              </w:rPr>
              <w:t>CARBOHYDRATE OR 2’-MODIFIED OLIGONUCLEOTIDES HAVING</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ALTERNATING INTERNUCLEOSIDE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ISIS-3863</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6326358</w:t>
            </w:r>
          </w:p>
        </w:tc>
        <w:tc>
          <w:tcPr>
            <w:tcW w:w="5760" w:type="dxa"/>
            <w:vAlign w:val="bottom"/>
          </w:tcPr>
          <w:p>
            <w:pPr>
              <w:ind w:left="240"/>
              <w:spacing w:after="0"/>
              <w:rPr>
                <w:sz w:val="20"/>
                <w:szCs w:val="20"/>
                <w:color w:val="auto"/>
              </w:rPr>
            </w:pPr>
            <w:r>
              <w:rPr>
                <w:rFonts w:ascii="Arial" w:cs="Arial" w:eastAsia="Arial" w:hAnsi="Arial"/>
                <w:sz w:val="18"/>
                <w:szCs w:val="18"/>
                <w:color w:val="auto"/>
                <w:w w:val="98"/>
              </w:rPr>
              <w:t>CARBOHYDRATE OR 2’-MODIFIED OLIGONUCLEOTIDES HAVING</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ALTERNATING INTERNUCLEOSIDE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ISIS-3868</w:t>
            </w:r>
          </w:p>
        </w:tc>
        <w:tc>
          <w:tcPr>
            <w:tcW w:w="1100" w:type="dxa"/>
            <w:vAlign w:val="bottom"/>
          </w:tcPr>
          <w:p>
            <w:pPr>
              <w:ind w:left="360"/>
              <w:spacing w:after="0"/>
              <w:rPr>
                <w:sz w:val="20"/>
                <w:szCs w:val="20"/>
                <w:color w:val="auto"/>
              </w:rPr>
            </w:pPr>
            <w:r>
              <w:rPr>
                <w:rFonts w:ascii="Arial" w:cs="Arial" w:eastAsia="Arial" w:hAnsi="Arial"/>
                <w:sz w:val="18"/>
                <w:szCs w:val="18"/>
                <w:color w:val="auto"/>
              </w:rPr>
              <w:t>EP</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w w:val="98"/>
              </w:rPr>
              <w:t>CARBOHYDRATE OR 2’-MODIFIED OLIGONUCLEOTIDES HAVING</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ALTERNATING INTERNUCLEOSIDE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ISIS-4847</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w w:val="98"/>
              </w:rPr>
              <w:t>CARBOHYDRATE OR 2’-MODIFIED OLIGONUCLEOTIDES HAVING</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ALTERNATING INTERNUCLEOSIDE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ISIS-5300</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w w:val="98"/>
              </w:rPr>
              <w:t>CHIMERIC OLIGOMERIC COMPOUNDS AND THEIR USE IN GENE</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MODULATION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ISIS-0060</w:t>
            </w:r>
          </w:p>
        </w:tc>
        <w:tc>
          <w:tcPr>
            <w:tcW w:w="1100" w:type="dxa"/>
            <w:vAlign w:val="bottom"/>
          </w:tcPr>
          <w:p>
            <w:pPr>
              <w:ind w:left="340"/>
              <w:spacing w:after="0"/>
              <w:rPr>
                <w:sz w:val="20"/>
                <w:szCs w:val="20"/>
                <w:color w:val="auto"/>
              </w:rPr>
            </w:pPr>
            <w:r>
              <w:rPr>
                <w:rFonts w:ascii="Arial" w:cs="Arial" w:eastAsia="Arial" w:hAnsi="Arial"/>
                <w:sz w:val="18"/>
                <w:szCs w:val="18"/>
                <w:color w:val="auto"/>
              </w:rPr>
              <w:t>AU</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651569</w:t>
            </w:r>
          </w:p>
        </w:tc>
        <w:tc>
          <w:tcPr>
            <w:tcW w:w="5760" w:type="dxa"/>
            <w:vAlign w:val="bottom"/>
          </w:tcPr>
          <w:p>
            <w:pPr>
              <w:ind w:left="240"/>
              <w:spacing w:after="0"/>
              <w:rPr>
                <w:sz w:val="20"/>
                <w:szCs w:val="20"/>
                <w:color w:val="auto"/>
              </w:rPr>
            </w:pPr>
            <w:r>
              <w:rPr>
                <w:rFonts w:ascii="Arial" w:cs="Arial" w:eastAsia="Arial" w:hAnsi="Arial"/>
                <w:sz w:val="18"/>
                <w:szCs w:val="18"/>
                <w:color w:val="auto"/>
              </w:rPr>
              <w:t>COMPOSITIONS AND METHODS FOR DETECTING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MODULATING RNA ACTIVITY AND GENE EXPRESSION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ISIS-0062</w:t>
            </w:r>
          </w:p>
        </w:tc>
        <w:tc>
          <w:tcPr>
            <w:tcW w:w="1100" w:type="dxa"/>
            <w:vAlign w:val="bottom"/>
          </w:tcPr>
          <w:p>
            <w:pPr>
              <w:ind w:left="340"/>
              <w:spacing w:after="0"/>
              <w:rPr>
                <w:sz w:val="20"/>
                <w:szCs w:val="20"/>
                <w:color w:val="auto"/>
              </w:rPr>
            </w:pPr>
            <w:r>
              <w:rPr>
                <w:rFonts w:ascii="Arial" w:cs="Arial" w:eastAsia="Arial" w:hAnsi="Arial"/>
                <w:sz w:val="18"/>
                <w:szCs w:val="18"/>
                <w:color w:val="auto"/>
              </w:rPr>
              <w:t>CA</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COMPOSITIONS AND METHODS FOR DETECTING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MODULATING RNA ACTIVITY AND GENE EXPRESSION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ISIS-0063</w:t>
            </w:r>
          </w:p>
        </w:tc>
        <w:tc>
          <w:tcPr>
            <w:tcW w:w="1100" w:type="dxa"/>
            <w:vAlign w:val="bottom"/>
          </w:tcPr>
          <w:p>
            <w:pPr>
              <w:ind w:left="360"/>
              <w:spacing w:after="0"/>
              <w:rPr>
                <w:sz w:val="20"/>
                <w:szCs w:val="20"/>
                <w:color w:val="auto"/>
              </w:rPr>
            </w:pPr>
            <w:r>
              <w:rPr>
                <w:rFonts w:ascii="Arial" w:cs="Arial" w:eastAsia="Arial" w:hAnsi="Arial"/>
                <w:sz w:val="18"/>
                <w:szCs w:val="18"/>
                <w:color w:val="auto"/>
              </w:rPr>
              <w:t>EP</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COMPOSITIONS AND METHODS FOR DETECTING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MODULATING RNA ACTIVITY AND GENE EXPRESSION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ISIS-0079</w:t>
            </w:r>
          </w:p>
        </w:tc>
        <w:tc>
          <w:tcPr>
            <w:tcW w:w="1100" w:type="dxa"/>
            <w:vAlign w:val="bottom"/>
          </w:tcPr>
          <w:p>
            <w:pPr>
              <w:ind w:left="380"/>
              <w:spacing w:after="0"/>
              <w:rPr>
                <w:sz w:val="20"/>
                <w:szCs w:val="20"/>
                <w:color w:val="auto"/>
              </w:rPr>
            </w:pPr>
            <w:r>
              <w:rPr>
                <w:rFonts w:ascii="Arial" w:cs="Arial" w:eastAsia="Arial" w:hAnsi="Arial"/>
                <w:sz w:val="18"/>
                <w:szCs w:val="18"/>
                <w:color w:val="auto"/>
              </w:rPr>
              <w:t>JP</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2580091</w:t>
            </w:r>
          </w:p>
        </w:tc>
        <w:tc>
          <w:tcPr>
            <w:tcW w:w="5760" w:type="dxa"/>
            <w:vAlign w:val="bottom"/>
          </w:tcPr>
          <w:p>
            <w:pPr>
              <w:ind w:left="240"/>
              <w:spacing w:after="0"/>
              <w:rPr>
                <w:sz w:val="20"/>
                <w:szCs w:val="20"/>
                <w:color w:val="auto"/>
              </w:rPr>
            </w:pPr>
            <w:r>
              <w:rPr>
                <w:rFonts w:ascii="Arial" w:cs="Arial" w:eastAsia="Arial" w:hAnsi="Arial"/>
                <w:sz w:val="18"/>
                <w:szCs w:val="18"/>
                <w:color w:val="auto"/>
              </w:rPr>
              <w:t>COMPOSITIONS AND METHODS FOR DETECTING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MODULATING RNA ACTIVITY AND GENE EXPRESSION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ISIS-0080</w:t>
            </w:r>
          </w:p>
        </w:tc>
        <w:tc>
          <w:tcPr>
            <w:tcW w:w="1100" w:type="dxa"/>
            <w:vAlign w:val="bottom"/>
          </w:tcPr>
          <w:p>
            <w:pPr>
              <w:ind w:left="340"/>
              <w:spacing w:after="0"/>
              <w:rPr>
                <w:sz w:val="20"/>
                <w:szCs w:val="20"/>
                <w:color w:val="auto"/>
              </w:rPr>
            </w:pPr>
            <w:r>
              <w:rPr>
                <w:rFonts w:ascii="Arial" w:cs="Arial" w:eastAsia="Arial" w:hAnsi="Arial"/>
                <w:sz w:val="18"/>
                <w:szCs w:val="18"/>
                <w:color w:val="auto"/>
              </w:rPr>
              <w:t>KR</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COMPOSITIONS AND METHODS FOR DETECTING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MODULATING RNA ACTIVITY AND GENE EXPRESSION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ISIS-5093</w:t>
            </w:r>
          </w:p>
        </w:tc>
        <w:tc>
          <w:tcPr>
            <w:tcW w:w="1100" w:type="dxa"/>
            <w:vAlign w:val="bottom"/>
          </w:tcPr>
          <w:p>
            <w:pPr>
              <w:ind w:left="360"/>
              <w:spacing w:after="0"/>
              <w:rPr>
                <w:sz w:val="20"/>
                <w:szCs w:val="20"/>
                <w:color w:val="auto"/>
              </w:rPr>
            </w:pPr>
            <w:r>
              <w:rPr>
                <w:rFonts w:ascii="Arial" w:cs="Arial" w:eastAsia="Arial" w:hAnsi="Arial"/>
                <w:sz w:val="18"/>
                <w:szCs w:val="18"/>
                <w:color w:val="auto"/>
              </w:rPr>
              <w:t>EP</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COMPOSITIONS AND METHODS FOR DETECTING AND</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MODULATION RNA ACTIVITY AND GENE EXPRESSION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ISIS-0979</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6358931</w:t>
            </w:r>
          </w:p>
        </w:tc>
        <w:tc>
          <w:tcPr>
            <w:tcW w:w="5760" w:type="dxa"/>
            <w:vAlign w:val="bottom"/>
          </w:tcPr>
          <w:p>
            <w:pPr>
              <w:ind w:left="240"/>
              <w:spacing w:after="0"/>
              <w:rPr>
                <w:sz w:val="20"/>
                <w:szCs w:val="20"/>
                <w:color w:val="auto"/>
              </w:rPr>
            </w:pPr>
            <w:r>
              <w:rPr>
                <w:rFonts w:ascii="Arial" w:cs="Arial" w:eastAsia="Arial" w:hAnsi="Arial"/>
                <w:sz w:val="18"/>
                <w:szCs w:val="18"/>
                <w:color w:val="auto"/>
              </w:rPr>
              <w:t>COMPOSITIONS AND METHODS FOR MODULATING RNA</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ISIS-4919</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6610663</w:t>
            </w:r>
          </w:p>
        </w:tc>
        <w:tc>
          <w:tcPr>
            <w:tcW w:w="5760" w:type="dxa"/>
            <w:vAlign w:val="bottom"/>
          </w:tcPr>
          <w:p>
            <w:pPr>
              <w:ind w:left="240"/>
              <w:spacing w:after="0"/>
              <w:rPr>
                <w:sz w:val="20"/>
                <w:szCs w:val="20"/>
                <w:color w:val="auto"/>
              </w:rPr>
            </w:pPr>
            <w:r>
              <w:rPr>
                <w:rFonts w:ascii="Arial" w:cs="Arial" w:eastAsia="Arial" w:hAnsi="Arial"/>
                <w:sz w:val="18"/>
                <w:szCs w:val="18"/>
                <w:color w:val="auto"/>
              </w:rPr>
              <w:t>COMPOSITIONS AND METHODS FOR MODULATING RNA</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ISIS-0707</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5514786</w:t>
            </w:r>
          </w:p>
        </w:tc>
        <w:tc>
          <w:tcPr>
            <w:tcW w:w="5760" w:type="dxa"/>
            <w:vAlign w:val="bottom"/>
          </w:tcPr>
          <w:p>
            <w:pPr>
              <w:ind w:left="240"/>
              <w:spacing w:after="0"/>
              <w:rPr>
                <w:sz w:val="20"/>
                <w:szCs w:val="20"/>
                <w:color w:val="auto"/>
              </w:rPr>
            </w:pPr>
            <w:r>
              <w:rPr>
                <w:rFonts w:ascii="Arial" w:cs="Arial" w:eastAsia="Arial" w:hAnsi="Arial"/>
                <w:sz w:val="18"/>
                <w:szCs w:val="18"/>
                <w:color w:val="auto"/>
              </w:rPr>
              <w:t>COMPOSITIONS FOR INHIBITING RNA ACTIVITY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ISIS-1787</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6262241</w:t>
            </w:r>
          </w:p>
        </w:tc>
        <w:tc>
          <w:tcPr>
            <w:tcW w:w="5760" w:type="dxa"/>
            <w:vAlign w:val="bottom"/>
          </w:tcPr>
          <w:p>
            <w:pPr>
              <w:ind w:left="240"/>
              <w:spacing w:after="0"/>
              <w:rPr>
                <w:sz w:val="20"/>
                <w:szCs w:val="20"/>
                <w:color w:val="auto"/>
              </w:rPr>
            </w:pPr>
            <w:r>
              <w:rPr>
                <w:rFonts w:ascii="Arial" w:cs="Arial" w:eastAsia="Arial" w:hAnsi="Arial"/>
                <w:sz w:val="18"/>
                <w:szCs w:val="18"/>
                <w:color w:val="auto"/>
                <w:w w:val="98"/>
              </w:rPr>
              <w:t>COMPOUND FOR DETECTING AND MODULATING RNA ACTIVITY</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AND GENE EXPRESSION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ISIS-5055</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COMPOUNDS AND OLIGOMERIC COMPOUNDS COMPRISING</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NOVEL NUCLEOBASES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ISIS-0282</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5359051</w:t>
            </w:r>
          </w:p>
        </w:tc>
        <w:tc>
          <w:tcPr>
            <w:tcW w:w="5760" w:type="dxa"/>
            <w:vAlign w:val="bottom"/>
          </w:tcPr>
          <w:p>
            <w:pPr>
              <w:ind w:left="240"/>
              <w:spacing w:after="0"/>
              <w:rPr>
                <w:sz w:val="20"/>
                <w:szCs w:val="20"/>
                <w:color w:val="auto"/>
              </w:rPr>
            </w:pPr>
            <w:r>
              <w:rPr>
                <w:rFonts w:ascii="Arial" w:cs="Arial" w:eastAsia="Arial" w:hAnsi="Arial"/>
                <w:sz w:val="18"/>
                <w:szCs w:val="18"/>
                <w:color w:val="auto"/>
              </w:rPr>
              <w:t>COMPOUNDS USEFUL IN THE SYNTHESIS OF NUCLEIC ACIDS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CAPABLE OF CLEAVING RNA</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ISIS-4319</w:t>
            </w:r>
          </w:p>
        </w:tc>
        <w:tc>
          <w:tcPr>
            <w:tcW w:w="1100" w:type="dxa"/>
            <w:vAlign w:val="bottom"/>
          </w:tcPr>
          <w:p>
            <w:pPr>
              <w:ind w:left="360"/>
              <w:spacing w:after="0"/>
              <w:rPr>
                <w:sz w:val="20"/>
                <w:szCs w:val="20"/>
                <w:color w:val="auto"/>
              </w:rPr>
            </w:pPr>
            <w:r>
              <w:rPr>
                <w:rFonts w:ascii="Arial" w:cs="Arial" w:eastAsia="Arial" w:hAnsi="Arial"/>
                <w:sz w:val="18"/>
                <w:szCs w:val="18"/>
                <w:color w:val="auto"/>
              </w:rPr>
              <w:t>EP</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w w:val="93"/>
              </w:rPr>
              <w:t>COMPOUNDS, PROCESSES AND INTERMEDIATES FOR SYNTHESIS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OF MIXED BACKBONE OLIGOMERIC COMPOUNDS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ISIS-4338</w:t>
            </w:r>
          </w:p>
        </w:tc>
        <w:tc>
          <w:tcPr>
            <w:tcW w:w="1100" w:type="dxa"/>
            <w:vAlign w:val="bottom"/>
          </w:tcPr>
          <w:p>
            <w:pPr>
              <w:ind w:left="380"/>
              <w:spacing w:after="0"/>
              <w:rPr>
                <w:sz w:val="20"/>
                <w:szCs w:val="20"/>
                <w:color w:val="auto"/>
              </w:rPr>
            </w:pPr>
            <w:r>
              <w:rPr>
                <w:rFonts w:ascii="Arial" w:cs="Arial" w:eastAsia="Arial" w:hAnsi="Arial"/>
                <w:sz w:val="18"/>
                <w:szCs w:val="18"/>
                <w:color w:val="auto"/>
              </w:rPr>
              <w:t>JP</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w w:val="93"/>
              </w:rPr>
              <w:t>COMPOUNDS, PROCESSES AND INTERMEDIATES FOR SYNTHESIS</w:t>
            </w:r>
          </w:p>
        </w:tc>
      </w:tr>
      <w:tr>
        <w:trPr>
          <w:trHeight w:val="230"/>
        </w:trPr>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OF MIXED BACKBONE OLIGOMERIC COMPOUNDS</w:t>
            </w:r>
          </w:p>
        </w:tc>
      </w:tr>
    </w:tbl>
    <w:p>
      <w:pPr>
        <w:sectPr>
          <w:pgSz w:w="11900" w:h="16838" w:orient="portrait"/>
          <w:cols w:equalWidth="0" w:num="1">
            <w:col w:w="11320"/>
          </w:cols>
          <w:pgMar w:left="240" w:top="341"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ISIS-3299</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6207819</w:t>
            </w:r>
          </w:p>
        </w:tc>
        <w:tc>
          <w:tcPr>
            <w:tcW w:w="5680" w:type="dxa"/>
            <w:vAlign w:val="bottom"/>
          </w:tcPr>
          <w:p>
            <w:pPr>
              <w:ind w:left="160"/>
              <w:spacing w:after="0"/>
              <w:rPr>
                <w:sz w:val="20"/>
                <w:szCs w:val="20"/>
                <w:color w:val="auto"/>
              </w:rPr>
            </w:pPr>
            <w:r>
              <w:rPr>
                <w:rFonts w:ascii="Arial" w:cs="Arial" w:eastAsia="Arial" w:hAnsi="Arial"/>
                <w:sz w:val="18"/>
                <w:szCs w:val="18"/>
                <w:color w:val="auto"/>
                <w:w w:val="93"/>
              </w:rPr>
              <w:t>COMPOUNDS, PROCESSES AND INTERMEDIATES FOR SYNTHESIS</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OF MIXED BACKBONE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ISIS-4528</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6462184</w:t>
            </w:r>
          </w:p>
        </w:tc>
        <w:tc>
          <w:tcPr>
            <w:tcW w:w="5680" w:type="dxa"/>
            <w:vAlign w:val="bottom"/>
          </w:tcPr>
          <w:p>
            <w:pPr>
              <w:ind w:left="160"/>
              <w:spacing w:after="0"/>
              <w:rPr>
                <w:sz w:val="20"/>
                <w:szCs w:val="20"/>
                <w:color w:val="auto"/>
              </w:rPr>
            </w:pPr>
            <w:r>
              <w:rPr>
                <w:rFonts w:ascii="Arial" w:cs="Arial" w:eastAsia="Arial" w:hAnsi="Arial"/>
                <w:sz w:val="18"/>
                <w:szCs w:val="18"/>
                <w:color w:val="auto"/>
                <w:w w:val="93"/>
              </w:rPr>
              <w:t>COMPOUNDS, PROCESSES AND INTERMEDIATES FOR SYNTHESIS</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OF MIXED BACKBONE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ISIS-5039</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93"/>
              </w:rPr>
              <w:t>COMPOUNDS, PROCESSES AND INTERMEDIATES FOR SYNTHESIS</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OF MIXED BACKBONE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ISIS-1715</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5608046</w:t>
            </w:r>
          </w:p>
        </w:tc>
        <w:tc>
          <w:tcPr>
            <w:tcW w:w="5680" w:type="dxa"/>
            <w:vAlign w:val="bottom"/>
          </w:tcPr>
          <w:p>
            <w:pPr>
              <w:ind w:left="160"/>
              <w:spacing w:after="0"/>
              <w:rPr>
                <w:sz w:val="20"/>
                <w:szCs w:val="20"/>
                <w:color w:val="auto"/>
              </w:rPr>
            </w:pPr>
            <w:r>
              <w:rPr>
                <w:rFonts w:ascii="Arial" w:cs="Arial" w:eastAsia="Arial" w:hAnsi="Arial"/>
                <w:sz w:val="18"/>
                <w:szCs w:val="18"/>
                <w:color w:val="auto"/>
              </w:rPr>
              <w:t>CONJUGATED 4’-DESMETHYL NUCLEOSIDE ANALOG</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HYBN-175.0US</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6372427</w:t>
            </w:r>
          </w:p>
        </w:tc>
        <w:tc>
          <w:tcPr>
            <w:tcW w:w="5680" w:type="dxa"/>
            <w:vAlign w:val="bottom"/>
          </w:tcPr>
          <w:p>
            <w:pPr>
              <w:ind w:left="160"/>
              <w:spacing w:after="0"/>
              <w:rPr>
                <w:sz w:val="20"/>
                <w:szCs w:val="20"/>
                <w:color w:val="auto"/>
              </w:rPr>
            </w:pPr>
            <w:r>
              <w:rPr>
                <w:rFonts w:ascii="Arial" w:cs="Arial" w:eastAsia="Arial" w:hAnsi="Arial"/>
                <w:sz w:val="18"/>
                <w:szCs w:val="18"/>
                <w:color w:val="auto"/>
              </w:rPr>
              <w:t>COOPERATIVE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HYBN-175.1US</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COOPERATIVE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HYBN-175.1WO</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0"/>
              </w:rPr>
              <w:t>WO</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COOPERATIVE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ISIS-0984</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CA</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ISIS-0985</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3"/>
              </w:rPr>
              <w:t>EP</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635023</w:t>
            </w: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ISIS-0989</w:t>
            </w:r>
          </w:p>
        </w:tc>
        <w:tc>
          <w:tcPr>
            <w:tcW w:w="1100" w:type="dxa"/>
            <w:vAlign w:val="bottom"/>
          </w:tcPr>
          <w:p>
            <w:pPr>
              <w:jc w:val="center"/>
              <w:ind w:right="110"/>
              <w:spacing w:after="0"/>
              <w:rPr>
                <w:sz w:val="20"/>
                <w:szCs w:val="20"/>
                <w:color w:val="auto"/>
              </w:rPr>
            </w:pPr>
            <w:r>
              <w:rPr>
                <w:rFonts w:ascii="Arial" w:cs="Arial" w:eastAsia="Arial" w:hAnsi="Arial"/>
                <w:sz w:val="18"/>
                <w:szCs w:val="18"/>
                <w:color w:val="auto"/>
                <w:w w:val="91"/>
              </w:rPr>
              <w:t>FR</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635023</w:t>
            </w: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ISIS-0990</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2"/>
              </w:rPr>
              <w:t>GB</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635023</w:t>
            </w: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ISIS-0991</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DE</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693 31 543.1</w:t>
            </w: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ISIS-0993</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3"/>
              </w:rPr>
              <w:t>IE</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635023</w:t>
            </w: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ISIS-1000</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2"/>
              </w:rPr>
              <w:t>CH</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635023</w:t>
            </w: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ISIS-1003</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75"/>
              </w:rPr>
              <w:t>JP</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ISIS-1006</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5719271</w:t>
            </w: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ISIS-1007</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rPr>
              <w:t>IL</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104965</w:t>
            </w: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ISIS-1304</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5543507</w:t>
            </w:r>
          </w:p>
        </w:tc>
        <w:tc>
          <w:tcPr>
            <w:tcW w:w="5680" w:type="dxa"/>
            <w:vAlign w:val="bottom"/>
          </w:tcPr>
          <w:p>
            <w:pPr>
              <w:ind w:left="160"/>
              <w:spacing w:after="0"/>
              <w:rPr>
                <w:sz w:val="20"/>
                <w:szCs w:val="20"/>
                <w:color w:val="auto"/>
              </w:rPr>
            </w:pPr>
            <w:r>
              <w:rPr>
                <w:rFonts w:ascii="Arial" w:cs="Arial" w:eastAsia="Arial" w:hAnsi="Arial"/>
                <w:sz w:val="18"/>
                <w:szCs w:val="18"/>
                <w:color w:val="auto"/>
              </w:rPr>
              <w:t>COVALENTLY CROSS-LINKED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ISIS-0462</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5359044</w:t>
            </w:r>
          </w:p>
        </w:tc>
        <w:tc>
          <w:tcPr>
            <w:tcW w:w="5680" w:type="dxa"/>
            <w:vAlign w:val="bottom"/>
          </w:tcPr>
          <w:p>
            <w:pPr>
              <w:ind w:left="160"/>
              <w:spacing w:after="0"/>
              <w:rPr>
                <w:sz w:val="20"/>
                <w:szCs w:val="20"/>
                <w:color w:val="auto"/>
              </w:rPr>
            </w:pPr>
            <w:r>
              <w:rPr>
                <w:rFonts w:ascii="Arial" w:cs="Arial" w:eastAsia="Arial" w:hAnsi="Arial"/>
                <w:sz w:val="18"/>
                <w:szCs w:val="18"/>
                <w:color w:val="auto"/>
              </w:rPr>
              <w:t>CYCLOBUTYL OLIGONUCLEOTIDE SURROGATES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ISIS-1450</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6001841</w:t>
            </w:r>
          </w:p>
        </w:tc>
        <w:tc>
          <w:tcPr>
            <w:tcW w:w="5680" w:type="dxa"/>
            <w:vAlign w:val="bottom"/>
          </w:tcPr>
          <w:p>
            <w:pPr>
              <w:ind w:left="160"/>
              <w:spacing w:after="0"/>
              <w:rPr>
                <w:sz w:val="20"/>
                <w:szCs w:val="20"/>
                <w:color w:val="auto"/>
              </w:rPr>
            </w:pPr>
            <w:r>
              <w:rPr>
                <w:rFonts w:ascii="Arial" w:cs="Arial" w:eastAsia="Arial" w:hAnsi="Arial"/>
                <w:sz w:val="18"/>
                <w:szCs w:val="18"/>
                <w:color w:val="auto"/>
              </w:rPr>
              <w:t>CYCLOBUTYL OLIGONUCLEOTIDE SURROGATES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ISIS-0628</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CA</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2122030</w:t>
            </w: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DERIVATIZED OLIGONUCLEOTIDES HAVING IMPROVED UPTAKE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ISIS-0646</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75"/>
              </w:rPr>
              <w:t>JP</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2823959</w:t>
            </w: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DERIVATIZED OLIGONUCLEOTIDES HAVING IMPROVED UPTAKE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ISIS-0629</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3"/>
              </w:rPr>
              <w:t>EP</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724447</w:t>
            </w: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DERIVATIZED OLIGONUCLEOTIDES HAVING IMPROVED UPTAKE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ISIS-0633</w:t>
            </w:r>
          </w:p>
        </w:tc>
        <w:tc>
          <w:tcPr>
            <w:tcW w:w="1100" w:type="dxa"/>
            <w:vAlign w:val="bottom"/>
          </w:tcPr>
          <w:p>
            <w:pPr>
              <w:jc w:val="center"/>
              <w:ind w:right="110"/>
              <w:spacing w:after="0"/>
              <w:rPr>
                <w:sz w:val="20"/>
                <w:szCs w:val="20"/>
                <w:color w:val="auto"/>
              </w:rPr>
            </w:pPr>
            <w:r>
              <w:rPr>
                <w:rFonts w:ascii="Arial" w:cs="Arial" w:eastAsia="Arial" w:hAnsi="Arial"/>
                <w:sz w:val="18"/>
                <w:szCs w:val="18"/>
                <w:color w:val="auto"/>
                <w:w w:val="91"/>
              </w:rPr>
              <w:t>FR</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724447</w:t>
            </w: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DERIVATIZED OLIGONUCLEOTIDES HAVING IMPROVED UPTAKE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ISIS-0634</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DE</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692 33 046.1</w:t>
            </w: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DERIVATIZED OLIGONUCLEOTIDES HAVING IMPROVED UPTAKE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ISIS-0635</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2"/>
              </w:rPr>
              <w:t>GB</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724447</w:t>
            </w: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DERIVATIZED OLIGONUCLEOTIDES HAVING IMPROVED UPTAKE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ISIS-0643</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2"/>
              </w:rPr>
              <w:t>CH</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724447</w:t>
            </w: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DERIVATIZED OLIGONUCLEOTIDES HAVING IMPROVED UPTAKE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ISIS-0649</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6153737</w:t>
            </w: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DERIVATIZED OLIGONUCLEOTIDES HAVING IMPROVED UPTAKE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ISIS-4470</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6395492</w:t>
            </w: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DERIVATIZED OLIGONUCLEOTIDES HAVING IMPROVED UPTAKE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ISIS-5024</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98"/>
              </w:rPr>
              <w:t>DERIVATIZED OLIGONUCLEOTIDES HAVING IMPROVED UPTAKE</w:t>
            </w:r>
          </w:p>
        </w:tc>
      </w:tr>
      <w:tr>
        <w:trPr>
          <w:trHeight w:val="230"/>
        </w:trPr>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bl>
    <w:p>
      <w:pPr>
        <w:sectPr>
          <w:pgSz w:w="11900" w:h="16838" w:orient="portrait"/>
          <w:cols w:equalWidth="0" w:num="1">
            <w:col w:w="11320"/>
          </w:cols>
          <w:pgMar w:left="240" w:top="341"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ISIS-5060</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6"/>
              </w:rPr>
              <w:t>DERIVATIZED OLIGONUCLEOTIDES HAVING IMPROVED UPTAKE</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ISIS-5109</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6"/>
              </w:rPr>
              <w:t>DERIVATIZED OLIGONUCLEOTIDES HAVING IMPROVED UPTAKE</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ISIS-5166</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83"/>
              </w:rPr>
              <w:t>EP</w:t>
            </w:r>
          </w:p>
        </w:tc>
        <w:tc>
          <w:tcPr>
            <w:tcW w:w="1420" w:type="dxa"/>
            <w:vAlign w:val="bottom"/>
          </w:tcPr>
          <w:p>
            <w:pPr>
              <w:ind w:left="44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6"/>
              </w:rPr>
              <w:t>DERIVATIZED OLIGONUCLEOTIDES HAVING IMPROVED UPTAKE</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ISIS-5425</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6"/>
              </w:rPr>
              <w:t>DERIVATIZED OLIGONUCLEOTIDES HAVING IMPROVED UPTAKE</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ISIS-5426</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6"/>
              </w:rPr>
              <w:t>DERIVATIZED OLIGONUCLEOTIDES HAVING IMPROVED UPTAKE</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AND OTHER PROPERTIES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GLIS-0073</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5484908</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DIRECTED BY OLIGONUCLEOTIDES CONTAINING MODIFIED</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GLIS-0077</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6235887</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DIRECTED BY OLIGONUCLEOTIDES CONTAINING MODIFIED</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GLIS-0080</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CA</w:t>
            </w:r>
          </w:p>
        </w:tc>
        <w:tc>
          <w:tcPr>
            <w:tcW w:w="1420" w:type="dxa"/>
            <w:vAlign w:val="bottom"/>
          </w:tcPr>
          <w:p>
            <w:pPr>
              <w:ind w:left="44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GLIS-0121</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DE</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692 32 816.5</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GLIS-0072</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5594121</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PURINES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GLIS-0076</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5645985</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GLIS-0082</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75"/>
              </w:rPr>
              <w:t>JP</w:t>
            </w:r>
          </w:p>
        </w:tc>
        <w:tc>
          <w:tcPr>
            <w:tcW w:w="1420" w:type="dxa"/>
            <w:vAlign w:val="bottom"/>
          </w:tcPr>
          <w:p>
            <w:pPr>
              <w:ind w:left="44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GLIS-0084</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5830653</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GLIS-0085-CPA2</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6380368</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GLIS-0079</w:t>
            </w: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rPr>
              <w:t>AU</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679508</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GLIS-0081</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83"/>
              </w:rPr>
              <w:t>EP</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637965</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GLIS-0083</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89"/>
              </w:rPr>
              <w:t>Taiwan</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86"/>
              </w:rPr>
              <w:t>116354</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GLIS-0120</w:t>
            </w: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1"/>
              </w:rPr>
              <w:t>FR</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637965</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GLIS-0143</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420" w:type="dxa"/>
            <w:vAlign w:val="bottom"/>
          </w:tcPr>
          <w:p>
            <w:pPr>
              <w:ind w:left="44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GLIS-0145</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83"/>
              </w:rPr>
              <w:t>EP</w:t>
            </w:r>
          </w:p>
        </w:tc>
        <w:tc>
          <w:tcPr>
            <w:tcW w:w="1420" w:type="dxa"/>
            <w:vAlign w:val="bottom"/>
          </w:tcPr>
          <w:p>
            <w:pPr>
              <w:ind w:left="44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GLIS-0152</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2"/>
              </w:rPr>
              <w:t>GB</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637965</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16"/>
        </w:trPr>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GLIS-0153</w:t>
            </w: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2"/>
              </w:rPr>
              <w:t>CH</w:t>
            </w:r>
          </w:p>
        </w:tc>
        <w:tc>
          <w:tcPr>
            <w:tcW w:w="1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637965</w:t>
            </w:r>
          </w:p>
        </w:tc>
        <w:tc>
          <w:tcPr>
            <w:tcW w:w="5620" w:type="dxa"/>
            <w:vAlign w:val="bottom"/>
          </w:tcPr>
          <w:p>
            <w:pPr>
              <w:ind w:left="160"/>
              <w:spacing w:after="0"/>
              <w:rPr>
                <w:sz w:val="20"/>
                <w:szCs w:val="20"/>
                <w:color w:val="auto"/>
              </w:rPr>
            </w:pPr>
            <w:r>
              <w:rPr>
                <w:rFonts w:ascii="Arial" w:cs="Arial" w:eastAsia="Arial" w:hAnsi="Arial"/>
                <w:sz w:val="18"/>
                <w:szCs w:val="18"/>
                <w:color w:val="auto"/>
              </w:rPr>
              <w:t>ENHANCED TRIPLE-HELIX AND DOUBLE-HELIX FORMATION</w:t>
            </w:r>
          </w:p>
        </w:tc>
      </w:tr>
      <w:tr>
        <w:trPr>
          <w:trHeight w:val="230"/>
        </w:trPr>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WITH OLIGOMERS CONTAINING MODIFIED PYRIMIDINES</w:t>
            </w:r>
          </w:p>
        </w:tc>
      </w:tr>
    </w:tbl>
    <w:p>
      <w:pPr>
        <w:sectPr>
          <w:pgSz w:w="11900" w:h="16838" w:orient="portrait"/>
          <w:cols w:equalWidth="0" w:num="1">
            <w:col w:w="11260"/>
          </w:cols>
          <w:pgMar w:left="240" w:top="341" w:right="39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GLIS-0016</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w w:val="97"/>
              </w:rPr>
              <w:t>EXONUCLEASE-RESISTANT OLIGONUCLEOTIDES AND METHODS</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FOR PREPARING THE SAME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GLIS-0029</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5264564</w:t>
            </w:r>
          </w:p>
        </w:tc>
        <w:tc>
          <w:tcPr>
            <w:tcW w:w="5780" w:type="dxa"/>
            <w:vAlign w:val="bottom"/>
          </w:tcPr>
          <w:p>
            <w:pPr>
              <w:ind w:left="200"/>
              <w:spacing w:after="0"/>
              <w:rPr>
                <w:sz w:val="20"/>
                <w:szCs w:val="20"/>
                <w:color w:val="auto"/>
              </w:rPr>
            </w:pPr>
            <w:r>
              <w:rPr>
                <w:rFonts w:ascii="Arial" w:cs="Arial" w:eastAsia="Arial" w:hAnsi="Arial"/>
                <w:sz w:val="18"/>
                <w:szCs w:val="18"/>
                <w:color w:val="auto"/>
              </w:rPr>
              <w:t>FORMACETAL / KETAL LINKED OLIGONUCLEOTIDE ANALOGS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GLIS-0031</w:t>
            </w:r>
          </w:p>
        </w:tc>
        <w:tc>
          <w:tcPr>
            <w:tcW w:w="1300" w:type="dxa"/>
            <w:vAlign w:val="bottom"/>
          </w:tcPr>
          <w:p>
            <w:pPr>
              <w:jc w:val="center"/>
              <w:spacing w:after="0"/>
              <w:rPr>
                <w:sz w:val="20"/>
                <w:szCs w:val="20"/>
                <w:color w:val="auto"/>
              </w:rPr>
            </w:pPr>
            <w:r>
              <w:rPr>
                <w:rFonts w:ascii="Arial" w:cs="Arial" w:eastAsia="Arial" w:hAnsi="Arial"/>
                <w:sz w:val="18"/>
                <w:szCs w:val="18"/>
                <w:color w:val="auto"/>
              </w:rPr>
              <w:t>AU</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653504</w:t>
            </w:r>
          </w:p>
        </w:tc>
        <w:tc>
          <w:tcPr>
            <w:tcW w:w="5780" w:type="dxa"/>
            <w:vAlign w:val="bottom"/>
          </w:tcPr>
          <w:p>
            <w:pPr>
              <w:ind w:left="200"/>
              <w:spacing w:after="0"/>
              <w:rPr>
                <w:sz w:val="20"/>
                <w:szCs w:val="20"/>
                <w:color w:val="auto"/>
              </w:rPr>
            </w:pPr>
            <w:r>
              <w:rPr>
                <w:rFonts w:ascii="Arial" w:cs="Arial" w:eastAsia="Arial" w:hAnsi="Arial"/>
                <w:sz w:val="18"/>
                <w:szCs w:val="18"/>
                <w:color w:val="auto"/>
              </w:rPr>
              <w:t>FORMACETAL / KETAL LINKED OLIGONUCLEOTIDE ANALOGS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GLIS-0033</w:t>
            </w:r>
          </w:p>
        </w:tc>
        <w:tc>
          <w:tcPr>
            <w:tcW w:w="130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498843</w:t>
            </w:r>
          </w:p>
        </w:tc>
        <w:tc>
          <w:tcPr>
            <w:tcW w:w="5780" w:type="dxa"/>
            <w:vAlign w:val="bottom"/>
          </w:tcPr>
          <w:p>
            <w:pPr>
              <w:ind w:left="200"/>
              <w:spacing w:after="0"/>
              <w:rPr>
                <w:sz w:val="20"/>
                <w:szCs w:val="20"/>
                <w:color w:val="auto"/>
              </w:rPr>
            </w:pPr>
            <w:r>
              <w:rPr>
                <w:rFonts w:ascii="Arial" w:cs="Arial" w:eastAsia="Arial" w:hAnsi="Arial"/>
                <w:sz w:val="18"/>
                <w:szCs w:val="18"/>
                <w:color w:val="auto"/>
              </w:rPr>
              <w:t>FORMACETAL / KETAL LINKED OLIGONUCLEOTIDE ANALOGS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GLIS-0034</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89"/>
              </w:rPr>
              <w:t>69027443</w:t>
            </w:r>
          </w:p>
        </w:tc>
        <w:tc>
          <w:tcPr>
            <w:tcW w:w="5780" w:type="dxa"/>
            <w:vAlign w:val="bottom"/>
          </w:tcPr>
          <w:p>
            <w:pPr>
              <w:ind w:left="200"/>
              <w:spacing w:after="0"/>
              <w:rPr>
                <w:sz w:val="20"/>
                <w:szCs w:val="20"/>
                <w:color w:val="auto"/>
              </w:rPr>
            </w:pPr>
            <w:r>
              <w:rPr>
                <w:rFonts w:ascii="Arial" w:cs="Arial" w:eastAsia="Arial" w:hAnsi="Arial"/>
                <w:sz w:val="18"/>
                <w:szCs w:val="18"/>
                <w:color w:val="auto"/>
              </w:rPr>
              <w:t>FORMACETAL / KETAL LINKED OLIGONUCLEOTIDE ANALOGS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GLIS-0035</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FR</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498843</w:t>
            </w:r>
          </w:p>
        </w:tc>
        <w:tc>
          <w:tcPr>
            <w:tcW w:w="5780" w:type="dxa"/>
            <w:vAlign w:val="bottom"/>
          </w:tcPr>
          <w:p>
            <w:pPr>
              <w:ind w:left="200"/>
              <w:spacing w:after="0"/>
              <w:rPr>
                <w:sz w:val="20"/>
                <w:szCs w:val="20"/>
                <w:color w:val="auto"/>
              </w:rPr>
            </w:pPr>
            <w:r>
              <w:rPr>
                <w:rFonts w:ascii="Arial" w:cs="Arial" w:eastAsia="Arial" w:hAnsi="Arial"/>
                <w:sz w:val="18"/>
                <w:szCs w:val="18"/>
                <w:color w:val="auto"/>
              </w:rPr>
              <w:t>FORMACETAL / KETAL LINKED OLIGONUCLEOTIDE ANALOGS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GLIS-0036</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GB</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498843</w:t>
            </w:r>
          </w:p>
        </w:tc>
        <w:tc>
          <w:tcPr>
            <w:tcW w:w="5780" w:type="dxa"/>
            <w:vAlign w:val="bottom"/>
          </w:tcPr>
          <w:p>
            <w:pPr>
              <w:ind w:left="200"/>
              <w:spacing w:after="0"/>
              <w:rPr>
                <w:sz w:val="20"/>
                <w:szCs w:val="20"/>
                <w:color w:val="auto"/>
              </w:rPr>
            </w:pPr>
            <w:r>
              <w:rPr>
                <w:rFonts w:ascii="Arial" w:cs="Arial" w:eastAsia="Arial" w:hAnsi="Arial"/>
                <w:sz w:val="18"/>
                <w:szCs w:val="18"/>
                <w:color w:val="auto"/>
              </w:rPr>
              <w:t>FORMACETAL / KETAL LINKED OLIGONUCLEOTIDE ANALOGS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GLIS-0037</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5264562</w:t>
            </w:r>
          </w:p>
        </w:tc>
        <w:tc>
          <w:tcPr>
            <w:tcW w:w="5780" w:type="dxa"/>
            <w:vAlign w:val="bottom"/>
          </w:tcPr>
          <w:p>
            <w:pPr>
              <w:ind w:left="200"/>
              <w:spacing w:after="0"/>
              <w:rPr>
                <w:sz w:val="20"/>
                <w:szCs w:val="20"/>
                <w:color w:val="auto"/>
              </w:rPr>
            </w:pPr>
            <w:r>
              <w:rPr>
                <w:rFonts w:ascii="Arial" w:cs="Arial" w:eastAsia="Arial" w:hAnsi="Arial"/>
                <w:sz w:val="18"/>
                <w:szCs w:val="18"/>
                <w:color w:val="auto"/>
              </w:rPr>
              <w:t>FORMACETAL / KETAL LINKED OLIGONUCLEOTIDE ANALOGS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ISIS-3811</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6593466</w:t>
            </w:r>
          </w:p>
        </w:tc>
        <w:tc>
          <w:tcPr>
            <w:tcW w:w="5780" w:type="dxa"/>
            <w:vAlign w:val="bottom"/>
          </w:tcPr>
          <w:p>
            <w:pPr>
              <w:ind w:left="200"/>
              <w:spacing w:after="0"/>
              <w:rPr>
                <w:sz w:val="20"/>
                <w:szCs w:val="20"/>
                <w:color w:val="auto"/>
              </w:rPr>
            </w:pPr>
            <w:r>
              <w:rPr>
                <w:rFonts w:ascii="Arial" w:cs="Arial" w:eastAsia="Arial" w:hAnsi="Arial"/>
                <w:sz w:val="18"/>
                <w:szCs w:val="18"/>
                <w:color w:val="auto"/>
              </w:rPr>
              <w:t>FUNCTIONALIZED OLIGOMERS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ISIS-0816</w:t>
            </w:r>
          </w:p>
        </w:tc>
        <w:tc>
          <w:tcPr>
            <w:tcW w:w="1300" w:type="dxa"/>
            <w:vAlign w:val="bottom"/>
          </w:tcPr>
          <w:p>
            <w:pPr>
              <w:jc w:val="center"/>
              <w:spacing w:after="0"/>
              <w:rPr>
                <w:sz w:val="20"/>
                <w:szCs w:val="20"/>
                <w:color w:val="auto"/>
              </w:rPr>
            </w:pPr>
            <w:r>
              <w:rPr>
                <w:rFonts w:ascii="Arial" w:cs="Arial" w:eastAsia="Arial" w:hAnsi="Arial"/>
                <w:sz w:val="18"/>
                <w:szCs w:val="18"/>
                <w:color w:val="auto"/>
              </w:rPr>
              <w:t>AU</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669353</w:t>
            </w:r>
          </w:p>
        </w:tc>
        <w:tc>
          <w:tcPr>
            <w:tcW w:w="5780" w:type="dxa"/>
            <w:vAlign w:val="bottom"/>
          </w:tcPr>
          <w:p>
            <w:pPr>
              <w:ind w:left="20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ISIS-0841</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5623065</w:t>
            </w:r>
          </w:p>
        </w:tc>
        <w:tc>
          <w:tcPr>
            <w:tcW w:w="5780" w:type="dxa"/>
            <w:vAlign w:val="bottom"/>
          </w:tcPr>
          <w:p>
            <w:pPr>
              <w:ind w:left="20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ISIS-2002</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5955589</w:t>
            </w:r>
          </w:p>
        </w:tc>
        <w:tc>
          <w:tcPr>
            <w:tcW w:w="5780" w:type="dxa"/>
            <w:vAlign w:val="bottom"/>
          </w:tcPr>
          <w:p>
            <w:pPr>
              <w:ind w:left="20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ISIS-2454</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5856455</w:t>
            </w:r>
          </w:p>
        </w:tc>
        <w:tc>
          <w:tcPr>
            <w:tcW w:w="5780" w:type="dxa"/>
            <w:vAlign w:val="bottom"/>
          </w:tcPr>
          <w:p>
            <w:pPr>
              <w:ind w:left="20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ISIS-4387</w:t>
            </w:r>
          </w:p>
        </w:tc>
        <w:tc>
          <w:tcPr>
            <w:tcW w:w="130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ISIS-4852</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ISIS-5213</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ISIS-0818</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2126691</w:t>
            </w:r>
          </w:p>
        </w:tc>
        <w:tc>
          <w:tcPr>
            <w:tcW w:w="5780" w:type="dxa"/>
            <w:vAlign w:val="bottom"/>
          </w:tcPr>
          <w:p>
            <w:pPr>
              <w:ind w:left="20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ISIS-0819</w:t>
            </w:r>
          </w:p>
        </w:tc>
        <w:tc>
          <w:tcPr>
            <w:tcW w:w="130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618925</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ISIS-0821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BE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618925</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ISIS-0822</w:t>
            </w:r>
          </w:p>
        </w:tc>
        <w:tc>
          <w:tcPr>
            <w:tcW w:w="1300" w:type="dxa"/>
            <w:vAlign w:val="bottom"/>
          </w:tcPr>
          <w:p>
            <w:pPr>
              <w:jc w:val="center"/>
              <w:spacing w:after="0"/>
              <w:rPr>
                <w:sz w:val="20"/>
                <w:szCs w:val="20"/>
                <w:color w:val="auto"/>
              </w:rPr>
            </w:pPr>
            <w:r>
              <w:rPr>
                <w:rFonts w:ascii="Arial" w:cs="Arial" w:eastAsia="Arial" w:hAnsi="Arial"/>
                <w:sz w:val="18"/>
                <w:szCs w:val="18"/>
                <w:color w:val="auto"/>
              </w:rPr>
              <w:t>DK</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618925</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ISIS-0823</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FR</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618925</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ISIS-0824</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GB</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618925</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ISIS-0825</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89"/>
              </w:rPr>
              <w:t>69232032</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ISIS-0827</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IE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618925</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ISIS-0831</w:t>
            </w:r>
          </w:p>
        </w:tc>
        <w:tc>
          <w:tcPr>
            <w:tcW w:w="1300" w:type="dxa"/>
            <w:vAlign w:val="bottom"/>
          </w:tcPr>
          <w:p>
            <w:pPr>
              <w:jc w:val="center"/>
              <w:spacing w:after="0"/>
              <w:rPr>
                <w:sz w:val="20"/>
                <w:szCs w:val="20"/>
                <w:color w:val="auto"/>
              </w:rPr>
            </w:pPr>
            <w:r>
              <w:rPr>
                <w:rFonts w:ascii="Arial" w:cs="Arial" w:eastAsia="Arial" w:hAnsi="Arial"/>
                <w:sz w:val="18"/>
                <w:szCs w:val="18"/>
                <w:color w:val="auto"/>
              </w:rPr>
              <w:t>NL</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618925</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ISIS-0834</w:t>
            </w:r>
          </w:p>
        </w:tc>
        <w:tc>
          <w:tcPr>
            <w:tcW w:w="1300" w:type="dxa"/>
            <w:vAlign w:val="bottom"/>
          </w:tcPr>
          <w:p>
            <w:pPr>
              <w:jc w:val="center"/>
              <w:spacing w:after="0"/>
              <w:rPr>
                <w:sz w:val="20"/>
                <w:szCs w:val="20"/>
                <w:color w:val="auto"/>
              </w:rPr>
            </w:pPr>
            <w:r>
              <w:rPr>
                <w:rFonts w:ascii="Arial" w:cs="Arial" w:eastAsia="Arial" w:hAnsi="Arial"/>
                <w:sz w:val="18"/>
                <w:szCs w:val="18"/>
                <w:color w:val="auto"/>
                <w:w w:val="83"/>
              </w:rPr>
              <w:t>SE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618925</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ISIS-0835</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CH</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618925</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ISIS-0838</w:t>
            </w:r>
          </w:p>
        </w:tc>
        <w:tc>
          <w:tcPr>
            <w:tcW w:w="130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3131222</w:t>
            </w: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ISIS-4383</w:t>
            </w:r>
          </w:p>
        </w:tc>
        <w:tc>
          <w:tcPr>
            <w:tcW w:w="130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ISIS-0839</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KR</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ISIS-2825</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KR</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188858</w:t>
            </w:r>
          </w:p>
        </w:tc>
        <w:tc>
          <w:tcPr>
            <w:tcW w:w="5780" w:type="dxa"/>
            <w:vAlign w:val="bottom"/>
          </w:tcPr>
          <w:p>
            <w:pPr>
              <w:ind w:left="200"/>
              <w:spacing w:after="0"/>
              <w:rPr>
                <w:sz w:val="20"/>
                <w:szCs w:val="20"/>
                <w:color w:val="auto"/>
              </w:rPr>
            </w:pPr>
            <w:r>
              <w:rPr>
                <w:rFonts w:ascii="Arial" w:cs="Arial" w:eastAsia="Arial" w:hAnsi="Arial"/>
                <w:sz w:val="18"/>
                <w:szCs w:val="18"/>
                <w:color w:val="auto"/>
              </w:rPr>
              <w:t>GAPPED 2’-MODIFIED MACROMOLECULES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ISIS-4288</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GAPPED OLIGOMERS HAVING SITE SPECIFIC</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PHOSPHOROTHIOATE INTERNUCLEOSIDE LINKAGES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ISIS-2003</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GAPPED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ISIS-5090</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GUANIDINIUM FUNCTIONALIZED OLIGOMERS AND METHODS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ISIS-4406</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6534639</w:t>
            </w:r>
          </w:p>
        </w:tc>
        <w:tc>
          <w:tcPr>
            <w:tcW w:w="5780" w:type="dxa"/>
            <w:vAlign w:val="bottom"/>
          </w:tcPr>
          <w:p>
            <w:pPr>
              <w:ind w:left="200"/>
              <w:spacing w:after="0"/>
              <w:rPr>
                <w:sz w:val="20"/>
                <w:szCs w:val="20"/>
                <w:color w:val="auto"/>
              </w:rPr>
            </w:pPr>
            <w:r>
              <w:rPr>
                <w:rFonts w:ascii="Arial" w:cs="Arial" w:eastAsia="Arial" w:hAnsi="Arial"/>
                <w:sz w:val="18"/>
                <w:szCs w:val="18"/>
                <w:color w:val="auto"/>
                <w:w w:val="98"/>
              </w:rPr>
              <w:t>GUANIDINIUM FUNCTIONALIZED OLIGOMERS AND METHODS OF</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SYNTHESIS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ISIS-1058</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HETEROATOMIC OLIGONUCLEOSIDE LINKAGES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ISIS-1059</w:t>
            </w:r>
          </w:p>
        </w:tc>
        <w:tc>
          <w:tcPr>
            <w:tcW w:w="130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HETEROATOMIC OLIGONUCLEOSIDE LINKAGES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ISIS-1078</w:t>
            </w:r>
          </w:p>
        </w:tc>
        <w:tc>
          <w:tcPr>
            <w:tcW w:w="130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2879973</w:t>
            </w:r>
          </w:p>
        </w:tc>
        <w:tc>
          <w:tcPr>
            <w:tcW w:w="5780" w:type="dxa"/>
            <w:vAlign w:val="bottom"/>
          </w:tcPr>
          <w:p>
            <w:pPr>
              <w:ind w:left="200"/>
              <w:spacing w:after="0"/>
              <w:rPr>
                <w:sz w:val="20"/>
                <w:szCs w:val="20"/>
                <w:color w:val="auto"/>
              </w:rPr>
            </w:pPr>
            <w:r>
              <w:rPr>
                <w:rFonts w:ascii="Arial" w:cs="Arial" w:eastAsia="Arial" w:hAnsi="Arial"/>
                <w:sz w:val="18"/>
                <w:szCs w:val="18"/>
                <w:color w:val="auto"/>
              </w:rPr>
              <w:t>HETEROATOMIC OLIGONUCLEOSIDE LINKAGES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ISIS-1245</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6087482</w:t>
            </w:r>
          </w:p>
        </w:tc>
        <w:tc>
          <w:tcPr>
            <w:tcW w:w="5780" w:type="dxa"/>
            <w:vAlign w:val="bottom"/>
          </w:tcPr>
          <w:p>
            <w:pPr>
              <w:ind w:left="200"/>
              <w:spacing w:after="0"/>
              <w:rPr>
                <w:sz w:val="20"/>
                <w:szCs w:val="20"/>
                <w:color w:val="auto"/>
              </w:rPr>
            </w:pPr>
            <w:r>
              <w:rPr>
                <w:rFonts w:ascii="Arial" w:cs="Arial" w:eastAsia="Arial" w:hAnsi="Arial"/>
                <w:sz w:val="18"/>
                <w:szCs w:val="18"/>
                <w:color w:val="auto"/>
              </w:rPr>
              <w:t>HETEROATOMIC OLIGONUCLEOSIDE LINKAGES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ISIS-1960</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5623070</w:t>
            </w:r>
          </w:p>
        </w:tc>
        <w:tc>
          <w:tcPr>
            <w:tcW w:w="5780" w:type="dxa"/>
            <w:vAlign w:val="bottom"/>
          </w:tcPr>
          <w:p>
            <w:pPr>
              <w:ind w:left="200"/>
              <w:spacing w:after="0"/>
              <w:rPr>
                <w:sz w:val="20"/>
                <w:szCs w:val="20"/>
                <w:color w:val="auto"/>
              </w:rPr>
            </w:pPr>
            <w:r>
              <w:rPr>
                <w:rFonts w:ascii="Arial" w:cs="Arial" w:eastAsia="Arial" w:hAnsi="Arial"/>
                <w:sz w:val="18"/>
                <w:szCs w:val="18"/>
                <w:color w:val="auto"/>
              </w:rPr>
              <w:t>HETEROATOMIC OLIGONUCLEOSIDE LINKAGES</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ISIS-2421</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5777092</w:t>
            </w:r>
          </w:p>
        </w:tc>
        <w:tc>
          <w:tcPr>
            <w:tcW w:w="5780" w:type="dxa"/>
            <w:vAlign w:val="bottom"/>
          </w:tcPr>
          <w:p>
            <w:pPr>
              <w:ind w:left="200"/>
              <w:spacing w:after="0"/>
              <w:rPr>
                <w:sz w:val="20"/>
                <w:szCs w:val="20"/>
                <w:color w:val="auto"/>
              </w:rPr>
            </w:pPr>
            <w:r>
              <w:rPr>
                <w:rFonts w:ascii="Arial" w:cs="Arial" w:eastAsia="Arial" w:hAnsi="Arial"/>
                <w:sz w:val="18"/>
                <w:szCs w:val="18"/>
                <w:color w:val="auto"/>
              </w:rPr>
              <w:t>HETEROATOMIC OLIGONUCLEOSIDE LINKAGES</w:t>
            </w:r>
          </w:p>
        </w:tc>
      </w:tr>
    </w:tbl>
    <w:p>
      <w:pPr>
        <w:sectPr>
          <w:pgSz w:w="11900" w:h="16838" w:orient="portrait"/>
          <w:cols w:equalWidth="0" w:num="1">
            <w:col w:w="11380"/>
          </w:cols>
          <w:pgMar w:left="240" w:top="341" w:right="27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ISIS-1959</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5677437</w:t>
            </w:r>
          </w:p>
        </w:tc>
        <w:tc>
          <w:tcPr>
            <w:tcW w:w="5600" w:type="dxa"/>
            <w:vAlign w:val="bottom"/>
          </w:tcPr>
          <w:p>
            <w:pPr>
              <w:ind w:left="200"/>
              <w:spacing w:after="0"/>
              <w:rPr>
                <w:sz w:val="20"/>
                <w:szCs w:val="20"/>
                <w:color w:val="auto"/>
              </w:rPr>
            </w:pPr>
            <w:r>
              <w:rPr>
                <w:rFonts w:ascii="Arial" w:cs="Arial" w:eastAsia="Arial" w:hAnsi="Arial"/>
                <w:sz w:val="18"/>
                <w:szCs w:val="18"/>
                <w:color w:val="auto"/>
              </w:rPr>
              <w:t>HETEROATOMIC OLIGONUCLEOTIDE LINKAGES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HYBN-118.0AT</w:t>
            </w:r>
          </w:p>
        </w:tc>
        <w:tc>
          <w:tcPr>
            <w:tcW w:w="1080" w:type="dxa"/>
            <w:vAlign w:val="bottom"/>
          </w:tcPr>
          <w:p>
            <w:pPr>
              <w:ind w:left="340"/>
              <w:spacing w:after="0"/>
              <w:rPr>
                <w:sz w:val="20"/>
                <w:szCs w:val="20"/>
                <w:color w:val="auto"/>
              </w:rPr>
            </w:pPr>
            <w:r>
              <w:rPr>
                <w:rFonts w:ascii="Arial" w:cs="Arial" w:eastAsia="Arial" w:hAnsi="Arial"/>
                <w:sz w:val="18"/>
                <w:szCs w:val="18"/>
                <w:color w:val="auto"/>
              </w:rPr>
              <w:t>AT</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198073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HYBN-118.0AU</w:t>
            </w:r>
          </w:p>
        </w:tc>
        <w:tc>
          <w:tcPr>
            <w:tcW w:w="1080" w:type="dxa"/>
            <w:vAlign w:val="bottom"/>
          </w:tcPr>
          <w:p>
            <w:pPr>
              <w:ind w:left="320"/>
              <w:spacing w:after="0"/>
              <w:rPr>
                <w:sz w:val="20"/>
                <w:szCs w:val="20"/>
                <w:color w:val="auto"/>
              </w:rPr>
            </w:pPr>
            <w:r>
              <w:rPr>
                <w:rFonts w:ascii="Arial" w:cs="Arial" w:eastAsia="Arial" w:hAnsi="Arial"/>
                <w:sz w:val="18"/>
                <w:szCs w:val="18"/>
                <w:color w:val="auto"/>
              </w:rPr>
              <w:t>AU</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674158</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HYBN-118.0BE</w:t>
            </w:r>
          </w:p>
        </w:tc>
        <w:tc>
          <w:tcPr>
            <w:tcW w:w="1080" w:type="dxa"/>
            <w:vAlign w:val="bottom"/>
          </w:tcPr>
          <w:p>
            <w:pPr>
              <w:ind w:left="320"/>
              <w:spacing w:after="0"/>
              <w:rPr>
                <w:sz w:val="20"/>
                <w:szCs w:val="20"/>
                <w:color w:val="auto"/>
              </w:rPr>
            </w:pPr>
            <w:r>
              <w:rPr>
                <w:rFonts w:ascii="Arial" w:cs="Arial" w:eastAsia="Arial" w:hAnsi="Arial"/>
                <w:sz w:val="18"/>
                <w:szCs w:val="18"/>
                <w:color w:val="auto"/>
              </w:rPr>
              <w:t>BE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650493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HYBN-118.0CA</w:t>
            </w:r>
          </w:p>
        </w:tc>
        <w:tc>
          <w:tcPr>
            <w:tcW w:w="1080" w:type="dxa"/>
            <w:vAlign w:val="bottom"/>
          </w:tcPr>
          <w:p>
            <w:pPr>
              <w:ind w:left="320"/>
              <w:spacing w:after="0"/>
              <w:rPr>
                <w:sz w:val="20"/>
                <w:szCs w:val="20"/>
                <w:color w:val="auto"/>
              </w:rPr>
            </w:pPr>
            <w:r>
              <w:rPr>
                <w:rFonts w:ascii="Arial" w:cs="Arial" w:eastAsia="Arial" w:hAnsi="Arial"/>
                <w:sz w:val="18"/>
                <w:szCs w:val="18"/>
                <w:color w:val="auto"/>
              </w:rPr>
              <w:t>CA</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HYBN-118.0CH</w:t>
            </w:r>
          </w:p>
        </w:tc>
        <w:tc>
          <w:tcPr>
            <w:tcW w:w="1080" w:type="dxa"/>
            <w:vAlign w:val="bottom"/>
          </w:tcPr>
          <w:p>
            <w:pPr>
              <w:ind w:left="320"/>
              <w:spacing w:after="0"/>
              <w:rPr>
                <w:sz w:val="20"/>
                <w:szCs w:val="20"/>
                <w:color w:val="auto"/>
              </w:rPr>
            </w:pPr>
            <w:r>
              <w:rPr>
                <w:rFonts w:ascii="Arial" w:cs="Arial" w:eastAsia="Arial" w:hAnsi="Arial"/>
                <w:sz w:val="18"/>
                <w:szCs w:val="18"/>
                <w:color w:val="auto"/>
              </w:rPr>
              <w:t>CH</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9500143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HYBN-118.0CZ</w:t>
            </w:r>
          </w:p>
        </w:tc>
        <w:tc>
          <w:tcPr>
            <w:tcW w:w="1080" w:type="dxa"/>
            <w:vAlign w:val="bottom"/>
          </w:tcPr>
          <w:p>
            <w:pPr>
              <w:ind w:left="320"/>
              <w:spacing w:after="0"/>
              <w:rPr>
                <w:sz w:val="20"/>
                <w:szCs w:val="20"/>
                <w:color w:val="auto"/>
              </w:rPr>
            </w:pPr>
            <w:r>
              <w:rPr>
                <w:rFonts w:ascii="Arial" w:cs="Arial" w:eastAsia="Arial" w:hAnsi="Arial"/>
                <w:sz w:val="18"/>
                <w:szCs w:val="18"/>
                <w:color w:val="auto"/>
              </w:rPr>
              <w:t>CZ</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HYBN-118.0DE</w:t>
            </w:r>
          </w:p>
        </w:tc>
        <w:tc>
          <w:tcPr>
            <w:tcW w:w="1080" w:type="dxa"/>
            <w:vAlign w:val="bottom"/>
          </w:tcPr>
          <w:p>
            <w:pPr>
              <w:ind w:left="320"/>
              <w:spacing w:after="0"/>
              <w:rPr>
                <w:sz w:val="20"/>
                <w:szCs w:val="20"/>
                <w:color w:val="auto"/>
              </w:rPr>
            </w:pPr>
            <w:r>
              <w:rPr>
                <w:rFonts w:ascii="Arial" w:cs="Arial" w:eastAsia="Arial" w:hAnsi="Arial"/>
                <w:sz w:val="18"/>
                <w:szCs w:val="18"/>
                <w:color w:val="auto"/>
              </w:rPr>
              <w:t>DE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89"/>
              </w:rPr>
              <w:t>69329755</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HYBN-118.0DK</w:t>
            </w:r>
          </w:p>
        </w:tc>
        <w:tc>
          <w:tcPr>
            <w:tcW w:w="1080" w:type="dxa"/>
            <w:vAlign w:val="bottom"/>
          </w:tcPr>
          <w:p>
            <w:pPr>
              <w:ind w:left="320"/>
              <w:spacing w:after="0"/>
              <w:rPr>
                <w:sz w:val="20"/>
                <w:szCs w:val="20"/>
                <w:color w:val="auto"/>
              </w:rPr>
            </w:pPr>
            <w:r>
              <w:rPr>
                <w:rFonts w:ascii="Arial" w:cs="Arial" w:eastAsia="Arial" w:hAnsi="Arial"/>
                <w:sz w:val="18"/>
                <w:szCs w:val="18"/>
                <w:color w:val="auto"/>
              </w:rPr>
              <w:t>DK</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650493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HYBN-118.0EP</w:t>
            </w:r>
          </w:p>
        </w:tc>
        <w:tc>
          <w:tcPr>
            <w:tcW w:w="1080" w:type="dxa"/>
            <w:vAlign w:val="bottom"/>
          </w:tcPr>
          <w:p>
            <w:pPr>
              <w:ind w:left="340"/>
              <w:spacing w:after="0"/>
              <w:rPr>
                <w:sz w:val="20"/>
                <w:szCs w:val="20"/>
                <w:color w:val="auto"/>
              </w:rPr>
            </w:pPr>
            <w:r>
              <w:rPr>
                <w:rFonts w:ascii="Arial" w:cs="Arial" w:eastAsia="Arial" w:hAnsi="Arial"/>
                <w:sz w:val="18"/>
                <w:szCs w:val="18"/>
                <w:color w:val="auto"/>
              </w:rPr>
              <w:t>EP</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650493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HYBN-118.0ES</w:t>
            </w:r>
          </w:p>
        </w:tc>
        <w:tc>
          <w:tcPr>
            <w:tcW w:w="1080" w:type="dxa"/>
            <w:vAlign w:val="bottom"/>
          </w:tcPr>
          <w:p>
            <w:pPr>
              <w:ind w:left="340"/>
              <w:spacing w:after="0"/>
              <w:rPr>
                <w:sz w:val="20"/>
                <w:szCs w:val="20"/>
                <w:color w:val="auto"/>
              </w:rPr>
            </w:pPr>
            <w:r>
              <w:rPr>
                <w:rFonts w:ascii="Arial" w:cs="Arial" w:eastAsia="Arial" w:hAnsi="Arial"/>
                <w:sz w:val="18"/>
                <w:szCs w:val="18"/>
                <w:color w:val="auto"/>
              </w:rPr>
              <w:t>ES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650493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HYBN-118.0FR</w:t>
            </w:r>
          </w:p>
        </w:tc>
        <w:tc>
          <w:tcPr>
            <w:tcW w:w="1080" w:type="dxa"/>
            <w:vAlign w:val="bottom"/>
          </w:tcPr>
          <w:p>
            <w:pPr>
              <w:ind w:left="340"/>
              <w:spacing w:after="0"/>
              <w:rPr>
                <w:sz w:val="20"/>
                <w:szCs w:val="20"/>
                <w:color w:val="auto"/>
              </w:rPr>
            </w:pPr>
            <w:r>
              <w:rPr>
                <w:rFonts w:ascii="Arial" w:cs="Arial" w:eastAsia="Arial" w:hAnsi="Arial"/>
                <w:sz w:val="18"/>
                <w:szCs w:val="18"/>
                <w:color w:val="auto"/>
              </w:rPr>
              <w:t>FR</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650493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HYBN-118.0GB</w:t>
            </w:r>
          </w:p>
        </w:tc>
        <w:tc>
          <w:tcPr>
            <w:tcW w:w="1080" w:type="dxa"/>
            <w:vAlign w:val="bottom"/>
          </w:tcPr>
          <w:p>
            <w:pPr>
              <w:ind w:left="320"/>
              <w:spacing w:after="0"/>
              <w:rPr>
                <w:sz w:val="20"/>
                <w:szCs w:val="20"/>
                <w:color w:val="auto"/>
              </w:rPr>
            </w:pPr>
            <w:r>
              <w:rPr>
                <w:rFonts w:ascii="Arial" w:cs="Arial" w:eastAsia="Arial" w:hAnsi="Arial"/>
                <w:sz w:val="18"/>
                <w:szCs w:val="18"/>
                <w:color w:val="auto"/>
              </w:rPr>
              <w:t>GB</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650493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HYBN-118.0IE</w:t>
            </w:r>
          </w:p>
        </w:tc>
        <w:tc>
          <w:tcPr>
            <w:tcW w:w="1080" w:type="dxa"/>
            <w:vAlign w:val="bottom"/>
          </w:tcPr>
          <w:p>
            <w:pPr>
              <w:ind w:left="360"/>
              <w:spacing w:after="0"/>
              <w:rPr>
                <w:sz w:val="20"/>
                <w:szCs w:val="20"/>
                <w:color w:val="auto"/>
              </w:rPr>
            </w:pPr>
            <w:r>
              <w:rPr>
                <w:rFonts w:ascii="Arial" w:cs="Arial" w:eastAsia="Arial" w:hAnsi="Arial"/>
                <w:sz w:val="18"/>
                <w:szCs w:val="18"/>
                <w:color w:val="auto"/>
              </w:rPr>
              <w:t>IE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650493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HYBN-118.0IT</w:t>
            </w:r>
          </w:p>
        </w:tc>
        <w:tc>
          <w:tcPr>
            <w:tcW w:w="1080" w:type="dxa"/>
            <w:vAlign w:val="bottom"/>
          </w:tcPr>
          <w:p>
            <w:pPr>
              <w:ind w:left="360"/>
              <w:spacing w:after="0"/>
              <w:rPr>
                <w:sz w:val="20"/>
                <w:szCs w:val="20"/>
                <w:color w:val="auto"/>
              </w:rPr>
            </w:pPr>
            <w:r>
              <w:rPr>
                <w:rFonts w:ascii="Arial" w:cs="Arial" w:eastAsia="Arial" w:hAnsi="Arial"/>
                <w:sz w:val="18"/>
                <w:szCs w:val="18"/>
                <w:color w:val="auto"/>
              </w:rPr>
              <w:t>IT</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650493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HYBN-118.0NL</w:t>
            </w:r>
          </w:p>
        </w:tc>
        <w:tc>
          <w:tcPr>
            <w:tcW w:w="1080" w:type="dxa"/>
            <w:vAlign w:val="bottom"/>
          </w:tcPr>
          <w:p>
            <w:pPr>
              <w:ind w:left="320"/>
              <w:spacing w:after="0"/>
              <w:rPr>
                <w:sz w:val="20"/>
                <w:szCs w:val="20"/>
                <w:color w:val="auto"/>
              </w:rPr>
            </w:pPr>
            <w:r>
              <w:rPr>
                <w:rFonts w:ascii="Arial" w:cs="Arial" w:eastAsia="Arial" w:hAnsi="Arial"/>
                <w:sz w:val="18"/>
                <w:szCs w:val="18"/>
                <w:color w:val="auto"/>
              </w:rPr>
              <w:t>NL</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650493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HYBN-118.0SE</w:t>
            </w:r>
          </w:p>
        </w:tc>
        <w:tc>
          <w:tcPr>
            <w:tcW w:w="1080" w:type="dxa"/>
            <w:vAlign w:val="bottom"/>
          </w:tcPr>
          <w:p>
            <w:pPr>
              <w:ind w:left="340"/>
              <w:spacing w:after="0"/>
              <w:rPr>
                <w:sz w:val="20"/>
                <w:szCs w:val="20"/>
                <w:color w:val="auto"/>
              </w:rPr>
            </w:pPr>
            <w:r>
              <w:rPr>
                <w:rFonts w:ascii="Arial" w:cs="Arial" w:eastAsia="Arial" w:hAnsi="Arial"/>
                <w:sz w:val="18"/>
                <w:szCs w:val="18"/>
                <w:color w:val="auto"/>
              </w:rPr>
              <w:t>SE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650493</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HYBN-118.0US</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5652355</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6143881</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118.0USD1</w:t>
            </w: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HYBN-118.1US</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6346614</w:t>
            </w: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OLIGONUCLEOTIDES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HYBRID OLIGONUCLEOTIDES PHOSPHOROTHIOATES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118.1USC1</w:t>
            </w: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HYBN-224.1US</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IMPROVED REAGENTS AND PROCESS FOR SYNTHESIS OF</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OLIGONUCLEOTIDES CONTAINING PHOSPHORODITHIOATE</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INTERNUCLEOSIDE LINKAGES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5739308</w:t>
            </w:r>
          </w:p>
        </w:tc>
        <w:tc>
          <w:tcPr>
            <w:tcW w:w="5600" w:type="dxa"/>
            <w:vAlign w:val="bottom"/>
          </w:tcPr>
          <w:p>
            <w:pPr>
              <w:ind w:left="200"/>
              <w:spacing w:after="0"/>
              <w:rPr>
                <w:sz w:val="20"/>
                <w:szCs w:val="20"/>
                <w:color w:val="auto"/>
              </w:rPr>
            </w:pPr>
            <w:r>
              <w:rPr>
                <w:rFonts w:ascii="Arial" w:cs="Arial" w:eastAsia="Arial" w:hAnsi="Arial"/>
                <w:sz w:val="18"/>
                <w:szCs w:val="18"/>
                <w:color w:val="auto"/>
              </w:rPr>
              <w:t>INTEGRATED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123.0USC2</w:t>
            </w: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ISIS-4723</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w w:val="97"/>
              </w:rPr>
              <w:t>LABELED OLIGONUCLEOTIDES, METHODS FOR MAKING SAME,</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AND COMPOUNDS USEFUL THEREFOR</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ISIS-5272</w:t>
            </w:r>
          </w:p>
        </w:tc>
        <w:tc>
          <w:tcPr>
            <w:tcW w:w="1080" w:type="dxa"/>
            <w:vAlign w:val="bottom"/>
          </w:tcPr>
          <w:p>
            <w:pPr>
              <w:ind w:left="320"/>
              <w:spacing w:after="0"/>
              <w:rPr>
                <w:sz w:val="20"/>
                <w:szCs w:val="20"/>
                <w:color w:val="auto"/>
              </w:rPr>
            </w:pPr>
            <w:r>
              <w:rPr>
                <w:rFonts w:ascii="Arial" w:cs="Arial" w:eastAsia="Arial" w:hAnsi="Arial"/>
                <w:sz w:val="18"/>
                <w:szCs w:val="18"/>
                <w:color w:val="auto"/>
              </w:rPr>
              <w:t>AU</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w w:val="97"/>
              </w:rPr>
              <w:t>LABELED OLIGONUCLEOTIDES, METHODS FOR MAKING SAME,</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AND COMPOUNDS USEFUL THEREFOR</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ISIS-5273</w:t>
            </w:r>
          </w:p>
        </w:tc>
        <w:tc>
          <w:tcPr>
            <w:tcW w:w="1080" w:type="dxa"/>
            <w:vAlign w:val="bottom"/>
          </w:tcPr>
          <w:p>
            <w:pPr>
              <w:ind w:left="320"/>
              <w:spacing w:after="0"/>
              <w:rPr>
                <w:sz w:val="20"/>
                <w:szCs w:val="20"/>
                <w:color w:val="auto"/>
              </w:rPr>
            </w:pPr>
            <w:r>
              <w:rPr>
                <w:rFonts w:ascii="Arial" w:cs="Arial" w:eastAsia="Arial" w:hAnsi="Arial"/>
                <w:sz w:val="18"/>
                <w:szCs w:val="18"/>
                <w:color w:val="auto"/>
              </w:rPr>
              <w:t>CA</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w w:val="97"/>
              </w:rPr>
              <w:t>LABELED OLIGONUCLEOTIDES, METHODS FOR MAKING SAME,</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AND COMPOUNDS USEFUL THEREFOR</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ISIS-5274</w:t>
            </w:r>
          </w:p>
        </w:tc>
        <w:tc>
          <w:tcPr>
            <w:tcW w:w="1080" w:type="dxa"/>
            <w:vAlign w:val="bottom"/>
          </w:tcPr>
          <w:p>
            <w:pPr>
              <w:ind w:left="340"/>
              <w:spacing w:after="0"/>
              <w:rPr>
                <w:sz w:val="20"/>
                <w:szCs w:val="20"/>
                <w:color w:val="auto"/>
              </w:rPr>
            </w:pPr>
            <w:r>
              <w:rPr>
                <w:rFonts w:ascii="Arial" w:cs="Arial" w:eastAsia="Arial" w:hAnsi="Arial"/>
                <w:sz w:val="18"/>
                <w:szCs w:val="18"/>
                <w:color w:val="auto"/>
              </w:rPr>
              <w:t>EP</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w w:val="97"/>
              </w:rPr>
              <w:t>LABELED OLIGONUCLEOTIDES, METHODS FOR MAKING SAME,</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AND COMPOUNDS USEFUL THEREFOR</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ISIS-1164</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60" w:type="dxa"/>
            <w:vAlign w:val="bottom"/>
          </w:tcPr>
          <w:p>
            <w:pPr>
              <w:spacing w:after="0"/>
              <w:rPr>
                <w:sz w:val="18"/>
                <w:szCs w:val="18"/>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5554746</w:t>
            </w:r>
          </w:p>
        </w:tc>
        <w:tc>
          <w:tcPr>
            <w:tcW w:w="5600" w:type="dxa"/>
            <w:vAlign w:val="bottom"/>
          </w:tcPr>
          <w:p>
            <w:pPr>
              <w:ind w:left="200"/>
              <w:spacing w:after="0"/>
              <w:rPr>
                <w:sz w:val="20"/>
                <w:szCs w:val="20"/>
                <w:color w:val="auto"/>
              </w:rPr>
            </w:pPr>
            <w:r>
              <w:rPr>
                <w:rFonts w:ascii="Arial" w:cs="Arial" w:eastAsia="Arial" w:hAnsi="Arial"/>
                <w:sz w:val="18"/>
                <w:szCs w:val="18"/>
                <w:color w:val="auto"/>
              </w:rPr>
              <w:t>LACTAM NUCLEIC ACIDS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ISIS-4390</w:t>
            </w:r>
          </w:p>
        </w:tc>
        <w:tc>
          <w:tcPr>
            <w:tcW w:w="1080" w:type="dxa"/>
            <w:vAlign w:val="bottom"/>
          </w:tcPr>
          <w:p>
            <w:pPr>
              <w:ind w:left="320"/>
              <w:spacing w:after="0"/>
              <w:rPr>
                <w:sz w:val="20"/>
                <w:szCs w:val="20"/>
                <w:color w:val="auto"/>
              </w:rPr>
            </w:pPr>
            <w:r>
              <w:rPr>
                <w:rFonts w:ascii="Arial" w:cs="Arial" w:eastAsia="Arial" w:hAnsi="Arial"/>
                <w:sz w:val="18"/>
                <w:szCs w:val="18"/>
                <w:color w:val="auto"/>
              </w:rPr>
              <w:t>US</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LIGAND-CONJUGATED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GLIS-0061</w:t>
            </w:r>
          </w:p>
        </w:tc>
        <w:tc>
          <w:tcPr>
            <w:tcW w:w="1080" w:type="dxa"/>
            <w:vAlign w:val="bottom"/>
          </w:tcPr>
          <w:p>
            <w:pPr>
              <w:ind w:left="340"/>
              <w:spacing w:after="0"/>
              <w:rPr>
                <w:sz w:val="20"/>
                <w:szCs w:val="20"/>
                <w:color w:val="auto"/>
              </w:rPr>
            </w:pPr>
            <w:r>
              <w:rPr>
                <w:rFonts w:ascii="Arial" w:cs="Arial" w:eastAsia="Arial" w:hAnsi="Arial"/>
                <w:sz w:val="18"/>
                <w:szCs w:val="18"/>
                <w:color w:val="auto"/>
              </w:rPr>
              <w:t>EP</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LIPOPHILIC OLIGONUCLEOTIDE ANALOGS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HYBN-191.0BE</w:t>
            </w:r>
          </w:p>
        </w:tc>
        <w:tc>
          <w:tcPr>
            <w:tcW w:w="1080" w:type="dxa"/>
            <w:vAlign w:val="bottom"/>
          </w:tcPr>
          <w:p>
            <w:pPr>
              <w:ind w:left="320"/>
              <w:spacing w:after="0"/>
              <w:rPr>
                <w:sz w:val="20"/>
                <w:szCs w:val="20"/>
                <w:color w:val="auto"/>
              </w:rPr>
            </w:pPr>
            <w:r>
              <w:rPr>
                <w:rFonts w:ascii="Arial" w:cs="Arial" w:eastAsia="Arial" w:hAnsi="Arial"/>
                <w:sz w:val="18"/>
                <w:szCs w:val="18"/>
                <w:color w:val="auto"/>
              </w:rPr>
              <w:t>BE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850300</w:t>
            </w:r>
          </w:p>
        </w:tc>
        <w:tc>
          <w:tcPr>
            <w:tcW w:w="5600" w:type="dxa"/>
            <w:vAlign w:val="bottom"/>
          </w:tcPr>
          <w:p>
            <w:pPr>
              <w:ind w:left="200"/>
              <w:spacing w:after="0"/>
              <w:rPr>
                <w:sz w:val="20"/>
                <w:szCs w:val="20"/>
                <w:color w:val="auto"/>
              </w:rPr>
            </w:pPr>
            <w:r>
              <w:rPr>
                <w:rFonts w:ascii="Arial" w:cs="Arial" w:eastAsia="Arial" w:hAnsi="Arial"/>
                <w:sz w:val="18"/>
                <w:szCs w:val="18"/>
                <w:color w:val="auto"/>
                <w:w w:val="96"/>
              </w:rPr>
              <w:t>METHOD OF MODULATING GENE EXPRESSION WITH REDUCED</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HYBN-191.0CA</w:t>
            </w:r>
          </w:p>
        </w:tc>
        <w:tc>
          <w:tcPr>
            <w:tcW w:w="1080" w:type="dxa"/>
            <w:vAlign w:val="bottom"/>
          </w:tcPr>
          <w:p>
            <w:pPr>
              <w:ind w:left="320"/>
              <w:spacing w:after="0"/>
              <w:rPr>
                <w:sz w:val="20"/>
                <w:szCs w:val="20"/>
                <w:color w:val="auto"/>
              </w:rPr>
            </w:pPr>
            <w:r>
              <w:rPr>
                <w:rFonts w:ascii="Arial" w:cs="Arial" w:eastAsia="Arial" w:hAnsi="Arial"/>
                <w:sz w:val="18"/>
                <w:szCs w:val="18"/>
                <w:color w:val="auto"/>
              </w:rPr>
              <w:t>CA</w:t>
            </w:r>
          </w:p>
        </w:tc>
        <w:tc>
          <w:tcPr>
            <w:tcW w:w="1560" w:type="dxa"/>
            <w:vAlign w:val="bottom"/>
          </w:tcPr>
          <w:p>
            <w:pPr>
              <w:ind w:left="52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w w:val="96"/>
              </w:rPr>
              <w:t>METHOD OF MODULATING GENE EXPRESSION WITH REDUCED</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HYBN-191.0DE</w:t>
            </w:r>
          </w:p>
        </w:tc>
        <w:tc>
          <w:tcPr>
            <w:tcW w:w="1080" w:type="dxa"/>
            <w:vAlign w:val="bottom"/>
          </w:tcPr>
          <w:p>
            <w:pPr>
              <w:ind w:left="320"/>
              <w:spacing w:after="0"/>
              <w:rPr>
                <w:sz w:val="20"/>
                <w:szCs w:val="20"/>
                <w:color w:val="auto"/>
              </w:rPr>
            </w:pPr>
            <w:r>
              <w:rPr>
                <w:rFonts w:ascii="Arial" w:cs="Arial" w:eastAsia="Arial" w:hAnsi="Arial"/>
                <w:sz w:val="18"/>
                <w:szCs w:val="18"/>
                <w:color w:val="auto"/>
              </w:rPr>
              <w:t>DE</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89"/>
              </w:rPr>
              <w:t>96904686</w:t>
            </w:r>
          </w:p>
        </w:tc>
        <w:tc>
          <w:tcPr>
            <w:tcW w:w="5600" w:type="dxa"/>
            <w:vAlign w:val="bottom"/>
          </w:tcPr>
          <w:p>
            <w:pPr>
              <w:ind w:left="200"/>
              <w:spacing w:after="0"/>
              <w:rPr>
                <w:sz w:val="20"/>
                <w:szCs w:val="20"/>
                <w:color w:val="auto"/>
              </w:rPr>
            </w:pPr>
            <w:r>
              <w:rPr>
                <w:rFonts w:ascii="Arial" w:cs="Arial" w:eastAsia="Arial" w:hAnsi="Arial"/>
                <w:sz w:val="18"/>
                <w:szCs w:val="18"/>
                <w:color w:val="auto"/>
                <w:w w:val="96"/>
              </w:rPr>
              <w:t>METHOD OF MODULATING GENE EXPRESSION WITH REDUCED</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HYBN-191.0DK</w:t>
            </w:r>
          </w:p>
        </w:tc>
        <w:tc>
          <w:tcPr>
            <w:tcW w:w="1080" w:type="dxa"/>
            <w:vAlign w:val="bottom"/>
          </w:tcPr>
          <w:p>
            <w:pPr>
              <w:ind w:left="320"/>
              <w:spacing w:after="0"/>
              <w:rPr>
                <w:sz w:val="20"/>
                <w:szCs w:val="20"/>
                <w:color w:val="auto"/>
              </w:rPr>
            </w:pPr>
            <w:r>
              <w:rPr>
                <w:rFonts w:ascii="Arial" w:cs="Arial" w:eastAsia="Arial" w:hAnsi="Arial"/>
                <w:sz w:val="18"/>
                <w:szCs w:val="18"/>
                <w:color w:val="auto"/>
              </w:rPr>
              <w:t>DK</w:t>
            </w:r>
          </w:p>
        </w:tc>
        <w:tc>
          <w:tcPr>
            <w:tcW w:w="156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850300</w:t>
            </w:r>
          </w:p>
        </w:tc>
        <w:tc>
          <w:tcPr>
            <w:tcW w:w="5600" w:type="dxa"/>
            <w:vAlign w:val="bottom"/>
          </w:tcPr>
          <w:p>
            <w:pPr>
              <w:ind w:left="200"/>
              <w:spacing w:after="0"/>
              <w:rPr>
                <w:sz w:val="20"/>
                <w:szCs w:val="20"/>
                <w:color w:val="auto"/>
              </w:rPr>
            </w:pPr>
            <w:r>
              <w:rPr>
                <w:rFonts w:ascii="Arial" w:cs="Arial" w:eastAsia="Arial" w:hAnsi="Arial"/>
                <w:sz w:val="18"/>
                <w:szCs w:val="18"/>
                <w:color w:val="auto"/>
                <w:w w:val="96"/>
              </w:rPr>
              <w:t>METHOD OF MODULATING GENE EXPRESSION WITH REDUCED</w:t>
            </w:r>
          </w:p>
        </w:tc>
      </w:tr>
      <w:tr>
        <w:trPr>
          <w:trHeight w:val="230"/>
        </w:trPr>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IMMUNOSTIMULATORY RESPONSE</w:t>
            </w:r>
          </w:p>
        </w:tc>
      </w:tr>
    </w:tbl>
    <w:p>
      <w:pPr>
        <w:sectPr>
          <w:pgSz w:w="11900" w:h="16838" w:orient="portrait"/>
          <w:cols w:equalWidth="0" w:num="1">
            <w:col w:w="11200"/>
          </w:cols>
          <w:pgMar w:left="240" w:top="341" w:right="45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HYBN-191.0EP</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850300</w:t>
            </w:r>
          </w:p>
        </w:tc>
        <w:tc>
          <w:tcPr>
            <w:tcW w:w="5660" w:type="dxa"/>
            <w:vAlign w:val="bottom"/>
          </w:tcPr>
          <w:p>
            <w:pPr>
              <w:ind w:left="160"/>
              <w:spacing w:after="0"/>
              <w:rPr>
                <w:sz w:val="20"/>
                <w:szCs w:val="20"/>
                <w:color w:val="auto"/>
              </w:rPr>
            </w:pPr>
            <w:r>
              <w:rPr>
                <w:rFonts w:ascii="Arial" w:cs="Arial" w:eastAsia="Arial" w:hAnsi="Arial"/>
                <w:sz w:val="18"/>
                <w:szCs w:val="18"/>
                <w:color w:val="auto"/>
                <w:w w:val="98"/>
              </w:rPr>
              <w:t>METHOD OF MODULATING GENE EXPRESSION WITH REDUCED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HYBN-191.0ES</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3"/>
              </w:rPr>
              <w:t>ES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850300</w:t>
            </w:r>
          </w:p>
        </w:tc>
        <w:tc>
          <w:tcPr>
            <w:tcW w:w="5660" w:type="dxa"/>
            <w:vAlign w:val="bottom"/>
          </w:tcPr>
          <w:p>
            <w:pPr>
              <w:ind w:left="160"/>
              <w:spacing w:after="0"/>
              <w:rPr>
                <w:sz w:val="20"/>
                <w:szCs w:val="20"/>
                <w:color w:val="auto"/>
              </w:rPr>
            </w:pPr>
            <w:r>
              <w:rPr>
                <w:rFonts w:ascii="Arial" w:cs="Arial" w:eastAsia="Arial" w:hAnsi="Arial"/>
                <w:sz w:val="18"/>
                <w:szCs w:val="18"/>
                <w:color w:val="auto"/>
                <w:w w:val="98"/>
              </w:rPr>
              <w:t>METHOD OF MODULATING GENE EXPRESSION WITH REDUCED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HYBN-191.0FI</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9"/>
              </w:rPr>
              <w:t>FI</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850300</w:t>
            </w:r>
          </w:p>
        </w:tc>
        <w:tc>
          <w:tcPr>
            <w:tcW w:w="5660" w:type="dxa"/>
            <w:vAlign w:val="bottom"/>
          </w:tcPr>
          <w:p>
            <w:pPr>
              <w:ind w:left="160"/>
              <w:spacing w:after="0"/>
              <w:rPr>
                <w:sz w:val="20"/>
                <w:szCs w:val="20"/>
                <w:color w:val="auto"/>
              </w:rPr>
            </w:pPr>
            <w:r>
              <w:rPr>
                <w:rFonts w:ascii="Arial" w:cs="Arial" w:eastAsia="Arial" w:hAnsi="Arial"/>
                <w:sz w:val="18"/>
                <w:szCs w:val="18"/>
                <w:color w:val="auto"/>
                <w:w w:val="98"/>
              </w:rPr>
              <w:t>METHOD OF MODULATING GENE EXPRESSION WITH REDUCED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HYBN-191.0GR</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8"/>
              </w:rPr>
              <w:t>GR</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850300</w:t>
            </w:r>
          </w:p>
        </w:tc>
        <w:tc>
          <w:tcPr>
            <w:tcW w:w="5660" w:type="dxa"/>
            <w:vAlign w:val="bottom"/>
          </w:tcPr>
          <w:p>
            <w:pPr>
              <w:ind w:left="160"/>
              <w:spacing w:after="0"/>
              <w:rPr>
                <w:sz w:val="20"/>
                <w:szCs w:val="20"/>
                <w:color w:val="auto"/>
              </w:rPr>
            </w:pPr>
            <w:r>
              <w:rPr>
                <w:rFonts w:ascii="Arial" w:cs="Arial" w:eastAsia="Arial" w:hAnsi="Arial"/>
                <w:sz w:val="18"/>
                <w:szCs w:val="18"/>
                <w:color w:val="auto"/>
                <w:w w:val="98"/>
              </w:rPr>
              <w:t>METHOD OF MODULATING GENE EXPRESSION WITH REDUCED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HYBN-191.0JP</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w w:val="98"/>
              </w:rPr>
              <w:t>METHOD OF MODULATING GENE EXPRESSION WITH REDUCED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HYBN-191.0LU</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rPr>
              <w:t>LX</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850300</w:t>
            </w:r>
          </w:p>
        </w:tc>
        <w:tc>
          <w:tcPr>
            <w:tcW w:w="5660" w:type="dxa"/>
            <w:vAlign w:val="bottom"/>
          </w:tcPr>
          <w:p>
            <w:pPr>
              <w:ind w:left="160"/>
              <w:spacing w:after="0"/>
              <w:rPr>
                <w:sz w:val="20"/>
                <w:szCs w:val="20"/>
                <w:color w:val="auto"/>
              </w:rPr>
            </w:pPr>
            <w:r>
              <w:rPr>
                <w:rFonts w:ascii="Arial" w:cs="Arial" w:eastAsia="Arial" w:hAnsi="Arial"/>
                <w:sz w:val="18"/>
                <w:szCs w:val="18"/>
                <w:color w:val="auto"/>
                <w:w w:val="98"/>
              </w:rPr>
              <w:t>METHOD OF MODULATING GENE EXPRESSION WITH REDUCED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HYBN-191.0PT</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6"/>
              </w:rPr>
              <w:t>PT</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850300</w:t>
            </w:r>
          </w:p>
        </w:tc>
        <w:tc>
          <w:tcPr>
            <w:tcW w:w="5660" w:type="dxa"/>
            <w:vAlign w:val="bottom"/>
          </w:tcPr>
          <w:p>
            <w:pPr>
              <w:ind w:left="160"/>
              <w:spacing w:after="0"/>
              <w:rPr>
                <w:sz w:val="20"/>
                <w:szCs w:val="20"/>
                <w:color w:val="auto"/>
              </w:rPr>
            </w:pPr>
            <w:r>
              <w:rPr>
                <w:rFonts w:ascii="Arial" w:cs="Arial" w:eastAsia="Arial" w:hAnsi="Arial"/>
                <w:sz w:val="18"/>
                <w:szCs w:val="18"/>
                <w:color w:val="auto"/>
                <w:w w:val="98"/>
              </w:rPr>
              <w:t>METHOD OF MODULATING GENE EXPRESSION WITH REDUCED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HYBN-191.0SE</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3"/>
              </w:rPr>
              <w:t>SE</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850300</w:t>
            </w:r>
          </w:p>
        </w:tc>
        <w:tc>
          <w:tcPr>
            <w:tcW w:w="5660" w:type="dxa"/>
            <w:vAlign w:val="bottom"/>
          </w:tcPr>
          <w:p>
            <w:pPr>
              <w:ind w:left="160"/>
              <w:spacing w:after="0"/>
              <w:rPr>
                <w:sz w:val="20"/>
                <w:szCs w:val="20"/>
                <w:color w:val="auto"/>
              </w:rPr>
            </w:pPr>
            <w:r>
              <w:rPr>
                <w:rFonts w:ascii="Arial" w:cs="Arial" w:eastAsia="Arial" w:hAnsi="Arial"/>
                <w:sz w:val="18"/>
                <w:szCs w:val="18"/>
                <w:color w:val="auto"/>
                <w:w w:val="98"/>
              </w:rPr>
              <w:t>METHOD OF MODULATING GENE EXPRESSION WITH REDUCED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HYBN-191.0US</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5968909</w:t>
            </w:r>
          </w:p>
        </w:tc>
        <w:tc>
          <w:tcPr>
            <w:tcW w:w="5660" w:type="dxa"/>
            <w:vAlign w:val="bottom"/>
          </w:tcPr>
          <w:p>
            <w:pPr>
              <w:ind w:left="160"/>
              <w:spacing w:after="0"/>
              <w:rPr>
                <w:sz w:val="20"/>
                <w:szCs w:val="20"/>
                <w:color w:val="auto"/>
              </w:rPr>
            </w:pPr>
            <w:r>
              <w:rPr>
                <w:rFonts w:ascii="Arial" w:cs="Arial" w:eastAsia="Arial" w:hAnsi="Arial"/>
                <w:sz w:val="18"/>
                <w:szCs w:val="18"/>
                <w:color w:val="auto"/>
                <w:w w:val="98"/>
              </w:rPr>
              <w:t>METHOD OF MODULATING GENE EXPRESSION WITH REDUCED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IMMUNOSTIMULATORY RESPONSE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HYBN-146.0US</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5847104</w:t>
            </w:r>
          </w:p>
        </w:tc>
        <w:tc>
          <w:tcPr>
            <w:tcW w:w="5660" w:type="dxa"/>
            <w:vAlign w:val="bottom"/>
          </w:tcPr>
          <w:p>
            <w:pPr>
              <w:ind w:left="160"/>
              <w:spacing w:after="0"/>
              <w:rPr>
                <w:sz w:val="20"/>
                <w:szCs w:val="20"/>
                <w:color w:val="auto"/>
              </w:rPr>
            </w:pPr>
            <w:r>
              <w:rPr>
                <w:rFonts w:ascii="Arial" w:cs="Arial" w:eastAsia="Arial" w:hAnsi="Arial"/>
                <w:sz w:val="18"/>
                <w:szCs w:val="18"/>
                <w:color w:val="auto"/>
              </w:rPr>
              <w:t>METHOD OF TRITIUM LABELING OLIGONUCLEOTIDE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METHOD OF TRITIUM LABELING OLIGONUCLEOTIDE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146.0USD1</w:t>
            </w: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5668262</w:t>
            </w:r>
          </w:p>
        </w:tc>
        <w:tc>
          <w:tcPr>
            <w:tcW w:w="5660" w:type="dxa"/>
            <w:vAlign w:val="bottom"/>
          </w:tcPr>
          <w:p>
            <w:pPr>
              <w:ind w:left="160"/>
              <w:spacing w:after="0"/>
              <w:rPr>
                <w:sz w:val="20"/>
                <w:szCs w:val="20"/>
                <w:color w:val="auto"/>
              </w:rPr>
            </w:pPr>
            <w:r>
              <w:rPr>
                <w:rFonts w:ascii="Arial" w:cs="Arial" w:eastAsia="Arial" w:hAnsi="Arial"/>
                <w:sz w:val="18"/>
                <w:szCs w:val="18"/>
                <w:color w:val="auto"/>
              </w:rPr>
              <w:t>METHOD OF TRITIUM LABELING OLIGONUCLEOTIDE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146.0USD2</w:t>
            </w: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HYBN-152.0CA</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CA</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METHODS AND COMPOUNDS FOR THE STEREOSELECTIVE</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ENRICHMENT OF OLIGONUCLEOTIDE DIASTEREOMERS AND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OLIGONUCLEOTIDES THEREBY PRODUCED</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HYBN-152.0EP</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METHODS AND COMPOUNDS FOR THE STEREOSELECTIVE</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ENRICHMENT OF OLIGONUCLEOTIDE DIASTEREOMERS AND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OLIGONUCLEOTIDES THEREBY PRODUCED</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HYBN-152.0JP</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METHODS AND COMPOUNDS FOR THE STEREOSELECTIVE</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ENRICHMENT OF OLIGONUCLEOTIDE DIASTEREOMERS AND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OLIGONUCLEOTIDES THEREBY PRODUCED</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HYBN-152.0US</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5750674</w:t>
            </w:r>
          </w:p>
        </w:tc>
        <w:tc>
          <w:tcPr>
            <w:tcW w:w="5660" w:type="dxa"/>
            <w:vAlign w:val="bottom"/>
          </w:tcPr>
          <w:p>
            <w:pPr>
              <w:ind w:left="160"/>
              <w:spacing w:after="0"/>
              <w:rPr>
                <w:sz w:val="20"/>
                <w:szCs w:val="20"/>
                <w:color w:val="auto"/>
              </w:rPr>
            </w:pPr>
            <w:r>
              <w:rPr>
                <w:rFonts w:ascii="Arial" w:cs="Arial" w:eastAsia="Arial" w:hAnsi="Arial"/>
                <w:sz w:val="18"/>
                <w:szCs w:val="18"/>
                <w:color w:val="auto"/>
              </w:rPr>
              <w:t>METHODS AND COMPOUNDS FOR THE STEREOSELECTIVE</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ENRICHMENT OF OLIGONUCLEOTIDE DIASTEREOMERS AND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OLIGONUCLEOTIDES THEREBY PRODUCED</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ISIS-3073</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6335437</w:t>
            </w:r>
          </w:p>
        </w:tc>
        <w:tc>
          <w:tcPr>
            <w:tcW w:w="5660" w:type="dxa"/>
            <w:vAlign w:val="bottom"/>
          </w:tcPr>
          <w:p>
            <w:pPr>
              <w:ind w:left="160"/>
              <w:spacing w:after="0"/>
              <w:rPr>
                <w:sz w:val="20"/>
                <w:szCs w:val="20"/>
                <w:color w:val="auto"/>
              </w:rPr>
            </w:pPr>
            <w:r>
              <w:rPr>
                <w:rFonts w:ascii="Arial" w:cs="Arial" w:eastAsia="Arial" w:hAnsi="Arial"/>
                <w:sz w:val="18"/>
                <w:szCs w:val="18"/>
                <w:color w:val="auto"/>
                <w:w w:val="94"/>
              </w:rPr>
              <w:t>METHODS FOR THE PREPARATION OF CONJUGATED OLIGOMERS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ISIS-4101</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0"/>
              </w:rPr>
              <w:t>WO</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w w:val="94"/>
              </w:rPr>
              <w:t>METHODS FOR THE PREPARATION OF CONJUGATED OLIGOMERS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ISIS-4105</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w w:val="94"/>
              </w:rPr>
              <w:t>METHODS FOR THE PREPARATION OF CONJUGATED OLIGOMERS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HYBN-227.0AT</w:t>
            </w:r>
          </w:p>
        </w:tc>
        <w:tc>
          <w:tcPr>
            <w:tcW w:w="1120" w:type="dxa"/>
            <w:vAlign w:val="bottom"/>
          </w:tcPr>
          <w:p>
            <w:pPr>
              <w:jc w:val="center"/>
              <w:ind w:right="90"/>
              <w:spacing w:after="0"/>
              <w:rPr>
                <w:sz w:val="20"/>
                <w:szCs w:val="20"/>
                <w:color w:val="auto"/>
              </w:rPr>
            </w:pPr>
            <w:r>
              <w:rPr>
                <w:rFonts w:ascii="Arial" w:cs="Arial" w:eastAsia="Arial" w:hAnsi="Arial"/>
                <w:sz w:val="18"/>
                <w:szCs w:val="18"/>
                <w:color w:val="auto"/>
                <w:w w:val="95"/>
              </w:rPr>
              <w:t>AT</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60" w:type="dxa"/>
            <w:vAlign w:val="bottom"/>
          </w:tcPr>
          <w:p>
            <w:pPr>
              <w:ind w:left="160"/>
              <w:spacing w:after="0"/>
              <w:rPr>
                <w:sz w:val="20"/>
                <w:szCs w:val="20"/>
                <w:color w:val="auto"/>
              </w:rPr>
            </w:pPr>
            <w:r>
              <w:rPr>
                <w:rFonts w:ascii="Arial" w:cs="Arial" w:eastAsia="Arial" w:hAnsi="Arial"/>
                <w:sz w:val="18"/>
                <w:szCs w:val="18"/>
                <w:color w:val="auto"/>
                <w:w w:val="99"/>
              </w:rPr>
              <w:t>METHODS FOR USING OLIGONUCLEOTIDES HAVING MODIFIED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CpG DINUCLEOSIDES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HYBN-227.0BE</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9"/>
              </w:rPr>
              <w:t>BE</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60" w:type="dxa"/>
            <w:vAlign w:val="bottom"/>
          </w:tcPr>
          <w:p>
            <w:pPr>
              <w:ind w:left="160"/>
              <w:spacing w:after="0"/>
              <w:rPr>
                <w:sz w:val="20"/>
                <w:szCs w:val="20"/>
                <w:color w:val="auto"/>
              </w:rPr>
            </w:pPr>
            <w:r>
              <w:rPr>
                <w:rFonts w:ascii="Arial" w:cs="Arial" w:eastAsia="Arial" w:hAnsi="Arial"/>
                <w:sz w:val="18"/>
                <w:szCs w:val="18"/>
                <w:color w:val="auto"/>
                <w:w w:val="99"/>
              </w:rPr>
              <w:t>METHODS FOR USING OLIGONUCLEOTIDES HAVING MODIFIED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CpG DINUCLEOSIDES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HYBN-227.0CH</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2"/>
              </w:rPr>
              <w:t>CH</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60" w:type="dxa"/>
            <w:vAlign w:val="bottom"/>
          </w:tcPr>
          <w:p>
            <w:pPr>
              <w:ind w:left="160"/>
              <w:spacing w:after="0"/>
              <w:rPr>
                <w:sz w:val="20"/>
                <w:szCs w:val="20"/>
                <w:color w:val="auto"/>
              </w:rPr>
            </w:pPr>
            <w:r>
              <w:rPr>
                <w:rFonts w:ascii="Arial" w:cs="Arial" w:eastAsia="Arial" w:hAnsi="Arial"/>
                <w:sz w:val="18"/>
                <w:szCs w:val="18"/>
                <w:color w:val="auto"/>
                <w:w w:val="99"/>
              </w:rPr>
              <w:t>METHODS FOR USING OLIGONUCLEOTIDES HAVING MODIFIED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CpG DINUCLEOSIDES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HYBN-227.0DE</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DE</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697 20 481.2</w:t>
            </w:r>
          </w:p>
        </w:tc>
        <w:tc>
          <w:tcPr>
            <w:tcW w:w="5660" w:type="dxa"/>
            <w:vAlign w:val="bottom"/>
          </w:tcPr>
          <w:p>
            <w:pPr>
              <w:ind w:left="160"/>
              <w:spacing w:after="0"/>
              <w:rPr>
                <w:sz w:val="20"/>
                <w:szCs w:val="20"/>
                <w:color w:val="auto"/>
              </w:rPr>
            </w:pPr>
            <w:r>
              <w:rPr>
                <w:rFonts w:ascii="Arial" w:cs="Arial" w:eastAsia="Arial" w:hAnsi="Arial"/>
                <w:sz w:val="18"/>
                <w:szCs w:val="18"/>
                <w:color w:val="auto"/>
                <w:w w:val="99"/>
              </w:rPr>
              <w:t>METHODS FOR USING OLIGONUCLEOTIDES HAVING MODIFIED</w:t>
            </w:r>
          </w:p>
        </w:tc>
      </w:tr>
      <w:tr>
        <w:trPr>
          <w:trHeight w:val="230"/>
        </w:trPr>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CpG DINUCLEOSIDES</w:t>
            </w:r>
          </w:p>
        </w:tc>
      </w:tr>
    </w:tbl>
    <w:p>
      <w:pPr>
        <w:sectPr>
          <w:pgSz w:w="11900" w:h="16838" w:orient="portrait"/>
          <w:cols w:equalWidth="0" w:num="1">
            <w:col w:w="11300"/>
          </w:cols>
          <w:pgMar w:left="240" w:top="341" w:right="35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HYBN-227.0DK</w:t>
            </w:r>
          </w:p>
        </w:tc>
        <w:tc>
          <w:tcPr>
            <w:tcW w:w="1100" w:type="dxa"/>
            <w:vAlign w:val="bottom"/>
          </w:tcPr>
          <w:p>
            <w:pPr>
              <w:jc w:val="center"/>
              <w:ind w:right="110"/>
              <w:spacing w:after="0"/>
              <w:rPr>
                <w:sz w:val="20"/>
                <w:szCs w:val="20"/>
                <w:color w:val="auto"/>
              </w:rPr>
            </w:pPr>
            <w:r>
              <w:rPr>
                <w:rFonts w:ascii="Arial" w:cs="Arial" w:eastAsia="Arial" w:hAnsi="Arial"/>
                <w:sz w:val="18"/>
                <w:szCs w:val="18"/>
                <w:color w:val="auto"/>
              </w:rPr>
              <w:t>DK</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HYBN-227.0EP</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HYBN-227.0ES</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3"/>
              </w:rPr>
              <w:t>ES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HYBN-227.0FI</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9"/>
              </w:rPr>
              <w:t>FI</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HYBN-227.0FR</w:t>
            </w:r>
          </w:p>
        </w:tc>
        <w:tc>
          <w:tcPr>
            <w:tcW w:w="1100" w:type="dxa"/>
            <w:vAlign w:val="bottom"/>
          </w:tcPr>
          <w:p>
            <w:pPr>
              <w:jc w:val="center"/>
              <w:ind w:right="110"/>
              <w:spacing w:after="0"/>
              <w:rPr>
                <w:sz w:val="20"/>
                <w:szCs w:val="20"/>
                <w:color w:val="auto"/>
              </w:rPr>
            </w:pPr>
            <w:r>
              <w:rPr>
                <w:rFonts w:ascii="Arial" w:cs="Arial" w:eastAsia="Arial" w:hAnsi="Arial"/>
                <w:sz w:val="18"/>
                <w:szCs w:val="18"/>
                <w:color w:val="auto"/>
                <w:w w:val="91"/>
              </w:rPr>
              <w:t>FR</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HYBN-227.0GB</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2"/>
              </w:rPr>
              <w:t>GB</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HYBN-227.0GR</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GR</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3043738</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HYBN-227.0IE</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3"/>
              </w:rPr>
              <w:t>IE</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HYBN-227.0IT</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9"/>
              </w:rPr>
              <w:t>IT</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HYBN-227.0LU</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rPr>
              <w:t>LX</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HYBN-227.0MC</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9"/>
              </w:rPr>
              <w:t>MC</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HYBN-227.0NL</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rPr>
              <w:t>NL</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HYBN-227.0PT</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6"/>
              </w:rPr>
              <w:t>PT</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HYBN-227.0SE</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3"/>
              </w:rPr>
              <w:t>SE</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928335</w:t>
            </w:r>
          </w:p>
        </w:tc>
        <w:tc>
          <w:tcPr>
            <w:tcW w:w="5600" w:type="dxa"/>
            <w:vAlign w:val="bottom"/>
          </w:tcPr>
          <w:p>
            <w:pPr>
              <w:ind w:left="240"/>
              <w:spacing w:after="0"/>
              <w:rPr>
                <w:sz w:val="20"/>
                <w:szCs w:val="20"/>
                <w:color w:val="auto"/>
              </w:rPr>
            </w:pPr>
            <w:r>
              <w:rPr>
                <w:rFonts w:ascii="Arial" w:cs="Arial" w:eastAsia="Arial" w:hAnsi="Arial"/>
                <w:sz w:val="18"/>
                <w:szCs w:val="18"/>
                <w:color w:val="auto"/>
                <w:w w:val="96"/>
              </w:rPr>
              <w:t>METHODS FOR USING OLIGONUCLEOTIDES HAVING 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CpG DINUCLEOSIDES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ISIS-4853</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METHODS OF MODULATING PHARMACOKINETICS OF</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ISIS-5400</w:t>
            </w:r>
          </w:p>
        </w:tc>
        <w:tc>
          <w:tcPr>
            <w:tcW w:w="1100" w:type="dxa"/>
            <w:vAlign w:val="bottom"/>
          </w:tcPr>
          <w:p>
            <w:pPr>
              <w:jc w:val="center"/>
              <w:ind w:right="110"/>
              <w:spacing w:after="0"/>
              <w:rPr>
                <w:sz w:val="20"/>
                <w:szCs w:val="20"/>
                <w:color w:val="auto"/>
              </w:rPr>
            </w:pPr>
            <w:r>
              <w:rPr>
                <w:rFonts w:ascii="Arial" w:cs="Arial" w:eastAsia="Arial" w:hAnsi="Arial"/>
                <w:sz w:val="18"/>
                <w:szCs w:val="18"/>
                <w:color w:val="auto"/>
              </w:rPr>
              <w:t>AU</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METHODS OF MODULATING PHARMACOKINETICS OF</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ISIS-5401</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CA</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METHODS OF MODULATING PHARMACOKINETICS OF</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ISIS-5402</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METHODS OF MODULATING PHARMACOKINETICS OF</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HYBN-226.0US</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5886165</w:t>
            </w:r>
          </w:p>
        </w:tc>
        <w:tc>
          <w:tcPr>
            <w:tcW w:w="5600" w:type="dxa"/>
            <w:vAlign w:val="bottom"/>
          </w:tcPr>
          <w:p>
            <w:pPr>
              <w:ind w:left="240"/>
              <w:spacing w:after="0"/>
              <w:rPr>
                <w:sz w:val="20"/>
                <w:szCs w:val="20"/>
                <w:color w:val="auto"/>
              </w:rPr>
            </w:pPr>
            <w:r>
              <w:rPr>
                <w:rFonts w:ascii="Arial" w:cs="Arial" w:eastAsia="Arial" w:hAnsi="Arial"/>
                <w:sz w:val="18"/>
                <w:szCs w:val="18"/>
                <w:color w:val="auto"/>
              </w:rPr>
              <w:t>MIXED BACKBONE ANTISENSE OLIGONUCLEOTIDES</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CONTAINING 2’-5’-RIBONUCLEOTIDE- AND 3’-5’-</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DEOXYRIBONUCLEOTIDES SEGMENTS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HYBN-259.0US</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MIXED-BACKBONE OLIGONUCLEOTIDES CONTAINING POPS</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w w:val="95"/>
              </w:rPr>
              <w:t>BLOCKS TO OBTAIN REDUCED PHOSPHOROTHIOATE CONTENT</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MIXED-BACKBONE OLIGONUCLEOTIDES CONTAINING POPS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259.0USC1</w:t>
            </w: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w w:val="95"/>
              </w:rPr>
              <w:t>BLOCKS TO OBTAIN REDUCED PHOSPHOROTHIOATE CONTENT</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GLIS-0095</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5817781</w:t>
            </w:r>
          </w:p>
        </w:tc>
        <w:tc>
          <w:tcPr>
            <w:tcW w:w="5600" w:type="dxa"/>
            <w:vAlign w:val="bottom"/>
          </w:tcPr>
          <w:p>
            <w:pPr>
              <w:ind w:left="240"/>
              <w:spacing w:after="0"/>
              <w:rPr>
                <w:sz w:val="20"/>
                <w:szCs w:val="20"/>
                <w:color w:val="auto"/>
              </w:rPr>
            </w:pPr>
            <w:r>
              <w:rPr>
                <w:rFonts w:ascii="Arial" w:cs="Arial" w:eastAsia="Arial" w:hAnsi="Arial"/>
                <w:sz w:val="18"/>
                <w:szCs w:val="18"/>
                <w:color w:val="auto"/>
              </w:rPr>
              <w:t>MODIFIED INTERNUCLEOSIDE LINKAGES (H)</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GLIS-0098</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6410702</w:t>
            </w:r>
          </w:p>
        </w:tc>
        <w:tc>
          <w:tcPr>
            <w:tcW w:w="5600" w:type="dxa"/>
            <w:vAlign w:val="bottom"/>
          </w:tcPr>
          <w:p>
            <w:pPr>
              <w:ind w:left="240"/>
              <w:spacing w:after="0"/>
              <w:rPr>
                <w:sz w:val="20"/>
                <w:szCs w:val="20"/>
                <w:color w:val="auto"/>
              </w:rPr>
            </w:pPr>
            <w:r>
              <w:rPr>
                <w:rFonts w:ascii="Arial" w:cs="Arial" w:eastAsia="Arial" w:hAnsi="Arial"/>
                <w:sz w:val="18"/>
                <w:szCs w:val="18"/>
                <w:color w:val="auto"/>
              </w:rPr>
              <w:t>MODIFIED INTERNUCLEOSIDE LINKAGES (II)</w:t>
            </w:r>
          </w:p>
        </w:tc>
      </w:tr>
    </w:tbl>
    <w:p>
      <w:pPr>
        <w:sectPr>
          <w:pgSz w:w="11900" w:h="16838" w:orient="portrait"/>
          <w:cols w:equalWidth="0" w:num="1">
            <w:col w:w="11160"/>
          </w:cols>
          <w:pgMar w:left="240" w:top="341" w:right="49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GLIS-0150</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6683166</w:t>
            </w:r>
          </w:p>
        </w:tc>
        <w:tc>
          <w:tcPr>
            <w:tcW w:w="5700" w:type="dxa"/>
            <w:vAlign w:val="bottom"/>
          </w:tcPr>
          <w:p>
            <w:pPr>
              <w:ind w:left="160"/>
              <w:spacing w:after="0"/>
              <w:rPr>
                <w:sz w:val="20"/>
                <w:szCs w:val="20"/>
                <w:color w:val="auto"/>
              </w:rPr>
            </w:pPr>
            <w:r>
              <w:rPr>
                <w:rFonts w:ascii="Arial" w:cs="Arial" w:eastAsia="Arial" w:hAnsi="Arial"/>
                <w:sz w:val="18"/>
                <w:szCs w:val="18"/>
                <w:color w:val="auto"/>
              </w:rPr>
              <w:t>MODIFIED INTERNUCLEOSIDE LINKAGES (II)</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GLIS-0056</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5596086</w:t>
            </w:r>
          </w:p>
        </w:tc>
        <w:tc>
          <w:tcPr>
            <w:tcW w:w="5700" w:type="dxa"/>
            <w:vAlign w:val="bottom"/>
          </w:tcPr>
          <w:p>
            <w:pPr>
              <w:ind w:left="160"/>
              <w:spacing w:after="0"/>
              <w:rPr>
                <w:sz w:val="20"/>
                <w:szCs w:val="20"/>
                <w:color w:val="auto"/>
              </w:rPr>
            </w:pPr>
            <w:r>
              <w:rPr>
                <w:rFonts w:ascii="Arial" w:cs="Arial" w:eastAsia="Arial" w:hAnsi="Arial"/>
                <w:sz w:val="18"/>
                <w:szCs w:val="18"/>
                <w:color w:val="auto"/>
              </w:rPr>
              <w:t>MODIFIED INTERNUCLEOSIDE LINKAGES HAVING ONE</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NITROGEN AND TWO CARBON ATOMS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ISIS-1724</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5808023</w:t>
            </w:r>
          </w:p>
        </w:tc>
        <w:tc>
          <w:tcPr>
            <w:tcW w:w="5700" w:type="dxa"/>
            <w:vAlign w:val="bottom"/>
          </w:tcPr>
          <w:p>
            <w:pPr>
              <w:ind w:left="160"/>
              <w:spacing w:after="0"/>
              <w:rPr>
                <w:sz w:val="20"/>
                <w:szCs w:val="20"/>
                <w:color w:val="auto"/>
              </w:rPr>
            </w:pPr>
            <w:r>
              <w:rPr>
                <w:rFonts w:ascii="Arial" w:cs="Arial" w:eastAsia="Arial" w:hAnsi="Arial"/>
                <w:sz w:val="18"/>
                <w:szCs w:val="18"/>
                <w:color w:val="auto"/>
              </w:rPr>
              <w:t>MODIFIED OLIGNUCLEOTIDES INCORPORATING THIOL-</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DERIVATIZED NUC 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ISIS-4289</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6653458</w:t>
            </w:r>
          </w:p>
        </w:tc>
        <w:tc>
          <w:tcPr>
            <w:tcW w:w="5700" w:type="dxa"/>
            <w:vAlign w:val="bottom"/>
          </w:tcPr>
          <w:p>
            <w:pPr>
              <w:ind w:left="160"/>
              <w:spacing w:after="0"/>
              <w:rPr>
                <w:sz w:val="20"/>
                <w:szCs w:val="20"/>
                <w:color w:val="auto"/>
              </w:rPr>
            </w:pPr>
            <w:r>
              <w:rPr>
                <w:rFonts w:ascii="Arial" w:cs="Arial" w:eastAsia="Arial" w:hAnsi="Arial"/>
                <w:sz w:val="18"/>
                <w:szCs w:val="18"/>
                <w:color w:val="auto"/>
              </w:rPr>
              <w:t>MODIFIED OLIGONUCLEOTIDES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ISIS-5110</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w w:val="96"/>
              </w:rPr>
              <w:t>MODIFIED OLIGONUCLEOTIDES FOR USE IN RNA INTERFERENCE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HYBN-227.2US</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6476000</w:t>
            </w:r>
          </w:p>
        </w:tc>
        <w:tc>
          <w:tcPr>
            <w:tcW w:w="5700" w:type="dxa"/>
            <w:vAlign w:val="bottom"/>
          </w:tcPr>
          <w:p>
            <w:pPr>
              <w:ind w:left="160"/>
              <w:spacing w:after="0"/>
              <w:rPr>
                <w:sz w:val="20"/>
                <w:szCs w:val="20"/>
                <w:color w:val="auto"/>
              </w:rPr>
            </w:pPr>
            <w:r>
              <w:rPr>
                <w:rFonts w:ascii="Arial" w:cs="Arial" w:eastAsia="Arial" w:hAnsi="Arial"/>
                <w:sz w:val="18"/>
                <w:szCs w:val="18"/>
                <w:color w:val="auto"/>
              </w:rPr>
              <w:t>MODULATION OF OLIGONUCLEOTIDE CPG-MEDIATED IMMUNE</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w w:val="98"/>
              </w:rPr>
              <w:t>STIMULATION BY POSITIONAL MODIFICATION OF 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ISIS-5054</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MONOMERIC AND OLIGOMERIC COMPOUNDS COMPRISING</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BICYCLIC SUGAR MOIETIES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ISIS-1832</w:t>
            </w:r>
          </w:p>
        </w:tc>
        <w:tc>
          <w:tcPr>
            <w:tcW w:w="1100" w:type="dxa"/>
            <w:vAlign w:val="bottom"/>
          </w:tcPr>
          <w:p>
            <w:pPr>
              <w:ind w:left="340"/>
              <w:spacing w:after="0"/>
              <w:rPr>
                <w:sz w:val="20"/>
                <w:szCs w:val="20"/>
                <w:color w:val="auto"/>
              </w:rPr>
            </w:pPr>
            <w:r>
              <w:rPr>
                <w:rFonts w:ascii="Arial" w:cs="Arial" w:eastAsia="Arial" w:hAnsi="Arial"/>
                <w:sz w:val="18"/>
                <w:szCs w:val="18"/>
                <w:color w:val="auto"/>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MONOMERIC DIOLS AND PHOSPHATE LINKED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FORMED THEREF ROM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ISIS-1850</w:t>
            </w:r>
          </w:p>
        </w:tc>
        <w:tc>
          <w:tcPr>
            <w:tcW w:w="1100" w:type="dxa"/>
            <w:vAlign w:val="bottom"/>
          </w:tcPr>
          <w:p>
            <w:pPr>
              <w:ind w:left="38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3072127</w:t>
            </w:r>
          </w:p>
        </w:tc>
        <w:tc>
          <w:tcPr>
            <w:tcW w:w="5700" w:type="dxa"/>
            <w:vAlign w:val="bottom"/>
          </w:tcPr>
          <w:p>
            <w:pPr>
              <w:ind w:left="160"/>
              <w:spacing w:after="0"/>
              <w:rPr>
                <w:sz w:val="20"/>
                <w:szCs w:val="20"/>
                <w:color w:val="auto"/>
              </w:rPr>
            </w:pPr>
            <w:r>
              <w:rPr>
                <w:rFonts w:ascii="Arial" w:cs="Arial" w:eastAsia="Arial" w:hAnsi="Arial"/>
                <w:sz w:val="18"/>
                <w:szCs w:val="18"/>
                <w:color w:val="auto"/>
              </w:rPr>
              <w:t>MONOMERIC DIOLS AND PHOSPHATE LINKED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FORMED THEREF ROM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ISIS-1833</w:t>
            </w:r>
          </w:p>
        </w:tc>
        <w:tc>
          <w:tcPr>
            <w:tcW w:w="1100" w:type="dxa"/>
            <w:vAlign w:val="bottom"/>
          </w:tcPr>
          <w:p>
            <w:pPr>
              <w:ind w:left="36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739351</w:t>
            </w:r>
          </w:p>
        </w:tc>
        <w:tc>
          <w:tcPr>
            <w:tcW w:w="5700" w:type="dxa"/>
            <w:vAlign w:val="bottom"/>
          </w:tcPr>
          <w:p>
            <w:pPr>
              <w:ind w:left="160"/>
              <w:spacing w:after="0"/>
              <w:rPr>
                <w:sz w:val="20"/>
                <w:szCs w:val="20"/>
                <w:color w:val="auto"/>
              </w:rPr>
            </w:pPr>
            <w:r>
              <w:rPr>
                <w:rFonts w:ascii="Arial" w:cs="Arial" w:eastAsia="Arial" w:hAnsi="Arial"/>
                <w:sz w:val="18"/>
                <w:szCs w:val="18"/>
                <w:color w:val="auto"/>
              </w:rPr>
              <w:t>MONOMERIC DIOLS AND PHOSPHATE LINKED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FORMED THEREFROM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ISIS-1837</w:t>
            </w:r>
          </w:p>
        </w:tc>
        <w:tc>
          <w:tcPr>
            <w:tcW w:w="1100" w:type="dxa"/>
            <w:vAlign w:val="bottom"/>
          </w:tcPr>
          <w:p>
            <w:pPr>
              <w:ind w:left="360"/>
              <w:spacing w:after="0"/>
              <w:rPr>
                <w:sz w:val="20"/>
                <w:szCs w:val="20"/>
                <w:color w:val="auto"/>
              </w:rPr>
            </w:pPr>
            <w:r>
              <w:rPr>
                <w:rFonts w:ascii="Arial" w:cs="Arial" w:eastAsia="Arial" w:hAnsi="Arial"/>
                <w:sz w:val="18"/>
                <w:szCs w:val="18"/>
                <w:color w:val="auto"/>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739351</w:t>
            </w:r>
          </w:p>
        </w:tc>
        <w:tc>
          <w:tcPr>
            <w:tcW w:w="5700" w:type="dxa"/>
            <w:vAlign w:val="bottom"/>
          </w:tcPr>
          <w:p>
            <w:pPr>
              <w:ind w:left="160"/>
              <w:spacing w:after="0"/>
              <w:rPr>
                <w:sz w:val="20"/>
                <w:szCs w:val="20"/>
                <w:color w:val="auto"/>
              </w:rPr>
            </w:pPr>
            <w:r>
              <w:rPr>
                <w:rFonts w:ascii="Arial" w:cs="Arial" w:eastAsia="Arial" w:hAnsi="Arial"/>
                <w:sz w:val="18"/>
                <w:szCs w:val="18"/>
                <w:color w:val="auto"/>
              </w:rPr>
              <w:t>MONOMERIC DIOLS AND PHOSPHATE LINKED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FORMED THEREFROM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ISIS-1838</w:t>
            </w:r>
          </w:p>
        </w:tc>
        <w:tc>
          <w:tcPr>
            <w:tcW w:w="1100" w:type="dxa"/>
            <w:vAlign w:val="bottom"/>
          </w:tcPr>
          <w:p>
            <w:pPr>
              <w:ind w:left="340"/>
              <w:spacing w:after="0"/>
              <w:rPr>
                <w:sz w:val="20"/>
                <w:szCs w:val="20"/>
                <w:color w:val="auto"/>
              </w:rPr>
            </w:pPr>
            <w:r>
              <w:rPr>
                <w:rFonts w:ascii="Arial" w:cs="Arial" w:eastAsia="Arial" w:hAnsi="Arial"/>
                <w:sz w:val="18"/>
                <w:szCs w:val="18"/>
                <w:color w:val="auto"/>
              </w:rPr>
              <w:t>GB</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739351</w:t>
            </w:r>
          </w:p>
        </w:tc>
        <w:tc>
          <w:tcPr>
            <w:tcW w:w="5700" w:type="dxa"/>
            <w:vAlign w:val="bottom"/>
          </w:tcPr>
          <w:p>
            <w:pPr>
              <w:ind w:left="160"/>
              <w:spacing w:after="0"/>
              <w:rPr>
                <w:sz w:val="20"/>
                <w:szCs w:val="20"/>
                <w:color w:val="auto"/>
              </w:rPr>
            </w:pPr>
            <w:r>
              <w:rPr>
                <w:rFonts w:ascii="Arial" w:cs="Arial" w:eastAsia="Arial" w:hAnsi="Arial"/>
                <w:sz w:val="18"/>
                <w:szCs w:val="18"/>
                <w:color w:val="auto"/>
              </w:rPr>
              <w:t>MONOMERIC DIOLS AND PHOSPHATE LINKED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FORMED THEREFROM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ISIS-1839</w:t>
            </w:r>
          </w:p>
        </w:tc>
        <w:tc>
          <w:tcPr>
            <w:tcW w:w="1100" w:type="dxa"/>
            <w:vAlign w:val="bottom"/>
          </w:tcPr>
          <w:p>
            <w:pPr>
              <w:ind w:left="340"/>
              <w:spacing w:after="0"/>
              <w:rPr>
                <w:sz w:val="20"/>
                <w:szCs w:val="20"/>
                <w:color w:val="auto"/>
              </w:rPr>
            </w:pPr>
            <w:r>
              <w:rPr>
                <w:rFonts w:ascii="Arial" w:cs="Arial" w:eastAsia="Arial" w:hAnsi="Arial"/>
                <w:sz w:val="18"/>
                <w:szCs w:val="18"/>
                <w:color w:val="auto"/>
              </w:rPr>
              <w:t>DE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695 26 331.5</w:t>
            </w:r>
          </w:p>
        </w:tc>
        <w:tc>
          <w:tcPr>
            <w:tcW w:w="5700" w:type="dxa"/>
            <w:vAlign w:val="bottom"/>
          </w:tcPr>
          <w:p>
            <w:pPr>
              <w:ind w:left="160"/>
              <w:spacing w:after="0"/>
              <w:rPr>
                <w:sz w:val="20"/>
                <w:szCs w:val="20"/>
                <w:color w:val="auto"/>
              </w:rPr>
            </w:pPr>
            <w:r>
              <w:rPr>
                <w:rFonts w:ascii="Arial" w:cs="Arial" w:eastAsia="Arial" w:hAnsi="Arial"/>
                <w:sz w:val="18"/>
                <w:szCs w:val="18"/>
                <w:color w:val="auto"/>
              </w:rPr>
              <w:t>MONOMERIC DIOLS AND PHOSPHATE LINKED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FORMED THEREFROM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ISIS-1841</w:t>
            </w:r>
          </w:p>
        </w:tc>
        <w:tc>
          <w:tcPr>
            <w:tcW w:w="1100" w:type="dxa"/>
            <w:vAlign w:val="bottom"/>
          </w:tcPr>
          <w:p>
            <w:pPr>
              <w:ind w:left="380"/>
              <w:spacing w:after="0"/>
              <w:rPr>
                <w:sz w:val="20"/>
                <w:szCs w:val="20"/>
                <w:color w:val="auto"/>
              </w:rPr>
            </w:pPr>
            <w:r>
              <w:rPr>
                <w:rFonts w:ascii="Arial" w:cs="Arial" w:eastAsia="Arial" w:hAnsi="Arial"/>
                <w:sz w:val="18"/>
                <w:szCs w:val="18"/>
                <w:color w:val="auto"/>
              </w:rPr>
              <w:t>IE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739351</w:t>
            </w:r>
          </w:p>
        </w:tc>
        <w:tc>
          <w:tcPr>
            <w:tcW w:w="5700" w:type="dxa"/>
            <w:vAlign w:val="bottom"/>
          </w:tcPr>
          <w:p>
            <w:pPr>
              <w:ind w:left="160"/>
              <w:spacing w:after="0"/>
              <w:rPr>
                <w:sz w:val="20"/>
                <w:szCs w:val="20"/>
                <w:color w:val="auto"/>
              </w:rPr>
            </w:pPr>
            <w:r>
              <w:rPr>
                <w:rFonts w:ascii="Arial" w:cs="Arial" w:eastAsia="Arial" w:hAnsi="Arial"/>
                <w:sz w:val="18"/>
                <w:szCs w:val="18"/>
                <w:color w:val="auto"/>
              </w:rPr>
              <w:t>MONOMERIC DIOLS AND PHOSPHATE LINKED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FORMED THEREFROM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ISIS-1849</w:t>
            </w:r>
          </w:p>
        </w:tc>
        <w:tc>
          <w:tcPr>
            <w:tcW w:w="1100" w:type="dxa"/>
            <w:vAlign w:val="bottom"/>
          </w:tcPr>
          <w:p>
            <w:pPr>
              <w:ind w:left="340"/>
              <w:spacing w:after="0"/>
              <w:rPr>
                <w:sz w:val="20"/>
                <w:szCs w:val="20"/>
                <w:color w:val="auto"/>
              </w:rPr>
            </w:pPr>
            <w:r>
              <w:rPr>
                <w:rFonts w:ascii="Arial" w:cs="Arial" w:eastAsia="Arial" w:hAnsi="Arial"/>
                <w:sz w:val="18"/>
                <w:szCs w:val="18"/>
                <w:color w:val="auto"/>
              </w:rPr>
              <w:t>CH</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739351</w:t>
            </w:r>
          </w:p>
        </w:tc>
        <w:tc>
          <w:tcPr>
            <w:tcW w:w="5700" w:type="dxa"/>
            <w:vAlign w:val="bottom"/>
          </w:tcPr>
          <w:p>
            <w:pPr>
              <w:ind w:left="160"/>
              <w:spacing w:after="0"/>
              <w:rPr>
                <w:sz w:val="20"/>
                <w:szCs w:val="20"/>
                <w:color w:val="auto"/>
              </w:rPr>
            </w:pPr>
            <w:r>
              <w:rPr>
                <w:rFonts w:ascii="Arial" w:cs="Arial" w:eastAsia="Arial" w:hAnsi="Arial"/>
                <w:sz w:val="18"/>
                <w:szCs w:val="18"/>
                <w:color w:val="auto"/>
              </w:rPr>
              <w:t>MONOMERIC DIOLS AND PHOSPHATE LINKED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FORMED THEREFROM</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ISIS-5046</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MONOMERIC DIOLS AND PHOSPHATE LINKED OLIGOMERS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FORMED THEREFROM AND PROCESSES FOR PREPARING</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ISIS-0284</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5212295</w:t>
            </w:r>
          </w:p>
        </w:tc>
        <w:tc>
          <w:tcPr>
            <w:tcW w:w="5700" w:type="dxa"/>
            <w:vAlign w:val="bottom"/>
          </w:tcPr>
          <w:p>
            <w:pPr>
              <w:ind w:left="160"/>
              <w:spacing w:after="0"/>
              <w:rPr>
                <w:sz w:val="20"/>
                <w:szCs w:val="20"/>
                <w:color w:val="auto"/>
              </w:rPr>
            </w:pPr>
            <w:r>
              <w:rPr>
                <w:rFonts w:ascii="Arial" w:cs="Arial" w:eastAsia="Arial" w:hAnsi="Arial"/>
                <w:sz w:val="18"/>
                <w:szCs w:val="18"/>
                <w:color w:val="auto"/>
                <w:w w:val="99"/>
              </w:rPr>
              <w:t>MONOMERS FOR PREPARATION OF OLIGONUCLEOTIDES WITH</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CHIRALPHOSPHORUS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ISIS-1051</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5459255</w:t>
            </w:r>
          </w:p>
        </w:tc>
        <w:tc>
          <w:tcPr>
            <w:tcW w:w="5700" w:type="dxa"/>
            <w:vAlign w:val="bottom"/>
          </w:tcPr>
          <w:p>
            <w:pPr>
              <w:ind w:left="160"/>
              <w:spacing w:after="0"/>
              <w:rPr>
                <w:sz w:val="20"/>
                <w:szCs w:val="20"/>
                <w:color w:val="auto"/>
              </w:rPr>
            </w:pPr>
            <w:r>
              <w:rPr>
                <w:rFonts w:ascii="Arial" w:cs="Arial" w:eastAsia="Arial" w:hAnsi="Arial"/>
                <w:sz w:val="18"/>
                <w:szCs w:val="18"/>
                <w:color w:val="auto"/>
              </w:rPr>
              <w:t>N2 SUBSTITUTED PURINES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ISIS-1767</w:t>
            </w:r>
          </w:p>
        </w:tc>
        <w:tc>
          <w:tcPr>
            <w:tcW w:w="1100" w:type="dxa"/>
            <w:vAlign w:val="bottom"/>
          </w:tcPr>
          <w:p>
            <w:pPr>
              <w:ind w:left="36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731807</w:t>
            </w:r>
          </w:p>
        </w:tc>
        <w:tc>
          <w:tcPr>
            <w:tcW w:w="5700" w:type="dxa"/>
            <w:vAlign w:val="bottom"/>
          </w:tcPr>
          <w:p>
            <w:pPr>
              <w:ind w:left="160"/>
              <w:spacing w:after="0"/>
              <w:rPr>
                <w:sz w:val="20"/>
                <w:szCs w:val="20"/>
                <w:color w:val="auto"/>
              </w:rPr>
            </w:pPr>
            <w:r>
              <w:rPr>
                <w:rFonts w:ascii="Arial" w:cs="Arial" w:eastAsia="Arial" w:hAnsi="Arial"/>
                <w:sz w:val="18"/>
                <w:szCs w:val="18"/>
                <w:color w:val="auto"/>
              </w:rPr>
              <w:t>N2 SUBSTITUTED PURINES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ISIS-1784</w:t>
            </w:r>
          </w:p>
        </w:tc>
        <w:tc>
          <w:tcPr>
            <w:tcW w:w="1100" w:type="dxa"/>
            <w:vAlign w:val="bottom"/>
          </w:tcPr>
          <w:p>
            <w:pPr>
              <w:ind w:left="38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N-2 SUBSTITUTED PURINES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ISIS-3151</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6166199</w:t>
            </w:r>
          </w:p>
        </w:tc>
        <w:tc>
          <w:tcPr>
            <w:tcW w:w="5700" w:type="dxa"/>
            <w:vAlign w:val="bottom"/>
          </w:tcPr>
          <w:p>
            <w:pPr>
              <w:ind w:left="160"/>
              <w:spacing w:after="0"/>
              <w:rPr>
                <w:sz w:val="20"/>
                <w:szCs w:val="20"/>
                <w:color w:val="auto"/>
              </w:rPr>
            </w:pPr>
            <w:r>
              <w:rPr>
                <w:rFonts w:ascii="Arial" w:cs="Arial" w:eastAsia="Arial" w:hAnsi="Arial"/>
                <w:sz w:val="18"/>
                <w:szCs w:val="18"/>
                <w:color w:val="auto"/>
              </w:rPr>
              <w:t>N-2 SUBSTITUTED PURINES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ISIS-2407</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5808027</w:t>
            </w:r>
          </w:p>
        </w:tc>
        <w:tc>
          <w:tcPr>
            <w:tcW w:w="5700" w:type="dxa"/>
            <w:vAlign w:val="bottom"/>
          </w:tcPr>
          <w:p>
            <w:pPr>
              <w:ind w:left="160"/>
              <w:spacing w:after="0"/>
              <w:rPr>
                <w:sz w:val="20"/>
                <w:szCs w:val="20"/>
                <w:color w:val="auto"/>
              </w:rPr>
            </w:pPr>
            <w:r>
              <w:rPr>
                <w:rFonts w:ascii="Arial" w:cs="Arial" w:eastAsia="Arial" w:hAnsi="Arial"/>
                <w:sz w:val="18"/>
                <w:szCs w:val="18"/>
                <w:color w:val="auto"/>
                <w:w w:val="96"/>
              </w:rPr>
              <w:t>N-2 SUBSTITUTED PURINES IN OLIGONUCLEOTIDES (as amended)</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GLIS-0053</w:t>
            </w:r>
          </w:p>
        </w:tc>
        <w:tc>
          <w:tcPr>
            <w:tcW w:w="1100" w:type="dxa"/>
            <w:vAlign w:val="bottom"/>
          </w:tcPr>
          <w:p>
            <w:pPr>
              <w:ind w:left="34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5414077</w:t>
            </w:r>
          </w:p>
        </w:tc>
        <w:tc>
          <w:tcPr>
            <w:tcW w:w="5700" w:type="dxa"/>
            <w:vAlign w:val="bottom"/>
          </w:tcPr>
          <w:p>
            <w:pPr>
              <w:ind w:left="160"/>
              <w:spacing w:after="0"/>
              <w:rPr>
                <w:sz w:val="20"/>
                <w:szCs w:val="20"/>
                <w:color w:val="auto"/>
              </w:rPr>
            </w:pPr>
            <w:r>
              <w:rPr>
                <w:rFonts w:ascii="Arial" w:cs="Arial" w:eastAsia="Arial" w:hAnsi="Arial"/>
                <w:sz w:val="18"/>
                <w:szCs w:val="18"/>
                <w:color w:val="auto"/>
                <w:w w:val="96"/>
              </w:rPr>
              <w:t>NON-NUCLEOSIDE LINKERS FOR CONVENIENT ATTACHMENT OF</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w w:val="98"/>
              </w:rPr>
              <w:t>LABELS TO OLIGONUCLEOTIDES USING STANDARD SYNTHETIC</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METHODS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ISIS-1085</w:t>
            </w:r>
          </w:p>
        </w:tc>
        <w:tc>
          <w:tcPr>
            <w:tcW w:w="1100" w:type="dxa"/>
            <w:vAlign w:val="bottom"/>
          </w:tcPr>
          <w:p>
            <w:pPr>
              <w:ind w:left="340"/>
              <w:spacing w:after="0"/>
              <w:rPr>
                <w:sz w:val="20"/>
                <w:szCs w:val="20"/>
                <w:color w:val="auto"/>
              </w:rPr>
            </w:pPr>
            <w:r>
              <w:rPr>
                <w:rFonts w:ascii="Arial" w:cs="Arial" w:eastAsia="Arial" w:hAnsi="Arial"/>
                <w:sz w:val="18"/>
                <w:szCs w:val="18"/>
                <w:color w:val="auto"/>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2140428</w:t>
            </w:r>
          </w:p>
        </w:tc>
        <w:tc>
          <w:tcPr>
            <w:tcW w:w="5700" w:type="dxa"/>
            <w:vAlign w:val="bottom"/>
          </w:tcPr>
          <w:p>
            <w:pPr>
              <w:ind w:left="160"/>
              <w:spacing w:after="0"/>
              <w:rPr>
                <w:sz w:val="20"/>
                <w:szCs w:val="20"/>
                <w:color w:val="auto"/>
              </w:rPr>
            </w:pPr>
            <w:r>
              <w:rPr>
                <w:rFonts w:ascii="Arial" w:cs="Arial" w:eastAsia="Arial" w:hAnsi="Arial"/>
                <w:sz w:val="18"/>
                <w:szCs w:val="18"/>
                <w:color w:val="auto"/>
              </w:rPr>
              <w:t>NOVEL 2’-O-ALKYL NUCLEOSIDES &amp; PHOSPHORAMIDITES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PROCESSES FOR THE PREPARATION &amp; USES THEREOF</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ISIS-1086</w:t>
            </w:r>
          </w:p>
        </w:tc>
        <w:tc>
          <w:tcPr>
            <w:tcW w:w="1100" w:type="dxa"/>
            <w:vAlign w:val="bottom"/>
          </w:tcPr>
          <w:p>
            <w:pPr>
              <w:ind w:left="36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651759</w:t>
            </w:r>
          </w:p>
        </w:tc>
        <w:tc>
          <w:tcPr>
            <w:tcW w:w="5700" w:type="dxa"/>
            <w:vAlign w:val="bottom"/>
          </w:tcPr>
          <w:p>
            <w:pPr>
              <w:ind w:left="160"/>
              <w:spacing w:after="0"/>
              <w:rPr>
                <w:sz w:val="20"/>
                <w:szCs w:val="20"/>
                <w:color w:val="auto"/>
              </w:rPr>
            </w:pPr>
            <w:r>
              <w:rPr>
                <w:rFonts w:ascii="Arial" w:cs="Arial" w:eastAsia="Arial" w:hAnsi="Arial"/>
                <w:sz w:val="18"/>
                <w:szCs w:val="18"/>
                <w:color w:val="auto"/>
              </w:rPr>
              <w:t>NOVEL 2’-O-ALKYL NUCLEOSIDES &amp; PHOSPHORAMIDITES</w:t>
            </w: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PROCESSES FOR THE PREPARATION &amp; USES THEREOF</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ISIS-1090</w:t>
            </w:r>
          </w:p>
        </w:tc>
        <w:tc>
          <w:tcPr>
            <w:tcW w:w="1100" w:type="dxa"/>
            <w:vAlign w:val="bottom"/>
          </w:tcPr>
          <w:p>
            <w:pPr>
              <w:ind w:left="360"/>
              <w:spacing w:after="0"/>
              <w:rPr>
                <w:sz w:val="20"/>
                <w:szCs w:val="20"/>
                <w:color w:val="auto"/>
              </w:rPr>
            </w:pPr>
            <w:r>
              <w:rPr>
                <w:rFonts w:ascii="Arial" w:cs="Arial" w:eastAsia="Arial" w:hAnsi="Arial"/>
                <w:sz w:val="18"/>
                <w:szCs w:val="18"/>
                <w:color w:val="auto"/>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651759</w:t>
            </w:r>
          </w:p>
        </w:tc>
        <w:tc>
          <w:tcPr>
            <w:tcW w:w="5700" w:type="dxa"/>
            <w:vAlign w:val="bottom"/>
          </w:tcPr>
          <w:p>
            <w:pPr>
              <w:ind w:left="160"/>
              <w:spacing w:after="0"/>
              <w:rPr>
                <w:sz w:val="20"/>
                <w:szCs w:val="20"/>
                <w:color w:val="auto"/>
              </w:rPr>
            </w:pPr>
            <w:r>
              <w:rPr>
                <w:rFonts w:ascii="Arial" w:cs="Arial" w:eastAsia="Arial" w:hAnsi="Arial"/>
                <w:sz w:val="18"/>
                <w:szCs w:val="18"/>
                <w:color w:val="auto"/>
              </w:rPr>
              <w:t>NOVEL 2’-O-ALKYL NUCLEOSIDES &amp; PHOSPHORAMIDITES</w:t>
            </w:r>
          </w:p>
        </w:tc>
      </w:tr>
      <w:tr>
        <w:trPr>
          <w:trHeight w:val="230"/>
        </w:trPr>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PROCESSES FOR THE PREPARATION &amp; USES THEREOF</w:t>
            </w:r>
          </w:p>
        </w:tc>
      </w:tr>
    </w:tbl>
    <w:p>
      <w:pPr>
        <w:sectPr>
          <w:pgSz w:w="11900" w:h="16838" w:orient="portrait"/>
          <w:cols w:equalWidth="0" w:num="1">
            <w:col w:w="11340"/>
          </w:cols>
          <w:pgMar w:left="240" w:top="341" w:right="31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ISIS-1091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GB</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651759</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2’-O-ALKYL NUCLEOSIDES &amp; PHOSPHORAMIDITES</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PROCESSES FOR THE PREPARATION &amp; USES THEREOF</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ISIS-1092</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1"/>
              </w:rPr>
              <w:t>693 33 344.8</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2’-O-ALKYL NUCLEOSIDES &amp; PHOSPHORAMIDITES</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PROCESSES FOR THE PREPARATION &amp; USES THEREOF</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ISIS-1102</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CH</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651759</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2’-O-ALKYL NUCLEOSIDES &amp; PHOSPHORAMIDITES</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PROCESSES FOR THE PREPARATION &amp; USES THEREOF</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ISIS-4806</w:t>
            </w:r>
          </w:p>
        </w:tc>
        <w:tc>
          <w:tcPr>
            <w:tcW w:w="120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0"/>
              </w:rPr>
              <w:t>Pending</w:t>
            </w: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NOVEL 2’-O-ALKYL NUCLEOSIDES &amp; PHOSPHORAMIDITES</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PROCESSES FOR THE PREPARATION &amp; USES THEREOF</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ISIS-1105</w:t>
            </w:r>
          </w:p>
        </w:tc>
        <w:tc>
          <w:tcPr>
            <w:tcW w:w="120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1"/>
              </w:rPr>
              <w:t>3015464</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2’-O-ALKYL NUCLEOSIDES &amp; PHOSPHORAMIDITES</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PROCESSES FOR THE PREPARATION &amp; USES THEREOF</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GLIS-0002</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1"/>
              </w:rPr>
              <w:t>5194599</w:t>
            </w:r>
          </w:p>
        </w:tc>
        <w:tc>
          <w:tcPr>
            <w:tcW w:w="5360" w:type="dxa"/>
            <w:vAlign w:val="bottom"/>
          </w:tcPr>
          <w:p>
            <w:pPr>
              <w:ind w:left="160"/>
              <w:spacing w:after="0"/>
              <w:rPr>
                <w:sz w:val="20"/>
                <w:szCs w:val="20"/>
                <w:color w:val="auto"/>
              </w:rPr>
            </w:pPr>
            <w:r>
              <w:rPr>
                <w:rFonts w:ascii="Arial" w:cs="Arial" w:eastAsia="Arial" w:hAnsi="Arial"/>
                <w:sz w:val="18"/>
                <w:szCs w:val="18"/>
                <w:color w:val="auto"/>
                <w:w w:val="97"/>
              </w:rPr>
              <w:t>NOVEL HYDROGEN PHOSPHONODITHIOATE COMPOSITIONS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GLIS-0003</w:t>
            </w:r>
          </w:p>
        </w:tc>
        <w:tc>
          <w:tcPr>
            <w:tcW w:w="1200" w:type="dxa"/>
            <w:vAlign w:val="bottom"/>
          </w:tcPr>
          <w:p>
            <w:pPr>
              <w:jc w:val="center"/>
              <w:spacing w:after="0"/>
              <w:rPr>
                <w:sz w:val="20"/>
                <w:szCs w:val="20"/>
                <w:color w:val="auto"/>
              </w:rPr>
            </w:pPr>
            <w:r>
              <w:rPr>
                <w:rFonts w:ascii="Arial" w:cs="Arial" w:eastAsia="Arial" w:hAnsi="Arial"/>
                <w:sz w:val="18"/>
                <w:szCs w:val="18"/>
                <w:color w:val="auto"/>
              </w:rPr>
              <w:t>AU</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622930</w:t>
            </w:r>
          </w:p>
        </w:tc>
        <w:tc>
          <w:tcPr>
            <w:tcW w:w="5360" w:type="dxa"/>
            <w:vAlign w:val="bottom"/>
          </w:tcPr>
          <w:p>
            <w:pPr>
              <w:ind w:left="160"/>
              <w:spacing w:after="0"/>
              <w:rPr>
                <w:sz w:val="20"/>
                <w:szCs w:val="20"/>
                <w:color w:val="auto"/>
              </w:rPr>
            </w:pPr>
            <w:r>
              <w:rPr>
                <w:rFonts w:ascii="Arial" w:cs="Arial" w:eastAsia="Arial" w:hAnsi="Arial"/>
                <w:sz w:val="18"/>
                <w:szCs w:val="18"/>
                <w:color w:val="auto"/>
                <w:w w:val="97"/>
              </w:rPr>
              <w:t>NOVEL HYDROGEN PHOSPHONODITHIOATE COMPOSITIONS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GLIS-0005</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1"/>
              </w:rPr>
              <w:t>5565555</w:t>
            </w:r>
          </w:p>
        </w:tc>
        <w:tc>
          <w:tcPr>
            <w:tcW w:w="5360" w:type="dxa"/>
            <w:vAlign w:val="bottom"/>
          </w:tcPr>
          <w:p>
            <w:pPr>
              <w:ind w:left="160"/>
              <w:spacing w:after="0"/>
              <w:rPr>
                <w:sz w:val="20"/>
                <w:szCs w:val="20"/>
                <w:color w:val="auto"/>
              </w:rPr>
            </w:pPr>
            <w:r>
              <w:rPr>
                <w:rFonts w:ascii="Arial" w:cs="Arial" w:eastAsia="Arial" w:hAnsi="Arial"/>
                <w:sz w:val="18"/>
                <w:szCs w:val="18"/>
                <w:color w:val="auto"/>
                <w:w w:val="97"/>
              </w:rPr>
              <w:t>NOVEL HYDROGEN PHOSPHONODITHIOATE COMPOSITIONS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ISIS-2347</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6000000</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1"/>
              </w:rPr>
              <w:t>5866691</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LACTAM NUCLEIC ACIDS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ISIS-3297</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1"/>
              </w:rPr>
              <w:t>6084082</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LACTAM NUCLEIC ACIDS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ISIS-0134</w:t>
            </w:r>
          </w:p>
        </w:tc>
        <w:tc>
          <w:tcPr>
            <w:tcW w:w="1200" w:type="dxa"/>
            <w:vAlign w:val="bottom"/>
          </w:tcPr>
          <w:p>
            <w:pPr>
              <w:jc w:val="center"/>
              <w:spacing w:after="0"/>
              <w:rPr>
                <w:sz w:val="20"/>
                <w:szCs w:val="20"/>
                <w:color w:val="auto"/>
              </w:rPr>
            </w:pPr>
            <w:r>
              <w:rPr>
                <w:rFonts w:ascii="Arial" w:cs="Arial" w:eastAsia="Arial" w:hAnsi="Arial"/>
                <w:sz w:val="18"/>
                <w:szCs w:val="18"/>
                <w:color w:val="auto"/>
              </w:rPr>
              <w:t>AU</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655937</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NUCLEOSIDE ANALOGS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ISIS-0136</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1"/>
              </w:rPr>
              <w:t>2089377</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NUCLEOSIDE ANALOGS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ISIS-0137</w:t>
            </w:r>
          </w:p>
        </w:tc>
        <w:tc>
          <w:tcPr>
            <w:tcW w:w="120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544792</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NUCLEOSIDE ANALOGS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ISIS-0141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FR</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544792</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NUCLEOSIDE ANALOGS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ISIS-0142</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89"/>
              </w:rPr>
              <w:t>69128250</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NUCLEOSIDE ANALOGS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ISIS-0143</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GB</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544792</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NUCLEOSIDE ANALOGS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ISIS-5052</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0"/>
              </w:rPr>
              <w:t>Pending</w:t>
            </w: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NOVEL PEPTIDE-CONJUGATED OLIGOMERIC COMPOUNDS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ISIS-5052WO</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WO</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0"/>
              </w:rPr>
              <w:t>Pending</w:t>
            </w: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NOVEL PEPTIDE-CONJUGATED OLIGOMERIC COMPOUNDS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ISIS-1917</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1"/>
              </w:rPr>
              <w:t>2184005</w:t>
            </w:r>
          </w:p>
        </w:tc>
        <w:tc>
          <w:tcPr>
            <w:tcW w:w="5360" w:type="dxa"/>
            <w:vAlign w:val="bottom"/>
          </w:tcPr>
          <w:p>
            <w:pPr>
              <w:ind w:left="160"/>
              <w:spacing w:after="0"/>
              <w:rPr>
                <w:sz w:val="20"/>
                <w:szCs w:val="20"/>
                <w:color w:val="auto"/>
              </w:rPr>
            </w:pPr>
            <w:r>
              <w:rPr>
                <w:rFonts w:ascii="Arial" w:cs="Arial" w:eastAsia="Arial" w:hAnsi="Arial"/>
                <w:sz w:val="18"/>
                <w:szCs w:val="18"/>
                <w:color w:val="auto"/>
                <w:w w:val="96"/>
              </w:rPr>
              <w:t>NOVEL PHOSPHORAMIDATE AND PHOSPHOROTHIOAMIDATE</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OLIGOMERIC CO MPOUNDS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ISIS-1918</w:t>
            </w:r>
          </w:p>
        </w:tc>
        <w:tc>
          <w:tcPr>
            <w:tcW w:w="120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751948</w:t>
            </w:r>
          </w:p>
        </w:tc>
        <w:tc>
          <w:tcPr>
            <w:tcW w:w="5360" w:type="dxa"/>
            <w:vAlign w:val="bottom"/>
          </w:tcPr>
          <w:p>
            <w:pPr>
              <w:ind w:left="160"/>
              <w:spacing w:after="0"/>
              <w:rPr>
                <w:sz w:val="20"/>
                <w:szCs w:val="20"/>
                <w:color w:val="auto"/>
              </w:rPr>
            </w:pPr>
            <w:r>
              <w:rPr>
                <w:rFonts w:ascii="Arial" w:cs="Arial" w:eastAsia="Arial" w:hAnsi="Arial"/>
                <w:sz w:val="18"/>
                <w:szCs w:val="18"/>
                <w:color w:val="auto"/>
                <w:w w:val="96"/>
              </w:rPr>
              <w:t>NOVEL PHOSPHORAMIDATE AND PHOSPHOROTHIOAMIDATE</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OLIGOMERIC COMPOUNDS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ISIS-1923</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GB</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751948</w:t>
            </w:r>
          </w:p>
        </w:tc>
        <w:tc>
          <w:tcPr>
            <w:tcW w:w="5360" w:type="dxa"/>
            <w:vAlign w:val="bottom"/>
          </w:tcPr>
          <w:p>
            <w:pPr>
              <w:ind w:left="160"/>
              <w:spacing w:after="0"/>
              <w:rPr>
                <w:sz w:val="20"/>
                <w:szCs w:val="20"/>
                <w:color w:val="auto"/>
              </w:rPr>
            </w:pPr>
            <w:r>
              <w:rPr>
                <w:rFonts w:ascii="Arial" w:cs="Arial" w:eastAsia="Arial" w:hAnsi="Arial"/>
                <w:sz w:val="18"/>
                <w:szCs w:val="18"/>
                <w:color w:val="auto"/>
                <w:w w:val="96"/>
              </w:rPr>
              <w:t>NOVEL PHOSPHORAMIDATE AND PHOSPHOROTHIOAMIDATE</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OLIGOMERIC COMPOUNDS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ISIS-0024</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1"/>
              </w:rPr>
              <w:t>5138045</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POLYAMINE CONJUGATED OLIGONUCLEOTIDES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ISIS-0290</w:t>
            </w:r>
          </w:p>
        </w:tc>
        <w:tc>
          <w:tcPr>
            <w:tcW w:w="120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544757</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POLYAMINE CONJUGATED OLIGONUCLEOTIDES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ISIS-0510</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1"/>
              </w:rPr>
              <w:t>5218105</w:t>
            </w:r>
          </w:p>
        </w:tc>
        <w:tc>
          <w:tcPr>
            <w:tcW w:w="5360" w:type="dxa"/>
            <w:vAlign w:val="bottom"/>
          </w:tcPr>
          <w:p>
            <w:pPr>
              <w:ind w:left="160"/>
              <w:spacing w:after="0"/>
              <w:rPr>
                <w:sz w:val="20"/>
                <w:szCs w:val="20"/>
                <w:color w:val="auto"/>
              </w:rPr>
            </w:pPr>
            <w:r>
              <w:rPr>
                <w:rFonts w:ascii="Arial" w:cs="Arial" w:eastAsia="Arial" w:hAnsi="Arial"/>
                <w:sz w:val="18"/>
                <w:szCs w:val="18"/>
                <w:color w:val="auto"/>
              </w:rPr>
              <w:t>NOVEL POLYAMINE CONJUGATED OLIGONUCLEOTIDES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ISIS-4804</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0"/>
              </w:rPr>
              <w:t>Pending</w:t>
            </w: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NUCLEASE RESISTANT CHIMERIC OLIGONUCLEOTIDES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ISIS-4948</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0"/>
              </w:rPr>
              <w:t>Pending</w:t>
            </w: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NUCLEASE RESISTANT CHIMERIC OLIGONUCLEOTIDES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ISIS-5377</w:t>
            </w:r>
          </w:p>
        </w:tc>
        <w:tc>
          <w:tcPr>
            <w:tcW w:w="1200" w:type="dxa"/>
            <w:vAlign w:val="bottom"/>
          </w:tcPr>
          <w:p>
            <w:pPr>
              <w:jc w:val="center"/>
              <w:spacing w:after="0"/>
              <w:rPr>
                <w:sz w:val="20"/>
                <w:szCs w:val="20"/>
                <w:color w:val="auto"/>
              </w:rPr>
            </w:pPr>
            <w:r>
              <w:rPr>
                <w:rFonts w:ascii="Arial" w:cs="Arial" w:eastAsia="Arial" w:hAnsi="Arial"/>
                <w:sz w:val="18"/>
                <w:szCs w:val="18"/>
                <w:color w:val="auto"/>
              </w:rPr>
              <w:t>AU</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0"/>
              </w:rPr>
              <w:t>Pending</w:t>
            </w: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NUCLEASE RESISTANT CHIMERIC OLIGONUCLEOTIDES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ISIS-5378</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0"/>
              </w:rPr>
              <w:t>Pending</w:t>
            </w: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NUCLEASE RESISTANT CHIMERIC OLIGONUCLEOTIDES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ISIS-5379</w:t>
            </w:r>
          </w:p>
        </w:tc>
        <w:tc>
          <w:tcPr>
            <w:tcW w:w="120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0"/>
              </w:rPr>
              <w:t>Pending</w:t>
            </w: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NUCLEASE RESISTANT CHIMERIC OLIGONUCLEOTIDES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ISIS-5399</w:t>
            </w:r>
          </w:p>
        </w:tc>
        <w:tc>
          <w:tcPr>
            <w:tcW w:w="120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89"/>
              </w:rPr>
              <w:t>Docketed</w:t>
            </w: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NUCLEASE RESISTANT CHIMERIC OLIGONUCLEOTIDES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ISIS-0311</w:t>
            </w:r>
          </w:p>
        </w:tc>
        <w:tc>
          <w:tcPr>
            <w:tcW w:w="1200" w:type="dxa"/>
            <w:vAlign w:val="bottom"/>
          </w:tcPr>
          <w:p>
            <w:pPr>
              <w:jc w:val="center"/>
              <w:spacing w:after="0"/>
              <w:rPr>
                <w:sz w:val="20"/>
                <w:szCs w:val="20"/>
                <w:color w:val="auto"/>
              </w:rPr>
            </w:pPr>
            <w:r>
              <w:rPr>
                <w:rFonts w:ascii="Arial" w:cs="Arial" w:eastAsia="Arial" w:hAnsi="Arial"/>
                <w:sz w:val="18"/>
                <w:szCs w:val="18"/>
                <w:color w:val="auto"/>
              </w:rPr>
              <w:t>AU</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641565</w:t>
            </w:r>
          </w:p>
        </w:tc>
        <w:tc>
          <w:tcPr>
            <w:tcW w:w="5360" w:type="dxa"/>
            <w:vAlign w:val="bottom"/>
          </w:tcPr>
          <w:p>
            <w:pPr>
              <w:ind w:left="160"/>
              <w:spacing w:after="0"/>
              <w:rPr>
                <w:sz w:val="20"/>
                <w:szCs w:val="20"/>
                <w:color w:val="auto"/>
              </w:rPr>
            </w:pPr>
            <w:r>
              <w:rPr>
                <w:rFonts w:ascii="Arial" w:cs="Arial" w:eastAsia="Arial" w:hAnsi="Arial"/>
                <w:sz w:val="18"/>
                <w:szCs w:val="18"/>
                <w:color w:val="auto"/>
              </w:rPr>
              <w:t>NUCLEASE RESISTANT PYRIMIDINE MODIFIED</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OLIGONUCLEOTIDES THAT DETECT &amp; MODULATE GENE</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EXPRESSION</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ISIS-0314</w:t>
            </w:r>
          </w:p>
        </w:tc>
        <w:tc>
          <w:tcPr>
            <w:tcW w:w="120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544824</w:t>
            </w:r>
          </w:p>
        </w:tc>
        <w:tc>
          <w:tcPr>
            <w:tcW w:w="5360" w:type="dxa"/>
            <w:vAlign w:val="bottom"/>
          </w:tcPr>
          <w:p>
            <w:pPr>
              <w:ind w:left="160"/>
              <w:spacing w:after="0"/>
              <w:rPr>
                <w:sz w:val="20"/>
                <w:szCs w:val="20"/>
                <w:color w:val="auto"/>
              </w:rPr>
            </w:pPr>
            <w:r>
              <w:rPr>
                <w:rFonts w:ascii="Arial" w:cs="Arial" w:eastAsia="Arial" w:hAnsi="Arial"/>
                <w:sz w:val="18"/>
                <w:szCs w:val="18"/>
                <w:color w:val="auto"/>
              </w:rPr>
              <w:t>NUCLEASE RESISTANT PYRIMIDINE MODIFIED</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OLIGONUCLEOTIDES THAT DETECT &amp; MODULATE GENE</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EXPRESSION</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ISIS-0318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FR</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544824</w:t>
            </w:r>
          </w:p>
        </w:tc>
        <w:tc>
          <w:tcPr>
            <w:tcW w:w="5360" w:type="dxa"/>
            <w:vAlign w:val="bottom"/>
          </w:tcPr>
          <w:p>
            <w:pPr>
              <w:ind w:left="160"/>
              <w:spacing w:after="0"/>
              <w:rPr>
                <w:sz w:val="20"/>
                <w:szCs w:val="20"/>
                <w:color w:val="auto"/>
              </w:rPr>
            </w:pPr>
            <w:r>
              <w:rPr>
                <w:rFonts w:ascii="Arial" w:cs="Arial" w:eastAsia="Arial" w:hAnsi="Arial"/>
                <w:sz w:val="18"/>
                <w:szCs w:val="18"/>
                <w:color w:val="auto"/>
              </w:rPr>
              <w:t>NUCLEASE RESISTANT PYRIMIDINE MODIFIED</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OLIGONUCLEOTIDES THAT DETECT &amp; MODULATE GENE</w:t>
            </w:r>
          </w:p>
        </w:tc>
      </w:tr>
      <w:tr>
        <w:trPr>
          <w:trHeight w:val="230"/>
        </w:trPr>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EXPRESSION</w:t>
            </w:r>
          </w:p>
        </w:tc>
      </w:tr>
    </w:tbl>
    <w:p>
      <w:pPr>
        <w:sectPr>
          <w:pgSz w:w="11900" w:h="16838" w:orient="portrait"/>
          <w:cols w:equalWidth="0" w:num="1">
            <w:col w:w="11000"/>
          </w:cols>
          <w:pgMar w:left="240" w:top="341" w:right="65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ISIS-0319</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691 26 530.5</w:t>
            </w:r>
          </w:p>
        </w:tc>
        <w:tc>
          <w:tcPr>
            <w:tcW w:w="5740" w:type="dxa"/>
            <w:vAlign w:val="bottom"/>
          </w:tcPr>
          <w:p>
            <w:pPr>
              <w:ind w:left="160"/>
              <w:spacing w:after="0"/>
              <w:rPr>
                <w:sz w:val="20"/>
                <w:szCs w:val="20"/>
                <w:color w:val="auto"/>
              </w:rPr>
            </w:pPr>
            <w:r>
              <w:rPr>
                <w:rFonts w:ascii="Arial" w:cs="Arial" w:eastAsia="Arial" w:hAnsi="Arial"/>
                <w:sz w:val="18"/>
                <w:szCs w:val="18"/>
                <w:color w:val="auto"/>
              </w:rPr>
              <w:t>NUCLEASE RESISTANT PYRIMIDINE MODIFIED</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OLIGONUCLEOTIDES THAT DETECT &amp; MODULATE GENE</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ISIS-0320</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GB</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544824</w:t>
            </w:r>
          </w:p>
        </w:tc>
        <w:tc>
          <w:tcPr>
            <w:tcW w:w="5740" w:type="dxa"/>
            <w:vAlign w:val="bottom"/>
          </w:tcPr>
          <w:p>
            <w:pPr>
              <w:ind w:left="160"/>
              <w:spacing w:after="0"/>
              <w:rPr>
                <w:sz w:val="20"/>
                <w:szCs w:val="20"/>
                <w:color w:val="auto"/>
              </w:rPr>
            </w:pPr>
            <w:r>
              <w:rPr>
                <w:rFonts w:ascii="Arial" w:cs="Arial" w:eastAsia="Arial" w:hAnsi="Arial"/>
                <w:sz w:val="18"/>
                <w:szCs w:val="18"/>
                <w:color w:val="auto"/>
              </w:rPr>
              <w:t>NUCLEASE RESISTANT PYRIMIDINE MODIFIED</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OLIGONUCLEOTIDES THAT DETECT &amp; MODULATE GENE</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ISIS-0327</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CH</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544824</w:t>
            </w:r>
          </w:p>
        </w:tc>
        <w:tc>
          <w:tcPr>
            <w:tcW w:w="5740" w:type="dxa"/>
            <w:vAlign w:val="bottom"/>
          </w:tcPr>
          <w:p>
            <w:pPr>
              <w:ind w:left="160"/>
              <w:spacing w:after="0"/>
              <w:rPr>
                <w:sz w:val="20"/>
                <w:szCs w:val="20"/>
                <w:color w:val="auto"/>
              </w:rPr>
            </w:pPr>
            <w:r>
              <w:rPr>
                <w:rFonts w:ascii="Arial" w:cs="Arial" w:eastAsia="Arial" w:hAnsi="Arial"/>
                <w:sz w:val="18"/>
                <w:szCs w:val="18"/>
                <w:color w:val="auto"/>
              </w:rPr>
              <w:t>NUCLEASE RESISTANT PYRIMIDINE MODIFIED</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OLIGONUCLEOTIDES THAT DETECT &amp; MODULATE GENE</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ISIS-0333</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5614617</w:t>
            </w:r>
          </w:p>
        </w:tc>
        <w:tc>
          <w:tcPr>
            <w:tcW w:w="5740" w:type="dxa"/>
            <w:vAlign w:val="bottom"/>
          </w:tcPr>
          <w:p>
            <w:pPr>
              <w:ind w:left="160"/>
              <w:spacing w:after="0"/>
              <w:rPr>
                <w:sz w:val="20"/>
                <w:szCs w:val="20"/>
                <w:color w:val="auto"/>
              </w:rPr>
            </w:pPr>
            <w:r>
              <w:rPr>
                <w:rFonts w:ascii="Arial" w:cs="Arial" w:eastAsia="Arial" w:hAnsi="Arial"/>
                <w:sz w:val="18"/>
                <w:szCs w:val="18"/>
                <w:color w:val="auto"/>
              </w:rPr>
              <w:t>NUCLEASE RESISTANT PYRIMIDINE MODIFIED</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OLIGONUCLEOTIDES THAT DETECT &amp; MODULATE GENE</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ISIS-0330</w:t>
            </w:r>
          </w:p>
        </w:tc>
        <w:tc>
          <w:tcPr>
            <w:tcW w:w="132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2089377</w:t>
            </w:r>
          </w:p>
        </w:tc>
        <w:tc>
          <w:tcPr>
            <w:tcW w:w="5740" w:type="dxa"/>
            <w:vAlign w:val="bottom"/>
          </w:tcPr>
          <w:p>
            <w:pPr>
              <w:ind w:left="160"/>
              <w:spacing w:after="0"/>
              <w:rPr>
                <w:sz w:val="20"/>
                <w:szCs w:val="20"/>
                <w:color w:val="auto"/>
              </w:rPr>
            </w:pPr>
            <w:r>
              <w:rPr>
                <w:rFonts w:ascii="Arial" w:cs="Arial" w:eastAsia="Arial" w:hAnsi="Arial"/>
                <w:sz w:val="18"/>
                <w:szCs w:val="18"/>
                <w:color w:val="auto"/>
              </w:rPr>
              <w:t>NUCLEASE RESISTANT PYRIMIDINE MODIFIED</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OLIGONUCLEOTIDES THAT DETECT AND MODULATE GENE</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ISIS-0313</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NUCLEASE RESISTANT PYRIMIDINE MODIFIED</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OLIGONUCLEOTIDES THAT DETECT AND MODULATE GENE</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GLIS-0094</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5792608</w:t>
            </w:r>
          </w:p>
        </w:tc>
        <w:tc>
          <w:tcPr>
            <w:tcW w:w="5740" w:type="dxa"/>
            <w:vAlign w:val="bottom"/>
          </w:tcPr>
          <w:p>
            <w:pPr>
              <w:ind w:left="160"/>
              <w:spacing w:after="0"/>
              <w:rPr>
                <w:sz w:val="20"/>
                <w:szCs w:val="20"/>
                <w:color w:val="auto"/>
              </w:rPr>
            </w:pPr>
            <w:r>
              <w:rPr>
                <w:rFonts w:ascii="Arial" w:cs="Arial" w:eastAsia="Arial" w:hAnsi="Arial"/>
                <w:sz w:val="18"/>
                <w:szCs w:val="18"/>
                <w:color w:val="auto"/>
                <w:w w:val="97"/>
              </w:rPr>
              <w:t>NUCLEASE STABLE AND BINDING COMPETENT OLIGOMERS AND</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METHODS FOR THEIR USE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GLIS-0128</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NUCLEOSIDE 5’-METHYLENE PHOSPHONATES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GLIS-0007</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5"/>
              </w:rPr>
              <w:t>NUCLEOSIDE HYDROGEN PHOSPHONODITHIOATE DIESTERS AND</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ACTIVATED PHOSPHONODITHIOATE ANALOGUES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ISIS-4803</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NUCLEOSIDIC AND NON-NUCLEOSIDIC FOLATE CONJUGATES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ISIS-3453</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6335434</w:t>
            </w:r>
          </w:p>
        </w:tc>
        <w:tc>
          <w:tcPr>
            <w:tcW w:w="5740" w:type="dxa"/>
            <w:vAlign w:val="bottom"/>
          </w:tcPr>
          <w:p>
            <w:pPr>
              <w:ind w:left="160"/>
              <w:spacing w:after="0"/>
              <w:rPr>
                <w:sz w:val="20"/>
                <w:szCs w:val="20"/>
                <w:color w:val="auto"/>
              </w:rPr>
            </w:pPr>
            <w:r>
              <w:rPr>
                <w:rFonts w:ascii="Arial" w:cs="Arial" w:eastAsia="Arial" w:hAnsi="Arial"/>
                <w:sz w:val="18"/>
                <w:szCs w:val="18"/>
                <w:color w:val="auto"/>
              </w:rPr>
              <w:t>NUCLEOSIDIC AND NON-NUCLEOSIDIC FOLATE CONJUGATES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ISIS-4732</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6500945</w:t>
            </w:r>
          </w:p>
        </w:tc>
        <w:tc>
          <w:tcPr>
            <w:tcW w:w="5740" w:type="dxa"/>
            <w:vAlign w:val="bottom"/>
          </w:tcPr>
          <w:p>
            <w:pPr>
              <w:ind w:left="160"/>
              <w:spacing w:after="0"/>
              <w:rPr>
                <w:sz w:val="20"/>
                <w:szCs w:val="20"/>
                <w:color w:val="auto"/>
              </w:rPr>
            </w:pPr>
            <w:r>
              <w:rPr>
                <w:rFonts w:ascii="Arial" w:cs="Arial" w:eastAsia="Arial" w:hAnsi="Arial"/>
                <w:sz w:val="18"/>
                <w:szCs w:val="18"/>
                <w:color w:val="auto"/>
              </w:rPr>
              <w:t>NUCLEOTIDES HAVING CHIRAL PHOSPHORUS LINKAGES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ISIS-1872</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6121433</w:t>
            </w:r>
          </w:p>
        </w:tc>
        <w:tc>
          <w:tcPr>
            <w:tcW w:w="5740" w:type="dxa"/>
            <w:vAlign w:val="bottom"/>
          </w:tcPr>
          <w:p>
            <w:pPr>
              <w:ind w:left="160"/>
              <w:spacing w:after="0"/>
              <w:rPr>
                <w:sz w:val="20"/>
                <w:szCs w:val="20"/>
                <w:color w:val="auto"/>
              </w:rPr>
            </w:pPr>
            <w:r>
              <w:rPr>
                <w:rFonts w:ascii="Arial" w:cs="Arial" w:eastAsia="Arial" w:hAnsi="Arial"/>
                <w:sz w:val="18"/>
                <w:szCs w:val="18"/>
                <w:color w:val="auto"/>
              </w:rPr>
              <w:t>OLIGOMERIC COMPOUNDS HAVING NITROGEN-CONTAINING</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LINKAGES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ISIS-5214</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WO</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OLIGOMERIC COMPOUNDS THAT INCLUDE CARBOCYCLIC</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NUCLEOSIDES AND THEIR USE IN GENE MODULATION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ISIS-1720</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5792844</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OLIGONUCLEOSIDE LINKAGES CONTAINING ADJACENT</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NITROGEN ATOMS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ISIS-3141</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6214551</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OLIGONUCLEOSIDE LINKAGES CONTAINING ADJACENT</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NITROGEN ATOMS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ISIS-0713</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5489677</w:t>
            </w:r>
          </w:p>
        </w:tc>
        <w:tc>
          <w:tcPr>
            <w:tcW w:w="5740" w:type="dxa"/>
            <w:vAlign w:val="bottom"/>
          </w:tcPr>
          <w:p>
            <w:pPr>
              <w:ind w:left="160"/>
              <w:spacing w:after="0"/>
              <w:rPr>
                <w:sz w:val="20"/>
                <w:szCs w:val="20"/>
                <w:color w:val="auto"/>
              </w:rPr>
            </w:pPr>
            <w:r>
              <w:rPr>
                <w:rFonts w:ascii="Arial" w:cs="Arial" w:eastAsia="Arial" w:hAnsi="Arial"/>
                <w:sz w:val="18"/>
                <w:szCs w:val="18"/>
                <w:color w:val="auto"/>
                <w:w w:val="97"/>
              </w:rPr>
              <w:t>OLIGONUCLEOSIDE LINKAGES CONTAINING ADJACENT OXYGEN</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AND NITR OGEN ATOMS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ISIS-1968</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7"/>
              </w:rPr>
              <w:t>OLIGONUCLEOSIDE LINKAGES CONTAINING ADJACENT OXYGEN</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AND NITROGEN ATOMS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ISIS-2906</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6420549</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 ANALOGS HAVING MODIFIED DIMERS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ISIS-5081</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 ANALOGS HAVING MODIFIED DIMERS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GLIS-0032</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2071483</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 ANALOGS WITH NOVEL LINKAGES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ISIS-1198</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6235886</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 AND NUCLEOTIDE AMINE ANALOGS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ISIS-4508</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6495671</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 AND NUCLEOTIDE AMINE ANALOGS,</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METHODS OF SYNTHESIS AND USE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ISIS-5025</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 AND NUCLEOTIDE AMINE ANALOGS,</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METHODS OF SYNTHESIS AND USE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GLIS-0049</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5486603</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 HAVING ENHANCED BINDING AFFINITY</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ISIS-1014</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5783682</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 MIMICS HAVING NITROGEN-CONTAINING</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LINKAGES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ISIS-3138</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6271357</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 MIMICS HAVING NITROGEN-CONTAINING</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LINKAGES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ISIS-4729</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5023243</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 THERAPEUTIC AGENT AND METHOD OF</w:t>
            </w:r>
          </w:p>
        </w:tc>
      </w:tr>
      <w:tr>
        <w:trPr>
          <w:trHeight w:val="216"/>
        </w:trPr>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MAKING</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ISIS-2954</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4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6528631</w:t>
            </w:r>
          </w:p>
        </w:tc>
        <w:tc>
          <w:tcPr>
            <w:tcW w:w="5740" w:type="dxa"/>
            <w:vAlign w:val="bottom"/>
          </w:tcPr>
          <w:p>
            <w:pPr>
              <w:ind w:left="160"/>
              <w:spacing w:after="0"/>
              <w:rPr>
                <w:sz w:val="20"/>
                <w:szCs w:val="20"/>
                <w:color w:val="auto"/>
              </w:rPr>
            </w:pPr>
            <w:r>
              <w:rPr>
                <w:rFonts w:ascii="Arial" w:cs="Arial" w:eastAsia="Arial" w:hAnsi="Arial"/>
                <w:sz w:val="18"/>
                <w:szCs w:val="18"/>
                <w:color w:val="auto"/>
              </w:rPr>
              <w:t>OLIGONUCLEOTIDE-FOLATE CONJUGATES</w:t>
            </w:r>
          </w:p>
        </w:tc>
      </w:tr>
    </w:tbl>
    <w:p>
      <w:pPr>
        <w:sectPr>
          <w:pgSz w:w="11900" w:h="16838" w:orient="portrait"/>
          <w:cols w:equalWidth="0" w:num="1">
            <w:col w:w="11380"/>
          </w:cols>
          <w:pgMar w:left="240" w:top="341" w:right="27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GLIS-0063</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w w:val="96"/>
              </w:rPr>
              <w:t>OLIGONUCLEOTIDES AND THEIR ANALOGS CAPABLE OF PASSIVE</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CELL MEMBRANE PERMEATION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ISIS-1169</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BEARING ALKYLAMINO AND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ALKYLENEGLYCOL SUBSTITUENTS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ISIS-3758</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6656730</w:t>
            </w:r>
          </w:p>
        </w:tc>
        <w:tc>
          <w:tcPr>
            <w:tcW w:w="5840" w:type="dxa"/>
            <w:vAlign w:val="bottom"/>
          </w:tcPr>
          <w:p>
            <w:pPr>
              <w:ind w:left="240"/>
              <w:spacing w:after="0"/>
              <w:rPr>
                <w:sz w:val="20"/>
                <w:szCs w:val="20"/>
                <w:color w:val="auto"/>
              </w:rPr>
            </w:pPr>
            <w:r>
              <w:rPr>
                <w:rFonts w:ascii="Arial" w:cs="Arial" w:eastAsia="Arial" w:hAnsi="Arial"/>
                <w:sz w:val="18"/>
                <w:szCs w:val="18"/>
                <w:color w:val="auto"/>
                <w:w w:val="96"/>
              </w:rPr>
              <w:t>OLIGONUCLEOTIDES CONJUGATED TO PROTEIN-BINDING DRUGS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ISIS-4921</w:t>
            </w:r>
          </w:p>
        </w:tc>
        <w:tc>
          <w:tcPr>
            <w:tcW w:w="1120" w:type="dxa"/>
            <w:vAlign w:val="bottom"/>
          </w:tcPr>
          <w:p>
            <w:pPr>
              <w:jc w:val="center"/>
              <w:ind w:right="90"/>
              <w:spacing w:after="0"/>
              <w:rPr>
                <w:sz w:val="20"/>
                <w:szCs w:val="20"/>
                <w:color w:val="auto"/>
              </w:rPr>
            </w:pPr>
            <w:r>
              <w:rPr>
                <w:rFonts w:ascii="Arial" w:cs="Arial" w:eastAsia="Arial" w:hAnsi="Arial"/>
                <w:sz w:val="18"/>
                <w:szCs w:val="18"/>
                <w:color w:val="auto"/>
              </w:rPr>
              <w:t>AU</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763518</w:t>
            </w:r>
          </w:p>
        </w:tc>
        <w:tc>
          <w:tcPr>
            <w:tcW w:w="5840" w:type="dxa"/>
            <w:vAlign w:val="bottom"/>
          </w:tcPr>
          <w:p>
            <w:pPr>
              <w:ind w:left="240"/>
              <w:spacing w:after="0"/>
              <w:rPr>
                <w:sz w:val="20"/>
                <w:szCs w:val="20"/>
                <w:color w:val="auto"/>
              </w:rPr>
            </w:pPr>
            <w:r>
              <w:rPr>
                <w:rFonts w:ascii="Arial" w:cs="Arial" w:eastAsia="Arial" w:hAnsi="Arial"/>
                <w:sz w:val="18"/>
                <w:szCs w:val="18"/>
                <w:color w:val="auto"/>
                <w:w w:val="96"/>
              </w:rPr>
              <w:t>OLIGONUCLEOTIDES CONJUGATED TO PROTEIN-BINDING DRUGS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ISIS-4922</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CA</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w w:val="96"/>
              </w:rPr>
              <w:t>OLIGONUCLEOTIDES CONJUGATED TO PROTEIN-BINDING DRUGS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ISIS-4923</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w w:val="96"/>
              </w:rPr>
              <w:t>OLIGONUCLEOTIDES CONJUGATED TO PROTEIN-BINDING DRUGS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ISIS-4942</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w w:val="96"/>
              </w:rPr>
              <w:t>OLIGONUCLEOTIDES CONJUGATED TO PROTEIN-BINDING DRUGS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ISIS-5246</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CONTAINING 2’-O-MODIFIED PURINES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ISIS-5426</w:t>
            </w: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CONTAINING 2’-O-MODIFIED PURINES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ISIS-2014</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5587469</w:t>
            </w: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CONTAINING N-2 SUBSTITUTED PURINES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ISIS-3310</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6369209</w:t>
            </w: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A-DNA FORM AND B-DNA FORM</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CONFORMATIONAL GEOMETRY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ISIS-4877</w:t>
            </w:r>
          </w:p>
        </w:tc>
        <w:tc>
          <w:tcPr>
            <w:tcW w:w="1120" w:type="dxa"/>
            <w:vAlign w:val="bottom"/>
          </w:tcPr>
          <w:p>
            <w:pPr>
              <w:jc w:val="center"/>
              <w:ind w:right="90"/>
              <w:spacing w:after="0"/>
              <w:rPr>
                <w:sz w:val="20"/>
                <w:szCs w:val="20"/>
                <w:color w:val="auto"/>
              </w:rPr>
            </w:pPr>
            <w:r>
              <w:rPr>
                <w:rFonts w:ascii="Arial" w:cs="Arial" w:eastAsia="Arial" w:hAnsi="Arial"/>
                <w:sz w:val="18"/>
                <w:szCs w:val="18"/>
                <w:color w:val="auto"/>
              </w:rPr>
              <w:t>AU</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762212</w:t>
            </w: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A-DNA FORM AND B-DNA FORM</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CONFORMATIONAL GEOMETRY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ISIS-4878</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CA</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A-DNA FORM AND B-DNA FORM</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CONFORMATIONAL GEOMETRY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ISIS-4879</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A-DNA FORM AND B-DNA FORM</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CONFORMATIONAL GEOMETRY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ISIS-4898</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A-DNA FORM AND B-DNA FORM</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CONFORMATIONAL GEOMETRY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ISIS-4949</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A-DNA FORM AND B-DNA FORM</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CONFORMATIONAL GEOMETRY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ISIS-0727</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CA</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2121144</w:t>
            </w:r>
          </w:p>
        </w:tc>
        <w:tc>
          <w:tcPr>
            <w:tcW w:w="5840" w:type="dxa"/>
            <w:vAlign w:val="bottom"/>
          </w:tcPr>
          <w:p>
            <w:pPr>
              <w:ind w:left="240"/>
              <w:spacing w:after="0"/>
              <w:rPr>
                <w:sz w:val="20"/>
                <w:szCs w:val="20"/>
                <w:color w:val="auto"/>
              </w:rPr>
            </w:pPr>
            <w:r>
              <w:rPr>
                <w:rFonts w:ascii="Arial" w:cs="Arial" w:eastAsia="Arial" w:hAnsi="Arial"/>
                <w:sz w:val="18"/>
                <w:szCs w:val="18"/>
                <w:color w:val="auto"/>
                <w:w w:val="99"/>
              </w:rPr>
              <w:t>OLIGONUCLEOTIDES HAVING CHIRAL PHOSPHORUS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ISIS-2260</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5852188</w:t>
            </w:r>
          </w:p>
        </w:tc>
        <w:tc>
          <w:tcPr>
            <w:tcW w:w="5840" w:type="dxa"/>
            <w:vAlign w:val="bottom"/>
          </w:tcPr>
          <w:p>
            <w:pPr>
              <w:ind w:left="240"/>
              <w:spacing w:after="0"/>
              <w:rPr>
                <w:sz w:val="20"/>
                <w:szCs w:val="20"/>
                <w:color w:val="auto"/>
              </w:rPr>
            </w:pPr>
            <w:r>
              <w:rPr>
                <w:rFonts w:ascii="Arial" w:cs="Arial" w:eastAsia="Arial" w:hAnsi="Arial"/>
                <w:sz w:val="18"/>
                <w:szCs w:val="18"/>
                <w:color w:val="auto"/>
                <w:w w:val="99"/>
              </w:rPr>
              <w:t>OLIGONUCLEOTIDES HAVING CHIRAL PHOSPHORUS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ISIS-3306</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6239265</w:t>
            </w:r>
          </w:p>
        </w:tc>
        <w:tc>
          <w:tcPr>
            <w:tcW w:w="5840" w:type="dxa"/>
            <w:vAlign w:val="bottom"/>
          </w:tcPr>
          <w:p>
            <w:pPr>
              <w:ind w:left="240"/>
              <w:spacing w:after="0"/>
              <w:rPr>
                <w:sz w:val="20"/>
                <w:szCs w:val="20"/>
                <w:color w:val="auto"/>
              </w:rPr>
            </w:pPr>
            <w:r>
              <w:rPr>
                <w:rFonts w:ascii="Arial" w:cs="Arial" w:eastAsia="Arial" w:hAnsi="Arial"/>
                <w:sz w:val="18"/>
                <w:szCs w:val="18"/>
                <w:color w:val="auto"/>
                <w:w w:val="99"/>
              </w:rPr>
              <w:t>OLIGONUCLEOTIDES HAVING CHIRAL PHOSPHORUS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ISIS-5033</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w w:val="99"/>
              </w:rPr>
              <w:t>OLIGONUCLEOTIDES HAVING CHIRAL PHOSPHORUS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HYBN-227.0CA</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CA</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MODIFIED CpG DINUCLEOSIDES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HYBN-227.0JP</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MODIFIED CpG DINUCLEOSIDES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HYBN-227.0US</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5856462</w:t>
            </w: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MODIFIED CpG DINUCLEOSIDES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HYBN-227.1US</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MODIFIED CpG DINUCLEOSIDES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ISIS-5067</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MODIFIED NUCLEOSIDE UNITS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ISIS-5067US</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MODIFIED NUCLEOSIDE UNITS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ISIS-5067WO</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0"/>
              </w:rPr>
              <w:t>WO</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MODIFIED NUCLEOSIDE UNITS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ISIS-5068</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MODIFIED NUCLEOSIDE UNITS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ISIS-5068US</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MODIFIED NUCLEOSIDE UNITS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ISIS-5068WO</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0"/>
              </w:rPr>
              <w:t>WO</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MODIFIED NUCLEOSIDE UNITS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ISIS-2012</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5587361</w:t>
            </w: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PHOSPHOROTHIOATE LINKAGES</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OF HIGH CH IRAL PURITY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ISIS-2298A</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KR</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257972</w:t>
            </w: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PHOSPHOROTHIOATE LINKAGES</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OF HIGH CH IRAL PURITY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ISIS-2299</w:t>
            </w:r>
          </w:p>
        </w:tc>
        <w:tc>
          <w:tcPr>
            <w:tcW w:w="1120" w:type="dxa"/>
            <w:vAlign w:val="bottom"/>
          </w:tcPr>
          <w:p>
            <w:pPr>
              <w:jc w:val="center"/>
              <w:ind w:right="90"/>
              <w:spacing w:after="0"/>
              <w:rPr>
                <w:sz w:val="20"/>
                <w:szCs w:val="20"/>
                <w:color w:val="auto"/>
              </w:rPr>
            </w:pPr>
            <w:r>
              <w:rPr>
                <w:rFonts w:ascii="Arial" w:cs="Arial" w:eastAsia="Arial" w:hAnsi="Arial"/>
                <w:sz w:val="18"/>
                <w:szCs w:val="18"/>
                <w:color w:val="auto"/>
              </w:rPr>
              <w:t>AU</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698739</w:t>
            </w:r>
          </w:p>
        </w:tc>
        <w:tc>
          <w:tcPr>
            <w:tcW w:w="5840" w:type="dxa"/>
            <w:vAlign w:val="bottom"/>
          </w:tcPr>
          <w:p>
            <w:pPr>
              <w:ind w:left="240"/>
              <w:spacing w:after="0"/>
              <w:rPr>
                <w:sz w:val="20"/>
                <w:szCs w:val="20"/>
                <w:color w:val="auto"/>
              </w:rPr>
            </w:pPr>
            <w:r>
              <w:rPr>
                <w:rFonts w:ascii="Arial" w:cs="Arial" w:eastAsia="Arial" w:hAnsi="Arial"/>
                <w:sz w:val="18"/>
                <w:szCs w:val="18"/>
                <w:color w:val="auto"/>
              </w:rPr>
              <w:t>OLIGONUCLEOTIDES HAVING PHOSPHOROTHIOATE LINKAGES</w:t>
            </w:r>
          </w:p>
        </w:tc>
      </w:tr>
      <w:tr>
        <w:trPr>
          <w:trHeight w:val="230"/>
        </w:trPr>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OF HIGH CH IRAL PURITY</w:t>
            </w:r>
          </w:p>
        </w:tc>
      </w:tr>
    </w:tbl>
    <w:p>
      <w:pPr>
        <w:sectPr>
          <w:pgSz w:w="11900" w:h="16838" w:orient="portrait"/>
          <w:cols w:equalWidth="0" w:num="1">
            <w:col w:w="11400"/>
          </w:cols>
          <w:pgMar w:left="240" w:top="341" w:right="25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ISIS-2301</w:t>
            </w:r>
          </w:p>
        </w:tc>
        <w:tc>
          <w:tcPr>
            <w:tcW w:w="1280" w:type="dxa"/>
            <w:vAlign w:val="bottom"/>
          </w:tcPr>
          <w:p>
            <w:pPr>
              <w:ind w:left="54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8"/>
              </w:rPr>
              <w:t>OLIGONUCLEOTIDES HAVING PHOSPHOROTHIOATE LINKAGES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OF HIGH CH IRAL PURITY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ISIS-2319</w:t>
            </w:r>
          </w:p>
        </w:tc>
        <w:tc>
          <w:tcPr>
            <w:tcW w:w="1280" w:type="dxa"/>
            <w:vAlign w:val="bottom"/>
          </w:tcPr>
          <w:p>
            <w:pPr>
              <w:ind w:left="56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8"/>
              </w:rPr>
              <w:t>OLIGONUCLEOTIDES HAVING PHOSPHOROTHIOATE LINKAGES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OF HIGH CH IRAL PURITY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ISIS-4499</w:t>
            </w:r>
          </w:p>
        </w:tc>
        <w:tc>
          <w:tcPr>
            <w:tcW w:w="1280" w:type="dxa"/>
            <w:vAlign w:val="bottom"/>
          </w:tcPr>
          <w:p>
            <w:pPr>
              <w:ind w:left="56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8"/>
              </w:rPr>
              <w:t>OLIGONUCLEOTIDES HAVING PHOSPHOROTHIOATE LINKAGES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OF HIGH CH IRAL PURITY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ISIS-4500</w:t>
            </w:r>
          </w:p>
        </w:tc>
        <w:tc>
          <w:tcPr>
            <w:tcW w:w="1280" w:type="dxa"/>
            <w:vAlign w:val="bottom"/>
          </w:tcPr>
          <w:p>
            <w:pPr>
              <w:ind w:left="56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8"/>
              </w:rPr>
              <w:t>OLIGONUCLEOTIDES HAVING PHOSPHOROTHIOATE LINKAGES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OF HIGH CH IRAL PURITY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ISIS-2300</w:t>
            </w:r>
          </w:p>
        </w:tc>
        <w:tc>
          <w:tcPr>
            <w:tcW w:w="1280" w:type="dxa"/>
            <w:vAlign w:val="bottom"/>
          </w:tcPr>
          <w:p>
            <w:pPr>
              <w:ind w:left="520"/>
              <w:spacing w:after="0"/>
              <w:rPr>
                <w:sz w:val="20"/>
                <w:szCs w:val="20"/>
                <w:color w:val="auto"/>
              </w:rPr>
            </w:pPr>
            <w:r>
              <w:rPr>
                <w:rFonts w:ascii="Arial" w:cs="Arial" w:eastAsia="Arial" w:hAnsi="Arial"/>
                <w:sz w:val="18"/>
                <w:szCs w:val="18"/>
                <w:color w:val="auto"/>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8"/>
              </w:rPr>
              <w:t>OLIGONUCLEOTIDES HAVING PHOSPHOROTHIOATE LINKAGES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OF HIGH CHIRAL PURITY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ISIS-3890</w:t>
            </w:r>
          </w:p>
        </w:tc>
        <w:tc>
          <w:tcPr>
            <w:tcW w:w="1280" w:type="dxa"/>
            <w:vAlign w:val="bottom"/>
          </w:tcPr>
          <w:p>
            <w:pPr>
              <w:ind w:left="5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6440943</w:t>
            </w: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HAVING SITE SPECIFIC CHIRAL</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PHOSPHOROTHIOATE INTERNUCLEOSIDE LINKAGES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ISIS-3895</w:t>
            </w:r>
          </w:p>
        </w:tc>
        <w:tc>
          <w:tcPr>
            <w:tcW w:w="1280" w:type="dxa"/>
            <w:vAlign w:val="bottom"/>
          </w:tcPr>
          <w:p>
            <w:pPr>
              <w:ind w:left="54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HAVING SITE SPECIFIC CHIRAL</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PHOSPHOROTHIOATE INTERNUCLEOSIDE LINKAGES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ISIS-3914</w:t>
            </w:r>
          </w:p>
        </w:tc>
        <w:tc>
          <w:tcPr>
            <w:tcW w:w="1280" w:type="dxa"/>
            <w:vAlign w:val="bottom"/>
          </w:tcPr>
          <w:p>
            <w:pPr>
              <w:ind w:left="56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HAVING SITE SPECIFIC CHIRAL</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PHOSPHOROTHIOATE INTERNUCLEOSIDE LINKAGES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ISIS-0746</w:t>
            </w:r>
          </w:p>
        </w:tc>
        <w:tc>
          <w:tcPr>
            <w:tcW w:w="1280" w:type="dxa"/>
            <w:vAlign w:val="bottom"/>
          </w:tcPr>
          <w:p>
            <w:pPr>
              <w:ind w:left="560"/>
              <w:spacing w:after="0"/>
              <w:rPr>
                <w:sz w:val="20"/>
                <w:szCs w:val="20"/>
                <w:color w:val="auto"/>
              </w:rPr>
            </w:pPr>
            <w:r>
              <w:rPr>
                <w:rFonts w:ascii="Arial" w:cs="Arial" w:eastAsia="Arial" w:hAnsi="Arial"/>
                <w:sz w:val="18"/>
                <w:szCs w:val="18"/>
                <w:color w:val="auto"/>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2693643</w:t>
            </w:r>
          </w:p>
        </w:tc>
        <w:tc>
          <w:tcPr>
            <w:tcW w:w="5620" w:type="dxa"/>
            <w:vAlign w:val="bottom"/>
          </w:tcPr>
          <w:p>
            <w:pPr>
              <w:ind w:left="160"/>
              <w:spacing w:after="0"/>
              <w:rPr>
                <w:sz w:val="20"/>
                <w:szCs w:val="20"/>
                <w:color w:val="auto"/>
              </w:rPr>
            </w:pPr>
            <w:r>
              <w:rPr>
                <w:rFonts w:ascii="Arial" w:cs="Arial" w:eastAsia="Arial" w:hAnsi="Arial"/>
                <w:sz w:val="18"/>
                <w:szCs w:val="18"/>
                <w:color w:val="auto"/>
                <w:w w:val="97"/>
              </w:rPr>
              <w:t>OLIGONUCLEOTIDES HAVING SUBSTANTIALLY CHIRALLY PURE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PHOPHORO THIOATE LINKAGES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ISIS-0728</w:t>
            </w:r>
          </w:p>
        </w:tc>
        <w:tc>
          <w:tcPr>
            <w:tcW w:w="1280" w:type="dxa"/>
            <w:vAlign w:val="bottom"/>
          </w:tcPr>
          <w:p>
            <w:pPr>
              <w:ind w:left="54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655088</w:t>
            </w:r>
          </w:p>
        </w:tc>
        <w:tc>
          <w:tcPr>
            <w:tcW w:w="5620" w:type="dxa"/>
            <w:vAlign w:val="bottom"/>
          </w:tcPr>
          <w:p>
            <w:pPr>
              <w:ind w:left="160"/>
              <w:spacing w:after="0"/>
              <w:rPr>
                <w:sz w:val="20"/>
                <w:szCs w:val="20"/>
                <w:color w:val="auto"/>
              </w:rPr>
            </w:pPr>
            <w:r>
              <w:rPr>
                <w:rFonts w:ascii="Arial" w:cs="Arial" w:eastAsia="Arial" w:hAnsi="Arial"/>
                <w:sz w:val="18"/>
                <w:szCs w:val="18"/>
                <w:color w:val="auto"/>
                <w:w w:val="97"/>
              </w:rPr>
              <w:t>OLIGONUCLEOTIDES HAVING SUBSTANTIALLY CHIRALLY PURE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PHOSPHOROTHIOATE LINKAGES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ISIS-0732</w:t>
            </w:r>
          </w:p>
        </w:tc>
        <w:tc>
          <w:tcPr>
            <w:tcW w:w="1280" w:type="dxa"/>
            <w:vAlign w:val="bottom"/>
          </w:tcPr>
          <w:p>
            <w:pPr>
              <w:ind w:left="540"/>
              <w:spacing w:after="0"/>
              <w:rPr>
                <w:sz w:val="20"/>
                <w:szCs w:val="20"/>
                <w:color w:val="auto"/>
              </w:rPr>
            </w:pPr>
            <w:r>
              <w:rPr>
                <w:rFonts w:ascii="Arial" w:cs="Arial" w:eastAsia="Arial" w:hAnsi="Arial"/>
                <w:sz w:val="18"/>
                <w:szCs w:val="18"/>
                <w:color w:val="auto"/>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655088</w:t>
            </w:r>
          </w:p>
        </w:tc>
        <w:tc>
          <w:tcPr>
            <w:tcW w:w="5620" w:type="dxa"/>
            <w:vAlign w:val="bottom"/>
          </w:tcPr>
          <w:p>
            <w:pPr>
              <w:ind w:left="160"/>
              <w:spacing w:after="0"/>
              <w:rPr>
                <w:sz w:val="20"/>
                <w:szCs w:val="20"/>
                <w:color w:val="auto"/>
              </w:rPr>
            </w:pPr>
            <w:r>
              <w:rPr>
                <w:rFonts w:ascii="Arial" w:cs="Arial" w:eastAsia="Arial" w:hAnsi="Arial"/>
                <w:sz w:val="18"/>
                <w:szCs w:val="18"/>
                <w:color w:val="auto"/>
                <w:w w:val="97"/>
              </w:rPr>
              <w:t>OLIGONUCLEOTIDES HAVING SUBSTANTIALLY CHIRALLY PURE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PHOSPHOROTHIOATE LINKAGES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ISIS-0733</w:t>
            </w:r>
          </w:p>
        </w:tc>
        <w:tc>
          <w:tcPr>
            <w:tcW w:w="1280" w:type="dxa"/>
            <w:vAlign w:val="bottom"/>
          </w:tcPr>
          <w:p>
            <w:pPr>
              <w:ind w:left="520"/>
              <w:spacing w:after="0"/>
              <w:rPr>
                <w:sz w:val="20"/>
                <w:szCs w:val="20"/>
                <w:color w:val="auto"/>
              </w:rPr>
            </w:pPr>
            <w:r>
              <w:rPr>
                <w:rFonts w:ascii="Arial" w:cs="Arial" w:eastAsia="Arial" w:hAnsi="Arial"/>
                <w:sz w:val="18"/>
                <w:szCs w:val="18"/>
                <w:color w:val="auto"/>
              </w:rPr>
              <w:t>GB</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655088</w:t>
            </w:r>
          </w:p>
        </w:tc>
        <w:tc>
          <w:tcPr>
            <w:tcW w:w="5620" w:type="dxa"/>
            <w:vAlign w:val="bottom"/>
          </w:tcPr>
          <w:p>
            <w:pPr>
              <w:ind w:left="160"/>
              <w:spacing w:after="0"/>
              <w:rPr>
                <w:sz w:val="20"/>
                <w:szCs w:val="20"/>
                <w:color w:val="auto"/>
              </w:rPr>
            </w:pPr>
            <w:r>
              <w:rPr>
                <w:rFonts w:ascii="Arial" w:cs="Arial" w:eastAsia="Arial" w:hAnsi="Arial"/>
                <w:sz w:val="18"/>
                <w:szCs w:val="18"/>
                <w:color w:val="auto"/>
                <w:w w:val="97"/>
              </w:rPr>
              <w:t>OLIGONUCLEOTIDES HAVING SUBSTANTIALLY CHIRALLY PURE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PHOSPHOROTHIOATE LINKAGES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ISIS-0734</w:t>
            </w:r>
          </w:p>
        </w:tc>
        <w:tc>
          <w:tcPr>
            <w:tcW w:w="1280" w:type="dxa"/>
            <w:vAlign w:val="bottom"/>
          </w:tcPr>
          <w:p>
            <w:pPr>
              <w:ind w:left="520"/>
              <w:spacing w:after="0"/>
              <w:rPr>
                <w:sz w:val="20"/>
                <w:szCs w:val="20"/>
                <w:color w:val="auto"/>
              </w:rPr>
            </w:pPr>
            <w:r>
              <w:rPr>
                <w:rFonts w:ascii="Arial" w:cs="Arial" w:eastAsia="Arial" w:hAnsi="Arial"/>
                <w:sz w:val="18"/>
                <w:szCs w:val="18"/>
                <w:color w:val="auto"/>
              </w:rPr>
              <w:t>DE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692 32 699.5</w:t>
            </w:r>
          </w:p>
        </w:tc>
        <w:tc>
          <w:tcPr>
            <w:tcW w:w="5620" w:type="dxa"/>
            <w:vAlign w:val="bottom"/>
          </w:tcPr>
          <w:p>
            <w:pPr>
              <w:ind w:left="160"/>
              <w:spacing w:after="0"/>
              <w:rPr>
                <w:sz w:val="20"/>
                <w:szCs w:val="20"/>
                <w:color w:val="auto"/>
              </w:rPr>
            </w:pPr>
            <w:r>
              <w:rPr>
                <w:rFonts w:ascii="Arial" w:cs="Arial" w:eastAsia="Arial" w:hAnsi="Arial"/>
                <w:sz w:val="18"/>
                <w:szCs w:val="18"/>
                <w:color w:val="auto"/>
                <w:w w:val="97"/>
              </w:rPr>
              <w:t>OLIGONUCLEOTIDES HAVING SUBSTANTIALLY CHIRALLY PURE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PHOSPHOROTHIOATE LINKAGES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ISIS-0743</w:t>
            </w:r>
          </w:p>
        </w:tc>
        <w:tc>
          <w:tcPr>
            <w:tcW w:w="1280" w:type="dxa"/>
            <w:vAlign w:val="bottom"/>
          </w:tcPr>
          <w:p>
            <w:pPr>
              <w:ind w:left="520"/>
              <w:spacing w:after="0"/>
              <w:rPr>
                <w:sz w:val="20"/>
                <w:szCs w:val="20"/>
                <w:color w:val="auto"/>
              </w:rPr>
            </w:pPr>
            <w:r>
              <w:rPr>
                <w:rFonts w:ascii="Arial" w:cs="Arial" w:eastAsia="Arial" w:hAnsi="Arial"/>
                <w:sz w:val="18"/>
                <w:szCs w:val="18"/>
                <w:color w:val="auto"/>
              </w:rPr>
              <w:t>CH</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655088</w:t>
            </w:r>
          </w:p>
        </w:tc>
        <w:tc>
          <w:tcPr>
            <w:tcW w:w="5620" w:type="dxa"/>
            <w:vAlign w:val="bottom"/>
          </w:tcPr>
          <w:p>
            <w:pPr>
              <w:ind w:left="160"/>
              <w:spacing w:after="0"/>
              <w:rPr>
                <w:sz w:val="20"/>
                <w:szCs w:val="20"/>
                <w:color w:val="auto"/>
              </w:rPr>
            </w:pPr>
            <w:r>
              <w:rPr>
                <w:rFonts w:ascii="Arial" w:cs="Arial" w:eastAsia="Arial" w:hAnsi="Arial"/>
                <w:sz w:val="18"/>
                <w:szCs w:val="18"/>
                <w:color w:val="auto"/>
                <w:w w:val="97"/>
              </w:rPr>
              <w:t>OLIGONUCLEOTIDES HAVING SUBSTANTIALLY CHIRALLY PURE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PHOSPHOROTHIOATE LINKAGES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GLIS-0142</w:t>
            </w:r>
          </w:p>
        </w:tc>
        <w:tc>
          <w:tcPr>
            <w:tcW w:w="1280" w:type="dxa"/>
            <w:vAlign w:val="bottom"/>
          </w:tcPr>
          <w:p>
            <w:pPr>
              <w:ind w:left="5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6495672</w:t>
            </w: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INCLUDING 2-AMINOPYRIDINE AND 2-</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PYRIDONE C-NUCLEOSIDES UNITS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ISIS-3889</w:t>
            </w:r>
          </w:p>
        </w:tc>
        <w:tc>
          <w:tcPr>
            <w:tcW w:w="1280" w:type="dxa"/>
            <w:vAlign w:val="bottom"/>
          </w:tcPr>
          <w:p>
            <w:pPr>
              <w:ind w:left="5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7"/>
              </w:rPr>
              <w:t>OLIGONUCLEOTIDES INCORPORATING BOTH 2-AMINOADENINE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AND 5-SUBSTITUTED PYRIMIDINES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ISIS-4977</w:t>
            </w:r>
          </w:p>
        </w:tc>
        <w:tc>
          <w:tcPr>
            <w:tcW w:w="1280" w:type="dxa"/>
            <w:vAlign w:val="bottom"/>
          </w:tcPr>
          <w:p>
            <w:pPr>
              <w:ind w:left="54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7"/>
              </w:rPr>
              <w:t>OLIGONUCLEOTIDES INCORPORATING BOTH 2-AMINOADENINE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AND 5-SUBSTITUTED PYRIMIDINES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NVIS-0005</w:t>
            </w:r>
          </w:p>
        </w:tc>
        <w:tc>
          <w:tcPr>
            <w:tcW w:w="1280" w:type="dxa"/>
            <w:vAlign w:val="bottom"/>
          </w:tcPr>
          <w:p>
            <w:pPr>
              <w:ind w:left="540"/>
              <w:spacing w:after="0"/>
              <w:rPr>
                <w:sz w:val="20"/>
                <w:szCs w:val="20"/>
                <w:color w:val="auto"/>
              </w:rPr>
            </w:pPr>
            <w:r>
              <w:rPr>
                <w:rFonts w:ascii="Arial" w:cs="Arial" w:eastAsia="Arial" w:hAnsi="Arial"/>
                <w:sz w:val="18"/>
                <w:szCs w:val="18"/>
                <w:color w:val="auto"/>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586520</w:t>
            </w: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MODIFIED WITH AMIDE BACKBONES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NVIS-0009</w:t>
            </w:r>
          </w:p>
        </w:tc>
        <w:tc>
          <w:tcPr>
            <w:tcW w:w="1280" w:type="dxa"/>
            <w:vAlign w:val="bottom"/>
          </w:tcPr>
          <w:p>
            <w:pPr>
              <w:ind w:left="540"/>
              <w:spacing w:after="0"/>
              <w:rPr>
                <w:sz w:val="20"/>
                <w:szCs w:val="20"/>
                <w:color w:val="auto"/>
              </w:rPr>
            </w:pPr>
            <w:r>
              <w:rPr>
                <w:rFonts w:ascii="Arial" w:cs="Arial" w:eastAsia="Arial" w:hAnsi="Arial"/>
                <w:sz w:val="18"/>
                <w:szCs w:val="18"/>
                <w:color w:val="auto"/>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586520</w:t>
            </w: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MODIFIED WITH AMIDE BACKBONES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NVIS-0010</w:t>
            </w:r>
          </w:p>
        </w:tc>
        <w:tc>
          <w:tcPr>
            <w:tcW w:w="1280" w:type="dxa"/>
            <w:vAlign w:val="bottom"/>
          </w:tcPr>
          <w:p>
            <w:pPr>
              <w:ind w:left="520"/>
              <w:spacing w:after="0"/>
              <w:rPr>
                <w:sz w:val="20"/>
                <w:szCs w:val="20"/>
                <w:color w:val="auto"/>
              </w:rPr>
            </w:pPr>
            <w:r>
              <w:rPr>
                <w:rFonts w:ascii="Arial" w:cs="Arial" w:eastAsia="Arial" w:hAnsi="Arial"/>
                <w:sz w:val="18"/>
                <w:szCs w:val="18"/>
                <w:color w:val="auto"/>
              </w:rPr>
              <w:t>DE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692 30 935.7</w:t>
            </w: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MODIFIED WITH AMIDE BACKBONES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NVIS-0011</w:t>
            </w:r>
          </w:p>
        </w:tc>
        <w:tc>
          <w:tcPr>
            <w:tcW w:w="1280" w:type="dxa"/>
            <w:vAlign w:val="bottom"/>
          </w:tcPr>
          <w:p>
            <w:pPr>
              <w:ind w:left="520"/>
              <w:spacing w:after="0"/>
              <w:rPr>
                <w:sz w:val="20"/>
                <w:szCs w:val="20"/>
                <w:color w:val="auto"/>
              </w:rPr>
            </w:pPr>
            <w:r>
              <w:rPr>
                <w:rFonts w:ascii="Arial" w:cs="Arial" w:eastAsia="Arial" w:hAnsi="Arial"/>
                <w:sz w:val="18"/>
                <w:szCs w:val="18"/>
                <w:color w:val="auto"/>
              </w:rPr>
              <w:t>GB</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586520</w:t>
            </w: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MODIFIED WITH AMIDE BACKBONES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NVIS-0019</w:t>
            </w:r>
          </w:p>
        </w:tc>
        <w:tc>
          <w:tcPr>
            <w:tcW w:w="1280" w:type="dxa"/>
            <w:vAlign w:val="bottom"/>
          </w:tcPr>
          <w:p>
            <w:pPr>
              <w:ind w:left="520"/>
              <w:spacing w:after="0"/>
              <w:rPr>
                <w:sz w:val="20"/>
                <w:szCs w:val="20"/>
                <w:color w:val="auto"/>
              </w:rPr>
            </w:pPr>
            <w:r>
              <w:rPr>
                <w:rFonts w:ascii="Arial" w:cs="Arial" w:eastAsia="Arial" w:hAnsi="Arial"/>
                <w:sz w:val="18"/>
                <w:szCs w:val="18"/>
                <w:color w:val="auto"/>
              </w:rPr>
              <w:t>CH</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586520</w:t>
            </w: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MODIFIED WITH AMIDE BACKBONES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NVIS-0021</w:t>
            </w:r>
          </w:p>
        </w:tc>
        <w:tc>
          <w:tcPr>
            <w:tcW w:w="1280" w:type="dxa"/>
            <w:vAlign w:val="bottom"/>
          </w:tcPr>
          <w:p>
            <w:pPr>
              <w:ind w:left="520"/>
              <w:spacing w:after="0"/>
              <w:rPr>
                <w:sz w:val="20"/>
                <w:szCs w:val="20"/>
                <w:color w:val="auto"/>
              </w:rPr>
            </w:pPr>
            <w:r>
              <w:rPr>
                <w:rFonts w:ascii="Arial" w:cs="Arial" w:eastAsia="Arial" w:hAnsi="Arial"/>
                <w:sz w:val="18"/>
                <w:szCs w:val="18"/>
                <w:color w:val="auto"/>
              </w:rPr>
              <w:t>HU</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221806</w:t>
            </w: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MODIFIED WITH AMIDE BACKBONES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NVIS-0022</w:t>
            </w:r>
          </w:p>
        </w:tc>
        <w:tc>
          <w:tcPr>
            <w:tcW w:w="1280" w:type="dxa"/>
            <w:vAlign w:val="bottom"/>
          </w:tcPr>
          <w:p>
            <w:pPr>
              <w:ind w:left="560"/>
              <w:spacing w:after="0"/>
              <w:rPr>
                <w:sz w:val="20"/>
                <w:szCs w:val="20"/>
                <w:color w:val="auto"/>
              </w:rPr>
            </w:pPr>
            <w:r>
              <w:rPr>
                <w:rFonts w:ascii="Arial" w:cs="Arial" w:eastAsia="Arial" w:hAnsi="Arial"/>
                <w:sz w:val="18"/>
                <w:szCs w:val="18"/>
                <w:color w:val="auto"/>
              </w:rPr>
              <w:t>IE</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MODIFIED WITH AMIDE BACKBONES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ISIS-1669</w:t>
            </w:r>
          </w:p>
        </w:tc>
        <w:tc>
          <w:tcPr>
            <w:tcW w:w="1280" w:type="dxa"/>
            <w:vAlign w:val="bottom"/>
          </w:tcPr>
          <w:p>
            <w:pPr>
              <w:ind w:left="520"/>
              <w:spacing w:after="0"/>
              <w:rPr>
                <w:sz w:val="20"/>
                <w:szCs w:val="20"/>
                <w:color w:val="auto"/>
              </w:rPr>
            </w:pPr>
            <w:r>
              <w:rPr>
                <w:rFonts w:ascii="Arial" w:cs="Arial" w:eastAsia="Arial" w:hAnsi="Arial"/>
                <w:sz w:val="18"/>
                <w:szCs w:val="18"/>
                <w:color w:val="auto"/>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5506212</w:t>
            </w:r>
          </w:p>
        </w:tc>
        <w:tc>
          <w:tcPr>
            <w:tcW w:w="5620" w:type="dxa"/>
            <w:vAlign w:val="bottom"/>
          </w:tcPr>
          <w:p>
            <w:pPr>
              <w:ind w:left="160"/>
              <w:spacing w:after="0"/>
              <w:rPr>
                <w:sz w:val="20"/>
                <w:szCs w:val="20"/>
                <w:color w:val="auto"/>
              </w:rPr>
            </w:pPr>
            <w:r>
              <w:rPr>
                <w:rFonts w:ascii="Arial" w:cs="Arial" w:eastAsia="Arial" w:hAnsi="Arial"/>
                <w:sz w:val="18"/>
                <w:szCs w:val="18"/>
                <w:color w:val="auto"/>
              </w:rPr>
              <w:t>OLIGONUCLEOTIDES WITH SUBSTANTIALLY CHIRALLY PURE</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PHOSPHOROT HIOATE LINKAGES</w:t>
            </w:r>
          </w:p>
        </w:tc>
      </w:tr>
    </w:tbl>
    <w:p>
      <w:pPr>
        <w:sectPr>
          <w:pgSz w:w="11900" w:h="16838" w:orient="portrait"/>
          <w:cols w:equalWidth="0" w:num="1">
            <w:col w:w="11260"/>
          </w:cols>
          <w:pgMar w:left="240" w:top="341" w:right="39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ISIS-0868</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6448373</w:t>
            </w:r>
          </w:p>
        </w:tc>
        <w:tc>
          <w:tcPr>
            <w:tcW w:w="5580" w:type="dxa"/>
            <w:vAlign w:val="bottom"/>
          </w:tcPr>
          <w:p>
            <w:pPr>
              <w:ind w:left="240"/>
              <w:spacing w:after="0"/>
              <w:rPr>
                <w:sz w:val="20"/>
                <w:szCs w:val="20"/>
                <w:color w:val="auto"/>
              </w:rPr>
            </w:pPr>
            <w:r>
              <w:rPr>
                <w:rFonts w:ascii="Arial" w:cs="Arial" w:eastAsia="Arial" w:hAnsi="Arial"/>
                <w:sz w:val="18"/>
                <w:szCs w:val="18"/>
                <w:color w:val="auto"/>
              </w:rPr>
              <w:t>PHOSPHATE LINKED OLIGOMERS FORMED OF MONOMERIC</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DIOLS AND PROCESSES FOR PREPARING SAME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ISIS-1010</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5637684</w:t>
            </w:r>
          </w:p>
        </w:tc>
        <w:tc>
          <w:tcPr>
            <w:tcW w:w="5580" w:type="dxa"/>
            <w:vAlign w:val="bottom"/>
          </w:tcPr>
          <w:p>
            <w:pPr>
              <w:ind w:left="240"/>
              <w:spacing w:after="0"/>
              <w:rPr>
                <w:sz w:val="20"/>
                <w:szCs w:val="20"/>
                <w:color w:val="auto"/>
              </w:rPr>
            </w:pPr>
            <w:r>
              <w:rPr>
                <w:rFonts w:ascii="Arial" w:cs="Arial" w:eastAsia="Arial" w:hAnsi="Arial"/>
                <w:sz w:val="18"/>
                <w:szCs w:val="18"/>
                <w:color w:val="auto"/>
              </w:rPr>
              <w:t>PHOSPHORAMIDATE AND PHOSPHOROTHIOAMIDATE</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OLIGOMERIC COMPOUNDS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ISIS-1935</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2972344</w:t>
            </w:r>
          </w:p>
        </w:tc>
        <w:tc>
          <w:tcPr>
            <w:tcW w:w="5580" w:type="dxa"/>
            <w:vAlign w:val="bottom"/>
          </w:tcPr>
          <w:p>
            <w:pPr>
              <w:ind w:left="240"/>
              <w:spacing w:after="0"/>
              <w:rPr>
                <w:sz w:val="20"/>
                <w:szCs w:val="20"/>
                <w:color w:val="auto"/>
              </w:rPr>
            </w:pPr>
            <w:r>
              <w:rPr>
                <w:rFonts w:ascii="Arial" w:cs="Arial" w:eastAsia="Arial" w:hAnsi="Arial"/>
                <w:sz w:val="18"/>
                <w:szCs w:val="18"/>
                <w:color w:val="auto"/>
              </w:rPr>
              <w:t>PHOSPHORAMIDATE AND PHOSPHOROTHIOAMIDATE</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OLIGOMERIC COMPOUNDS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ISIS-4790</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PHOSPHOROTHIOATE MONOESTER MODIFIED OLIGOMERS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ISIS-5192</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0"/>
              </w:rPr>
              <w:t>WO</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PHOSPHOROTHIOATE MONOESTER MODIFIED OLIGOMERS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ISIS-2953</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6242589</w:t>
            </w:r>
          </w:p>
        </w:tc>
        <w:tc>
          <w:tcPr>
            <w:tcW w:w="5580" w:type="dxa"/>
            <w:vAlign w:val="bottom"/>
          </w:tcPr>
          <w:p>
            <w:pPr>
              <w:ind w:left="240"/>
              <w:spacing w:after="0"/>
              <w:rPr>
                <w:sz w:val="20"/>
                <w:szCs w:val="20"/>
                <w:color w:val="auto"/>
              </w:rPr>
            </w:pPr>
            <w:r>
              <w:rPr>
                <w:rFonts w:ascii="Arial" w:cs="Arial" w:eastAsia="Arial" w:hAnsi="Arial"/>
                <w:sz w:val="18"/>
                <w:szCs w:val="18"/>
                <w:color w:val="auto"/>
                <w:w w:val="96"/>
              </w:rPr>
              <w:t>PHOSPHOROTHIOATE OLIGONUCLEOTIDES HAVING MODIFIED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INTERNUCLEOSIDE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ISIS-4718</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w w:val="96"/>
              </w:rPr>
              <w:t>PHOSPHOROTHIOATE OLIGONUCLEOTIDES HAVING MODIFIED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INTERNUCLEOSIDE LINKAGES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ISIS-5059</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POLYALKYLENEAMINE-CONTAINING OLIGOMERS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GLIS-0019</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5399676</w:t>
            </w:r>
          </w:p>
        </w:tc>
        <w:tc>
          <w:tcPr>
            <w:tcW w:w="5580" w:type="dxa"/>
            <w:vAlign w:val="bottom"/>
          </w:tcPr>
          <w:p>
            <w:pPr>
              <w:ind w:left="240"/>
              <w:spacing w:after="0"/>
              <w:rPr>
                <w:sz w:val="20"/>
                <w:szCs w:val="20"/>
                <w:color w:val="auto"/>
              </w:rPr>
            </w:pPr>
            <w:r>
              <w:rPr>
                <w:rFonts w:ascii="Arial" w:cs="Arial" w:eastAsia="Arial" w:hAnsi="Arial"/>
                <w:sz w:val="18"/>
                <w:szCs w:val="18"/>
                <w:color w:val="auto"/>
              </w:rPr>
              <w:t>PREPARATION OF OLIGONUCLEOTIDES WITH INVERTED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POLARITY AND USES THEREOF</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GLIS-0020</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5527899</w:t>
            </w:r>
          </w:p>
        </w:tc>
        <w:tc>
          <w:tcPr>
            <w:tcW w:w="5580" w:type="dxa"/>
            <w:vAlign w:val="bottom"/>
          </w:tcPr>
          <w:p>
            <w:pPr>
              <w:ind w:left="240"/>
              <w:spacing w:after="0"/>
              <w:rPr>
                <w:sz w:val="20"/>
                <w:szCs w:val="20"/>
                <w:color w:val="auto"/>
              </w:rPr>
            </w:pPr>
            <w:r>
              <w:rPr>
                <w:rFonts w:ascii="Arial" w:cs="Arial" w:eastAsia="Arial" w:hAnsi="Arial"/>
                <w:sz w:val="18"/>
                <w:szCs w:val="18"/>
                <w:color w:val="auto"/>
              </w:rPr>
              <w:t>PREPARATION OF OLIGONUCLEOTIDES WITH INVERTED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POLARITY AND USES THEREOF</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GLIS-0022</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5721218</w:t>
            </w:r>
          </w:p>
        </w:tc>
        <w:tc>
          <w:tcPr>
            <w:tcW w:w="5580" w:type="dxa"/>
            <w:vAlign w:val="bottom"/>
          </w:tcPr>
          <w:p>
            <w:pPr>
              <w:ind w:left="240"/>
              <w:spacing w:after="0"/>
              <w:rPr>
                <w:sz w:val="20"/>
                <w:szCs w:val="20"/>
                <w:color w:val="auto"/>
              </w:rPr>
            </w:pPr>
            <w:r>
              <w:rPr>
                <w:rFonts w:ascii="Arial" w:cs="Arial" w:eastAsia="Arial" w:hAnsi="Arial"/>
                <w:sz w:val="18"/>
                <w:szCs w:val="18"/>
                <w:color w:val="auto"/>
              </w:rPr>
              <w:t>PREPARATION OF OLIGONUCLEOTIDES WITH INVERTED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POLARITY AND USES THEREOF</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GLIS-0024</w:t>
            </w:r>
          </w:p>
        </w:tc>
        <w:tc>
          <w:tcPr>
            <w:tcW w:w="1120" w:type="dxa"/>
            <w:vAlign w:val="bottom"/>
          </w:tcPr>
          <w:p>
            <w:pPr>
              <w:jc w:val="center"/>
              <w:ind w:right="90"/>
              <w:spacing w:after="0"/>
              <w:rPr>
                <w:sz w:val="20"/>
                <w:szCs w:val="20"/>
                <w:color w:val="auto"/>
              </w:rPr>
            </w:pPr>
            <w:r>
              <w:rPr>
                <w:rFonts w:ascii="Arial" w:cs="Arial" w:eastAsia="Arial" w:hAnsi="Arial"/>
                <w:sz w:val="18"/>
                <w:szCs w:val="18"/>
                <w:color w:val="auto"/>
              </w:rPr>
              <w:t>AU</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641219</w:t>
            </w:r>
          </w:p>
        </w:tc>
        <w:tc>
          <w:tcPr>
            <w:tcW w:w="5580" w:type="dxa"/>
            <w:vAlign w:val="bottom"/>
          </w:tcPr>
          <w:p>
            <w:pPr>
              <w:ind w:left="240"/>
              <w:spacing w:after="0"/>
              <w:rPr>
                <w:sz w:val="20"/>
                <w:szCs w:val="20"/>
                <w:color w:val="auto"/>
              </w:rPr>
            </w:pPr>
            <w:r>
              <w:rPr>
                <w:rFonts w:ascii="Arial" w:cs="Arial" w:eastAsia="Arial" w:hAnsi="Arial"/>
                <w:sz w:val="18"/>
                <w:szCs w:val="18"/>
                <w:color w:val="auto"/>
              </w:rPr>
              <w:t>PREPARATION OF OLIGONUCLEOTIDES WITH INVERTED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POLARITY AND USES THEREOF</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GLIS-0026</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PREPARATION OF OLIGONUCLEOTIDES WITH INVERTED</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POLARITY AND USES THEREOF</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ISIS-5139</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PREPARATION OF PHOSPHOROTHIOATE OLIGOMERS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HYBN-199.0US</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6140482</w:t>
            </w:r>
          </w:p>
        </w:tc>
        <w:tc>
          <w:tcPr>
            <w:tcW w:w="5580" w:type="dxa"/>
            <w:vAlign w:val="bottom"/>
          </w:tcPr>
          <w:p>
            <w:pPr>
              <w:ind w:left="240"/>
              <w:spacing w:after="0"/>
              <w:rPr>
                <w:sz w:val="20"/>
                <w:szCs w:val="20"/>
                <w:color w:val="auto"/>
              </w:rPr>
            </w:pPr>
            <w:r>
              <w:rPr>
                <w:rFonts w:ascii="Arial" w:cs="Arial" w:eastAsia="Arial" w:hAnsi="Arial"/>
                <w:sz w:val="18"/>
                <w:szCs w:val="18"/>
                <w:color w:val="auto"/>
                <w:w w:val="99"/>
              </w:rPr>
              <w:t>PRIMARY PHOSPHORAMIDATEINTERNUCLEOSIDE LINKAGES</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AND OLIGONUCLEOTIDES CONTAINING SAME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GLIS-0105</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6005096</w:t>
            </w:r>
          </w:p>
        </w:tc>
        <w:tc>
          <w:tcPr>
            <w:tcW w:w="5580" w:type="dxa"/>
            <w:vAlign w:val="bottom"/>
          </w:tcPr>
          <w:p>
            <w:pPr>
              <w:ind w:left="240"/>
              <w:spacing w:after="0"/>
              <w:rPr>
                <w:sz w:val="20"/>
                <w:szCs w:val="20"/>
                <w:color w:val="auto"/>
              </w:rPr>
            </w:pPr>
            <w:r>
              <w:rPr>
                <w:rFonts w:ascii="Arial" w:cs="Arial" w:eastAsia="Arial" w:hAnsi="Arial"/>
                <w:sz w:val="18"/>
                <w:szCs w:val="18"/>
                <w:color w:val="auto"/>
              </w:rPr>
              <w:t>PYRIMIDINE DERIVATIVES (as amended)</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GLIS-0144</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PYRIMIDINE DERIVATIVES AND OLIGONUCLEOTIDES</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CONTAINING SAME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GLIS-0114</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6028183</w:t>
            </w:r>
          </w:p>
        </w:tc>
        <w:tc>
          <w:tcPr>
            <w:tcW w:w="5580" w:type="dxa"/>
            <w:vAlign w:val="bottom"/>
          </w:tcPr>
          <w:p>
            <w:pPr>
              <w:ind w:left="240"/>
              <w:spacing w:after="0"/>
              <w:rPr>
                <w:sz w:val="20"/>
                <w:szCs w:val="20"/>
                <w:color w:val="auto"/>
              </w:rPr>
            </w:pPr>
            <w:r>
              <w:rPr>
                <w:rFonts w:ascii="Arial" w:cs="Arial" w:eastAsia="Arial" w:hAnsi="Arial"/>
                <w:sz w:val="18"/>
                <w:szCs w:val="18"/>
                <w:color w:val="auto"/>
              </w:rPr>
              <w:t>PYRIMIDINE DERIVATIVES AND OLIGONUCLEOTIDES</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CONTAINING SAME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GLIS-0100</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5502177</w:t>
            </w: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GLIS-0102</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719272</w:t>
            </w: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GLIS-0103</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GLIS-0104</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5763588</w:t>
            </w: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GLIS-0116</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6007992</w:t>
            </w: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GLIS-0127</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6414127</w:t>
            </w: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GLIS-0137</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6617437</w:t>
            </w: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GLIS-0139</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CA</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GLIS-0140</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GLIS-0141</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GLIS-0147</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GLIS-0157</w:t>
            </w:r>
          </w:p>
        </w:tc>
        <w:tc>
          <w:tcPr>
            <w:tcW w:w="1120" w:type="dxa"/>
            <w:vAlign w:val="bottom"/>
          </w:tcPr>
          <w:p>
            <w:pPr>
              <w:jc w:val="center"/>
              <w:ind w:right="90"/>
              <w:spacing w:after="0"/>
              <w:rPr>
                <w:sz w:val="20"/>
                <w:szCs w:val="20"/>
                <w:color w:val="auto"/>
              </w:rPr>
            </w:pPr>
            <w:r>
              <w:rPr>
                <w:rFonts w:ascii="Arial" w:cs="Arial" w:eastAsia="Arial" w:hAnsi="Arial"/>
                <w:sz w:val="18"/>
                <w:szCs w:val="18"/>
                <w:color w:val="auto"/>
                <w:w w:val="91"/>
              </w:rPr>
              <w:t>FR</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719272</w:t>
            </w: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GLIS-0158</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DE</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719272</w:t>
            </w: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GLIS-0159</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2"/>
              </w:rPr>
              <w:t>GB</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719272</w:t>
            </w: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GLIS-0160</w:t>
            </w: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92"/>
              </w:rPr>
              <w:t>CH</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719272</w:t>
            </w:r>
          </w:p>
        </w:tc>
        <w:tc>
          <w:tcPr>
            <w:tcW w:w="5580" w:type="dxa"/>
            <w:vAlign w:val="bottom"/>
          </w:tcPr>
          <w:p>
            <w:pPr>
              <w:ind w:left="240"/>
              <w:spacing w:after="0"/>
              <w:rPr>
                <w:sz w:val="20"/>
                <w:szCs w:val="20"/>
                <w:color w:val="auto"/>
              </w:rPr>
            </w:pPr>
            <w:r>
              <w:rPr>
                <w:rFonts w:ascii="Arial" w:cs="Arial" w:eastAsia="Arial" w:hAnsi="Arial"/>
                <w:sz w:val="18"/>
                <w:szCs w:val="18"/>
                <w:color w:val="auto"/>
                <w:w w:val="98"/>
              </w:rPr>
              <w:t>PYRIMIDINE DERIVATIVES FOR LABELED BINDING PARTNERS</w:t>
            </w:r>
          </w:p>
        </w:tc>
      </w:tr>
    </w:tbl>
    <w:p>
      <w:pPr>
        <w:sectPr>
          <w:pgSz w:w="11900" w:h="16838" w:orient="portrait"/>
          <w:cols w:equalWidth="0" w:num="1">
            <w:col w:w="11140"/>
          </w:cols>
          <w:pgMar w:left="240" w:top="341" w:right="51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ISIS-1325</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6060592</w:t>
            </w:r>
          </w:p>
        </w:tc>
        <w:tc>
          <w:tcPr>
            <w:tcW w:w="5860" w:type="dxa"/>
            <w:vAlign w:val="bottom"/>
          </w:tcPr>
          <w:p>
            <w:pPr>
              <w:ind w:left="240"/>
              <w:spacing w:after="0"/>
              <w:rPr>
                <w:sz w:val="20"/>
                <w:szCs w:val="20"/>
                <w:color w:val="auto"/>
              </w:rPr>
            </w:pPr>
            <w:r>
              <w:rPr>
                <w:rFonts w:ascii="Arial" w:cs="Arial" w:eastAsia="Arial" w:hAnsi="Arial"/>
                <w:sz w:val="18"/>
                <w:szCs w:val="18"/>
                <w:color w:val="auto"/>
                <w:w w:val="97"/>
              </w:rPr>
              <w:t>PYRIMIDINE NUCLEOSIDE COMPOUNDS AND OLIGONUCLEOSIDE</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COMPOUNDS CONTAINING SAME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ISIS-1874</w:t>
            </w:r>
          </w:p>
        </w:tc>
        <w:tc>
          <w:tcPr>
            <w:tcW w:w="1300" w:type="dxa"/>
            <w:vAlign w:val="bottom"/>
          </w:tcPr>
          <w:p>
            <w:pPr>
              <w:ind w:left="540"/>
              <w:spacing w:after="0"/>
              <w:rPr>
                <w:sz w:val="20"/>
                <w:szCs w:val="20"/>
                <w:color w:val="auto"/>
              </w:rPr>
            </w:pPr>
            <w:r>
              <w:rPr>
                <w:rFonts w:ascii="Arial" w:cs="Arial" w:eastAsia="Arial" w:hAnsi="Arial"/>
                <w:sz w:val="18"/>
                <w:szCs w:val="18"/>
                <w:color w:val="auto"/>
              </w:rPr>
              <w:t>CA</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2180978</w:t>
            </w:r>
          </w:p>
        </w:tc>
        <w:tc>
          <w:tcPr>
            <w:tcW w:w="5860" w:type="dxa"/>
            <w:vAlign w:val="bottom"/>
          </w:tcPr>
          <w:p>
            <w:pPr>
              <w:ind w:left="240"/>
              <w:spacing w:after="0"/>
              <w:rPr>
                <w:sz w:val="20"/>
                <w:szCs w:val="20"/>
                <w:color w:val="auto"/>
              </w:rPr>
            </w:pPr>
            <w:r>
              <w:rPr>
                <w:rFonts w:ascii="Arial" w:cs="Arial" w:eastAsia="Arial" w:hAnsi="Arial"/>
                <w:sz w:val="18"/>
                <w:szCs w:val="18"/>
                <w:color w:val="auto"/>
              </w:rPr>
              <w:t>PYRROLIDINE-CONTAINING MONOMERS AND OLIGOMERS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ISIS-3147</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6271358</w:t>
            </w:r>
          </w:p>
        </w:tc>
        <w:tc>
          <w:tcPr>
            <w:tcW w:w="5860" w:type="dxa"/>
            <w:vAlign w:val="bottom"/>
          </w:tcPr>
          <w:p>
            <w:pPr>
              <w:ind w:left="240"/>
              <w:spacing w:after="0"/>
              <w:rPr>
                <w:sz w:val="20"/>
                <w:szCs w:val="20"/>
                <w:color w:val="auto"/>
              </w:rPr>
            </w:pPr>
            <w:r>
              <w:rPr>
                <w:rFonts w:ascii="Arial" w:cs="Arial" w:eastAsia="Arial" w:hAnsi="Arial"/>
                <w:sz w:val="18"/>
                <w:szCs w:val="18"/>
                <w:color w:val="auto"/>
              </w:rPr>
              <w:t>RNA-TARGETED 2’MODIFIED OLIGONUCLEOTIDES THAT ARE</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CONFORMATIONALLY PREORGANIZED</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ISIS-3972</w:t>
            </w:r>
          </w:p>
        </w:tc>
        <w:tc>
          <w:tcPr>
            <w:tcW w:w="1300" w:type="dxa"/>
            <w:vAlign w:val="bottom"/>
          </w:tcPr>
          <w:p>
            <w:pPr>
              <w:ind w:left="560"/>
              <w:spacing w:after="0"/>
              <w:rPr>
                <w:sz w:val="20"/>
                <w:szCs w:val="20"/>
                <w:color w:val="auto"/>
              </w:rPr>
            </w:pPr>
            <w:r>
              <w:rPr>
                <w:rFonts w:ascii="Arial" w:cs="Arial" w:eastAsia="Arial" w:hAnsi="Arial"/>
                <w:sz w:val="18"/>
                <w:szCs w:val="18"/>
                <w:color w:val="auto"/>
              </w:rPr>
              <w:t>EP</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RNA-TARGETED 2’MODIFIED OLIGONUCLEOTIDES THAT ARE</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CONFORMATIONALLY PREORGANIZED</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ISIS-0460</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5681941</w:t>
            </w:r>
          </w:p>
        </w:tc>
        <w:tc>
          <w:tcPr>
            <w:tcW w:w="5860" w:type="dxa"/>
            <w:vAlign w:val="bottom"/>
          </w:tcPr>
          <w:p>
            <w:pPr>
              <w:ind w:left="240"/>
              <w:spacing w:after="0"/>
              <w:rPr>
                <w:sz w:val="20"/>
                <w:szCs w:val="20"/>
                <w:color w:val="auto"/>
              </w:rPr>
            </w:pPr>
            <w:r>
              <w:rPr>
                <w:rFonts w:ascii="Arial" w:cs="Arial" w:eastAsia="Arial" w:hAnsi="Arial"/>
                <w:sz w:val="18"/>
                <w:szCs w:val="18"/>
                <w:color w:val="auto"/>
                <w:w w:val="96"/>
              </w:rPr>
              <w:t>SUBSTITUTED PURINES AND OLIGONUCLEOTIDE CROSS-LINKING</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ISIS-1897</w:t>
            </w:r>
          </w:p>
        </w:tc>
        <w:tc>
          <w:tcPr>
            <w:tcW w:w="1300" w:type="dxa"/>
            <w:vAlign w:val="bottom"/>
          </w:tcPr>
          <w:p>
            <w:pPr>
              <w:ind w:left="560"/>
              <w:spacing w:after="0"/>
              <w:rPr>
                <w:sz w:val="20"/>
                <w:szCs w:val="20"/>
                <w:color w:val="auto"/>
              </w:rPr>
            </w:pPr>
            <w:r>
              <w:rPr>
                <w:rFonts w:ascii="Arial" w:cs="Arial" w:eastAsia="Arial" w:hAnsi="Arial"/>
                <w:sz w:val="18"/>
                <w:szCs w:val="18"/>
                <w:color w:val="auto"/>
              </w:rPr>
              <w:t>EP</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w w:val="96"/>
              </w:rPr>
              <w:t>SUBSTITUTED PURINES AND OLIGONUCLEOTIDE CROSS-LINKING</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ISIS-2536</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5811534</w:t>
            </w:r>
          </w:p>
        </w:tc>
        <w:tc>
          <w:tcPr>
            <w:tcW w:w="5860" w:type="dxa"/>
            <w:vAlign w:val="bottom"/>
          </w:tcPr>
          <w:p>
            <w:pPr>
              <w:ind w:left="240"/>
              <w:spacing w:after="0"/>
              <w:rPr>
                <w:sz w:val="20"/>
                <w:szCs w:val="20"/>
                <w:color w:val="auto"/>
              </w:rPr>
            </w:pPr>
            <w:r>
              <w:rPr>
                <w:rFonts w:ascii="Arial" w:cs="Arial" w:eastAsia="Arial" w:hAnsi="Arial"/>
                <w:sz w:val="18"/>
                <w:szCs w:val="18"/>
                <w:color w:val="auto"/>
                <w:w w:val="96"/>
              </w:rPr>
              <w:t>SUBSTITUTED PURINES AND OLIGONUCLEOTIDE CROSS-LINKING</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ISIS-3152</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6232463</w:t>
            </w:r>
          </w:p>
        </w:tc>
        <w:tc>
          <w:tcPr>
            <w:tcW w:w="5860" w:type="dxa"/>
            <w:vAlign w:val="bottom"/>
          </w:tcPr>
          <w:p>
            <w:pPr>
              <w:ind w:left="240"/>
              <w:spacing w:after="0"/>
              <w:rPr>
                <w:sz w:val="20"/>
                <w:szCs w:val="20"/>
                <w:color w:val="auto"/>
              </w:rPr>
            </w:pPr>
            <w:r>
              <w:rPr>
                <w:rFonts w:ascii="Arial" w:cs="Arial" w:eastAsia="Arial" w:hAnsi="Arial"/>
                <w:sz w:val="18"/>
                <w:szCs w:val="18"/>
                <w:color w:val="auto"/>
                <w:w w:val="96"/>
              </w:rPr>
              <w:t>SUBSTITUTED PURINES AND OLIGONUCLEOTIDE CROSS-LINKING</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ISIS-4943</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SUGAR MODIFIED 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ISIS-3154</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6399754</w:t>
            </w:r>
          </w:p>
        </w:tc>
        <w:tc>
          <w:tcPr>
            <w:tcW w:w="5860" w:type="dxa"/>
            <w:vAlign w:val="bottom"/>
          </w:tcPr>
          <w:p>
            <w:pPr>
              <w:ind w:left="240"/>
              <w:spacing w:after="0"/>
              <w:rPr>
                <w:sz w:val="20"/>
                <w:szCs w:val="20"/>
                <w:color w:val="auto"/>
              </w:rPr>
            </w:pPr>
            <w:r>
              <w:rPr>
                <w:rFonts w:ascii="Arial" w:cs="Arial" w:eastAsia="Arial" w:hAnsi="Arial"/>
                <w:sz w:val="18"/>
                <w:szCs w:val="18"/>
                <w:color w:val="auto"/>
              </w:rPr>
              <w:t>SUGAR MODIFIED OLIGONUCLEOTIDES (as amended)</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ISIS-0385</w:t>
            </w:r>
          </w:p>
        </w:tc>
        <w:tc>
          <w:tcPr>
            <w:tcW w:w="1300" w:type="dxa"/>
            <w:vAlign w:val="bottom"/>
          </w:tcPr>
          <w:p>
            <w:pPr>
              <w:ind w:left="540"/>
              <w:spacing w:after="0"/>
              <w:rPr>
                <w:sz w:val="20"/>
                <w:szCs w:val="20"/>
                <w:color w:val="auto"/>
              </w:rPr>
            </w:pPr>
            <w:r>
              <w:rPr>
                <w:rFonts w:ascii="Arial" w:cs="Arial" w:eastAsia="Arial" w:hAnsi="Arial"/>
                <w:sz w:val="18"/>
                <w:szCs w:val="18"/>
                <w:color w:val="auto"/>
              </w:rPr>
              <w:t>AU</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661662</w:t>
            </w:r>
          </w:p>
        </w:tc>
        <w:tc>
          <w:tcPr>
            <w:tcW w:w="5860" w:type="dxa"/>
            <w:vAlign w:val="bottom"/>
          </w:tcPr>
          <w:p>
            <w:pPr>
              <w:ind w:left="240"/>
              <w:spacing w:after="0"/>
              <w:rPr>
                <w:sz w:val="20"/>
                <w:szCs w:val="20"/>
                <w:color w:val="auto"/>
              </w:rPr>
            </w:pPr>
            <w:r>
              <w:rPr>
                <w:rFonts w:ascii="Arial" w:cs="Arial" w:eastAsia="Arial" w:hAnsi="Arial"/>
                <w:sz w:val="18"/>
                <w:szCs w:val="18"/>
                <w:color w:val="auto"/>
              </w:rPr>
              <w:t>SUGAR MODIFIED OLIGONUCLEOTIDES THAT DETECT &amp;</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MODULATE GENE 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ISIS-0404</w:t>
            </w:r>
          </w:p>
        </w:tc>
        <w:tc>
          <w:tcPr>
            <w:tcW w:w="1300" w:type="dxa"/>
            <w:vAlign w:val="bottom"/>
          </w:tcPr>
          <w:p>
            <w:pPr>
              <w:ind w:left="580"/>
              <w:spacing w:after="0"/>
              <w:rPr>
                <w:sz w:val="20"/>
                <w:szCs w:val="20"/>
                <w:color w:val="auto"/>
              </w:rPr>
            </w:pPr>
            <w:r>
              <w:rPr>
                <w:rFonts w:ascii="Arial" w:cs="Arial" w:eastAsia="Arial" w:hAnsi="Arial"/>
                <w:sz w:val="18"/>
                <w:szCs w:val="18"/>
                <w:color w:val="auto"/>
              </w:rPr>
              <w:t>JP</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2104052</w:t>
            </w:r>
          </w:p>
        </w:tc>
        <w:tc>
          <w:tcPr>
            <w:tcW w:w="5860" w:type="dxa"/>
            <w:vAlign w:val="bottom"/>
          </w:tcPr>
          <w:p>
            <w:pPr>
              <w:ind w:left="240"/>
              <w:spacing w:after="0"/>
              <w:rPr>
                <w:sz w:val="20"/>
                <w:szCs w:val="20"/>
                <w:color w:val="auto"/>
              </w:rPr>
            </w:pPr>
            <w:r>
              <w:rPr>
                <w:rFonts w:ascii="Arial" w:cs="Arial" w:eastAsia="Arial" w:hAnsi="Arial"/>
                <w:sz w:val="18"/>
                <w:szCs w:val="18"/>
                <w:color w:val="auto"/>
              </w:rPr>
              <w:t>SUGAR MODIFIED OLIGONUCLEOTIDES THAT DETECT &amp;</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MODULATE GENE 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ISIS-0407</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5670633</w:t>
            </w:r>
          </w:p>
        </w:tc>
        <w:tc>
          <w:tcPr>
            <w:tcW w:w="5860" w:type="dxa"/>
            <w:vAlign w:val="bottom"/>
          </w:tcPr>
          <w:p>
            <w:pPr>
              <w:ind w:left="240"/>
              <w:spacing w:after="0"/>
              <w:rPr>
                <w:sz w:val="20"/>
                <w:szCs w:val="20"/>
                <w:color w:val="auto"/>
              </w:rPr>
            </w:pPr>
            <w:r>
              <w:rPr>
                <w:rFonts w:ascii="Arial" w:cs="Arial" w:eastAsia="Arial" w:hAnsi="Arial"/>
                <w:sz w:val="18"/>
                <w:szCs w:val="18"/>
                <w:color w:val="auto"/>
              </w:rPr>
              <w:t>SUGAR MODIFIED OLIGONUCLEOTIDES THAT DETECT &amp;</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MODULATE GENE 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ISIS-2042</w:t>
            </w:r>
          </w:p>
        </w:tc>
        <w:tc>
          <w:tcPr>
            <w:tcW w:w="1300" w:type="dxa"/>
            <w:vAlign w:val="bottom"/>
          </w:tcPr>
          <w:p>
            <w:pPr>
              <w:ind w:left="580"/>
              <w:spacing w:after="0"/>
              <w:rPr>
                <w:sz w:val="20"/>
                <w:szCs w:val="20"/>
                <w:color w:val="auto"/>
              </w:rPr>
            </w:pPr>
            <w:r>
              <w:rPr>
                <w:rFonts w:ascii="Arial" w:cs="Arial" w:eastAsia="Arial" w:hAnsi="Arial"/>
                <w:sz w:val="18"/>
                <w:szCs w:val="18"/>
                <w:color w:val="auto"/>
              </w:rPr>
              <w:t>JP</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SUGAR MODIFIED OLIGONUCLEOTIDES THAT DETECT &amp;</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MODULATE GENE 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ISIS-0387</w:t>
            </w:r>
          </w:p>
        </w:tc>
        <w:tc>
          <w:tcPr>
            <w:tcW w:w="1300" w:type="dxa"/>
            <w:vAlign w:val="bottom"/>
          </w:tcPr>
          <w:p>
            <w:pPr>
              <w:ind w:left="540"/>
              <w:spacing w:after="0"/>
              <w:rPr>
                <w:sz w:val="20"/>
                <w:szCs w:val="20"/>
                <w:color w:val="auto"/>
              </w:rPr>
            </w:pPr>
            <w:r>
              <w:rPr>
                <w:rFonts w:ascii="Arial" w:cs="Arial" w:eastAsia="Arial" w:hAnsi="Arial"/>
                <w:sz w:val="18"/>
                <w:szCs w:val="18"/>
                <w:color w:val="auto"/>
              </w:rPr>
              <w:t>CA</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SUGAR MODIFIED OLIGONUCLEOTIDES THAT DETECT AND</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MODULATE GEN E 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ISIS-0388</w:t>
            </w:r>
          </w:p>
        </w:tc>
        <w:tc>
          <w:tcPr>
            <w:tcW w:w="1300" w:type="dxa"/>
            <w:vAlign w:val="bottom"/>
          </w:tcPr>
          <w:p>
            <w:pPr>
              <w:ind w:left="560"/>
              <w:spacing w:after="0"/>
              <w:rPr>
                <w:sz w:val="20"/>
                <w:szCs w:val="20"/>
                <w:color w:val="auto"/>
              </w:rPr>
            </w:pPr>
            <w:r>
              <w:rPr>
                <w:rFonts w:ascii="Arial" w:cs="Arial" w:eastAsia="Arial" w:hAnsi="Arial"/>
                <w:sz w:val="18"/>
                <w:szCs w:val="18"/>
                <w:color w:val="auto"/>
              </w:rPr>
              <w:t>EP</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SUGAR MODIFIED OLIGONUCLEOTIDES THAT DETECT AND</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MODULATE GENE 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ISIS-2708</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6307040</w:t>
            </w:r>
          </w:p>
        </w:tc>
        <w:tc>
          <w:tcPr>
            <w:tcW w:w="5860" w:type="dxa"/>
            <w:vAlign w:val="bottom"/>
          </w:tcPr>
          <w:p>
            <w:pPr>
              <w:ind w:left="240"/>
              <w:spacing w:after="0"/>
              <w:rPr>
                <w:sz w:val="20"/>
                <w:szCs w:val="20"/>
                <w:color w:val="auto"/>
              </w:rPr>
            </w:pPr>
            <w:r>
              <w:rPr>
                <w:rFonts w:ascii="Arial" w:cs="Arial" w:eastAsia="Arial" w:hAnsi="Arial"/>
                <w:sz w:val="18"/>
                <w:szCs w:val="18"/>
                <w:color w:val="auto"/>
              </w:rPr>
              <w:t>SUGAR MODIFIED OLIGONUCLEOTIDES THAT DETECT AND</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MODULATE GENE 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ISIS-4789</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SUGAR MODIFIED OLIGONUCLEOTIDES THAT DETECT AND</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MODULATE GENE EXPRESSION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ISIS-5207</w:t>
            </w: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SUGAR SURROGATE-CONTAINING OLIGOMERIC COMPOUNDS</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AND COMPOSITIONS FOR USE IN GENE MODULATION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ISIS-3454</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6093807</w:t>
            </w:r>
          </w:p>
        </w:tc>
        <w:tc>
          <w:tcPr>
            <w:tcW w:w="5860" w:type="dxa"/>
            <w:vAlign w:val="bottom"/>
          </w:tcPr>
          <w:p>
            <w:pPr>
              <w:ind w:left="240"/>
              <w:spacing w:after="0"/>
              <w:rPr>
                <w:sz w:val="20"/>
                <w:szCs w:val="20"/>
                <w:color w:val="auto"/>
              </w:rPr>
            </w:pPr>
            <w:r>
              <w:rPr>
                <w:rFonts w:ascii="Arial" w:cs="Arial" w:eastAsia="Arial" w:hAnsi="Arial"/>
                <w:sz w:val="18"/>
                <w:szCs w:val="18"/>
                <w:color w:val="auto"/>
              </w:rPr>
              <w:t>SUGAR-MODIFIED 7 - DEAZA 7 - SUBSTITUTED</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ISIS-3683</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SYNTHETIC METHODS AND INTERMEDIATES FOR TRIESTER</w:t>
            </w:r>
          </w:p>
        </w:tc>
      </w:tr>
      <w:tr>
        <w:trPr>
          <w:trHeight w:val="216"/>
        </w:trPr>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OLIGONUCLEOTIDES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ISIS-3103</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6300319</w:t>
            </w:r>
          </w:p>
        </w:tc>
        <w:tc>
          <w:tcPr>
            <w:tcW w:w="5860" w:type="dxa"/>
            <w:vAlign w:val="bottom"/>
          </w:tcPr>
          <w:p>
            <w:pPr>
              <w:ind w:left="240"/>
              <w:spacing w:after="0"/>
              <w:rPr>
                <w:sz w:val="20"/>
                <w:szCs w:val="20"/>
                <w:color w:val="auto"/>
              </w:rPr>
            </w:pPr>
            <w:r>
              <w:rPr>
                <w:rFonts w:ascii="Arial" w:cs="Arial" w:eastAsia="Arial" w:hAnsi="Arial"/>
                <w:sz w:val="18"/>
                <w:szCs w:val="18"/>
                <w:color w:val="auto"/>
              </w:rPr>
              <w:t>TARGETED OLIGONUCLEOTIDE CONJUGATES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ISIS-4799</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6525031</w:t>
            </w:r>
          </w:p>
        </w:tc>
        <w:tc>
          <w:tcPr>
            <w:tcW w:w="5860" w:type="dxa"/>
            <w:vAlign w:val="bottom"/>
          </w:tcPr>
          <w:p>
            <w:pPr>
              <w:ind w:left="240"/>
              <w:spacing w:after="0"/>
              <w:rPr>
                <w:sz w:val="20"/>
                <w:szCs w:val="20"/>
                <w:color w:val="auto"/>
              </w:rPr>
            </w:pPr>
            <w:r>
              <w:rPr>
                <w:rFonts w:ascii="Arial" w:cs="Arial" w:eastAsia="Arial" w:hAnsi="Arial"/>
                <w:sz w:val="18"/>
                <w:szCs w:val="18"/>
                <w:color w:val="auto"/>
              </w:rPr>
              <w:t>TARGETED OLIGONUCLEOTIDE CONJUGATES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ISIS-5092</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6660720</w:t>
            </w:r>
          </w:p>
        </w:tc>
        <w:tc>
          <w:tcPr>
            <w:tcW w:w="5860" w:type="dxa"/>
            <w:vAlign w:val="bottom"/>
          </w:tcPr>
          <w:p>
            <w:pPr>
              <w:ind w:left="240"/>
              <w:spacing w:after="0"/>
              <w:rPr>
                <w:sz w:val="20"/>
                <w:szCs w:val="20"/>
                <w:color w:val="auto"/>
              </w:rPr>
            </w:pPr>
            <w:r>
              <w:rPr>
                <w:rFonts w:ascii="Arial" w:cs="Arial" w:eastAsia="Arial" w:hAnsi="Arial"/>
                <w:sz w:val="18"/>
                <w:szCs w:val="18"/>
                <w:color w:val="auto"/>
              </w:rPr>
              <w:t>TARGETED OLIGONUCLEOTIDE CONJUGATES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ISIS-0784</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5578718</w:t>
            </w:r>
          </w:p>
        </w:tc>
        <w:tc>
          <w:tcPr>
            <w:tcW w:w="5860" w:type="dxa"/>
            <w:vAlign w:val="bottom"/>
          </w:tcPr>
          <w:p>
            <w:pPr>
              <w:ind w:left="240"/>
              <w:spacing w:after="0"/>
              <w:rPr>
                <w:sz w:val="20"/>
                <w:szCs w:val="20"/>
                <w:color w:val="auto"/>
              </w:rPr>
            </w:pPr>
            <w:r>
              <w:rPr>
                <w:rFonts w:ascii="Arial" w:cs="Arial" w:eastAsia="Arial" w:hAnsi="Arial"/>
                <w:sz w:val="18"/>
                <w:szCs w:val="18"/>
                <w:color w:val="auto"/>
              </w:rPr>
              <w:t>THIOL-DERIVATIZED NUCLEOSIDE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ISIS-1673</w:t>
            </w:r>
          </w:p>
        </w:tc>
        <w:tc>
          <w:tcPr>
            <w:tcW w:w="1300" w:type="dxa"/>
            <w:vAlign w:val="bottom"/>
          </w:tcPr>
          <w:p>
            <w:pPr>
              <w:ind w:left="560"/>
              <w:spacing w:after="0"/>
              <w:rPr>
                <w:sz w:val="20"/>
                <w:szCs w:val="20"/>
                <w:color w:val="auto"/>
              </w:rPr>
            </w:pPr>
            <w:r>
              <w:rPr>
                <w:rFonts w:ascii="Arial" w:cs="Arial" w:eastAsia="Arial" w:hAnsi="Arial"/>
                <w:sz w:val="18"/>
                <w:szCs w:val="18"/>
                <w:color w:val="auto"/>
              </w:rPr>
              <w:t>EP</w:t>
            </w:r>
          </w:p>
        </w:tc>
        <w:tc>
          <w:tcPr>
            <w:tcW w:w="1580" w:type="dxa"/>
            <w:vAlign w:val="bottom"/>
          </w:tcPr>
          <w:p>
            <w:pPr>
              <w:ind w:left="52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THIOL-DERIVATIZED NUCLEOSIDES AND OLIGONUCLEOSIDES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ISIS-1690</w:t>
            </w:r>
          </w:p>
        </w:tc>
        <w:tc>
          <w:tcPr>
            <w:tcW w:w="1300" w:type="dxa"/>
            <w:vAlign w:val="bottom"/>
          </w:tcPr>
          <w:p>
            <w:pPr>
              <w:ind w:left="580"/>
              <w:spacing w:after="0"/>
              <w:rPr>
                <w:sz w:val="20"/>
                <w:szCs w:val="20"/>
                <w:color w:val="auto"/>
              </w:rPr>
            </w:pPr>
            <w:r>
              <w:rPr>
                <w:rFonts w:ascii="Arial" w:cs="Arial" w:eastAsia="Arial" w:hAnsi="Arial"/>
                <w:sz w:val="18"/>
                <w:szCs w:val="18"/>
                <w:color w:val="auto"/>
              </w:rPr>
              <w:t>JP</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3256236</w:t>
            </w:r>
          </w:p>
        </w:tc>
        <w:tc>
          <w:tcPr>
            <w:tcW w:w="5860" w:type="dxa"/>
            <w:vAlign w:val="bottom"/>
          </w:tcPr>
          <w:p>
            <w:pPr>
              <w:ind w:left="240"/>
              <w:spacing w:after="0"/>
              <w:rPr>
                <w:sz w:val="20"/>
                <w:szCs w:val="20"/>
                <w:color w:val="auto"/>
              </w:rPr>
            </w:pPr>
            <w:r>
              <w:rPr>
                <w:rFonts w:ascii="Arial" w:cs="Arial" w:eastAsia="Arial" w:hAnsi="Arial"/>
                <w:sz w:val="18"/>
                <w:szCs w:val="18"/>
                <w:color w:val="auto"/>
              </w:rPr>
              <w:t>THIOL-DERIVATIZED NUCLEOSIDES AND OLIGONUCLEOSIDES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ISIS-4100</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6265558</w:t>
            </w:r>
          </w:p>
        </w:tc>
        <w:tc>
          <w:tcPr>
            <w:tcW w:w="5860" w:type="dxa"/>
            <w:vAlign w:val="bottom"/>
          </w:tcPr>
          <w:p>
            <w:pPr>
              <w:ind w:left="240"/>
              <w:spacing w:after="0"/>
              <w:rPr>
                <w:sz w:val="20"/>
                <w:szCs w:val="20"/>
                <w:color w:val="auto"/>
              </w:rPr>
            </w:pPr>
            <w:r>
              <w:rPr>
                <w:rFonts w:ascii="Arial" w:cs="Arial" w:eastAsia="Arial" w:hAnsi="Arial"/>
                <w:sz w:val="18"/>
                <w:szCs w:val="18"/>
                <w:color w:val="auto"/>
              </w:rPr>
              <w:t>THIOL-DERIVATIZED NUCLEOSIDES AND OLIGONUCLEOSIDES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ISIS-1992</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5852182</w:t>
            </w:r>
          </w:p>
        </w:tc>
        <w:tc>
          <w:tcPr>
            <w:tcW w:w="5860" w:type="dxa"/>
            <w:vAlign w:val="bottom"/>
          </w:tcPr>
          <w:p>
            <w:pPr>
              <w:ind w:left="240"/>
              <w:spacing w:after="0"/>
              <w:rPr>
                <w:sz w:val="20"/>
                <w:szCs w:val="20"/>
                <w:color w:val="auto"/>
              </w:rPr>
            </w:pPr>
            <w:r>
              <w:rPr>
                <w:rFonts w:ascii="Arial" w:cs="Arial" w:eastAsia="Arial" w:hAnsi="Arial"/>
                <w:sz w:val="18"/>
                <w:szCs w:val="18"/>
                <w:color w:val="auto"/>
              </w:rPr>
              <w:t>THIOL-DERIVATIZED OLIGONUCLEOSIDES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ISIS-2661</w:t>
            </w:r>
          </w:p>
        </w:tc>
        <w:tc>
          <w:tcPr>
            <w:tcW w:w="1300" w:type="dxa"/>
            <w:vAlign w:val="bottom"/>
          </w:tcPr>
          <w:p>
            <w:pPr>
              <w:ind w:left="540"/>
              <w:spacing w:after="0"/>
              <w:rPr>
                <w:sz w:val="20"/>
                <w:szCs w:val="20"/>
                <w:color w:val="auto"/>
              </w:rPr>
            </w:pPr>
            <w:r>
              <w:rPr>
                <w:rFonts w:ascii="Arial" w:cs="Arial" w:eastAsia="Arial" w:hAnsi="Arial"/>
                <w:sz w:val="18"/>
                <w:szCs w:val="18"/>
                <w:color w:val="auto"/>
              </w:rPr>
              <w:t>US</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6114513</w:t>
            </w:r>
          </w:p>
        </w:tc>
        <w:tc>
          <w:tcPr>
            <w:tcW w:w="5860" w:type="dxa"/>
            <w:vAlign w:val="bottom"/>
          </w:tcPr>
          <w:p>
            <w:pPr>
              <w:ind w:left="240"/>
              <w:spacing w:after="0"/>
              <w:rPr>
                <w:sz w:val="20"/>
                <w:szCs w:val="20"/>
                <w:color w:val="auto"/>
              </w:rPr>
            </w:pPr>
            <w:r>
              <w:rPr>
                <w:rFonts w:ascii="Arial" w:cs="Arial" w:eastAsia="Arial" w:hAnsi="Arial"/>
                <w:sz w:val="18"/>
                <w:szCs w:val="18"/>
                <w:color w:val="auto"/>
              </w:rPr>
              <w:t>THIOL-DERIVATIZED OLIGONUCLEOSIDES</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GLIS-0025</w:t>
            </w:r>
          </w:p>
        </w:tc>
        <w:tc>
          <w:tcPr>
            <w:tcW w:w="1300" w:type="dxa"/>
            <w:vAlign w:val="bottom"/>
          </w:tcPr>
          <w:p>
            <w:pPr>
              <w:ind w:left="540"/>
              <w:spacing w:after="0"/>
              <w:rPr>
                <w:sz w:val="20"/>
                <w:szCs w:val="20"/>
                <w:color w:val="auto"/>
              </w:rPr>
            </w:pPr>
            <w:r>
              <w:rPr>
                <w:rFonts w:ascii="Arial" w:cs="Arial" w:eastAsia="Arial" w:hAnsi="Arial"/>
                <w:sz w:val="18"/>
                <w:szCs w:val="18"/>
                <w:color w:val="auto"/>
              </w:rPr>
              <w:t>CA</w:t>
            </w:r>
          </w:p>
        </w:tc>
        <w:tc>
          <w:tcPr>
            <w:tcW w:w="1580" w:type="dxa"/>
            <w:vAlign w:val="bottom"/>
          </w:tcPr>
          <w:p>
            <w:pPr>
              <w:ind w:left="5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2071536</w:t>
            </w:r>
          </w:p>
        </w:tc>
        <w:tc>
          <w:tcPr>
            <w:tcW w:w="5860" w:type="dxa"/>
            <w:vAlign w:val="bottom"/>
          </w:tcPr>
          <w:p>
            <w:pPr>
              <w:ind w:left="240"/>
              <w:spacing w:after="0"/>
              <w:rPr>
                <w:sz w:val="20"/>
                <w:szCs w:val="20"/>
                <w:color w:val="auto"/>
              </w:rPr>
            </w:pPr>
            <w:r>
              <w:rPr>
                <w:rFonts w:ascii="Arial" w:cs="Arial" w:eastAsia="Arial" w:hAnsi="Arial"/>
                <w:sz w:val="18"/>
                <w:szCs w:val="18"/>
                <w:color w:val="auto"/>
              </w:rPr>
              <w:t>TRIPLE HELIX FORMATION IN OLIGONUCLEOTIDE THERAPY</w:t>
            </w:r>
          </w:p>
        </w:tc>
      </w:tr>
    </w:tbl>
    <w:p>
      <w:pPr>
        <w:sectPr>
          <w:pgSz w:w="11900" w:h="16838" w:orient="portrait"/>
          <w:cols w:equalWidth="0" w:num="1">
            <w:col w:w="11420"/>
          </w:cols>
          <w:pgMar w:left="240" w:top="341"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HYBN-151.0US</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1"/>
              </w:rPr>
              <w:t>5693773</w:t>
            </w:r>
          </w:p>
        </w:tc>
        <w:tc>
          <w:tcPr>
            <w:tcW w:w="5480" w:type="dxa"/>
            <w:vAlign w:val="bottom"/>
          </w:tcPr>
          <w:p>
            <w:pPr>
              <w:ind w:left="200"/>
              <w:spacing w:after="0"/>
              <w:rPr>
                <w:sz w:val="20"/>
                <w:szCs w:val="20"/>
                <w:color w:val="auto"/>
              </w:rPr>
            </w:pPr>
            <w:r>
              <w:rPr>
                <w:rFonts w:ascii="Arial" w:cs="Arial" w:eastAsia="Arial" w:hAnsi="Arial"/>
                <w:sz w:val="18"/>
                <w:szCs w:val="18"/>
                <w:color w:val="auto"/>
                <w:w w:val="97"/>
              </w:rPr>
              <w:t>TRIPLEX-FORMING ANTISENSE OLIGONUCLEOTIDES HAVING</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w w:val="96"/>
              </w:rPr>
              <w:t>ABASIC LINKERS THAT TARGET NUCLEIC ACIDS COMPRISING</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MIXED SEQUENCES OF PURINES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ISIS-1163</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420"/>
              <w:spacing w:after="0"/>
              <w:rPr>
                <w:sz w:val="20"/>
                <w:szCs w:val="20"/>
                <w:color w:val="auto"/>
              </w:rPr>
            </w:pPr>
            <w:r>
              <w:rPr>
                <w:rFonts w:ascii="Arial" w:cs="Arial" w:eastAsia="Arial" w:hAnsi="Arial"/>
                <w:sz w:val="18"/>
                <w:szCs w:val="18"/>
                <w:color w:val="auto"/>
              </w:rPr>
              <w:t>6000000</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1"/>
              </w:rPr>
              <w:t>5629152</w:t>
            </w:r>
          </w:p>
        </w:tc>
        <w:tc>
          <w:tcPr>
            <w:tcW w:w="5480" w:type="dxa"/>
            <w:vAlign w:val="bottom"/>
          </w:tcPr>
          <w:p>
            <w:pPr>
              <w:ind w:left="200"/>
              <w:spacing w:after="0"/>
              <w:rPr>
                <w:sz w:val="20"/>
                <w:szCs w:val="20"/>
                <w:color w:val="auto"/>
              </w:rPr>
            </w:pPr>
            <w:r>
              <w:rPr>
                <w:rFonts w:ascii="Arial" w:cs="Arial" w:eastAsia="Arial" w:hAnsi="Arial"/>
                <w:sz w:val="18"/>
                <w:szCs w:val="18"/>
                <w:color w:val="auto"/>
              </w:rPr>
              <w:t>TRISUBSTITUTED BATA-LACTAMS AND OLIGO BETA-</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LACTAMAMIDES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HYBN-178.0AT</w:t>
            </w: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95"/>
              </w:rPr>
              <w:t>AT</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187645</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HYBN-178.0AU</w:t>
            </w:r>
          </w:p>
        </w:tc>
        <w:tc>
          <w:tcPr>
            <w:tcW w:w="1240" w:type="dxa"/>
            <w:vAlign w:val="bottom"/>
          </w:tcPr>
          <w:p>
            <w:pPr>
              <w:jc w:val="center"/>
              <w:ind w:right="90"/>
              <w:spacing w:after="0"/>
              <w:rPr>
                <w:sz w:val="20"/>
                <w:szCs w:val="20"/>
                <w:color w:val="auto"/>
              </w:rPr>
            </w:pPr>
            <w:r>
              <w:rPr>
                <w:rFonts w:ascii="Arial" w:cs="Arial" w:eastAsia="Arial" w:hAnsi="Arial"/>
                <w:sz w:val="18"/>
                <w:szCs w:val="18"/>
                <w:color w:val="auto"/>
              </w:rPr>
              <w:t>AU</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1"/>
              </w:rPr>
              <w:t>3893095</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HYBN-178.0BE</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9"/>
              </w:rPr>
              <w:t>BE</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HYBN-178.0CA</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5"/>
              </w:rPr>
              <w:t>CA</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1"/>
              </w:rPr>
              <w:t>2203652</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HYBN-178.0CH</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2"/>
              </w:rPr>
              <w:t>CH</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HYBN-178.0CN</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2"/>
              </w:rPr>
              <w:t>CN</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1"/>
              </w:rPr>
              <w:t>1170367</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HYBN-178.0DE</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5"/>
              </w:rPr>
              <w:t>DE</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69513998</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HYBN-178.0DK</w:t>
            </w:r>
          </w:p>
        </w:tc>
        <w:tc>
          <w:tcPr>
            <w:tcW w:w="1240" w:type="dxa"/>
            <w:vAlign w:val="bottom"/>
          </w:tcPr>
          <w:p>
            <w:pPr>
              <w:jc w:val="center"/>
              <w:ind w:right="90"/>
              <w:spacing w:after="0"/>
              <w:rPr>
                <w:sz w:val="20"/>
                <w:szCs w:val="20"/>
                <w:color w:val="auto"/>
              </w:rPr>
            </w:pPr>
            <w:r>
              <w:rPr>
                <w:rFonts w:ascii="Arial" w:cs="Arial" w:eastAsia="Arial" w:hAnsi="Arial"/>
                <w:sz w:val="18"/>
                <w:szCs w:val="18"/>
                <w:color w:val="auto"/>
              </w:rPr>
              <w:t>DK</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HYBN-178.0EP</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HYBN-178.0ES</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83"/>
              </w:rPr>
              <w:t>ES</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1"/>
              </w:rPr>
              <w:t>2141393</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HYBN-178.0FR</w:t>
            </w: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91"/>
              </w:rPr>
              <w:t>FR</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HYBN-178.0GB</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2"/>
              </w:rPr>
              <w:t>GB</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HYBN-178.0GR</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88"/>
              </w:rPr>
              <w:t>GR</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HYBN-178.0IE</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3"/>
              </w:rPr>
              <w:t>IE</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HYBN-178.0IT</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9"/>
              </w:rPr>
              <w:t>IT</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HYBN-178.0JP</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500" w:type="dxa"/>
            <w:vAlign w:val="bottom"/>
          </w:tcPr>
          <w:p>
            <w:pPr>
              <w:ind w:left="44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HYBN-178.0LU</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rPr>
              <w:t>LX</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HYBN-178.0MC</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9"/>
              </w:rPr>
              <w:t>MC</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HYBN-178.0NL</w:t>
            </w: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rPr>
              <w:t>NL</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788366</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HYBN-178.0NO</w:t>
            </w: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94"/>
              </w:rPr>
              <w:t>Norway</w:t>
            </w:r>
          </w:p>
        </w:tc>
        <w:tc>
          <w:tcPr>
            <w:tcW w:w="1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10"/>
              <w:spacing w:after="0"/>
              <w:rPr>
                <w:sz w:val="20"/>
                <w:szCs w:val="20"/>
                <w:color w:val="auto"/>
              </w:rPr>
            </w:pPr>
            <w:r>
              <w:rPr>
                <w:rFonts w:ascii="Arial" w:cs="Arial" w:eastAsia="Arial" w:hAnsi="Arial"/>
                <w:sz w:val="18"/>
                <w:szCs w:val="18"/>
                <w:color w:val="auto"/>
                <w:w w:val="89"/>
              </w:rPr>
              <w:t>971905</w:t>
            </w:r>
          </w:p>
        </w:tc>
        <w:tc>
          <w:tcPr>
            <w:tcW w:w="5480" w:type="dxa"/>
            <w:vAlign w:val="bottom"/>
          </w:tcPr>
          <w:p>
            <w:pPr>
              <w:ind w:left="200"/>
              <w:spacing w:after="0"/>
              <w:rPr>
                <w:sz w:val="20"/>
                <w:szCs w:val="20"/>
                <w:color w:val="auto"/>
              </w:rPr>
            </w:pPr>
            <w:r>
              <w:rPr>
                <w:rFonts w:ascii="Arial" w:cs="Arial" w:eastAsia="Arial" w:hAnsi="Arial"/>
                <w:sz w:val="18"/>
                <w:szCs w:val="18"/>
                <w:color w:val="auto"/>
              </w:rPr>
              <w:t>USE OF 2’-SUBSTITUTED OLIGONUCLEOTIDES TO DOWN-</w:t>
            </w:r>
          </w:p>
        </w:tc>
      </w:tr>
      <w:tr>
        <w:trPr>
          <w:trHeight w:val="230"/>
        </w:trPr>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REGULATING GENE EXPRESSION</w:t>
            </w:r>
          </w:p>
        </w:tc>
      </w:tr>
    </w:tbl>
    <w:p>
      <w:pPr>
        <w:sectPr>
          <w:pgSz w:w="11900" w:h="16838" w:orient="portrait"/>
          <w:cols w:equalWidth="0" w:num="1">
            <w:col w:w="11080"/>
          </w:cols>
          <w:pgMar w:left="240" w:top="341" w:right="57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HYBN-178.0PT</w:t>
            </w:r>
          </w:p>
        </w:tc>
        <w:tc>
          <w:tcPr>
            <w:tcW w:w="1100" w:type="dxa"/>
            <w:vAlign w:val="bottom"/>
          </w:tcPr>
          <w:p>
            <w:pPr>
              <w:ind w:left="340"/>
              <w:spacing w:after="0"/>
              <w:rPr>
                <w:sz w:val="20"/>
                <w:szCs w:val="20"/>
                <w:color w:val="auto"/>
              </w:rPr>
            </w:pPr>
            <w:r>
              <w:rPr>
                <w:rFonts w:ascii="Arial" w:cs="Arial" w:eastAsia="Arial" w:hAnsi="Arial"/>
                <w:sz w:val="18"/>
                <w:szCs w:val="18"/>
                <w:color w:val="auto"/>
              </w:rPr>
              <w:t>PT</w:t>
            </w:r>
          </w:p>
        </w:tc>
        <w:tc>
          <w:tcPr>
            <w:tcW w:w="1400" w:type="dxa"/>
            <w:vAlign w:val="bottom"/>
          </w:tcPr>
          <w:p>
            <w:pPr>
              <w:jc w:val="center"/>
              <w:ind w:left="91"/>
              <w:spacing w:after="0"/>
              <w:rPr>
                <w:sz w:val="20"/>
                <w:szCs w:val="20"/>
                <w:color w:val="auto"/>
              </w:rPr>
            </w:pPr>
            <w:r>
              <w:rPr>
                <w:rFonts w:ascii="Arial" w:cs="Arial" w:eastAsia="Arial" w:hAnsi="Arial"/>
                <w:sz w:val="18"/>
                <w:szCs w:val="18"/>
                <w:color w:val="auto"/>
                <w:w w:val="89"/>
              </w:rPr>
              <w:t>Granted</w:t>
            </w:r>
          </w:p>
        </w:tc>
        <w:tc>
          <w:tcPr>
            <w:tcW w:w="1660" w:type="dxa"/>
            <w:vAlign w:val="bottom"/>
          </w:tcPr>
          <w:p>
            <w:pPr>
              <w:jc w:val="center"/>
              <w:ind w:left="151"/>
              <w:spacing w:after="0"/>
              <w:rPr>
                <w:sz w:val="20"/>
                <w:szCs w:val="20"/>
                <w:color w:val="auto"/>
              </w:rPr>
            </w:pPr>
            <w:r>
              <w:rPr>
                <w:rFonts w:ascii="Arial" w:cs="Arial" w:eastAsia="Arial" w:hAnsi="Arial"/>
                <w:sz w:val="18"/>
                <w:szCs w:val="18"/>
                <w:color w:val="auto"/>
                <w:w w:val="89"/>
              </w:rPr>
              <w:t>788366</w:t>
            </w:r>
          </w:p>
        </w:tc>
        <w:tc>
          <w:tcPr>
            <w:tcW w:w="5460" w:type="dxa"/>
            <w:vAlign w:val="bottom"/>
          </w:tcPr>
          <w:p>
            <w:pPr>
              <w:ind w:left="80"/>
              <w:spacing w:after="0"/>
              <w:rPr>
                <w:sz w:val="20"/>
                <w:szCs w:val="20"/>
                <w:color w:val="auto"/>
              </w:rPr>
            </w:pPr>
            <w:r>
              <w:rPr>
                <w:rFonts w:ascii="Arial" w:cs="Arial" w:eastAsia="Arial" w:hAnsi="Arial"/>
                <w:sz w:val="18"/>
                <w:szCs w:val="18"/>
                <w:color w:val="auto"/>
              </w:rPr>
              <w:t>USE OF 2’-SUBSTITUTED OLIGONUCLEOTIDES TO DOWN-</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REGULATING GENE EXPRESSION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HYBN-178.0SE</w:t>
            </w:r>
          </w:p>
        </w:tc>
        <w:tc>
          <w:tcPr>
            <w:tcW w:w="1100" w:type="dxa"/>
            <w:vAlign w:val="bottom"/>
          </w:tcPr>
          <w:p>
            <w:pPr>
              <w:ind w:left="340"/>
              <w:spacing w:after="0"/>
              <w:rPr>
                <w:sz w:val="20"/>
                <w:szCs w:val="20"/>
                <w:color w:val="auto"/>
              </w:rPr>
            </w:pPr>
            <w:r>
              <w:rPr>
                <w:rFonts w:ascii="Arial" w:cs="Arial" w:eastAsia="Arial" w:hAnsi="Arial"/>
                <w:sz w:val="18"/>
                <w:szCs w:val="18"/>
                <w:color w:val="auto"/>
              </w:rPr>
              <w:t>SE</w:t>
            </w:r>
          </w:p>
        </w:tc>
        <w:tc>
          <w:tcPr>
            <w:tcW w:w="1400" w:type="dxa"/>
            <w:vAlign w:val="bottom"/>
          </w:tcPr>
          <w:p>
            <w:pPr>
              <w:jc w:val="center"/>
              <w:ind w:left="91"/>
              <w:spacing w:after="0"/>
              <w:rPr>
                <w:sz w:val="20"/>
                <w:szCs w:val="20"/>
                <w:color w:val="auto"/>
              </w:rPr>
            </w:pPr>
            <w:r>
              <w:rPr>
                <w:rFonts w:ascii="Arial" w:cs="Arial" w:eastAsia="Arial" w:hAnsi="Arial"/>
                <w:sz w:val="18"/>
                <w:szCs w:val="18"/>
                <w:color w:val="auto"/>
                <w:w w:val="89"/>
              </w:rPr>
              <w:t>Granted</w:t>
            </w:r>
          </w:p>
        </w:tc>
        <w:tc>
          <w:tcPr>
            <w:tcW w:w="1660" w:type="dxa"/>
            <w:vAlign w:val="bottom"/>
          </w:tcPr>
          <w:p>
            <w:pPr>
              <w:jc w:val="center"/>
              <w:ind w:left="151"/>
              <w:spacing w:after="0"/>
              <w:rPr>
                <w:sz w:val="20"/>
                <w:szCs w:val="20"/>
                <w:color w:val="auto"/>
              </w:rPr>
            </w:pPr>
            <w:r>
              <w:rPr>
                <w:rFonts w:ascii="Arial" w:cs="Arial" w:eastAsia="Arial" w:hAnsi="Arial"/>
                <w:sz w:val="18"/>
                <w:szCs w:val="18"/>
                <w:color w:val="auto"/>
                <w:w w:val="89"/>
              </w:rPr>
              <w:t>788366</w:t>
            </w:r>
          </w:p>
        </w:tc>
        <w:tc>
          <w:tcPr>
            <w:tcW w:w="5460" w:type="dxa"/>
            <w:vAlign w:val="bottom"/>
          </w:tcPr>
          <w:p>
            <w:pPr>
              <w:ind w:left="80"/>
              <w:spacing w:after="0"/>
              <w:rPr>
                <w:sz w:val="20"/>
                <w:szCs w:val="20"/>
                <w:color w:val="auto"/>
              </w:rPr>
            </w:pPr>
            <w:r>
              <w:rPr>
                <w:rFonts w:ascii="Arial" w:cs="Arial" w:eastAsia="Arial" w:hAnsi="Arial"/>
                <w:sz w:val="18"/>
                <w:szCs w:val="18"/>
                <w:color w:val="auto"/>
              </w:rPr>
              <w:t>USE OF 2’-SUBSTITUTED OLIGONUCLEOTIDES TO DOWN-</w:t>
            </w:r>
          </w:p>
        </w:tc>
      </w:tr>
      <w:tr>
        <w:trPr>
          <w:trHeight w:val="230"/>
        </w:trPr>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REGULATING GENE EXPRESSION</w:t>
            </w:r>
          </w:p>
        </w:tc>
      </w:tr>
      <w:tr>
        <w:trPr>
          <w:trHeight w:val="355"/>
        </w:trPr>
        <w:tc>
          <w:tcPr>
            <w:tcW w:w="4060" w:type="dxa"/>
            <w:vAlign w:val="bottom"/>
            <w:gridSpan w:val="3"/>
          </w:tcPr>
          <w:p>
            <w:pPr>
              <w:spacing w:after="0"/>
              <w:rPr>
                <w:sz w:val="20"/>
                <w:szCs w:val="20"/>
                <w:color w:val="auto"/>
              </w:rPr>
            </w:pPr>
            <w:r>
              <w:rPr>
                <w:rFonts w:ascii="Arial" w:cs="Arial" w:eastAsia="Arial" w:hAnsi="Arial"/>
                <w:sz w:val="18"/>
                <w:szCs w:val="18"/>
                <w:color w:val="auto"/>
                <w:w w:val="96"/>
              </w:rPr>
              <w:t>Isis Current Chemistry Patents (June 2007 Updates)</w:t>
            </w:r>
          </w:p>
        </w:tc>
        <w:tc>
          <w:tcPr>
            <w:tcW w:w="16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157"/>
        </w:trPr>
        <w:tc>
          <w:tcPr>
            <w:tcW w:w="1560" w:type="dxa"/>
            <w:vAlign w:val="bottom"/>
          </w:tcPr>
          <w:p>
            <w:pPr>
              <w:spacing w:after="0" w:line="157" w:lineRule="exact"/>
              <w:rPr>
                <w:sz w:val="20"/>
                <w:szCs w:val="20"/>
                <w:color w:val="auto"/>
              </w:rPr>
            </w:pPr>
            <w:r>
              <w:rPr>
                <w:rFonts w:ascii="Arial" w:cs="Arial" w:eastAsia="Arial" w:hAnsi="Arial"/>
                <w:sz w:val="14"/>
                <w:szCs w:val="14"/>
                <w:b w:val="1"/>
                <w:bCs w:val="1"/>
                <w:color w:val="auto"/>
              </w:rPr>
              <w:t>Isis Docket Number</w:t>
            </w:r>
          </w:p>
        </w:tc>
        <w:tc>
          <w:tcPr>
            <w:tcW w:w="1100" w:type="dxa"/>
            <w:vAlign w:val="bottom"/>
          </w:tcPr>
          <w:p>
            <w:pPr>
              <w:jc w:val="center"/>
              <w:ind w:right="91"/>
              <w:spacing w:after="0" w:line="157" w:lineRule="exact"/>
              <w:rPr>
                <w:sz w:val="20"/>
                <w:szCs w:val="20"/>
                <w:color w:val="auto"/>
              </w:rPr>
            </w:pPr>
            <w:r>
              <w:rPr>
                <w:rFonts w:ascii="Arial" w:cs="Arial" w:eastAsia="Arial" w:hAnsi="Arial"/>
                <w:sz w:val="14"/>
                <w:szCs w:val="14"/>
                <w:b w:val="1"/>
                <w:bCs w:val="1"/>
                <w:color w:val="auto"/>
                <w:w w:val="96"/>
              </w:rPr>
              <w:t>Country</w:t>
            </w:r>
          </w:p>
        </w:tc>
        <w:tc>
          <w:tcPr>
            <w:tcW w:w="1400" w:type="dxa"/>
            <w:vAlign w:val="bottom"/>
          </w:tcPr>
          <w:p>
            <w:pPr>
              <w:jc w:val="center"/>
              <w:ind w:left="131"/>
              <w:spacing w:after="0" w:line="157" w:lineRule="exact"/>
              <w:rPr>
                <w:sz w:val="20"/>
                <w:szCs w:val="20"/>
                <w:color w:val="auto"/>
              </w:rPr>
            </w:pPr>
            <w:r>
              <w:rPr>
                <w:rFonts w:ascii="Arial" w:cs="Arial" w:eastAsia="Arial" w:hAnsi="Arial"/>
                <w:sz w:val="14"/>
                <w:szCs w:val="14"/>
                <w:b w:val="1"/>
                <w:bCs w:val="1"/>
                <w:color w:val="auto"/>
                <w:w w:val="88"/>
              </w:rPr>
              <w:t>Status</w:t>
            </w:r>
          </w:p>
        </w:tc>
        <w:tc>
          <w:tcPr>
            <w:tcW w:w="1660" w:type="dxa"/>
            <w:vAlign w:val="bottom"/>
          </w:tcPr>
          <w:p>
            <w:pPr>
              <w:jc w:val="center"/>
              <w:ind w:left="171"/>
              <w:spacing w:after="0" w:line="157" w:lineRule="exact"/>
              <w:rPr>
                <w:sz w:val="20"/>
                <w:szCs w:val="20"/>
                <w:color w:val="auto"/>
              </w:rPr>
            </w:pPr>
            <w:r>
              <w:rPr>
                <w:rFonts w:ascii="Arial" w:cs="Arial" w:eastAsia="Arial" w:hAnsi="Arial"/>
                <w:sz w:val="14"/>
                <w:szCs w:val="14"/>
                <w:b w:val="1"/>
                <w:bCs w:val="1"/>
                <w:color w:val="auto"/>
                <w:w w:val="96"/>
              </w:rPr>
              <w:t>Application Number</w:t>
            </w:r>
          </w:p>
        </w:tc>
        <w:tc>
          <w:tcPr>
            <w:tcW w:w="5460" w:type="dxa"/>
            <w:vAlign w:val="bottom"/>
          </w:tcPr>
          <w:p>
            <w:pPr>
              <w:ind w:left="80"/>
              <w:spacing w:after="0" w:line="157" w:lineRule="exact"/>
              <w:rPr>
                <w:sz w:val="20"/>
                <w:szCs w:val="20"/>
                <w:color w:val="auto"/>
              </w:rPr>
            </w:pPr>
            <w:r>
              <w:rPr>
                <w:rFonts w:ascii="Arial" w:cs="Arial" w:eastAsia="Arial" w:hAnsi="Arial"/>
                <w:sz w:val="14"/>
                <w:szCs w:val="14"/>
                <w:b w:val="1"/>
                <w:bCs w:val="1"/>
                <w:color w:val="auto"/>
              </w:rPr>
              <w:t>Title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CORE0030US.P1</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8"/>
              </w:rPr>
              <w:t>11/679,159</w:t>
            </w:r>
          </w:p>
        </w:tc>
        <w:tc>
          <w:tcPr>
            <w:tcW w:w="5460" w:type="dxa"/>
            <w:vAlign w:val="bottom"/>
          </w:tcPr>
          <w:p>
            <w:pPr>
              <w:ind w:left="80"/>
              <w:spacing w:after="0"/>
              <w:rPr>
                <w:sz w:val="20"/>
                <w:szCs w:val="20"/>
                <w:color w:val="auto"/>
              </w:rPr>
            </w:pPr>
            <w:r>
              <w:rPr>
                <w:rFonts w:ascii="Arial" w:cs="Arial" w:eastAsia="Arial" w:hAnsi="Arial"/>
                <w:sz w:val="18"/>
                <w:szCs w:val="18"/>
                <w:color w:val="auto"/>
              </w:rPr>
              <w:t>BACKBONE MODIFICATIONS TO MODULATE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OLIOGONUCLEOTIDE TARGETING IN VIVO</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ISIS-5772</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8"/>
              </w:rPr>
              <w:t>11/283,119</w:t>
            </w:r>
          </w:p>
        </w:tc>
        <w:tc>
          <w:tcPr>
            <w:tcW w:w="5460" w:type="dxa"/>
            <w:vAlign w:val="bottom"/>
          </w:tcPr>
          <w:p>
            <w:pPr>
              <w:ind w:left="80"/>
              <w:spacing w:after="0"/>
              <w:rPr>
                <w:sz w:val="20"/>
                <w:szCs w:val="20"/>
                <w:color w:val="auto"/>
              </w:rPr>
            </w:pPr>
            <w:r>
              <w:rPr>
                <w:rFonts w:ascii="Arial" w:cs="Arial" w:eastAsia="Arial" w:hAnsi="Arial"/>
                <w:sz w:val="18"/>
                <w:szCs w:val="18"/>
                <w:color w:val="auto"/>
                <w:w w:val="99"/>
              </w:rPr>
              <w:t>OLIGONUCLEOTIDES HAVING A-DNA FORM AND B-DNA FORM</w:t>
            </w:r>
          </w:p>
        </w:tc>
      </w:tr>
      <w:tr>
        <w:trPr>
          <w:trHeight w:val="230"/>
        </w:trPr>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CONFORMATIONAL GEOMETRY</w:t>
            </w:r>
          </w:p>
        </w:tc>
      </w:tr>
      <w:tr>
        <w:trPr>
          <w:trHeight w:val="409"/>
        </w:trPr>
        <w:tc>
          <w:tcPr>
            <w:tcW w:w="4060" w:type="dxa"/>
            <w:vAlign w:val="bottom"/>
            <w:gridSpan w:val="3"/>
          </w:tcPr>
          <w:p>
            <w:pPr>
              <w:spacing w:after="0"/>
              <w:rPr>
                <w:sz w:val="20"/>
                <w:szCs w:val="20"/>
                <w:color w:val="auto"/>
              </w:rPr>
            </w:pPr>
            <w:r>
              <w:rPr>
                <w:rFonts w:ascii="Arial" w:cs="Arial" w:eastAsia="Arial" w:hAnsi="Arial"/>
                <w:sz w:val="18"/>
                <w:szCs w:val="18"/>
                <w:color w:val="auto"/>
                <w:w w:val="98"/>
              </w:rPr>
              <w:t>Isis Future Chemistry Patents (as at June 27, 2007)</w:t>
            </w:r>
          </w:p>
        </w:tc>
        <w:tc>
          <w:tcPr>
            <w:tcW w:w="16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157"/>
        </w:trPr>
        <w:tc>
          <w:tcPr>
            <w:tcW w:w="1560" w:type="dxa"/>
            <w:vAlign w:val="bottom"/>
          </w:tcPr>
          <w:p>
            <w:pPr>
              <w:spacing w:after="0" w:line="157" w:lineRule="exact"/>
              <w:rPr>
                <w:sz w:val="20"/>
                <w:szCs w:val="20"/>
                <w:color w:val="auto"/>
              </w:rPr>
            </w:pPr>
            <w:r>
              <w:rPr>
                <w:rFonts w:ascii="Arial" w:cs="Arial" w:eastAsia="Arial" w:hAnsi="Arial"/>
                <w:sz w:val="14"/>
                <w:szCs w:val="14"/>
                <w:b w:val="1"/>
                <w:bCs w:val="1"/>
                <w:color w:val="auto"/>
              </w:rPr>
              <w:t>Isis Docket Number</w:t>
            </w:r>
          </w:p>
        </w:tc>
        <w:tc>
          <w:tcPr>
            <w:tcW w:w="1100" w:type="dxa"/>
            <w:vAlign w:val="bottom"/>
          </w:tcPr>
          <w:p>
            <w:pPr>
              <w:jc w:val="center"/>
              <w:ind w:right="91"/>
              <w:spacing w:after="0" w:line="157" w:lineRule="exact"/>
              <w:rPr>
                <w:sz w:val="20"/>
                <w:szCs w:val="20"/>
                <w:color w:val="auto"/>
              </w:rPr>
            </w:pPr>
            <w:r>
              <w:rPr>
                <w:rFonts w:ascii="Arial" w:cs="Arial" w:eastAsia="Arial" w:hAnsi="Arial"/>
                <w:sz w:val="14"/>
                <w:szCs w:val="14"/>
                <w:b w:val="1"/>
                <w:bCs w:val="1"/>
                <w:color w:val="auto"/>
                <w:w w:val="96"/>
              </w:rPr>
              <w:t>Country</w:t>
            </w:r>
          </w:p>
        </w:tc>
        <w:tc>
          <w:tcPr>
            <w:tcW w:w="1400" w:type="dxa"/>
            <w:vAlign w:val="bottom"/>
          </w:tcPr>
          <w:p>
            <w:pPr>
              <w:jc w:val="center"/>
              <w:ind w:left="131"/>
              <w:spacing w:after="0" w:line="157" w:lineRule="exact"/>
              <w:rPr>
                <w:sz w:val="20"/>
                <w:szCs w:val="20"/>
                <w:color w:val="auto"/>
              </w:rPr>
            </w:pPr>
            <w:r>
              <w:rPr>
                <w:rFonts w:ascii="Arial" w:cs="Arial" w:eastAsia="Arial" w:hAnsi="Arial"/>
                <w:sz w:val="14"/>
                <w:szCs w:val="14"/>
                <w:b w:val="1"/>
                <w:bCs w:val="1"/>
                <w:color w:val="auto"/>
                <w:w w:val="88"/>
              </w:rPr>
              <w:t>Status</w:t>
            </w:r>
          </w:p>
        </w:tc>
        <w:tc>
          <w:tcPr>
            <w:tcW w:w="1660" w:type="dxa"/>
            <w:vAlign w:val="bottom"/>
          </w:tcPr>
          <w:p>
            <w:pPr>
              <w:jc w:val="center"/>
              <w:ind w:left="171"/>
              <w:spacing w:after="0" w:line="157" w:lineRule="exact"/>
              <w:rPr>
                <w:sz w:val="20"/>
                <w:szCs w:val="20"/>
                <w:color w:val="auto"/>
              </w:rPr>
            </w:pPr>
            <w:r>
              <w:rPr>
                <w:rFonts w:ascii="Arial" w:cs="Arial" w:eastAsia="Arial" w:hAnsi="Arial"/>
                <w:sz w:val="14"/>
                <w:szCs w:val="14"/>
                <w:b w:val="1"/>
                <w:bCs w:val="1"/>
                <w:color w:val="auto"/>
                <w:w w:val="96"/>
              </w:rPr>
              <w:t>Application Number</w:t>
            </w:r>
          </w:p>
        </w:tc>
        <w:tc>
          <w:tcPr>
            <w:tcW w:w="5460" w:type="dxa"/>
            <w:vAlign w:val="bottom"/>
          </w:tcPr>
          <w:p>
            <w:pPr>
              <w:ind w:left="80"/>
              <w:spacing w:after="0" w:line="157" w:lineRule="exact"/>
              <w:rPr>
                <w:sz w:val="20"/>
                <w:szCs w:val="20"/>
                <w:color w:val="auto"/>
              </w:rPr>
            </w:pPr>
            <w:r>
              <w:rPr>
                <w:rFonts w:ascii="Arial" w:cs="Arial" w:eastAsia="Arial" w:hAnsi="Arial"/>
                <w:sz w:val="14"/>
                <w:szCs w:val="14"/>
                <w:b w:val="1"/>
                <w:bCs w:val="1"/>
                <w:color w:val="auto"/>
              </w:rPr>
              <w:t>Title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CHEM0019AU</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rPr>
              <w:t>AU</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51"/>
              <w:spacing w:after="0"/>
              <w:rPr>
                <w:sz w:val="20"/>
                <w:szCs w:val="20"/>
                <w:color w:val="auto"/>
              </w:rPr>
            </w:pPr>
            <w:r>
              <w:rPr>
                <w:rFonts w:ascii="Arial" w:cs="Arial" w:eastAsia="Arial" w:hAnsi="Arial"/>
                <w:sz w:val="18"/>
                <w:szCs w:val="18"/>
                <w:color w:val="auto"/>
                <w:w w:val="89"/>
              </w:rPr>
              <w:t>2004270741</w:t>
            </w:r>
          </w:p>
        </w:tc>
        <w:tc>
          <w:tcPr>
            <w:tcW w:w="5460" w:type="dxa"/>
            <w:vAlign w:val="bottom"/>
          </w:tcPr>
          <w:p>
            <w:pPr>
              <w:ind w:left="80"/>
              <w:spacing w:after="0"/>
              <w:rPr>
                <w:sz w:val="20"/>
                <w:szCs w:val="20"/>
                <w:color w:val="auto"/>
              </w:rPr>
            </w:pPr>
            <w:r>
              <w:rPr>
                <w:rFonts w:ascii="Arial" w:cs="Arial" w:eastAsia="Arial" w:hAnsi="Arial"/>
                <w:sz w:val="18"/>
                <w:szCs w:val="18"/>
                <w:color w:val="auto"/>
                <w:w w:val="97"/>
              </w:rPr>
              <w:t>GAPPED OLIGOMERIC COMPOUNDS HAVING LINKED BICYCLIC</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SUGAR MOIETIES AT THE TERMINI</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CHEM0019CA</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rPr>
              <w:t>CA</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91"/>
              </w:rPr>
              <w:t>2538174</w:t>
            </w:r>
          </w:p>
        </w:tc>
        <w:tc>
          <w:tcPr>
            <w:tcW w:w="5460" w:type="dxa"/>
            <w:vAlign w:val="bottom"/>
          </w:tcPr>
          <w:p>
            <w:pPr>
              <w:ind w:left="80"/>
              <w:spacing w:after="0"/>
              <w:rPr>
                <w:sz w:val="20"/>
                <w:szCs w:val="20"/>
                <w:color w:val="auto"/>
              </w:rPr>
            </w:pPr>
            <w:r>
              <w:rPr>
                <w:rFonts w:ascii="Arial" w:cs="Arial" w:eastAsia="Arial" w:hAnsi="Arial"/>
                <w:sz w:val="18"/>
                <w:szCs w:val="18"/>
                <w:color w:val="auto"/>
                <w:w w:val="97"/>
              </w:rPr>
              <w:t>GAPPED OLIGOMERIC COMPOUNDS HAVING LINKED BICYCLIC</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SUGAR MOIETIES AT THE TERMINI</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CHEM0019EP</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91"/>
              </w:rPr>
              <w:t>EP</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91"/>
              </w:rPr>
              <w:t>4788694</w:t>
            </w:r>
          </w:p>
        </w:tc>
        <w:tc>
          <w:tcPr>
            <w:tcW w:w="5460" w:type="dxa"/>
            <w:vAlign w:val="bottom"/>
          </w:tcPr>
          <w:p>
            <w:pPr>
              <w:ind w:left="80"/>
              <w:spacing w:after="0"/>
              <w:rPr>
                <w:sz w:val="20"/>
                <w:szCs w:val="20"/>
                <w:color w:val="auto"/>
              </w:rPr>
            </w:pPr>
            <w:r>
              <w:rPr>
                <w:rFonts w:ascii="Arial" w:cs="Arial" w:eastAsia="Arial" w:hAnsi="Arial"/>
                <w:sz w:val="18"/>
                <w:szCs w:val="18"/>
                <w:color w:val="auto"/>
                <w:w w:val="97"/>
              </w:rPr>
              <w:t>GAPPED OLIGOMERIC COMPOUNDS HAVING LINKED BICYCLIC</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SUGAR MOIETIES AT THE TERMINI</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CHEM0019JP</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5"/>
              </w:rPr>
              <w:t>JP</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90"/>
              </w:rPr>
              <w:t>2006-526330</w:t>
            </w:r>
          </w:p>
        </w:tc>
        <w:tc>
          <w:tcPr>
            <w:tcW w:w="5460" w:type="dxa"/>
            <w:vAlign w:val="bottom"/>
          </w:tcPr>
          <w:p>
            <w:pPr>
              <w:ind w:left="80"/>
              <w:spacing w:after="0"/>
              <w:rPr>
                <w:sz w:val="20"/>
                <w:szCs w:val="20"/>
                <w:color w:val="auto"/>
              </w:rPr>
            </w:pPr>
            <w:r>
              <w:rPr>
                <w:rFonts w:ascii="Arial" w:cs="Arial" w:eastAsia="Arial" w:hAnsi="Arial"/>
                <w:sz w:val="18"/>
                <w:szCs w:val="18"/>
                <w:color w:val="auto"/>
                <w:w w:val="97"/>
              </w:rPr>
              <w:t>GAPPED OLIGOMERIC COMPOUNDS HAVING LINKED BICYCLIC</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SUGAR MOIETIES AT THE TERMINI</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CHEM0019WO</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96"/>
              </w:rPr>
              <w:t>WO</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rPr>
              <w:t>INACTIVE</w:t>
            </w: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w w:val="95"/>
              </w:rPr>
              <w:t>PCT/US2004/029650GAPPED OLIGOMERIC COMPOUNDS HAVING LINKED BICYCLIC</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SUGAR MOIETIES AT THE TERMINI</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CHEM0020AU</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rPr>
              <w:t>AU</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51"/>
              <w:spacing w:after="0"/>
              <w:rPr>
                <w:sz w:val="20"/>
                <w:szCs w:val="20"/>
                <w:color w:val="auto"/>
              </w:rPr>
            </w:pPr>
            <w:r>
              <w:rPr>
                <w:rFonts w:ascii="Arial" w:cs="Arial" w:eastAsia="Arial" w:hAnsi="Arial"/>
                <w:sz w:val="18"/>
                <w:szCs w:val="18"/>
                <w:color w:val="auto"/>
                <w:w w:val="89"/>
              </w:rPr>
              <w:t>2004320622</w:t>
            </w:r>
          </w:p>
        </w:tc>
        <w:tc>
          <w:tcPr>
            <w:tcW w:w="5460" w:type="dxa"/>
            <w:vAlign w:val="bottom"/>
          </w:tcPr>
          <w:p>
            <w:pPr>
              <w:ind w:left="80"/>
              <w:spacing w:after="0"/>
              <w:rPr>
                <w:sz w:val="20"/>
                <w:szCs w:val="20"/>
                <w:color w:val="auto"/>
              </w:rPr>
            </w:pPr>
            <w:r>
              <w:rPr>
                <w:rFonts w:ascii="Arial" w:cs="Arial" w:eastAsia="Arial" w:hAnsi="Arial"/>
                <w:sz w:val="18"/>
                <w:szCs w:val="18"/>
                <w:color w:val="auto"/>
              </w:rPr>
              <w:t>CHIMERIC GAPPED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CHEM0020CA</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rPr>
              <w:t>CA</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99"/>
              </w:rPr>
              <w:t>TBD</w:t>
            </w:r>
          </w:p>
        </w:tc>
        <w:tc>
          <w:tcPr>
            <w:tcW w:w="5460" w:type="dxa"/>
            <w:vAlign w:val="bottom"/>
          </w:tcPr>
          <w:p>
            <w:pPr>
              <w:ind w:left="80"/>
              <w:spacing w:after="0"/>
              <w:rPr>
                <w:sz w:val="20"/>
                <w:szCs w:val="20"/>
                <w:color w:val="auto"/>
              </w:rPr>
            </w:pPr>
            <w:r>
              <w:rPr>
                <w:rFonts w:ascii="Arial" w:cs="Arial" w:eastAsia="Arial" w:hAnsi="Arial"/>
                <w:sz w:val="18"/>
                <w:szCs w:val="18"/>
                <w:color w:val="auto"/>
              </w:rPr>
              <w:t>CHIMERIC GAPPED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CHEM0020EP</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91"/>
              </w:rPr>
              <w:t>EP</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9"/>
              </w:rPr>
              <w:t>4754188.3</w:t>
            </w:r>
          </w:p>
        </w:tc>
        <w:tc>
          <w:tcPr>
            <w:tcW w:w="5460" w:type="dxa"/>
            <w:vAlign w:val="bottom"/>
          </w:tcPr>
          <w:p>
            <w:pPr>
              <w:ind w:left="80"/>
              <w:spacing w:after="0"/>
              <w:rPr>
                <w:sz w:val="20"/>
                <w:szCs w:val="20"/>
                <w:color w:val="auto"/>
              </w:rPr>
            </w:pPr>
            <w:r>
              <w:rPr>
                <w:rFonts w:ascii="Arial" w:cs="Arial" w:eastAsia="Arial" w:hAnsi="Arial"/>
                <w:sz w:val="18"/>
                <w:szCs w:val="18"/>
                <w:color w:val="auto"/>
              </w:rPr>
              <w:t>CHIMERIC GAPPED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CHEM0020JP</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5"/>
              </w:rPr>
              <w:t>JP</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90"/>
              </w:rPr>
              <w:t>2007-515019</w:t>
            </w:r>
          </w:p>
        </w:tc>
        <w:tc>
          <w:tcPr>
            <w:tcW w:w="5460" w:type="dxa"/>
            <w:vAlign w:val="bottom"/>
          </w:tcPr>
          <w:p>
            <w:pPr>
              <w:ind w:left="80"/>
              <w:spacing w:after="0"/>
              <w:rPr>
                <w:sz w:val="20"/>
                <w:szCs w:val="20"/>
                <w:color w:val="auto"/>
              </w:rPr>
            </w:pPr>
            <w:r>
              <w:rPr>
                <w:rFonts w:ascii="Arial" w:cs="Arial" w:eastAsia="Arial" w:hAnsi="Arial"/>
                <w:sz w:val="18"/>
                <w:szCs w:val="18"/>
                <w:color w:val="auto"/>
              </w:rPr>
              <w:t>CHIMERIC GAPPED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CHEM0020USA</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8"/>
              </w:rPr>
              <w:t>11/569,941</w:t>
            </w:r>
          </w:p>
        </w:tc>
        <w:tc>
          <w:tcPr>
            <w:tcW w:w="5460" w:type="dxa"/>
            <w:vAlign w:val="bottom"/>
          </w:tcPr>
          <w:p>
            <w:pPr>
              <w:ind w:left="80"/>
              <w:spacing w:after="0"/>
              <w:rPr>
                <w:sz w:val="20"/>
                <w:szCs w:val="20"/>
                <w:color w:val="auto"/>
              </w:rPr>
            </w:pPr>
            <w:r>
              <w:rPr>
                <w:rFonts w:ascii="Arial" w:cs="Arial" w:eastAsia="Arial" w:hAnsi="Arial"/>
                <w:sz w:val="18"/>
                <w:szCs w:val="18"/>
                <w:color w:val="auto"/>
              </w:rPr>
              <w:t>CHIMERIC GAPPED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CHEM0020WO</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96"/>
              </w:rPr>
              <w:t>WO</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rPr>
              <w:t>INACTIVE</w:t>
            </w: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PCT/US2004/017522CHIMERIC GAPPED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CHEM0022EP</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91"/>
              </w:rPr>
              <w:t>EP</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9"/>
              </w:rPr>
              <w:t>4754153.7</w:t>
            </w:r>
          </w:p>
        </w:tc>
        <w:tc>
          <w:tcPr>
            <w:tcW w:w="5460" w:type="dxa"/>
            <w:vAlign w:val="bottom"/>
          </w:tcPr>
          <w:p>
            <w:pPr>
              <w:ind w:left="80"/>
              <w:spacing w:after="0"/>
              <w:rPr>
                <w:sz w:val="20"/>
                <w:szCs w:val="20"/>
                <w:color w:val="auto"/>
              </w:rPr>
            </w:pPr>
            <w:r>
              <w:rPr>
                <w:rFonts w:ascii="Arial" w:cs="Arial" w:eastAsia="Arial" w:hAnsi="Arial"/>
                <w:sz w:val="18"/>
                <w:szCs w:val="18"/>
                <w:color w:val="auto"/>
              </w:rPr>
              <w:t>POSITIONALLY MODIFIED SIRNA CONSTRUCTS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CHEM0022USA</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8"/>
              </w:rPr>
              <w:t>11/569,939</w:t>
            </w:r>
          </w:p>
        </w:tc>
        <w:tc>
          <w:tcPr>
            <w:tcW w:w="5460" w:type="dxa"/>
            <w:vAlign w:val="bottom"/>
          </w:tcPr>
          <w:p>
            <w:pPr>
              <w:ind w:left="80"/>
              <w:spacing w:after="0"/>
              <w:rPr>
                <w:sz w:val="20"/>
                <w:szCs w:val="20"/>
                <w:color w:val="auto"/>
              </w:rPr>
            </w:pPr>
            <w:r>
              <w:rPr>
                <w:rFonts w:ascii="Arial" w:cs="Arial" w:eastAsia="Arial" w:hAnsi="Arial"/>
                <w:sz w:val="18"/>
                <w:szCs w:val="18"/>
                <w:color w:val="auto"/>
              </w:rPr>
              <w:t>POSITIONALLY MODIFIED SIRNA CONSTRUCTS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CHEM0022WO</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96"/>
              </w:rPr>
              <w:t>WO</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rPr>
              <w:t>INACTIVE</w:t>
            </w: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PCT/US2004/017485POSITIONALLY MODIFIED SIRNA CONSTRUCTS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CHEM0023US</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8"/>
              </w:rPr>
              <w:t>11/251,564</w:t>
            </w:r>
          </w:p>
        </w:tc>
        <w:tc>
          <w:tcPr>
            <w:tcW w:w="5460" w:type="dxa"/>
            <w:vAlign w:val="bottom"/>
          </w:tcPr>
          <w:p>
            <w:pPr>
              <w:ind w:left="80"/>
              <w:spacing w:after="0"/>
              <w:rPr>
                <w:sz w:val="20"/>
                <w:szCs w:val="20"/>
                <w:color w:val="auto"/>
              </w:rPr>
            </w:pPr>
            <w:r>
              <w:rPr>
                <w:rFonts w:ascii="Arial" w:cs="Arial" w:eastAsia="Arial" w:hAnsi="Arial"/>
                <w:sz w:val="18"/>
                <w:szCs w:val="18"/>
                <w:color w:val="auto"/>
              </w:rPr>
              <w:t>OLIGOMERIC COMPOSITIONS AND METHODS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CHEM0026US.L</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PYRROLIDINYL GROUPS FOR ATTACHING CONJUGATES TO</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CHEM0026USA</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8"/>
              </w:rPr>
              <w:t>11/574,396</w:t>
            </w:r>
          </w:p>
        </w:tc>
        <w:tc>
          <w:tcPr>
            <w:tcW w:w="5460" w:type="dxa"/>
            <w:vAlign w:val="bottom"/>
          </w:tcPr>
          <w:p>
            <w:pPr>
              <w:ind w:left="80"/>
              <w:spacing w:after="0"/>
              <w:rPr>
                <w:sz w:val="20"/>
                <w:szCs w:val="20"/>
                <w:color w:val="auto"/>
              </w:rPr>
            </w:pPr>
            <w:r>
              <w:rPr>
                <w:rFonts w:ascii="Arial" w:cs="Arial" w:eastAsia="Arial" w:hAnsi="Arial"/>
                <w:sz w:val="18"/>
                <w:szCs w:val="18"/>
                <w:color w:val="auto"/>
              </w:rPr>
              <w:t>PYRROLIDINYL GROUPS FOR ATTACHING CONJUGATES TO</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CHEM0026WO</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96"/>
              </w:rPr>
              <w:t>WO</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rPr>
              <w:t>INACTIVE</w:t>
            </w: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w w:val="99"/>
              </w:rPr>
              <w:t>PCT/US2005/031269PYRROLIDINYL GROUPS FOR ATTACHING CONJUGATES TO</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CHEM0027US</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8"/>
              </w:rPr>
              <w:t>11/627,964</w:t>
            </w:r>
          </w:p>
        </w:tc>
        <w:tc>
          <w:tcPr>
            <w:tcW w:w="5460" w:type="dxa"/>
            <w:vAlign w:val="bottom"/>
          </w:tcPr>
          <w:p>
            <w:pPr>
              <w:ind w:left="80"/>
              <w:spacing w:after="0"/>
              <w:rPr>
                <w:sz w:val="20"/>
                <w:szCs w:val="20"/>
                <w:color w:val="auto"/>
              </w:rPr>
            </w:pPr>
            <w:r>
              <w:rPr>
                <w:rFonts w:ascii="Arial" w:cs="Arial" w:eastAsia="Arial" w:hAnsi="Arial"/>
                <w:sz w:val="18"/>
                <w:szCs w:val="18"/>
                <w:color w:val="auto"/>
              </w:rPr>
              <w:t>6-MODIFIED BICYCLIC NUCLEIC ACID ANALOGS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CHEM0027US.P1</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8"/>
              </w:rPr>
              <w:t>11/747,042</w:t>
            </w:r>
          </w:p>
        </w:tc>
        <w:tc>
          <w:tcPr>
            <w:tcW w:w="5460" w:type="dxa"/>
            <w:vAlign w:val="bottom"/>
          </w:tcPr>
          <w:p>
            <w:pPr>
              <w:ind w:left="80"/>
              <w:spacing w:after="0"/>
              <w:rPr>
                <w:sz w:val="20"/>
                <w:szCs w:val="20"/>
                <w:color w:val="auto"/>
              </w:rPr>
            </w:pPr>
            <w:r>
              <w:rPr>
                <w:rFonts w:ascii="Arial" w:cs="Arial" w:eastAsia="Arial" w:hAnsi="Arial"/>
                <w:sz w:val="18"/>
                <w:szCs w:val="18"/>
                <w:color w:val="auto"/>
              </w:rPr>
              <w:t>COMPOUNDS AND METHODS FOR SYNTHESIS OF BICYCLIC</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NUCLEIC ACID ANALOGS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CHEM0027WO</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96"/>
              </w:rPr>
              <w:t>WO</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rPr>
              <w:t>INACTIVE</w:t>
            </w: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PCT/US2007/0611836-MODIFIED BICYCLIC NUCLEIC ACID ANALOGS</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CHEM0029US</w:t>
            </w:r>
          </w:p>
        </w:tc>
        <w:tc>
          <w:tcPr>
            <w:tcW w:w="1100" w:type="dxa"/>
            <w:vAlign w:val="bottom"/>
          </w:tcPr>
          <w:p>
            <w:pPr>
              <w:jc w:val="center"/>
              <w:ind w:right="71"/>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ind w:left="131"/>
              <w:spacing w:after="0"/>
              <w:rPr>
                <w:sz w:val="20"/>
                <w:szCs w:val="20"/>
                <w:color w:val="auto"/>
              </w:rPr>
            </w:pPr>
            <w:r>
              <w:rPr>
                <w:rFonts w:ascii="Arial" w:cs="Arial" w:eastAsia="Arial" w:hAnsi="Arial"/>
                <w:sz w:val="18"/>
                <w:szCs w:val="18"/>
                <w:color w:val="auto"/>
                <w:w w:val="97"/>
              </w:rPr>
              <w:t>FILED</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88"/>
              </w:rPr>
              <w:t>11/747,057</w:t>
            </w:r>
          </w:p>
        </w:tc>
        <w:tc>
          <w:tcPr>
            <w:tcW w:w="5460" w:type="dxa"/>
            <w:vAlign w:val="bottom"/>
          </w:tcPr>
          <w:p>
            <w:pPr>
              <w:ind w:left="80"/>
              <w:spacing w:after="0"/>
              <w:rPr>
                <w:sz w:val="20"/>
                <w:szCs w:val="20"/>
                <w:color w:val="auto"/>
              </w:rPr>
            </w:pPr>
            <w:r>
              <w:rPr>
                <w:rFonts w:ascii="Arial" w:cs="Arial" w:eastAsia="Arial" w:hAnsi="Arial"/>
                <w:sz w:val="18"/>
                <w:szCs w:val="18"/>
                <w:color w:val="auto"/>
              </w:rPr>
              <w:t>5’-MODIFIED BICYCLIC NUCLEIC ACID ANALOGS</w:t>
            </w:r>
          </w:p>
        </w:tc>
      </w:tr>
    </w:tbl>
    <w:p>
      <w:pPr>
        <w:sectPr>
          <w:pgSz w:w="11900" w:h="16838" w:orient="portrait"/>
          <w:cols w:equalWidth="0" w:num="1">
            <w:col w:w="11180"/>
          </w:cols>
          <w:pgMar w:left="240" w:top="341" w:right="47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20"/>
                <w:szCs w:val="20"/>
                <w:color w:val="auto"/>
              </w:rPr>
            </w:pPr>
            <w:r>
              <w:rPr>
                <w:rFonts w:ascii="Arial" w:cs="Arial" w:eastAsia="Arial" w:hAnsi="Arial"/>
                <w:sz w:val="14"/>
                <w:szCs w:val="14"/>
                <w:b w:val="1"/>
                <w:bCs w:val="1"/>
                <w:color w:val="auto"/>
              </w:rPr>
              <w:t>Isis Docket Number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740" w:type="dxa"/>
            <w:vAlign w:val="bottom"/>
          </w:tcPr>
          <w:p>
            <w:pPr>
              <w:jc w:val="center"/>
              <w:ind w:left="131"/>
              <w:spacing w:after="0"/>
              <w:rPr>
                <w:sz w:val="20"/>
                <w:szCs w:val="20"/>
                <w:color w:val="auto"/>
              </w:rPr>
            </w:pPr>
            <w:r>
              <w:rPr>
                <w:rFonts w:ascii="Arial" w:cs="Arial" w:eastAsia="Arial" w:hAnsi="Arial"/>
                <w:sz w:val="14"/>
                <w:szCs w:val="14"/>
                <w:b w:val="1"/>
                <w:bCs w:val="1"/>
                <w:color w:val="auto"/>
                <w:w w:val="93"/>
              </w:rPr>
              <w:t>Status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Application Number</w:t>
            </w:r>
          </w:p>
        </w:tc>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CHEM0029US.L</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w w:val="96"/>
              </w:rPr>
              <w:t>EXPIRED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60/747,059</w:t>
            </w:r>
          </w:p>
        </w:tc>
        <w:tc>
          <w:tcPr>
            <w:tcW w:w="5620" w:type="dxa"/>
            <w:vAlign w:val="bottom"/>
          </w:tcPr>
          <w:p>
            <w:pPr>
              <w:ind w:left="20"/>
              <w:spacing w:after="0"/>
              <w:rPr>
                <w:sz w:val="20"/>
                <w:szCs w:val="20"/>
                <w:color w:val="auto"/>
              </w:rPr>
            </w:pPr>
            <w:r>
              <w:rPr>
                <w:rFonts w:ascii="Arial" w:cs="Arial" w:eastAsia="Arial" w:hAnsi="Arial"/>
                <w:sz w:val="18"/>
                <w:szCs w:val="18"/>
                <w:color w:val="auto"/>
              </w:rPr>
              <w:t>5’-MODIFIED BICYCLIC NUCLEIC ACID ANALOGS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CHEM0029WO</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WO</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PCT/US2007/68690</w:t>
            </w:r>
          </w:p>
        </w:tc>
        <w:tc>
          <w:tcPr>
            <w:tcW w:w="5620" w:type="dxa"/>
            <w:vAlign w:val="bottom"/>
          </w:tcPr>
          <w:p>
            <w:pPr>
              <w:ind w:left="20"/>
              <w:spacing w:after="0"/>
              <w:rPr>
                <w:sz w:val="20"/>
                <w:szCs w:val="20"/>
                <w:color w:val="auto"/>
              </w:rPr>
            </w:pPr>
            <w:r>
              <w:rPr>
                <w:rFonts w:ascii="Arial" w:cs="Arial" w:eastAsia="Arial" w:hAnsi="Arial"/>
                <w:sz w:val="18"/>
                <w:szCs w:val="18"/>
                <w:color w:val="auto"/>
              </w:rPr>
              <w:t>5’-MODIFIED BICYCLIC NUCLEIC ACID ANALOGS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CHEM0030US.L</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INACTIVE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60/820,431</w:t>
            </w:r>
          </w:p>
        </w:tc>
        <w:tc>
          <w:tcPr>
            <w:tcW w:w="5620" w:type="dxa"/>
            <w:vAlign w:val="bottom"/>
          </w:tcPr>
          <w:p>
            <w:pPr>
              <w:ind w:left="20"/>
              <w:spacing w:after="0"/>
              <w:rPr>
                <w:sz w:val="20"/>
                <w:szCs w:val="20"/>
                <w:color w:val="auto"/>
              </w:rPr>
            </w:pPr>
            <w:r>
              <w:rPr>
                <w:rFonts w:ascii="Arial" w:cs="Arial" w:eastAsia="Arial" w:hAnsi="Arial"/>
                <w:sz w:val="18"/>
                <w:szCs w:val="18"/>
                <w:color w:val="auto"/>
              </w:rPr>
              <w:t>BICYCLIC CYCLOHEXOSE NUCLEIC ACID ANALOGS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CHEM0035US.L</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60/890,079</w:t>
            </w:r>
          </w:p>
        </w:tc>
        <w:tc>
          <w:tcPr>
            <w:tcW w:w="5620" w:type="dxa"/>
            <w:vAlign w:val="bottom"/>
          </w:tcPr>
          <w:p>
            <w:pPr>
              <w:ind w:left="20"/>
              <w:spacing w:after="0"/>
              <w:rPr>
                <w:sz w:val="20"/>
                <w:szCs w:val="20"/>
                <w:color w:val="auto"/>
              </w:rPr>
            </w:pPr>
            <w:r>
              <w:rPr>
                <w:rFonts w:ascii="Arial" w:cs="Arial" w:eastAsia="Arial" w:hAnsi="Arial"/>
                <w:sz w:val="18"/>
                <w:szCs w:val="18"/>
                <w:color w:val="auto"/>
                <w:w w:val="97"/>
              </w:rPr>
              <w:t>5’-SUBSTITUTED-2’-F MODIFIED NUCLEOSIDES AND OLIGOMERIC</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COMPOUNDS PREPARED THEREFROM</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CHEM0036US.L</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60/871,397</w:t>
            </w:r>
          </w:p>
        </w:tc>
        <w:tc>
          <w:tcPr>
            <w:tcW w:w="5620" w:type="dxa"/>
            <w:vAlign w:val="bottom"/>
          </w:tcPr>
          <w:p>
            <w:pPr>
              <w:ind w:left="20"/>
              <w:spacing w:after="0"/>
              <w:rPr>
                <w:sz w:val="20"/>
                <w:szCs w:val="20"/>
                <w:color w:val="auto"/>
              </w:rPr>
            </w:pPr>
            <w:r>
              <w:rPr>
                <w:rFonts w:ascii="Arial" w:cs="Arial" w:eastAsia="Arial" w:hAnsi="Arial"/>
                <w:sz w:val="18"/>
                <w:szCs w:val="18"/>
                <w:color w:val="auto"/>
              </w:rPr>
              <w:t>OLIGOMERIC COMPOUNDS HAVING A MODIFIED HEMIMER</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MOTIF</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CHEM0037US.L</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60/895,019</w:t>
            </w:r>
          </w:p>
        </w:tc>
        <w:tc>
          <w:tcPr>
            <w:tcW w:w="5620" w:type="dxa"/>
            <w:vAlign w:val="bottom"/>
          </w:tcPr>
          <w:p>
            <w:pPr>
              <w:ind w:left="20"/>
              <w:spacing w:after="0"/>
              <w:rPr>
                <w:sz w:val="20"/>
                <w:szCs w:val="20"/>
                <w:color w:val="auto"/>
              </w:rPr>
            </w:pPr>
            <w:r>
              <w:rPr>
                <w:rFonts w:ascii="Arial" w:cs="Arial" w:eastAsia="Arial" w:hAnsi="Arial"/>
                <w:sz w:val="18"/>
                <w:szCs w:val="18"/>
                <w:color w:val="auto"/>
              </w:rPr>
              <w:t>BICYCLIC CYCLOHEXITOL NUCLEIC ACID ANALOGS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CORE0026EP</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4788713.8</w:t>
            </w:r>
          </w:p>
        </w:tc>
        <w:tc>
          <w:tcPr>
            <w:tcW w:w="5620" w:type="dxa"/>
            <w:vAlign w:val="bottom"/>
          </w:tcPr>
          <w:p>
            <w:pPr>
              <w:ind w:left="20"/>
              <w:spacing w:after="0"/>
              <w:rPr>
                <w:sz w:val="20"/>
                <w:szCs w:val="20"/>
                <w:color w:val="auto"/>
              </w:rPr>
            </w:pPr>
            <w:r>
              <w:rPr>
                <w:rFonts w:ascii="Arial" w:cs="Arial" w:eastAsia="Arial" w:hAnsi="Arial"/>
                <w:sz w:val="18"/>
                <w:szCs w:val="18"/>
                <w:color w:val="auto"/>
              </w:rPr>
              <w:t>CHIMERIC OLIGOMERIC COMPOUNDS COMPRISING</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ALTERNATING REGIONS OF NORTHERN AND SOUTHERN</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CONFORMATIONAL GEOMETRY</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CORE0026US</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10/936,273</w:t>
            </w:r>
          </w:p>
        </w:tc>
        <w:tc>
          <w:tcPr>
            <w:tcW w:w="5620" w:type="dxa"/>
            <w:vAlign w:val="bottom"/>
          </w:tcPr>
          <w:p>
            <w:pPr>
              <w:ind w:left="20"/>
              <w:spacing w:after="0"/>
              <w:rPr>
                <w:sz w:val="20"/>
                <w:szCs w:val="20"/>
                <w:color w:val="auto"/>
              </w:rPr>
            </w:pPr>
            <w:r>
              <w:rPr>
                <w:rFonts w:ascii="Arial" w:cs="Arial" w:eastAsia="Arial" w:hAnsi="Arial"/>
                <w:sz w:val="18"/>
                <w:szCs w:val="18"/>
                <w:color w:val="auto"/>
              </w:rPr>
              <w:t>CHIMERIC OLIGOMERIC COMPOUNDS COMPRISING</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ALTERNATING REGIONS OF NORTHERN AND SOUTHERN</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CONFORMATIONAL GEOMETRY</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CORE0026WO</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WO</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INACTIVE</w:t>
            </w: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PCT/US2004/029821CHIMERIC OLIGOMERIC COMPOUNDS COMPRISING</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ALTERNATING REGIONS OF NORTHERN AND SOUTHERN</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CONFORMATIONAL GEOMETRY</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CORE0030EP</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4788853.2</w:t>
            </w:r>
          </w:p>
        </w:tc>
        <w:tc>
          <w:tcPr>
            <w:tcW w:w="5620" w:type="dxa"/>
            <w:vAlign w:val="bottom"/>
          </w:tcPr>
          <w:p>
            <w:pPr>
              <w:ind w:left="20"/>
              <w:spacing w:after="0"/>
              <w:rPr>
                <w:sz w:val="20"/>
                <w:szCs w:val="20"/>
                <w:color w:val="auto"/>
              </w:rPr>
            </w:pPr>
            <w:r>
              <w:rPr>
                <w:rFonts w:ascii="Arial" w:cs="Arial" w:eastAsia="Arial" w:hAnsi="Arial"/>
                <w:sz w:val="18"/>
                <w:szCs w:val="18"/>
                <w:color w:val="auto"/>
              </w:rPr>
              <w:t>ANTISENSE OLIGONUCLEOTIDES OPTIMIZED FOR KIDNEY</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TARGETING</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CORE0030US</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10/946,498</w:t>
            </w:r>
          </w:p>
        </w:tc>
        <w:tc>
          <w:tcPr>
            <w:tcW w:w="5620" w:type="dxa"/>
            <w:vAlign w:val="bottom"/>
          </w:tcPr>
          <w:p>
            <w:pPr>
              <w:ind w:left="20"/>
              <w:spacing w:after="0"/>
              <w:rPr>
                <w:sz w:val="20"/>
                <w:szCs w:val="20"/>
                <w:color w:val="auto"/>
              </w:rPr>
            </w:pPr>
            <w:r>
              <w:rPr>
                <w:rFonts w:ascii="Arial" w:cs="Arial" w:eastAsia="Arial" w:hAnsi="Arial"/>
                <w:sz w:val="18"/>
                <w:szCs w:val="18"/>
                <w:color w:val="auto"/>
              </w:rPr>
              <w:t>ANTISENSE OLIGONUCLEOTIDES OPTIMIZED FOR KIDNEY</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TARGETING</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CORE0030WO</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WO</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INACTIVE</w:t>
            </w: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PCT/US2004/030785ANTISENSE OLIGONUCLEOTIDES OPTIMIZED FOR KIDNEY</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TARGETING</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CORE0051AU</w:t>
            </w:r>
          </w:p>
        </w:tc>
        <w:tc>
          <w:tcPr>
            <w:tcW w:w="980" w:type="dxa"/>
            <w:vAlign w:val="bottom"/>
          </w:tcPr>
          <w:p>
            <w:pPr>
              <w:jc w:val="center"/>
              <w:spacing w:after="0"/>
              <w:rPr>
                <w:sz w:val="20"/>
                <w:szCs w:val="20"/>
                <w:color w:val="auto"/>
              </w:rPr>
            </w:pPr>
            <w:r>
              <w:rPr>
                <w:rFonts w:ascii="Arial" w:cs="Arial" w:eastAsia="Arial" w:hAnsi="Arial"/>
                <w:sz w:val="18"/>
                <w:szCs w:val="18"/>
                <w:color w:val="auto"/>
              </w:rPr>
              <w:t>AU</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2005286738</w:t>
            </w:r>
          </w:p>
        </w:tc>
        <w:tc>
          <w:tcPr>
            <w:tcW w:w="5620" w:type="dxa"/>
            <w:vAlign w:val="bottom"/>
          </w:tcPr>
          <w:p>
            <w:pPr>
              <w:ind w:left="20"/>
              <w:spacing w:after="0"/>
              <w:rPr>
                <w:sz w:val="20"/>
                <w:szCs w:val="20"/>
                <w:color w:val="auto"/>
              </w:rPr>
            </w:pPr>
            <w:r>
              <w:rPr>
                <w:rFonts w:ascii="Arial" w:cs="Arial" w:eastAsia="Arial" w:hAnsi="Arial"/>
                <w:sz w:val="18"/>
                <w:szCs w:val="18"/>
                <w:color w:val="auto"/>
              </w:rPr>
              <w:t>ENHANCED ANTISENSE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CORE0051CA</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2580504</w:t>
            </w:r>
          </w:p>
        </w:tc>
        <w:tc>
          <w:tcPr>
            <w:tcW w:w="5620" w:type="dxa"/>
            <w:vAlign w:val="bottom"/>
          </w:tcPr>
          <w:p>
            <w:pPr>
              <w:ind w:left="20"/>
              <w:spacing w:after="0"/>
              <w:rPr>
                <w:sz w:val="20"/>
                <w:szCs w:val="20"/>
                <w:color w:val="auto"/>
              </w:rPr>
            </w:pPr>
            <w:r>
              <w:rPr>
                <w:rFonts w:ascii="Arial" w:cs="Arial" w:eastAsia="Arial" w:hAnsi="Arial"/>
                <w:sz w:val="18"/>
                <w:szCs w:val="18"/>
                <w:color w:val="auto"/>
              </w:rPr>
              <w:t>ENHANCED ANTISENSE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CORE0051EP</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5798891.7</w:t>
            </w:r>
          </w:p>
        </w:tc>
        <w:tc>
          <w:tcPr>
            <w:tcW w:w="5620" w:type="dxa"/>
            <w:vAlign w:val="bottom"/>
          </w:tcPr>
          <w:p>
            <w:pPr>
              <w:ind w:left="20"/>
              <w:spacing w:after="0"/>
              <w:rPr>
                <w:sz w:val="20"/>
                <w:szCs w:val="20"/>
                <w:color w:val="auto"/>
              </w:rPr>
            </w:pPr>
            <w:r>
              <w:rPr>
                <w:rFonts w:ascii="Arial" w:cs="Arial" w:eastAsia="Arial" w:hAnsi="Arial"/>
                <w:sz w:val="18"/>
                <w:szCs w:val="18"/>
                <w:color w:val="auto"/>
              </w:rPr>
              <w:t>ENHANCED ANTISENSE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CORE0051JP</w:t>
            </w:r>
          </w:p>
        </w:tc>
        <w:tc>
          <w:tcPr>
            <w:tcW w:w="9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TBD</w:t>
            </w:r>
          </w:p>
        </w:tc>
        <w:tc>
          <w:tcPr>
            <w:tcW w:w="5620" w:type="dxa"/>
            <w:vAlign w:val="bottom"/>
          </w:tcPr>
          <w:p>
            <w:pPr>
              <w:ind w:left="20"/>
              <w:spacing w:after="0"/>
              <w:rPr>
                <w:sz w:val="20"/>
                <w:szCs w:val="20"/>
                <w:color w:val="auto"/>
              </w:rPr>
            </w:pPr>
            <w:r>
              <w:rPr>
                <w:rFonts w:ascii="Arial" w:cs="Arial" w:eastAsia="Arial" w:hAnsi="Arial"/>
                <w:sz w:val="18"/>
                <w:szCs w:val="18"/>
                <w:color w:val="auto"/>
              </w:rPr>
              <w:t>ENHANCED ANTISENSE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CORE0051US</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11/231,243</w:t>
            </w:r>
          </w:p>
        </w:tc>
        <w:tc>
          <w:tcPr>
            <w:tcW w:w="5620" w:type="dxa"/>
            <w:vAlign w:val="bottom"/>
          </w:tcPr>
          <w:p>
            <w:pPr>
              <w:ind w:left="20"/>
              <w:spacing w:after="0"/>
              <w:rPr>
                <w:sz w:val="20"/>
                <w:szCs w:val="20"/>
                <w:color w:val="auto"/>
              </w:rPr>
            </w:pPr>
            <w:r>
              <w:rPr>
                <w:rFonts w:ascii="Arial" w:cs="Arial" w:eastAsia="Arial" w:hAnsi="Arial"/>
                <w:sz w:val="18"/>
                <w:szCs w:val="18"/>
                <w:color w:val="auto"/>
              </w:rPr>
              <w:t>ENHANCED ANTISENSE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CORE0051WO</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WO</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INACTIVE</w:t>
            </w: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PCT/US2005/033837ENHANCED ANTISENSE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CORE0070US.L</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60/852,894</w:t>
            </w:r>
          </w:p>
        </w:tc>
        <w:tc>
          <w:tcPr>
            <w:tcW w:w="5620" w:type="dxa"/>
            <w:vAlign w:val="bottom"/>
          </w:tcPr>
          <w:p>
            <w:pPr>
              <w:ind w:left="20"/>
              <w:spacing w:after="0"/>
              <w:rPr>
                <w:sz w:val="20"/>
                <w:szCs w:val="20"/>
                <w:color w:val="auto"/>
              </w:rPr>
            </w:pPr>
            <w:r>
              <w:rPr>
                <w:rFonts w:ascii="Arial" w:cs="Arial" w:eastAsia="Arial" w:hAnsi="Arial"/>
                <w:sz w:val="18"/>
                <w:szCs w:val="18"/>
                <w:color w:val="auto"/>
              </w:rPr>
              <w:t>ANTISENSE COMPOUNDS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GLIS-0172</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10/921,734</w:t>
            </w:r>
          </w:p>
        </w:tc>
        <w:tc>
          <w:tcPr>
            <w:tcW w:w="5620" w:type="dxa"/>
            <w:vAlign w:val="bottom"/>
          </w:tcPr>
          <w:p>
            <w:pPr>
              <w:ind w:left="20"/>
              <w:spacing w:after="0"/>
              <w:rPr>
                <w:sz w:val="20"/>
                <w:szCs w:val="20"/>
                <w:color w:val="auto"/>
              </w:rPr>
            </w:pPr>
            <w:r>
              <w:rPr>
                <w:rFonts w:ascii="Arial" w:cs="Arial" w:eastAsia="Arial" w:hAnsi="Arial"/>
                <w:sz w:val="18"/>
                <w:szCs w:val="18"/>
                <w:color w:val="auto"/>
              </w:rPr>
              <w:t>PYRIMIDINE DERIVATIVES FOR LABELED BINDING PARTNERS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GLIS-0173</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w w:val="99"/>
              </w:rPr>
              <w:t>ABANDONED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11/064,374</w:t>
            </w:r>
          </w:p>
        </w:tc>
        <w:tc>
          <w:tcPr>
            <w:tcW w:w="5620" w:type="dxa"/>
            <w:vAlign w:val="bottom"/>
          </w:tcPr>
          <w:p>
            <w:pPr>
              <w:ind w:left="20"/>
              <w:spacing w:after="0"/>
              <w:rPr>
                <w:sz w:val="20"/>
                <w:szCs w:val="20"/>
                <w:color w:val="auto"/>
              </w:rPr>
            </w:pPr>
            <w:r>
              <w:rPr>
                <w:rFonts w:ascii="Arial" w:cs="Arial" w:eastAsia="Arial" w:hAnsi="Arial"/>
                <w:sz w:val="18"/>
                <w:szCs w:val="18"/>
                <w:color w:val="auto"/>
              </w:rPr>
              <w:t>2’ MODIFIED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HYBN-175.1CA</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2473906</w:t>
            </w:r>
          </w:p>
        </w:tc>
        <w:tc>
          <w:tcPr>
            <w:tcW w:w="5620" w:type="dxa"/>
            <w:vAlign w:val="bottom"/>
          </w:tcPr>
          <w:p>
            <w:pPr>
              <w:ind w:left="20"/>
              <w:spacing w:after="0"/>
              <w:rPr>
                <w:sz w:val="20"/>
                <w:szCs w:val="20"/>
                <w:color w:val="auto"/>
              </w:rPr>
            </w:pPr>
            <w:r>
              <w:rPr>
                <w:rFonts w:ascii="Arial" w:cs="Arial" w:eastAsia="Arial" w:hAnsi="Arial"/>
                <w:sz w:val="18"/>
                <w:szCs w:val="18"/>
                <w:color w:val="auto"/>
              </w:rPr>
              <w:t>COOPERATIVE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HYBN-175.1EP</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3732025.6</w:t>
            </w:r>
          </w:p>
        </w:tc>
        <w:tc>
          <w:tcPr>
            <w:tcW w:w="5620" w:type="dxa"/>
            <w:vAlign w:val="bottom"/>
          </w:tcPr>
          <w:p>
            <w:pPr>
              <w:ind w:left="20"/>
              <w:spacing w:after="0"/>
              <w:rPr>
                <w:sz w:val="20"/>
                <w:szCs w:val="20"/>
                <w:color w:val="auto"/>
              </w:rPr>
            </w:pPr>
            <w:r>
              <w:rPr>
                <w:rFonts w:ascii="Arial" w:cs="Arial" w:eastAsia="Arial" w:hAnsi="Arial"/>
                <w:sz w:val="18"/>
                <w:szCs w:val="18"/>
                <w:color w:val="auto"/>
              </w:rPr>
              <w:t>COOPERATIVE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HYBN-175.1JP</w:t>
            </w:r>
          </w:p>
        </w:tc>
        <w:tc>
          <w:tcPr>
            <w:tcW w:w="9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w w:val="99"/>
              </w:rPr>
              <w:t>ABANDONED</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2003-562339</w:t>
            </w:r>
          </w:p>
        </w:tc>
        <w:tc>
          <w:tcPr>
            <w:tcW w:w="5620" w:type="dxa"/>
            <w:vAlign w:val="bottom"/>
          </w:tcPr>
          <w:p>
            <w:pPr>
              <w:ind w:left="20"/>
              <w:spacing w:after="0"/>
              <w:rPr>
                <w:sz w:val="20"/>
                <w:szCs w:val="20"/>
                <w:color w:val="auto"/>
              </w:rPr>
            </w:pPr>
            <w:r>
              <w:rPr>
                <w:rFonts w:ascii="Arial" w:cs="Arial" w:eastAsia="Arial" w:hAnsi="Arial"/>
                <w:sz w:val="18"/>
                <w:szCs w:val="18"/>
                <w:color w:val="auto"/>
              </w:rPr>
              <w:t>COOPERATIVE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ISIS-5213US.C1</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11/457,703</w:t>
            </w:r>
          </w:p>
        </w:tc>
        <w:tc>
          <w:tcPr>
            <w:tcW w:w="5620" w:type="dxa"/>
            <w:vAlign w:val="bottom"/>
          </w:tcPr>
          <w:p>
            <w:pPr>
              <w:ind w:left="2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ISIS-5213US.C2</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11/457,715</w:t>
            </w:r>
          </w:p>
        </w:tc>
        <w:tc>
          <w:tcPr>
            <w:tcW w:w="5620" w:type="dxa"/>
            <w:vAlign w:val="bottom"/>
          </w:tcPr>
          <w:p>
            <w:pPr>
              <w:ind w:left="2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ISIS-5475</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w w:val="92"/>
              </w:rPr>
              <w:t>GRANTED (Reissue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10/925,348</w:t>
            </w:r>
          </w:p>
        </w:tc>
        <w:tc>
          <w:tcPr>
            <w:tcW w:w="5620" w:type="dxa"/>
            <w:vAlign w:val="bottom"/>
          </w:tcPr>
          <w:p>
            <w:pPr>
              <w:ind w:left="20"/>
              <w:spacing w:after="0"/>
              <w:rPr>
                <w:sz w:val="20"/>
                <w:szCs w:val="20"/>
                <w:color w:val="auto"/>
              </w:rPr>
            </w:pPr>
            <w:r>
              <w:rPr>
                <w:rFonts w:ascii="Arial" w:cs="Arial" w:eastAsia="Arial" w:hAnsi="Arial"/>
                <w:sz w:val="18"/>
                <w:szCs w:val="18"/>
                <w:color w:val="auto"/>
                <w:w w:val="98"/>
              </w:rPr>
              <w:t>METHODS AND COMPOSTIONS COVERING CHIMERIC OLIOMERS</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jc w:val="center"/>
              <w:ind w:left="131"/>
              <w:spacing w:after="0"/>
              <w:rPr>
                <w:sz w:val="20"/>
                <w:szCs w:val="20"/>
                <w:color w:val="auto"/>
              </w:rPr>
            </w:pPr>
            <w:r>
              <w:rPr>
                <w:rFonts w:ascii="Arial" w:cs="Arial" w:eastAsia="Arial" w:hAnsi="Arial"/>
                <w:sz w:val="18"/>
                <w:szCs w:val="18"/>
                <w:color w:val="auto"/>
                <w:w w:val="89"/>
              </w:rPr>
              <w:t>Patent)</w:t>
            </w: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w w:val="99"/>
              </w:rPr>
              <w:t>(GAPMERS) HEMIMERS AND [HAVING (Sp)n-(Rp)m-(Sp)p] WHERE</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THE CONFIGURATION</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ISIS-5481</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10/859,825</w:t>
            </w:r>
          </w:p>
        </w:tc>
        <w:tc>
          <w:tcPr>
            <w:tcW w:w="5620" w:type="dxa"/>
            <w:vAlign w:val="bottom"/>
          </w:tcPr>
          <w:p>
            <w:pPr>
              <w:ind w:left="20"/>
              <w:spacing w:after="0"/>
              <w:rPr>
                <w:sz w:val="20"/>
                <w:szCs w:val="20"/>
                <w:color w:val="auto"/>
              </w:rPr>
            </w:pPr>
            <w:r>
              <w:rPr>
                <w:rFonts w:ascii="Arial" w:cs="Arial" w:eastAsia="Arial" w:hAnsi="Arial"/>
                <w:sz w:val="18"/>
                <w:szCs w:val="18"/>
                <w:color w:val="auto"/>
              </w:rPr>
              <w:t>CHIMERIC OLIGOMERIC COMPOUNDS AND THEIR USE IN GENE</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MODULATION</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ISIS-5553</w:t>
            </w:r>
          </w:p>
        </w:tc>
        <w:tc>
          <w:tcPr>
            <w:tcW w:w="980" w:type="dxa"/>
            <w:vAlign w:val="bottom"/>
          </w:tcPr>
          <w:p>
            <w:pPr>
              <w:jc w:val="center"/>
              <w:spacing w:after="0"/>
              <w:rPr>
                <w:sz w:val="20"/>
                <w:szCs w:val="20"/>
                <w:color w:val="auto"/>
              </w:rPr>
            </w:pPr>
            <w:r>
              <w:rPr>
                <w:rFonts w:ascii="Arial" w:cs="Arial" w:eastAsia="Arial" w:hAnsi="Arial"/>
                <w:sz w:val="18"/>
                <w:szCs w:val="18"/>
                <w:color w:val="auto"/>
              </w:rPr>
              <w:t>AU</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2003228477</w:t>
            </w:r>
          </w:p>
        </w:tc>
        <w:tc>
          <w:tcPr>
            <w:tcW w:w="5620" w:type="dxa"/>
            <w:vAlign w:val="bottom"/>
          </w:tcPr>
          <w:p>
            <w:pPr>
              <w:ind w:left="20"/>
              <w:spacing w:after="0"/>
              <w:rPr>
                <w:sz w:val="20"/>
                <w:szCs w:val="20"/>
                <w:color w:val="auto"/>
              </w:rPr>
            </w:pPr>
            <w:r>
              <w:rPr>
                <w:rFonts w:ascii="Arial" w:cs="Arial" w:eastAsia="Arial" w:hAnsi="Arial"/>
                <w:sz w:val="18"/>
                <w:szCs w:val="18"/>
                <w:color w:val="auto"/>
              </w:rPr>
              <w:t>OLIGOMERIC COMPOUNDS HAVING MODIFIED PHOSPHATE</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GROUPS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ISIS-5554</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2482440</w:t>
            </w:r>
          </w:p>
        </w:tc>
        <w:tc>
          <w:tcPr>
            <w:tcW w:w="5620" w:type="dxa"/>
            <w:vAlign w:val="bottom"/>
          </w:tcPr>
          <w:p>
            <w:pPr>
              <w:ind w:left="20"/>
              <w:spacing w:after="0"/>
              <w:rPr>
                <w:sz w:val="20"/>
                <w:szCs w:val="20"/>
                <w:color w:val="auto"/>
              </w:rPr>
            </w:pPr>
            <w:r>
              <w:rPr>
                <w:rFonts w:ascii="Arial" w:cs="Arial" w:eastAsia="Arial" w:hAnsi="Arial"/>
                <w:sz w:val="18"/>
                <w:szCs w:val="18"/>
                <w:color w:val="auto"/>
              </w:rPr>
              <w:t>OLIGOMERIC COMPOUNDS HAVING MODIFIED PHOSPHATE</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GROUPS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ISIS-5555</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3726231.8</w:t>
            </w:r>
          </w:p>
        </w:tc>
        <w:tc>
          <w:tcPr>
            <w:tcW w:w="5620" w:type="dxa"/>
            <w:vAlign w:val="bottom"/>
          </w:tcPr>
          <w:p>
            <w:pPr>
              <w:ind w:left="20"/>
              <w:spacing w:after="0"/>
              <w:rPr>
                <w:sz w:val="20"/>
                <w:szCs w:val="20"/>
                <w:color w:val="auto"/>
              </w:rPr>
            </w:pPr>
            <w:r>
              <w:rPr>
                <w:rFonts w:ascii="Arial" w:cs="Arial" w:eastAsia="Arial" w:hAnsi="Arial"/>
                <w:sz w:val="18"/>
                <w:szCs w:val="18"/>
                <w:color w:val="auto"/>
              </w:rPr>
              <w:t>OLIGOMERIC COMPOUNDS HAVING MODIFIED PHOSPHATE</w:t>
            </w:r>
          </w:p>
        </w:tc>
      </w:tr>
      <w:tr>
        <w:trPr>
          <w:trHeight w:val="216"/>
        </w:trPr>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GROUPS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ISIS-5582</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40" w:type="dxa"/>
            <w:vAlign w:val="bottom"/>
          </w:tcPr>
          <w:p>
            <w:pPr>
              <w:jc w:val="center"/>
              <w:ind w:left="131"/>
              <w:spacing w:after="0"/>
              <w:rPr>
                <w:sz w:val="20"/>
                <w:szCs w:val="20"/>
                <w:color w:val="auto"/>
              </w:rPr>
            </w:pPr>
            <w:r>
              <w:rPr>
                <w:rFonts w:ascii="Arial" w:cs="Arial" w:eastAsia="Arial" w:hAnsi="Arial"/>
                <w:sz w:val="18"/>
                <w:szCs w:val="18"/>
                <w:color w:val="auto"/>
              </w:rPr>
              <w:t>FILED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10/510,667</w:t>
            </w:r>
          </w:p>
        </w:tc>
        <w:tc>
          <w:tcPr>
            <w:tcW w:w="5620" w:type="dxa"/>
            <w:vAlign w:val="bottom"/>
          </w:tcPr>
          <w:p>
            <w:pPr>
              <w:ind w:left="20"/>
              <w:spacing w:after="0"/>
              <w:rPr>
                <w:sz w:val="20"/>
                <w:szCs w:val="20"/>
                <w:color w:val="auto"/>
              </w:rPr>
            </w:pPr>
            <w:r>
              <w:rPr>
                <w:rFonts w:ascii="Arial" w:cs="Arial" w:eastAsia="Arial" w:hAnsi="Arial"/>
                <w:sz w:val="18"/>
                <w:szCs w:val="18"/>
                <w:color w:val="auto"/>
              </w:rPr>
              <w:t>OLIGOMERIC COMPOUNDS HAVING MODIFIED PHOSPHATE</w:t>
            </w:r>
          </w:p>
        </w:tc>
      </w:tr>
      <w:tr>
        <w:trPr>
          <w:trHeight w:val="230"/>
        </w:trPr>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GROUPS</w:t>
            </w:r>
          </w:p>
        </w:tc>
      </w:tr>
    </w:tbl>
    <w:p>
      <w:pPr>
        <w:sectPr>
          <w:pgSz w:w="11900" w:h="16838" w:orient="portrait"/>
          <w:cols w:equalWidth="0" w:num="1">
            <w:col w:w="11400"/>
          </w:cols>
          <w:pgMar w:left="240" w:top="329"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Isis Current Motif and Mechanism Patents (June 2007 Updates)</w:t>
      </w:r>
    </w:p>
    <w:tbl>
      <w:tblPr>
        <w:tblLayout w:type="fixed"/>
        <w:tblInd w:w="0" w:type="dxa"/>
        <w:tblCellMar>
          <w:top w:w="0" w:type="dxa"/>
          <w:left w:w="0" w:type="dxa"/>
          <w:bottom w:w="0" w:type="dxa"/>
          <w:right w:w="0" w:type="dxa"/>
        </w:tblCellMar>
      </w:tblPr>
      <w:tr>
        <w:trPr>
          <w:trHeight w:val="158"/>
        </w:trPr>
        <w:tc>
          <w:tcPr>
            <w:tcW w:w="1560" w:type="dxa"/>
            <w:vAlign w:val="bottom"/>
          </w:tcPr>
          <w:p>
            <w:pPr>
              <w:spacing w:after="0" w:line="158" w:lineRule="exact"/>
              <w:rPr>
                <w:sz w:val="20"/>
                <w:szCs w:val="20"/>
                <w:color w:val="auto"/>
              </w:rPr>
            </w:pPr>
            <w:r>
              <w:rPr>
                <w:rFonts w:ascii="Arial" w:cs="Arial" w:eastAsia="Arial" w:hAnsi="Arial"/>
                <w:sz w:val="14"/>
                <w:szCs w:val="14"/>
                <w:b w:val="1"/>
                <w:bCs w:val="1"/>
                <w:color w:val="auto"/>
              </w:rPr>
              <w:t>Isis Docket Number</w:t>
            </w:r>
          </w:p>
        </w:tc>
        <w:tc>
          <w:tcPr>
            <w:tcW w:w="1160" w:type="dxa"/>
            <w:vAlign w:val="bottom"/>
          </w:tcPr>
          <w:p>
            <w:pPr>
              <w:jc w:val="center"/>
              <w:ind w:right="151"/>
              <w:spacing w:after="0" w:line="158" w:lineRule="exact"/>
              <w:rPr>
                <w:sz w:val="20"/>
                <w:szCs w:val="20"/>
                <w:color w:val="auto"/>
              </w:rPr>
            </w:pPr>
            <w:r>
              <w:rPr>
                <w:rFonts w:ascii="Arial" w:cs="Arial" w:eastAsia="Arial" w:hAnsi="Arial"/>
                <w:sz w:val="14"/>
                <w:szCs w:val="14"/>
                <w:b w:val="1"/>
                <w:bCs w:val="1"/>
                <w:color w:val="auto"/>
                <w:w w:val="96"/>
              </w:rPr>
              <w:t>Country</w:t>
            </w: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Status</w:t>
            </w:r>
          </w:p>
        </w:tc>
        <w:tc>
          <w:tcPr>
            <w:tcW w:w="1480" w:type="dxa"/>
            <w:vAlign w:val="bottom"/>
          </w:tcPr>
          <w:p>
            <w:pPr>
              <w:jc w:val="center"/>
              <w:ind w:left="156"/>
              <w:spacing w:after="0" w:line="158" w:lineRule="exact"/>
              <w:rPr>
                <w:sz w:val="20"/>
                <w:szCs w:val="20"/>
                <w:color w:val="auto"/>
              </w:rPr>
            </w:pPr>
            <w:r>
              <w:rPr>
                <w:rFonts w:ascii="Arial" w:cs="Arial" w:eastAsia="Arial" w:hAnsi="Arial"/>
                <w:sz w:val="14"/>
                <w:szCs w:val="14"/>
                <w:b w:val="1"/>
                <w:bCs w:val="1"/>
                <w:color w:val="auto"/>
                <w:w w:val="96"/>
              </w:rPr>
              <w:t>Patent Number</w:t>
            </w:r>
          </w:p>
        </w:tc>
        <w:tc>
          <w:tcPr>
            <w:tcW w:w="574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Title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CORE0005US.L</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OLIGOMERIC COMPOUNDS FOR USE IN 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CHEM0004US.P1</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CROSS-LINKED OLIGOMERIC COMPOUNDS AND THEIR USE IN</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CHEM0004WO</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96"/>
              </w:rPr>
              <w:t>WO</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CROSS-LINKED OLIGOMERIC COMPOUNDS AND THEIR USE IN</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CHEM0005US.P1</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CONJUGATED OLIGOMERIC COMPOUNDS AND THEIR USE IN</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CHEM0005WO</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96"/>
              </w:rPr>
              <w:t>WO</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CONJUGATED OLIGOMERIC COMPOUNDS AND THEIR USE IN</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CHEM0008US.P1</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OLIGOMERIC COMPOUNDS HAVING MODIFIED BASES FOR</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BINDING TO ADENINE AND GUANINE AND THEIR USE IN GENE</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CHEM0009US.P1</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7"/>
              </w:rPr>
              <w:t>SUGAR AND BACKBONE-SURROGATE-CONTAINING OLIGOMERIC</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COMPOUNDS AND COMPOSITIONS FOR USE IN GENE</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ISIS0002-108</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7"/>
              </w:rPr>
              <w:t>OLIGORIBONUCLEOTIDES AND RIBONUCLEASES FOR CLEAVING</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RNA</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ISIS-5203</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OLIGOMERIC COMPOUNDS HAVING MODIFIED BASES FOR</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BINDING TO CYTOSINE AND URACIL OR THYMINE AND THEIR</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USE IN 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ISIS-5301</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6"/>
              </w:rPr>
              <w:t>2’-SUBSTITUTED OLIGOMERIC COMPOUNDS AND COMPOSITIONS</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FOR USE IN GENE MODULATIONS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ISIS-5312</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6"/>
              </w:rPr>
              <w:t>MODIFIED OLIGONUCLEOTIDES FOR USE IN RNA INTERFERENCE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ISIS-5313</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2’-FLUORO SUBSTITUTED OLIGOMERIC COMPOUNDS AND</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COMPOSITIONS FOR USE IN GENE MODULATIONS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ISIS-5314</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2’-METHOXY SUBSTITUTED OLIGOMERIC COMPOUNDS AND</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COMPOSITIONS FOR USE IN GENE MODULATIONS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ISIS-5326</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6"/>
              </w:rPr>
              <w:t>MODIFIED OLIGONUCLEOTIDES FOR USE IN RNA INTERFERENCE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CHEM0004US</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CROSS-LINKED OLIGOMERIC COMPOUNDS AND THEIR USE IN</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CHEM0007US</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NON-PHOSPHOROUS-LINKED OLIGOMERIC COMPOUNDS AND</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THEIR USE IN 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CHEM0007US.P1</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NON-PHOSPHOROUS-LINKED OLIGOMERIC COMPOUNDS AND</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THEIR USE IN 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CHEM0008US</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OLIGOMERIC COMPOUNDS HAVING MODIFIED BASES FOR</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BINDING TO ADENINE GUANINE AND THEIR USE IN GENE</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CHEM0009US</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7"/>
              </w:rPr>
              <w:t>SUGAR AND BACKBONE-SURROGATE-CONTAINING OLIGOMERIC</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COMPOUNDS AND COMPOSITIONS FOR USE IN GENE</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CHEM0012US</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STRUCTURAL MOTIFS, AND OLIGOMERIC COMPOUNDS AND</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COMPOSITIONS FOR USE IN 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CHEM0012US.P1</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STRUCTURAL MOTIFS AND OLIGOMERIC COMPOUNDS AND</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THEIR USE IN 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ISIS-2197</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80" w:type="dxa"/>
            <w:vAlign w:val="bottom"/>
          </w:tcPr>
          <w:p>
            <w:pPr>
              <w:jc w:val="center"/>
              <w:ind w:left="156"/>
              <w:spacing w:after="0"/>
              <w:rPr>
                <w:sz w:val="20"/>
                <w:szCs w:val="20"/>
                <w:color w:val="auto"/>
              </w:rPr>
            </w:pPr>
            <w:r>
              <w:rPr>
                <w:rFonts w:ascii="Arial" w:cs="Arial" w:eastAsia="Arial" w:hAnsi="Arial"/>
                <w:sz w:val="18"/>
                <w:szCs w:val="18"/>
                <w:color w:val="auto"/>
                <w:w w:val="91"/>
              </w:rPr>
              <w:t>5898031</w:t>
            </w:r>
          </w:p>
        </w:tc>
        <w:tc>
          <w:tcPr>
            <w:tcW w:w="5740" w:type="dxa"/>
            <w:vAlign w:val="bottom"/>
          </w:tcPr>
          <w:p>
            <w:pPr>
              <w:ind w:left="160"/>
              <w:spacing w:after="0"/>
              <w:rPr>
                <w:sz w:val="20"/>
                <w:szCs w:val="20"/>
                <w:color w:val="auto"/>
              </w:rPr>
            </w:pPr>
            <w:r>
              <w:rPr>
                <w:rFonts w:ascii="Arial" w:cs="Arial" w:eastAsia="Arial" w:hAnsi="Arial"/>
                <w:sz w:val="18"/>
                <w:szCs w:val="18"/>
                <w:color w:val="auto"/>
              </w:rPr>
              <w:t>OLIGORIBONUCLEOTIDES FOR CLEAVING RNA</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ISIS-2483</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5"/>
              </w:rPr>
              <w:t>JP</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7"/>
              </w:rPr>
              <w:t>OLIGORIBONUCLEOTIDES AND RIBONUCLEASES FOR CLEAVING</w:t>
            </w:r>
          </w:p>
        </w:tc>
      </w:tr>
      <w:tr>
        <w:trPr>
          <w:trHeight w:val="216"/>
        </w:trPr>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RNA</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ISIS-2484</w:t>
            </w: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7"/>
              </w:rPr>
              <w:t>US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480" w:type="dxa"/>
            <w:vAlign w:val="bottom"/>
          </w:tcPr>
          <w:p>
            <w:pPr>
              <w:jc w:val="center"/>
              <w:ind w:left="156"/>
              <w:spacing w:after="0"/>
              <w:rPr>
                <w:sz w:val="20"/>
                <w:szCs w:val="20"/>
                <w:color w:val="auto"/>
              </w:rPr>
            </w:pPr>
            <w:r>
              <w:rPr>
                <w:rFonts w:ascii="Arial" w:cs="Arial" w:eastAsia="Arial" w:hAnsi="Arial"/>
                <w:sz w:val="18"/>
                <w:szCs w:val="18"/>
                <w:color w:val="auto"/>
                <w:w w:val="91"/>
              </w:rPr>
              <w:t>6107094</w:t>
            </w:r>
          </w:p>
        </w:tc>
        <w:tc>
          <w:tcPr>
            <w:tcW w:w="5740" w:type="dxa"/>
            <w:vAlign w:val="bottom"/>
          </w:tcPr>
          <w:p>
            <w:pPr>
              <w:ind w:left="160"/>
              <w:spacing w:after="0"/>
              <w:rPr>
                <w:sz w:val="20"/>
                <w:szCs w:val="20"/>
                <w:color w:val="auto"/>
              </w:rPr>
            </w:pPr>
            <w:r>
              <w:rPr>
                <w:rFonts w:ascii="Arial" w:cs="Arial" w:eastAsia="Arial" w:hAnsi="Arial"/>
                <w:sz w:val="18"/>
                <w:szCs w:val="18"/>
                <w:color w:val="auto"/>
                <w:w w:val="97"/>
              </w:rPr>
              <w:t>OLIGORIBONUCLEOTIDES AND RIBONUCLEASES FOR CLEAVING</w:t>
            </w:r>
          </w:p>
        </w:tc>
      </w:tr>
      <w:tr>
        <w:trPr>
          <w:trHeight w:val="230"/>
        </w:trPr>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RNA</w:t>
            </w:r>
          </w:p>
        </w:tc>
      </w:tr>
    </w:tbl>
    <w:p>
      <w:pPr>
        <w:sectPr>
          <w:pgSz w:w="11900" w:h="16838" w:orient="portrait"/>
          <w:cols w:equalWidth="0" w:num="1">
            <w:col w:w="11380"/>
          </w:cols>
          <w:pgMar w:left="240" w:top="341" w:right="27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ISIS-5207</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SUGAR SURROGATE-CONTAINING OLIGOMERIC COMPOUNDS</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AND COMPOSITIONS FOR USE IN GENE MODULATION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ISIS-0002-104</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ISIS-0002-105</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ISIS-0002-106</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ISIS-0002-107</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ISIS0002-503</w:t>
            </w: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6"/>
              </w:rPr>
              <w:t>WO</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ISIS-2465</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3"/>
              </w:rPr>
              <w:t>EP</w:t>
            </w:r>
          </w:p>
        </w:tc>
        <w:tc>
          <w:tcPr>
            <w:tcW w:w="15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ISIS-2465EP.D1</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3"/>
              </w:rPr>
              <w:t>EP</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ISIS-2465EP.D2</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3"/>
              </w:rPr>
              <w:t>EP</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ISIS-4313</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ISIS-4313US.C2</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ISIS-4313US.P2</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ISIS-5027</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OLIGORIBONUCLEOTIDES AND RIBONUCLEASES FOR CLEAVING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CORE0015US.L</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PROBE DESIGN FOR THE DETECTION OF RNAs IN CELL</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EXTRACTS, CELLS, AND TISSUES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CORE0016US.L</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OLIGOMERIC COMPOUNDS AND COMPOSITIONS FOR USE IN</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MODULATION OF SMALL NON-CODING RNAS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CORE0016US.L2</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OLIGOMERIC COMPOUNDS AND COMPOSITIONS FOR USE IN</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MODULATION OF SMALL NON-CODING RNAS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CORE0016US.L3</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OLIGOMERIC COMPOUNDS AND COMPOSITIONS FOR USE IN</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MODULATION OF SMALL NON-CODING RNAS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CORE0016WO</w:t>
            </w: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6"/>
              </w:rPr>
              <w:t>WO</w:t>
            </w:r>
          </w:p>
        </w:tc>
        <w:tc>
          <w:tcPr>
            <w:tcW w:w="1520" w:type="dxa"/>
            <w:vAlign w:val="bottom"/>
          </w:tcPr>
          <w:p>
            <w:pPr>
              <w:ind w:left="500"/>
              <w:spacing w:after="0"/>
              <w:rPr>
                <w:sz w:val="20"/>
                <w:szCs w:val="20"/>
                <w:color w:val="auto"/>
              </w:rPr>
            </w:pPr>
            <w:r>
              <w:rPr>
                <w:rFonts w:ascii="Arial" w:cs="Arial" w:eastAsia="Arial" w:hAnsi="Arial"/>
                <w:sz w:val="18"/>
                <w:szCs w:val="18"/>
                <w:color w:val="auto"/>
              </w:rPr>
              <w:t>Expired</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OLIGOMERIC COMPOUNDS AND COMPOSITIONS FOR USE IN</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MODULATION OF SMALL NON-CODING RNAS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CORE0016US</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OLIGOMERIC COMPOUNDS AND COMPOSITIONS FOR USE IN</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MODULATION OF SMALL NON-CODING RNAS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ISIS0003-500</w:t>
            </w: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6"/>
              </w:rPr>
              <w:t>WO</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HUMAN RNASE III AND COMPOSITIONS AND USES THEREOF</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ISIS-5030</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HUMAN RNASE III AND COMPOSITIONS AND USES THEREOF</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ISIS-5030.D1</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HUMAN RNASE III AND COMPOSITIONS AND USES THEREOF</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ISIS-5030EP</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3"/>
              </w:rPr>
              <w:t>EP</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HUMAN RNASE III AND COMPOSITIONS AND USES THEREOF</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ISPH-0522</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HUMAN RNASE III AND COMPOSITIONS AND USES THEREOF</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ISPH-0522.D2</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20" w:type="dxa"/>
            <w:vAlign w:val="bottom"/>
          </w:tcPr>
          <w:p>
            <w:pPr>
              <w:ind w:left="500"/>
              <w:spacing w:after="0"/>
              <w:rPr>
                <w:sz w:val="20"/>
                <w:szCs w:val="20"/>
                <w:color w:val="auto"/>
              </w:rPr>
            </w:pPr>
            <w:r>
              <w:rPr>
                <w:rFonts w:ascii="Arial" w:cs="Arial" w:eastAsia="Arial" w:hAnsi="Arial"/>
                <w:sz w:val="18"/>
                <w:szCs w:val="18"/>
                <w:color w:val="auto"/>
              </w:rPr>
              <w:t>Pending</w:t>
            </w: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HUMAN RNASE III AND COMPOSITIONS AND USES THEREOF</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ISIS-0207</w:t>
            </w: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rPr>
              <w:t>AU</w:t>
            </w:r>
          </w:p>
        </w:tc>
        <w:tc>
          <w:tcPr>
            <w:tcW w:w="15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654816</w:t>
            </w: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MODULATION OF GENE EXPRESSION THROUGH INTERFERENCE</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WITH RNA SECONDARY STRUCTURES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ISIS-0209</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CA</w:t>
            </w:r>
          </w:p>
        </w:tc>
        <w:tc>
          <w:tcPr>
            <w:tcW w:w="15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1"/>
              </w:rPr>
              <w:t>2082044</w:t>
            </w: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MODULATION OF GENE EXPRESSION THROUGH INTERFERENCE</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WITH RNA SECONDARY STRUCTURE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ISIS-0210</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3"/>
              </w:rPr>
              <w:t>EP</w:t>
            </w:r>
          </w:p>
        </w:tc>
        <w:tc>
          <w:tcPr>
            <w:tcW w:w="15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529008</w:t>
            </w: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MODULATION OF GENE EXPRESSION THROUGH INTERFERENCE</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WITH RNA SECONDARY STRUCTURE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ISIS-0214</w:t>
            </w: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1"/>
              </w:rPr>
              <w:t>FR</w:t>
            </w:r>
          </w:p>
        </w:tc>
        <w:tc>
          <w:tcPr>
            <w:tcW w:w="15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529008</w:t>
            </w: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MODULATION OF GENE EXPRESSION THROUGH INTERFERENCE</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WITH RNA SECONDARY STRUCTURE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ISIS-0215</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DE</w:t>
            </w:r>
          </w:p>
        </w:tc>
        <w:tc>
          <w:tcPr>
            <w:tcW w:w="15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89"/>
              </w:rPr>
              <w:t>69131848</w:t>
            </w: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MODULATION OF GENE EXPRESSION THROUGH INTERFERENCE</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WITH RNA SECONDARY STRUCTURES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ISIS-0216</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2"/>
              </w:rPr>
              <w:t>GB</w:t>
            </w:r>
          </w:p>
        </w:tc>
        <w:tc>
          <w:tcPr>
            <w:tcW w:w="15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529008</w:t>
            </w:r>
          </w:p>
        </w:tc>
        <w:tc>
          <w:tcPr>
            <w:tcW w:w="5720" w:type="dxa"/>
            <w:vAlign w:val="bottom"/>
          </w:tcPr>
          <w:p>
            <w:pPr>
              <w:ind w:left="200"/>
              <w:spacing w:after="0"/>
              <w:rPr>
                <w:sz w:val="20"/>
                <w:szCs w:val="20"/>
                <w:color w:val="auto"/>
              </w:rPr>
            </w:pPr>
            <w:r>
              <w:rPr>
                <w:rFonts w:ascii="Arial" w:cs="Arial" w:eastAsia="Arial" w:hAnsi="Arial"/>
                <w:sz w:val="18"/>
                <w:szCs w:val="18"/>
                <w:color w:val="auto"/>
                <w:w w:val="96"/>
              </w:rPr>
              <w:t>MODULATION OF GENE EXPRESSION THROUGH INTERFERENCE</w:t>
            </w:r>
          </w:p>
        </w:tc>
      </w:tr>
      <w:tr>
        <w:trPr>
          <w:trHeight w:val="230"/>
        </w:trPr>
        <w:tc>
          <w:tcPr>
            <w:tcW w:w="1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WITH RNA SECONDARY STRUCTURES</w:t>
            </w:r>
          </w:p>
        </w:tc>
      </w:tr>
    </w:tbl>
    <w:p>
      <w:pPr>
        <w:sectPr>
          <w:pgSz w:w="11900" w:h="16838" w:orient="portrait"/>
          <w:cols w:equalWidth="0" w:num="1">
            <w:col w:w="11320"/>
          </w:cols>
          <w:pgMar w:left="240" w:top="341"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ISIS-0223</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2"/>
              </w:rPr>
              <w:t>CH</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529008</w:t>
            </w:r>
          </w:p>
        </w:tc>
        <w:tc>
          <w:tcPr>
            <w:tcW w:w="5820" w:type="dxa"/>
            <w:vAlign w:val="bottom"/>
          </w:tcPr>
          <w:p>
            <w:pPr>
              <w:ind w:left="240"/>
              <w:spacing w:after="0"/>
              <w:rPr>
                <w:sz w:val="20"/>
                <w:szCs w:val="20"/>
                <w:color w:val="auto"/>
              </w:rPr>
            </w:pPr>
            <w:r>
              <w:rPr>
                <w:rFonts w:ascii="Arial" w:cs="Arial" w:eastAsia="Arial" w:hAnsi="Arial"/>
                <w:sz w:val="18"/>
                <w:szCs w:val="18"/>
                <w:color w:val="auto"/>
                <w:w w:val="97"/>
              </w:rPr>
              <w:t>MODULATION OF GENE EXPRESSION THROUGH INTERFERENCE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WITH RNA SECONDARY STRUCTURES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ISIS-0226</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2800848</w:t>
            </w:r>
          </w:p>
        </w:tc>
        <w:tc>
          <w:tcPr>
            <w:tcW w:w="5820" w:type="dxa"/>
            <w:vAlign w:val="bottom"/>
          </w:tcPr>
          <w:p>
            <w:pPr>
              <w:ind w:left="240"/>
              <w:spacing w:after="0"/>
              <w:rPr>
                <w:sz w:val="20"/>
                <w:szCs w:val="20"/>
                <w:color w:val="auto"/>
              </w:rPr>
            </w:pPr>
            <w:r>
              <w:rPr>
                <w:rFonts w:ascii="Arial" w:cs="Arial" w:eastAsia="Arial" w:hAnsi="Arial"/>
                <w:sz w:val="18"/>
                <w:szCs w:val="18"/>
                <w:color w:val="auto"/>
                <w:w w:val="97"/>
              </w:rPr>
              <w:t>MODULATION OF GENE EXPRESSION THROUGH INTERFERENCE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WITH RNA SECONDARY STRUCTURES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ISIS-1124</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rPr>
              <w:t>IL</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PSEUDO-HALF-KNOT FORMATION BY HYBRIDIZATION OF</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w w:val="98"/>
              </w:rPr>
              <w:t>ANTISENSE OLIGONUCLEOTIDE TO TARGET RNA’S SECONDARY</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STRUCTURE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ISIS-1130</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PSEUDO-HALF-KNOT FORMATION BY HYBRIDIZATION OF</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w w:val="98"/>
              </w:rPr>
              <w:t>ANTISENSE OLIGONUCLEOTIDE TO TARGET RNA’S SECONDARY</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STRUCTURE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ISIS-1149</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75"/>
              </w:rPr>
              <w:t>JP</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3113280</w:t>
            </w:r>
          </w:p>
        </w:tc>
        <w:tc>
          <w:tcPr>
            <w:tcW w:w="5820" w:type="dxa"/>
            <w:vAlign w:val="bottom"/>
          </w:tcPr>
          <w:p>
            <w:pPr>
              <w:ind w:left="240"/>
              <w:spacing w:after="0"/>
              <w:rPr>
                <w:sz w:val="20"/>
                <w:szCs w:val="20"/>
                <w:color w:val="auto"/>
              </w:rPr>
            </w:pPr>
            <w:r>
              <w:rPr>
                <w:rFonts w:ascii="Arial" w:cs="Arial" w:eastAsia="Arial" w:hAnsi="Arial"/>
                <w:sz w:val="18"/>
                <w:szCs w:val="18"/>
                <w:color w:val="auto"/>
              </w:rPr>
              <w:t>PSEUDO-HALF-KNOT FORMATION BY HYBRIDIZATION OF</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w w:val="98"/>
              </w:rPr>
              <w:t>ANTISENSE OLIGONUCLEOTIDE TO TARGET RNA’S SECONDARY</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STRUCTURE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ISIS-1241</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5512438</w:t>
            </w:r>
          </w:p>
        </w:tc>
        <w:tc>
          <w:tcPr>
            <w:tcW w:w="5820" w:type="dxa"/>
            <w:vAlign w:val="bottom"/>
          </w:tcPr>
          <w:p>
            <w:pPr>
              <w:ind w:left="240"/>
              <w:spacing w:after="0"/>
              <w:rPr>
                <w:sz w:val="20"/>
                <w:szCs w:val="20"/>
                <w:color w:val="auto"/>
              </w:rPr>
            </w:pPr>
            <w:r>
              <w:rPr>
                <w:rFonts w:ascii="Arial" w:cs="Arial" w:eastAsia="Arial" w:hAnsi="Arial"/>
                <w:sz w:val="18"/>
                <w:szCs w:val="18"/>
                <w:color w:val="auto"/>
              </w:rPr>
              <w:t>INHIBITING RNA EXPRESSION BY FORMING A PSEUDO-HALF-</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KNOT RNA AT THE TARGET’S RNA SECONDARY STRUCTURE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USING ANTISENSE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ISIS-1420</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5866698</w:t>
            </w:r>
          </w:p>
        </w:tc>
        <w:tc>
          <w:tcPr>
            <w:tcW w:w="5820" w:type="dxa"/>
            <w:vAlign w:val="bottom"/>
          </w:tcPr>
          <w:p>
            <w:pPr>
              <w:ind w:left="240"/>
              <w:spacing w:after="0"/>
              <w:rPr>
                <w:sz w:val="20"/>
                <w:szCs w:val="20"/>
                <w:color w:val="auto"/>
              </w:rPr>
            </w:pPr>
            <w:r>
              <w:rPr>
                <w:rFonts w:ascii="Arial" w:cs="Arial" w:eastAsia="Arial" w:hAnsi="Arial"/>
                <w:sz w:val="18"/>
                <w:szCs w:val="18"/>
                <w:color w:val="auto"/>
                <w:w w:val="97"/>
              </w:rPr>
              <w:t>MODULATION OF GENE EXPRESSION THROUGH INTERFERENCE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WITH RNA SECONDARY STRUCTURE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ISPH-0270</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3"/>
              </w:rPr>
              <w:t>EP</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w w:val="97"/>
              </w:rPr>
              <w:t>MODULATION OF GENE EXPRESSION THROUGH INTERFERENCE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WITH RNA SECONDARY STRUCTURE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ISIS-5323</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0"/>
              </w:rPr>
              <w:t>WO</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2’-FLUORO SUBSTITUTED OLIGOMERIC COMPOUNDS AND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COMPOSITIONS FOR USE IN GENE MODULATIONS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ISIS-5324</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0"/>
              </w:rPr>
              <w:t>WO</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2’ METHOXY SUBSTITUTED OLIGOMERIC COMPOUNDS AND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COMPOSITIONS FOR USE IN GENE MODULATIONS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CHEM0013US.L</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w w:val="96"/>
              </w:rPr>
              <w:t>2’-SUBSTITUTED OLIGOMERIC COMPOUNDS AND COMPOSITIONS</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FOR USE IN GENE MODULATIONS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ISIS-5321</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0"/>
              </w:rPr>
              <w:t>WO</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w w:val="96"/>
              </w:rPr>
              <w:t>MODIFIED OLIGONUCLEOTIDES FOR USE IN RNA INTERFERENCE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ISIS-5322</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0"/>
              </w:rPr>
              <w:t>WO</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COMPOSITIONS COMPRISING ALTERNATING 2’-MODIFIED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NUCLEOSIDES FOR USE IN 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ISIS-5325</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COMPOSITIONS COMPRISING ALTERNATING 2’-MODIFIED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NUCLEOSIDES FOR USE IN GENE MODULATION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CORE0001US.L</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MODULATION OF THE RNA INTERFERENCE PATHWAY</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CORE0001US</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MODULATION OF THE RNA INTERFERENCE PATHWAY</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CORE0001WO</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0"/>
              </w:rPr>
              <w:t>WO</w:t>
            </w:r>
          </w:p>
        </w:tc>
        <w:tc>
          <w:tcPr>
            <w:tcW w:w="1560" w:type="dxa"/>
            <w:vAlign w:val="bottom"/>
          </w:tcPr>
          <w:p>
            <w:pPr>
              <w:ind w:left="520"/>
              <w:spacing w:after="0"/>
              <w:rPr>
                <w:sz w:val="20"/>
                <w:szCs w:val="20"/>
                <w:color w:val="auto"/>
              </w:rPr>
            </w:pPr>
            <w:r>
              <w:rPr>
                <w:rFonts w:ascii="Arial" w:cs="Arial" w:eastAsia="Arial" w:hAnsi="Arial"/>
                <w:sz w:val="18"/>
                <w:szCs w:val="18"/>
                <w:color w:val="auto"/>
              </w:rPr>
              <w:t>Expired</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MODULATION OF THE RNA INTERFERENCE PATHWAY</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CORE0004US</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ISOFORM-SPECIFIC TARGETING OF SPLICE VARIANTS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CORE0004WO</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0"/>
              </w:rPr>
              <w:t>WO</w:t>
            </w:r>
          </w:p>
        </w:tc>
        <w:tc>
          <w:tcPr>
            <w:tcW w:w="1560" w:type="dxa"/>
            <w:vAlign w:val="bottom"/>
          </w:tcPr>
          <w:p>
            <w:pPr>
              <w:ind w:left="520"/>
              <w:spacing w:after="0"/>
              <w:rPr>
                <w:sz w:val="20"/>
                <w:szCs w:val="20"/>
                <w:color w:val="auto"/>
              </w:rPr>
            </w:pPr>
            <w:r>
              <w:rPr>
                <w:rFonts w:ascii="Arial" w:cs="Arial" w:eastAsia="Arial" w:hAnsi="Arial"/>
                <w:sz w:val="18"/>
                <w:szCs w:val="18"/>
                <w:color w:val="auto"/>
              </w:rPr>
              <w:t>Expired</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ISOFORM-SPECIFIC TARGETING OF SPLICE VARIANTS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CORE0027US</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EFFICIENT REDUCTION OF TARGET RNA’s BY SINGLE- AND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DOUBLE-STRANDED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CORE0027WO</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0"/>
              </w:rPr>
              <w:t>WO</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EFFICIENT REDUCTION OF TARGET RNA’s BY SINGLE- AND</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DOUBLE-STRANDED OLIGOMERIC COMPOUNDS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ISIS-1962</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CHIMERIC OLIGONUCLEOTIDES FOR MODULATING GENE</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EXPRESSION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ISPH-0328</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CA</w:t>
            </w:r>
          </w:p>
        </w:tc>
        <w:tc>
          <w:tcPr>
            <w:tcW w:w="156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w w:val="99"/>
              </w:rPr>
              <w:t>COMPOSITIONS AND METHODS FOR ANTISENSE INHIBITION OF</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PROTEIN TRANSLATION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ISPH-0332</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9"/>
              </w:rPr>
              <w:t>NZ</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9"/>
              </w:rPr>
              <w:t>332999</w:t>
            </w:r>
          </w:p>
        </w:tc>
        <w:tc>
          <w:tcPr>
            <w:tcW w:w="5820" w:type="dxa"/>
            <w:vAlign w:val="bottom"/>
          </w:tcPr>
          <w:p>
            <w:pPr>
              <w:ind w:left="240"/>
              <w:spacing w:after="0"/>
              <w:rPr>
                <w:sz w:val="20"/>
                <w:szCs w:val="20"/>
                <w:color w:val="auto"/>
              </w:rPr>
            </w:pPr>
            <w:r>
              <w:rPr>
                <w:rFonts w:ascii="Arial" w:cs="Arial" w:eastAsia="Arial" w:hAnsi="Arial"/>
                <w:sz w:val="18"/>
                <w:szCs w:val="18"/>
                <w:color w:val="auto"/>
                <w:w w:val="99"/>
              </w:rPr>
              <w:t>COMPOSITIONS AND METHODS FOR ANTISENSE INHIBITION OF</w:t>
            </w:r>
          </w:p>
        </w:tc>
      </w:tr>
      <w:tr>
        <w:trPr>
          <w:trHeight w:val="216"/>
        </w:trPr>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PROTEIN TRANSLATION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ISPH-0384</w:t>
            </w: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5"/>
              </w:rPr>
              <w:t>US</w:t>
            </w:r>
          </w:p>
        </w:tc>
        <w:tc>
          <w:tcPr>
            <w:tcW w:w="15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91"/>
              </w:rPr>
              <w:t>6232296</w:t>
            </w:r>
          </w:p>
        </w:tc>
        <w:tc>
          <w:tcPr>
            <w:tcW w:w="5820" w:type="dxa"/>
            <w:vAlign w:val="bottom"/>
          </w:tcPr>
          <w:p>
            <w:pPr>
              <w:ind w:left="240"/>
              <w:spacing w:after="0"/>
              <w:rPr>
                <w:sz w:val="20"/>
                <w:szCs w:val="20"/>
                <w:color w:val="auto"/>
              </w:rPr>
            </w:pPr>
            <w:r>
              <w:rPr>
                <w:rFonts w:ascii="Arial" w:cs="Arial" w:eastAsia="Arial" w:hAnsi="Arial"/>
                <w:sz w:val="18"/>
                <w:szCs w:val="18"/>
                <w:color w:val="auto"/>
              </w:rPr>
              <w:t>INHIBITION OF COMPLEMENT ACTIVATION AND COMPLEMENT</w:t>
            </w:r>
          </w:p>
        </w:tc>
      </w:tr>
      <w:tr>
        <w:trPr>
          <w:trHeight w:val="230"/>
        </w:trPr>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MODULATION BY USE OF MODIFIED OLIGONUCLEOTIDES</w:t>
            </w:r>
          </w:p>
        </w:tc>
      </w:tr>
    </w:tbl>
    <w:p>
      <w:pPr>
        <w:sectPr>
          <w:pgSz w:w="11900" w:h="16838" w:orient="portrait"/>
          <w:cols w:equalWidth="0" w:num="1">
            <w:col w:w="11380"/>
          </w:cols>
          <w:pgMar w:left="240" w:top="341" w:right="27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ISPH-0760</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INHIBITION OF COMPLEMENT ACTIVATION AND COMPLEMENT</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MODULATION BY USE OF MODIFIED OLIGONUCLEOTIDES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ISPH-0327</w:t>
            </w: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rPr>
              <w:t>AU</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96"/>
              <w:spacing w:after="0"/>
              <w:rPr>
                <w:sz w:val="20"/>
                <w:szCs w:val="20"/>
                <w:color w:val="auto"/>
              </w:rPr>
            </w:pPr>
            <w:r>
              <w:rPr>
                <w:rFonts w:ascii="Arial" w:cs="Arial" w:eastAsia="Arial" w:hAnsi="Arial"/>
                <w:sz w:val="18"/>
                <w:szCs w:val="18"/>
                <w:color w:val="auto"/>
                <w:w w:val="89"/>
              </w:rPr>
              <w:t>712228</w:t>
            </w:r>
          </w:p>
        </w:tc>
        <w:tc>
          <w:tcPr>
            <w:tcW w:w="5800" w:type="dxa"/>
            <w:vAlign w:val="bottom"/>
          </w:tcPr>
          <w:p>
            <w:pPr>
              <w:ind w:left="240"/>
              <w:spacing w:after="0"/>
              <w:rPr>
                <w:sz w:val="20"/>
                <w:szCs w:val="20"/>
                <w:color w:val="auto"/>
              </w:rPr>
            </w:pPr>
            <w:r>
              <w:rPr>
                <w:rFonts w:ascii="Arial" w:cs="Arial" w:eastAsia="Arial" w:hAnsi="Arial"/>
                <w:sz w:val="18"/>
                <w:szCs w:val="18"/>
                <w:color w:val="auto"/>
                <w:w w:val="99"/>
              </w:rPr>
              <w:t>COMPOSITIONS AND METHODS FOR ANTISENSE INHIBITION OF</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PROTEIN TRANSLATION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CORE0026US.L</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CHIMERIC OLIGOMERIC COMPOUNDS COMPRISING</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ALTERNATING REGIONS OF NORTHERN AND SOUTHERN</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CONFORMATIONAL GEOMETRY</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ISIS-1399</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3"/>
              </w:rPr>
              <w:t>EP</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96"/>
              <w:spacing w:after="0"/>
              <w:rPr>
                <w:sz w:val="20"/>
                <w:szCs w:val="20"/>
                <w:color w:val="auto"/>
              </w:rPr>
            </w:pPr>
            <w:r>
              <w:rPr>
                <w:rFonts w:ascii="Arial" w:cs="Arial" w:eastAsia="Arial" w:hAnsi="Arial"/>
                <w:sz w:val="18"/>
                <w:szCs w:val="18"/>
                <w:color w:val="auto"/>
                <w:w w:val="89"/>
              </w:rPr>
              <w:t>691853</w:t>
            </w:r>
          </w:p>
        </w:tc>
        <w:tc>
          <w:tcPr>
            <w:tcW w:w="5800" w:type="dxa"/>
            <w:vAlign w:val="bottom"/>
          </w:tcPr>
          <w:p>
            <w:pPr>
              <w:ind w:left="240"/>
              <w:spacing w:after="0"/>
              <w:rPr>
                <w:sz w:val="20"/>
                <w:szCs w:val="20"/>
                <w:color w:val="auto"/>
              </w:rPr>
            </w:pPr>
            <w:r>
              <w:rPr>
                <w:rFonts w:ascii="Arial" w:cs="Arial" w:eastAsia="Arial" w:hAnsi="Arial"/>
                <w:sz w:val="18"/>
                <w:szCs w:val="18"/>
                <w:color w:val="auto"/>
              </w:rPr>
              <w:t>ANTISENSE OLIGOS WHICH INTERFERE WITH MRNA CAP</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ACTIVITY AND INHIBIT TRANSLATION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ISIS-1401</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9"/>
              </w:rPr>
              <w:t>BE</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96"/>
              <w:spacing w:after="0"/>
              <w:rPr>
                <w:sz w:val="20"/>
                <w:szCs w:val="20"/>
                <w:color w:val="auto"/>
              </w:rPr>
            </w:pPr>
            <w:r>
              <w:rPr>
                <w:rFonts w:ascii="Arial" w:cs="Arial" w:eastAsia="Arial" w:hAnsi="Arial"/>
                <w:sz w:val="18"/>
                <w:szCs w:val="18"/>
                <w:color w:val="auto"/>
                <w:w w:val="89"/>
              </w:rPr>
              <w:t>691853</w:t>
            </w:r>
          </w:p>
        </w:tc>
        <w:tc>
          <w:tcPr>
            <w:tcW w:w="5800" w:type="dxa"/>
            <w:vAlign w:val="bottom"/>
          </w:tcPr>
          <w:p>
            <w:pPr>
              <w:ind w:left="240"/>
              <w:spacing w:after="0"/>
              <w:rPr>
                <w:sz w:val="20"/>
                <w:szCs w:val="20"/>
                <w:color w:val="auto"/>
              </w:rPr>
            </w:pPr>
            <w:r>
              <w:rPr>
                <w:rFonts w:ascii="Arial" w:cs="Arial" w:eastAsia="Arial" w:hAnsi="Arial"/>
                <w:sz w:val="18"/>
                <w:szCs w:val="18"/>
                <w:color w:val="auto"/>
              </w:rPr>
              <w:t>ANTISENSE OLIGOS WHICH INTERFERE WITH MRNA CAP</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ACTIVITY AND INHIBIT TRANSLATION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ISIS-1403</w:t>
            </w: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1"/>
              </w:rPr>
              <w:t>FR</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96"/>
              <w:spacing w:after="0"/>
              <w:rPr>
                <w:sz w:val="20"/>
                <w:szCs w:val="20"/>
                <w:color w:val="auto"/>
              </w:rPr>
            </w:pPr>
            <w:r>
              <w:rPr>
                <w:rFonts w:ascii="Arial" w:cs="Arial" w:eastAsia="Arial" w:hAnsi="Arial"/>
                <w:sz w:val="18"/>
                <w:szCs w:val="18"/>
                <w:color w:val="auto"/>
                <w:w w:val="89"/>
              </w:rPr>
              <w:t>691853</w:t>
            </w:r>
          </w:p>
        </w:tc>
        <w:tc>
          <w:tcPr>
            <w:tcW w:w="5800" w:type="dxa"/>
            <w:vAlign w:val="bottom"/>
          </w:tcPr>
          <w:p>
            <w:pPr>
              <w:ind w:left="240"/>
              <w:spacing w:after="0"/>
              <w:rPr>
                <w:sz w:val="20"/>
                <w:szCs w:val="20"/>
                <w:color w:val="auto"/>
              </w:rPr>
            </w:pPr>
            <w:r>
              <w:rPr>
                <w:rFonts w:ascii="Arial" w:cs="Arial" w:eastAsia="Arial" w:hAnsi="Arial"/>
                <w:sz w:val="18"/>
                <w:szCs w:val="18"/>
                <w:color w:val="auto"/>
              </w:rPr>
              <w:t>ANTISENSE OLIGOS WHICH INTERFERE WITH MRNA CAP</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ACTIVITY AND INHIBIT TRANSLATION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ISIS-1404</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DE</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7180" w:type="dxa"/>
            <w:vAlign w:val="bottom"/>
            <w:gridSpan w:val="2"/>
          </w:tcPr>
          <w:p>
            <w:pPr>
              <w:ind w:left="420"/>
              <w:spacing w:after="0"/>
              <w:rPr>
                <w:sz w:val="20"/>
                <w:szCs w:val="20"/>
                <w:color w:val="auto"/>
              </w:rPr>
            </w:pPr>
            <w:r>
              <w:rPr>
                <w:rFonts w:ascii="Arial" w:cs="Arial" w:eastAsia="Arial" w:hAnsi="Arial"/>
                <w:sz w:val="18"/>
                <w:szCs w:val="18"/>
                <w:color w:val="auto"/>
                <w:w w:val="97"/>
              </w:rPr>
              <w:t>69430740.8ANTISENSE OLIGOS WHICH INTERFERE WITH MRNA CAP</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ACTIVITY AND INHIBIT TRANSLATION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ISIS-1405</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2"/>
              </w:rPr>
              <w:t>GB</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96"/>
              <w:spacing w:after="0"/>
              <w:rPr>
                <w:sz w:val="20"/>
                <w:szCs w:val="20"/>
                <w:color w:val="auto"/>
              </w:rPr>
            </w:pPr>
            <w:r>
              <w:rPr>
                <w:rFonts w:ascii="Arial" w:cs="Arial" w:eastAsia="Arial" w:hAnsi="Arial"/>
                <w:sz w:val="18"/>
                <w:szCs w:val="18"/>
                <w:color w:val="auto"/>
                <w:w w:val="89"/>
              </w:rPr>
              <w:t>691853</w:t>
            </w:r>
          </w:p>
        </w:tc>
        <w:tc>
          <w:tcPr>
            <w:tcW w:w="5800" w:type="dxa"/>
            <w:vAlign w:val="bottom"/>
          </w:tcPr>
          <w:p>
            <w:pPr>
              <w:ind w:left="240"/>
              <w:spacing w:after="0"/>
              <w:rPr>
                <w:sz w:val="20"/>
                <w:szCs w:val="20"/>
                <w:color w:val="auto"/>
              </w:rPr>
            </w:pPr>
            <w:r>
              <w:rPr>
                <w:rFonts w:ascii="Arial" w:cs="Arial" w:eastAsia="Arial" w:hAnsi="Arial"/>
                <w:sz w:val="18"/>
                <w:szCs w:val="18"/>
                <w:color w:val="auto"/>
              </w:rPr>
              <w:t>ANTISENSE OLIGOS WHICH INTERFERE WITH MRNA CAP</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ACTIVITY AND INHIBIT TRANSLATION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ISIS-1415</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2"/>
              </w:rPr>
              <w:t>CH</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96"/>
              <w:spacing w:after="0"/>
              <w:rPr>
                <w:sz w:val="20"/>
                <w:szCs w:val="20"/>
                <w:color w:val="auto"/>
              </w:rPr>
            </w:pPr>
            <w:r>
              <w:rPr>
                <w:rFonts w:ascii="Arial" w:cs="Arial" w:eastAsia="Arial" w:hAnsi="Arial"/>
                <w:sz w:val="18"/>
                <w:szCs w:val="18"/>
                <w:color w:val="auto"/>
                <w:w w:val="89"/>
              </w:rPr>
              <w:t>691853</w:t>
            </w:r>
          </w:p>
        </w:tc>
        <w:tc>
          <w:tcPr>
            <w:tcW w:w="5800" w:type="dxa"/>
            <w:vAlign w:val="bottom"/>
          </w:tcPr>
          <w:p>
            <w:pPr>
              <w:ind w:left="240"/>
              <w:spacing w:after="0"/>
              <w:rPr>
                <w:sz w:val="20"/>
                <w:szCs w:val="20"/>
                <w:color w:val="auto"/>
              </w:rPr>
            </w:pPr>
            <w:r>
              <w:rPr>
                <w:rFonts w:ascii="Arial" w:cs="Arial" w:eastAsia="Arial" w:hAnsi="Arial"/>
                <w:sz w:val="18"/>
                <w:szCs w:val="18"/>
                <w:color w:val="auto"/>
              </w:rPr>
              <w:t>ANTISENSE OLIGOS WHICH INTERFERE WITH MRNA CAP</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ACTIVITY AND INHIBIT TRANSLATION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CORE0030US.L</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ANTISENSE OLIGONUCLEOTIDES OPTIMIZED FOR KIDNEY</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TARGETING DEMONSTRATE INCREASED EFFICACY IN MICE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CHEM0006US</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POLYCYCLIC SUGAR SURROGATE-CONTAINING OLIGOMERIC</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COMPOUNDS AND COMPOSITIONS FOR USE IN GENE</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MODULATION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CORE0029US.L</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DOUBLE STRANDED COMPOSITIONS COMPRISING A</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w w:val="97"/>
              </w:rPr>
              <w:t>PHOSPHOROTHIOATE RNA REGION AND A 3’-ENDO REGION FOR</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USE IN GENE MODULATION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CORE0029US.L2</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DOUBLE STRANDED COMPOSITIONS COMPRISING AN RNA</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w w:val="96"/>
              </w:rPr>
              <w:t>REGION AND A 3’-ENDO REGION FOR USE IN GENE MODULATION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ISIS-4730</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216"/>
              <w:spacing w:after="0"/>
              <w:rPr>
                <w:sz w:val="20"/>
                <w:szCs w:val="20"/>
                <w:color w:val="auto"/>
              </w:rPr>
            </w:pPr>
            <w:r>
              <w:rPr>
                <w:rFonts w:ascii="Arial" w:cs="Arial" w:eastAsia="Arial" w:hAnsi="Arial"/>
                <w:sz w:val="18"/>
                <w:szCs w:val="18"/>
                <w:color w:val="auto"/>
                <w:w w:val="91"/>
              </w:rPr>
              <w:t>5919619</w:t>
            </w:r>
          </w:p>
        </w:tc>
        <w:tc>
          <w:tcPr>
            <w:tcW w:w="5800" w:type="dxa"/>
            <w:vAlign w:val="bottom"/>
          </w:tcPr>
          <w:p>
            <w:pPr>
              <w:ind w:left="240"/>
              <w:spacing w:after="0"/>
              <w:rPr>
                <w:sz w:val="20"/>
                <w:szCs w:val="20"/>
                <w:color w:val="auto"/>
              </w:rPr>
            </w:pPr>
            <w:r>
              <w:rPr>
                <w:rFonts w:ascii="Arial" w:cs="Arial" w:eastAsia="Arial" w:hAnsi="Arial"/>
                <w:sz w:val="18"/>
                <w:szCs w:val="18"/>
                <w:color w:val="auto"/>
              </w:rPr>
              <w:t>OLIGONUCLEOTIDE THERAPEUTIC AGENT AND METHODS OF</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MAKING SAME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ISIS-4502</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OLIGONUCLEOTIDE THERAPEUTIC AGENT AND METHODS OF</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MAKING SAME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CHEM0002US.L</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OLIGONUCLEOTIDES HAVING MODIFIED NUCLEOSIDE UNITS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CHEM0014US.L</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w w:val="99"/>
              </w:rPr>
              <w:t>CHIMERIC OLIGOMERIC COMPOUNDS AND THEIR USE IN GENE</w:t>
            </w:r>
          </w:p>
        </w:tc>
      </w:tr>
      <w:tr>
        <w:trPr>
          <w:trHeight w:val="216"/>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MODULATION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CHEM0001US</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w w:val="97"/>
              </w:rPr>
              <w:t>MODIFIED OLIGONUCLEOTIDES FOR USE IN GENE MODULATION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CHEM0001WO</w:t>
            </w: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6"/>
              </w:rPr>
              <w:t>WO</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w w:val="97"/>
              </w:rPr>
              <w:t>MODIFIED OLIGONUCLEOTIDES FOR USE IN GENE MODULATION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ISIS-0816</w:t>
            </w: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rPr>
              <w:t>AU</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196"/>
              <w:spacing w:after="0"/>
              <w:rPr>
                <w:sz w:val="20"/>
                <w:szCs w:val="20"/>
                <w:color w:val="auto"/>
              </w:rPr>
            </w:pPr>
            <w:r>
              <w:rPr>
                <w:rFonts w:ascii="Arial" w:cs="Arial" w:eastAsia="Arial" w:hAnsi="Arial"/>
                <w:sz w:val="18"/>
                <w:szCs w:val="18"/>
                <w:color w:val="auto"/>
                <w:w w:val="89"/>
              </w:rPr>
              <w:t>669353</w:t>
            </w:r>
          </w:p>
        </w:tc>
        <w:tc>
          <w:tcPr>
            <w:tcW w:w="5800" w:type="dxa"/>
            <w:vAlign w:val="bottom"/>
          </w:tcPr>
          <w:p>
            <w:pPr>
              <w:ind w:left="24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ISIS-0841</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216"/>
              <w:spacing w:after="0"/>
              <w:rPr>
                <w:sz w:val="20"/>
                <w:szCs w:val="20"/>
                <w:color w:val="auto"/>
              </w:rPr>
            </w:pPr>
            <w:r>
              <w:rPr>
                <w:rFonts w:ascii="Arial" w:cs="Arial" w:eastAsia="Arial" w:hAnsi="Arial"/>
                <w:sz w:val="18"/>
                <w:szCs w:val="18"/>
                <w:color w:val="auto"/>
                <w:w w:val="91"/>
              </w:rPr>
              <w:t>5623065</w:t>
            </w:r>
          </w:p>
        </w:tc>
        <w:tc>
          <w:tcPr>
            <w:tcW w:w="5800" w:type="dxa"/>
            <w:vAlign w:val="bottom"/>
          </w:tcPr>
          <w:p>
            <w:pPr>
              <w:ind w:left="24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ISIS-2002</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216"/>
              <w:spacing w:after="0"/>
              <w:rPr>
                <w:sz w:val="20"/>
                <w:szCs w:val="20"/>
                <w:color w:val="auto"/>
              </w:rPr>
            </w:pPr>
            <w:r>
              <w:rPr>
                <w:rFonts w:ascii="Arial" w:cs="Arial" w:eastAsia="Arial" w:hAnsi="Arial"/>
                <w:sz w:val="18"/>
                <w:szCs w:val="18"/>
                <w:color w:val="auto"/>
                <w:w w:val="91"/>
              </w:rPr>
              <w:t>5955589</w:t>
            </w:r>
          </w:p>
        </w:tc>
        <w:tc>
          <w:tcPr>
            <w:tcW w:w="5800" w:type="dxa"/>
            <w:vAlign w:val="bottom"/>
          </w:tcPr>
          <w:p>
            <w:pPr>
              <w:ind w:left="24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ISIS-2454</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216"/>
              <w:spacing w:after="0"/>
              <w:rPr>
                <w:sz w:val="20"/>
                <w:szCs w:val="20"/>
                <w:color w:val="auto"/>
              </w:rPr>
            </w:pPr>
            <w:r>
              <w:rPr>
                <w:rFonts w:ascii="Arial" w:cs="Arial" w:eastAsia="Arial" w:hAnsi="Arial"/>
                <w:sz w:val="18"/>
                <w:szCs w:val="18"/>
                <w:color w:val="auto"/>
                <w:w w:val="91"/>
              </w:rPr>
              <w:t>5856455</w:t>
            </w:r>
          </w:p>
        </w:tc>
        <w:tc>
          <w:tcPr>
            <w:tcW w:w="5800" w:type="dxa"/>
            <w:vAlign w:val="bottom"/>
          </w:tcPr>
          <w:p>
            <w:pPr>
              <w:ind w:left="24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ISIS-3153</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216"/>
              <w:spacing w:after="0"/>
              <w:rPr>
                <w:sz w:val="20"/>
                <w:szCs w:val="20"/>
                <w:color w:val="auto"/>
              </w:rPr>
            </w:pPr>
            <w:r>
              <w:rPr>
                <w:rFonts w:ascii="Arial" w:cs="Arial" w:eastAsia="Arial" w:hAnsi="Arial"/>
                <w:sz w:val="18"/>
                <w:szCs w:val="18"/>
                <w:color w:val="auto"/>
                <w:w w:val="91"/>
              </w:rPr>
              <w:t>6146829</w:t>
            </w:r>
          </w:p>
        </w:tc>
        <w:tc>
          <w:tcPr>
            <w:tcW w:w="5800" w:type="dxa"/>
            <w:vAlign w:val="bottom"/>
          </w:tcPr>
          <w:p>
            <w:pPr>
              <w:ind w:left="24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ISIS-4291</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ind w:left="216"/>
              <w:spacing w:after="0"/>
              <w:rPr>
                <w:sz w:val="20"/>
                <w:szCs w:val="20"/>
                <w:color w:val="auto"/>
              </w:rPr>
            </w:pPr>
            <w:r>
              <w:rPr>
                <w:rFonts w:ascii="Arial" w:cs="Arial" w:eastAsia="Arial" w:hAnsi="Arial"/>
                <w:sz w:val="18"/>
                <w:szCs w:val="18"/>
                <w:color w:val="auto"/>
                <w:w w:val="91"/>
              </w:rPr>
              <w:t>6326199</w:t>
            </w:r>
          </w:p>
        </w:tc>
        <w:tc>
          <w:tcPr>
            <w:tcW w:w="5800" w:type="dxa"/>
            <w:vAlign w:val="bottom"/>
          </w:tcPr>
          <w:p>
            <w:pPr>
              <w:ind w:left="24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ISIS-4387</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3"/>
              </w:rPr>
              <w:t>EP</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ISIS-4852</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GAPPED 2’ MODIFIED OLIGONUCLEOTIDES</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ISIS-5213</w:t>
            </w: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00"/>
              <w:spacing w:after="0"/>
              <w:rPr>
                <w:sz w:val="20"/>
                <w:szCs w:val="20"/>
                <w:color w:val="auto"/>
              </w:rPr>
            </w:pPr>
            <w:r>
              <w:rPr>
                <w:rFonts w:ascii="Arial" w:cs="Arial" w:eastAsia="Arial" w:hAnsi="Arial"/>
                <w:sz w:val="18"/>
                <w:szCs w:val="18"/>
                <w:color w:val="auto"/>
              </w:rPr>
              <w:t>Pending</w:t>
            </w:r>
          </w:p>
        </w:tc>
        <w:tc>
          <w:tcPr>
            <w:tcW w:w="1380" w:type="dxa"/>
            <w:vAlign w:val="bottom"/>
          </w:tcPr>
          <w:p>
            <w:pPr>
              <w:spacing w:after="0"/>
              <w:rPr>
                <w:sz w:val="20"/>
                <w:szCs w:val="20"/>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GAPPED 2’ MODIFIED OLIGONUCLEOTIDES</w:t>
            </w:r>
          </w:p>
        </w:tc>
      </w:tr>
    </w:tbl>
    <w:p>
      <w:pPr>
        <w:sectPr>
          <w:pgSz w:w="11900" w:h="16838" w:orient="portrait"/>
          <w:cols w:equalWidth="0" w:num="1">
            <w:col w:w="11360"/>
          </w:cols>
          <w:pgMar w:left="240" w:top="341" w:right="29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ISIS-0818</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2126691</w:t>
            </w:r>
          </w:p>
        </w:tc>
        <w:tc>
          <w:tcPr>
            <w:tcW w:w="5760" w:type="dxa"/>
            <w:vAlign w:val="bottom"/>
          </w:tcPr>
          <w:p>
            <w:pPr>
              <w:ind w:left="160"/>
              <w:spacing w:after="0"/>
              <w:rPr>
                <w:sz w:val="20"/>
                <w:szCs w:val="20"/>
                <w:color w:val="auto"/>
              </w:rPr>
            </w:pPr>
            <w:r>
              <w:rPr>
                <w:rFonts w:ascii="Arial" w:cs="Arial" w:eastAsia="Arial" w:hAnsi="Arial"/>
                <w:sz w:val="18"/>
                <w:szCs w:val="18"/>
                <w:color w:val="auto"/>
              </w:rPr>
              <w:t>GAPPED 2’ MODIFIED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ISIS-0819</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618925</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ISIS-0821</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9"/>
              </w:rPr>
              <w:t>BE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618925</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ISIS-0822</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rPr>
              <w:t>DK</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618925</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ISIS-0823</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1"/>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618925</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ISIS-0824</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2"/>
              </w:rPr>
              <w:t>GB</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618925</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ISIS-0825</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DE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89"/>
              </w:rPr>
              <w:t>69232032</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ISIS-0827</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3"/>
              </w:rPr>
              <w:t>IE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618925</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ISIS-0831</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rPr>
              <w:t>NL</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618925</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ISIS-0834</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3"/>
              </w:rPr>
              <w:t>SE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618925</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ISIS-0835</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2"/>
              </w:rPr>
              <w:t>CH</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618925</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ISIS-0838</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3131222</w:t>
            </w: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ISIS-4383</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ISIS-0839</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KR</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w w:val="96"/>
              </w:rPr>
              <w:t>GAPPED 2’ MODIFIED PHOSPHOROTHIOATE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ISIS-2825</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KR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188858</w:t>
            </w:r>
          </w:p>
        </w:tc>
        <w:tc>
          <w:tcPr>
            <w:tcW w:w="5760" w:type="dxa"/>
            <w:vAlign w:val="bottom"/>
          </w:tcPr>
          <w:p>
            <w:pPr>
              <w:ind w:left="160"/>
              <w:spacing w:after="0"/>
              <w:rPr>
                <w:sz w:val="20"/>
                <w:szCs w:val="20"/>
                <w:color w:val="auto"/>
              </w:rPr>
            </w:pPr>
            <w:r>
              <w:rPr>
                <w:rFonts w:ascii="Arial" w:cs="Arial" w:eastAsia="Arial" w:hAnsi="Arial"/>
                <w:sz w:val="18"/>
                <w:szCs w:val="18"/>
                <w:color w:val="auto"/>
              </w:rPr>
              <w:t>GAPPED 2’-MODIFIED MACROMOLECULES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ISIS-4288</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GAPPED OLIGOMERS HAVING SITE SPECIFIC</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PHOSPHOROTHIOATE INTERNUCLEOSIDE LINKAGES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ISIS-2003</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GAPPED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HYBN-198.0AT</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rPr>
              <w:t>AU</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HYBN-198.0BE</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9"/>
              </w:rPr>
              <w:t>BE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HYBN-198.0CA</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HYBN-198.0CH</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2"/>
              </w:rPr>
              <w:t>CH</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HYBN-198.0DE</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DE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696 28 864.8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HYBN-198.0DK</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rPr>
              <w:t>DK</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HYBN-198.0EP</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198.0EPD1</w:t>
            </w: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76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HYBN-198.0ES</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3"/>
              </w:rPr>
              <w:t>ES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HYBN-198.0FI</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9"/>
              </w:rPr>
              <w:t>FI</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HYBN-198.0FR</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1"/>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HYBN-198.0GB</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2"/>
              </w:rPr>
              <w:t>GB</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HYBN-198.0GR</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8"/>
              </w:rPr>
              <w:t>GR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HYBN-198.0IE</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3"/>
              </w:rPr>
              <w:t>IE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HYBN-198.0IT</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9"/>
              </w:rPr>
              <w:t>IT</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HYBN-198.0JP</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75"/>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Pending</w:t>
            </w:r>
          </w:p>
        </w:tc>
        <w:tc>
          <w:tcPr>
            <w:tcW w:w="15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HYBN-198.0NL</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rPr>
              <w:t>NL</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HYBN-198.0PT</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6"/>
              </w:rPr>
              <w:t>PT</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HYBN-198.0SE</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3"/>
              </w:rPr>
              <w:t>SE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1019428</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HYBN-198.0US</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5652356</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HYBN-198.1US</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5973136</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HYBN-198.2US</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5773601</w:t>
            </w:r>
          </w:p>
        </w:tc>
        <w:tc>
          <w:tcPr>
            <w:tcW w:w="5760" w:type="dxa"/>
            <w:vAlign w:val="bottom"/>
          </w:tcPr>
          <w:p>
            <w:pPr>
              <w:ind w:left="160"/>
              <w:spacing w:after="0"/>
              <w:rPr>
                <w:sz w:val="20"/>
                <w:szCs w:val="20"/>
                <w:color w:val="auto"/>
              </w:rPr>
            </w:pPr>
            <w:r>
              <w:rPr>
                <w:rFonts w:ascii="Arial" w:cs="Arial" w:eastAsia="Arial" w:hAnsi="Arial"/>
                <w:sz w:val="18"/>
                <w:szCs w:val="18"/>
                <w:color w:val="auto"/>
              </w:rPr>
              <w:t>INVERTED CHIMERIC AND HYBRID OLIGONUCLEOTIDES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ISIS-1203</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9"/>
              </w:rPr>
              <w:t>NZ</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256787</w:t>
            </w:r>
          </w:p>
        </w:tc>
        <w:tc>
          <w:tcPr>
            <w:tcW w:w="5760" w:type="dxa"/>
            <w:vAlign w:val="bottom"/>
          </w:tcPr>
          <w:p>
            <w:pPr>
              <w:ind w:left="160"/>
              <w:spacing w:after="0"/>
              <w:rPr>
                <w:sz w:val="20"/>
                <w:szCs w:val="20"/>
                <w:color w:val="auto"/>
              </w:rPr>
            </w:pPr>
            <w:r>
              <w:rPr>
                <w:rFonts w:ascii="Arial" w:cs="Arial" w:eastAsia="Arial" w:hAnsi="Arial"/>
                <w:sz w:val="18"/>
                <w:szCs w:val="18"/>
                <w:color w:val="auto"/>
                <w:w w:val="95"/>
              </w:rPr>
              <w:t>OLIGONUCLEOTIDES HAVING A CONSERVED G4 CORE SEQUENCE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ISIS-1204</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rPr>
              <w:t>AU</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668604</w:t>
            </w:r>
          </w:p>
        </w:tc>
        <w:tc>
          <w:tcPr>
            <w:tcW w:w="5760" w:type="dxa"/>
            <w:vAlign w:val="bottom"/>
          </w:tcPr>
          <w:p>
            <w:pPr>
              <w:ind w:left="160"/>
              <w:spacing w:after="0"/>
              <w:rPr>
                <w:sz w:val="20"/>
                <w:szCs w:val="20"/>
                <w:color w:val="auto"/>
              </w:rPr>
            </w:pPr>
            <w:r>
              <w:rPr>
                <w:rFonts w:ascii="Arial" w:cs="Arial" w:eastAsia="Arial" w:hAnsi="Arial"/>
                <w:sz w:val="18"/>
                <w:szCs w:val="18"/>
                <w:color w:val="auto"/>
                <w:w w:val="95"/>
              </w:rPr>
              <w:t>OLIGONUCLEOTIDES HAVING A CONSERVED G4 CORE SEQUENCE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ISIS-1207</w:t>
            </w: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3"/>
              </w:rPr>
              <w:t>EP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672193</w:t>
            </w:r>
          </w:p>
        </w:tc>
        <w:tc>
          <w:tcPr>
            <w:tcW w:w="5760" w:type="dxa"/>
            <w:vAlign w:val="bottom"/>
          </w:tcPr>
          <w:p>
            <w:pPr>
              <w:ind w:left="160"/>
              <w:spacing w:after="0"/>
              <w:rPr>
                <w:sz w:val="20"/>
                <w:szCs w:val="20"/>
                <w:color w:val="auto"/>
              </w:rPr>
            </w:pPr>
            <w:r>
              <w:rPr>
                <w:rFonts w:ascii="Arial" w:cs="Arial" w:eastAsia="Arial" w:hAnsi="Arial"/>
                <w:sz w:val="18"/>
                <w:szCs w:val="18"/>
                <w:color w:val="auto"/>
                <w:w w:val="95"/>
              </w:rPr>
              <w:t>OLIGONUCLEOTIDES HAVING A CONSERVED G4 CORE SEQUENCE</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ISIS-1211</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1"/>
              </w:rPr>
              <w:t>FR</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50"/>
              <w:spacing w:after="0"/>
              <w:rPr>
                <w:sz w:val="20"/>
                <w:szCs w:val="20"/>
                <w:color w:val="auto"/>
              </w:rPr>
            </w:pPr>
            <w:r>
              <w:rPr>
                <w:rFonts w:ascii="Arial" w:cs="Arial" w:eastAsia="Arial" w:hAnsi="Arial"/>
                <w:sz w:val="18"/>
                <w:szCs w:val="18"/>
                <w:color w:val="auto"/>
                <w:w w:val="89"/>
              </w:rPr>
              <w:t>672193</w:t>
            </w:r>
          </w:p>
        </w:tc>
        <w:tc>
          <w:tcPr>
            <w:tcW w:w="5760" w:type="dxa"/>
            <w:vAlign w:val="bottom"/>
          </w:tcPr>
          <w:p>
            <w:pPr>
              <w:ind w:left="160"/>
              <w:spacing w:after="0"/>
              <w:rPr>
                <w:sz w:val="20"/>
                <w:szCs w:val="20"/>
                <w:color w:val="auto"/>
              </w:rPr>
            </w:pPr>
            <w:r>
              <w:rPr>
                <w:rFonts w:ascii="Arial" w:cs="Arial" w:eastAsia="Arial" w:hAnsi="Arial"/>
                <w:sz w:val="18"/>
                <w:szCs w:val="18"/>
                <w:color w:val="auto"/>
                <w:w w:val="95"/>
              </w:rPr>
              <w:t>OLIGONUCLEOTIDES HAVING A CONSERVED G4 CORE SEQUENCE</w:t>
            </w:r>
          </w:p>
        </w:tc>
      </w:tr>
    </w:tbl>
    <w:p>
      <w:pPr>
        <w:sectPr>
          <w:pgSz w:w="11900" w:h="16838" w:orient="portrait"/>
          <w:cols w:equalWidth="0" w:num="1">
            <w:col w:w="11400"/>
          </w:cols>
          <w:pgMar w:left="240" w:top="341" w:right="25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ISIS-1212</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GB</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ind w:left="230"/>
              <w:spacing w:after="0"/>
              <w:rPr>
                <w:sz w:val="20"/>
                <w:szCs w:val="20"/>
                <w:color w:val="auto"/>
              </w:rPr>
            </w:pPr>
            <w:r>
              <w:rPr>
                <w:rFonts w:ascii="Arial" w:cs="Arial" w:eastAsia="Arial" w:hAnsi="Arial"/>
                <w:sz w:val="18"/>
                <w:szCs w:val="18"/>
                <w:color w:val="auto"/>
                <w:w w:val="89"/>
              </w:rPr>
              <w:t>672193</w:t>
            </w:r>
          </w:p>
        </w:tc>
        <w:tc>
          <w:tcPr>
            <w:tcW w:w="5840" w:type="dxa"/>
            <w:vAlign w:val="bottom"/>
          </w:tcPr>
          <w:p>
            <w:pPr>
              <w:jc w:val="right"/>
              <w:spacing w:after="0"/>
              <w:rPr>
                <w:sz w:val="20"/>
                <w:szCs w:val="20"/>
                <w:color w:val="auto"/>
              </w:rPr>
            </w:pPr>
            <w:r>
              <w:rPr>
                <w:rFonts w:ascii="Arial" w:cs="Arial" w:eastAsia="Arial" w:hAnsi="Arial"/>
                <w:sz w:val="18"/>
                <w:szCs w:val="18"/>
                <w:color w:val="auto"/>
                <w:w w:val="99"/>
              </w:rPr>
              <w:t>OLIGONUCLEOTIDES HAVING A CONSERVED G4 CORE SEQUENCE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ISIS-1223</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CH</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ind w:left="230"/>
              <w:spacing w:after="0"/>
              <w:rPr>
                <w:sz w:val="20"/>
                <w:szCs w:val="20"/>
                <w:color w:val="auto"/>
              </w:rPr>
            </w:pPr>
            <w:r>
              <w:rPr>
                <w:rFonts w:ascii="Arial" w:cs="Arial" w:eastAsia="Arial" w:hAnsi="Arial"/>
                <w:sz w:val="18"/>
                <w:szCs w:val="18"/>
                <w:color w:val="auto"/>
                <w:w w:val="89"/>
              </w:rPr>
              <w:t>672193</w:t>
            </w:r>
          </w:p>
        </w:tc>
        <w:tc>
          <w:tcPr>
            <w:tcW w:w="5840" w:type="dxa"/>
            <w:vAlign w:val="bottom"/>
          </w:tcPr>
          <w:p>
            <w:pPr>
              <w:jc w:val="right"/>
              <w:spacing w:after="0"/>
              <w:rPr>
                <w:sz w:val="20"/>
                <w:szCs w:val="20"/>
                <w:color w:val="auto"/>
              </w:rPr>
            </w:pPr>
            <w:r>
              <w:rPr>
                <w:rFonts w:ascii="Arial" w:cs="Arial" w:eastAsia="Arial" w:hAnsi="Arial"/>
                <w:sz w:val="18"/>
                <w:szCs w:val="18"/>
                <w:color w:val="auto"/>
                <w:w w:val="99"/>
              </w:rPr>
              <w:t>OLIGONUCLEOTIDES HAVING A CONSERVED G4 CORE SEQUENCE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ISIS-1206</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ind w:left="250"/>
              <w:spacing w:after="0"/>
              <w:rPr>
                <w:sz w:val="20"/>
                <w:szCs w:val="20"/>
                <w:color w:val="auto"/>
              </w:rPr>
            </w:pPr>
            <w:r>
              <w:rPr>
                <w:rFonts w:ascii="Arial" w:cs="Arial" w:eastAsia="Arial" w:hAnsi="Arial"/>
                <w:sz w:val="18"/>
                <w:szCs w:val="18"/>
                <w:color w:val="auto"/>
                <w:w w:val="91"/>
              </w:rPr>
              <w:t>2145664</w:t>
            </w:r>
          </w:p>
        </w:tc>
        <w:tc>
          <w:tcPr>
            <w:tcW w:w="5840" w:type="dxa"/>
            <w:vAlign w:val="bottom"/>
          </w:tcPr>
          <w:p>
            <w:pPr>
              <w:jc w:val="right"/>
              <w:spacing w:after="0"/>
              <w:rPr>
                <w:sz w:val="20"/>
                <w:szCs w:val="20"/>
                <w:color w:val="auto"/>
              </w:rPr>
            </w:pPr>
            <w:r>
              <w:rPr>
                <w:rFonts w:ascii="Arial" w:cs="Arial" w:eastAsia="Arial" w:hAnsi="Arial"/>
                <w:sz w:val="18"/>
                <w:szCs w:val="18"/>
                <w:color w:val="auto"/>
                <w:w w:val="99"/>
              </w:rPr>
              <w:t>OLIGONUCLEOTIDES HAVING A CONSERVED G4 CORE SEQUENCE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ISIS-1226</w:t>
            </w:r>
          </w:p>
        </w:tc>
        <w:tc>
          <w:tcPr>
            <w:tcW w:w="132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ind w:left="250"/>
              <w:spacing w:after="0"/>
              <w:rPr>
                <w:sz w:val="20"/>
                <w:szCs w:val="20"/>
                <w:color w:val="auto"/>
              </w:rPr>
            </w:pPr>
            <w:r>
              <w:rPr>
                <w:rFonts w:ascii="Arial" w:cs="Arial" w:eastAsia="Arial" w:hAnsi="Arial"/>
                <w:sz w:val="18"/>
                <w:szCs w:val="18"/>
                <w:color w:val="auto"/>
                <w:w w:val="91"/>
              </w:rPr>
              <w:t>2818031</w:t>
            </w:r>
          </w:p>
        </w:tc>
        <w:tc>
          <w:tcPr>
            <w:tcW w:w="5840" w:type="dxa"/>
            <w:vAlign w:val="bottom"/>
          </w:tcPr>
          <w:p>
            <w:pPr>
              <w:jc w:val="right"/>
              <w:spacing w:after="0"/>
              <w:rPr>
                <w:sz w:val="20"/>
                <w:szCs w:val="20"/>
                <w:color w:val="auto"/>
              </w:rPr>
            </w:pPr>
            <w:r>
              <w:rPr>
                <w:rFonts w:ascii="Arial" w:cs="Arial" w:eastAsia="Arial" w:hAnsi="Arial"/>
                <w:sz w:val="18"/>
                <w:szCs w:val="18"/>
                <w:color w:val="auto"/>
                <w:w w:val="99"/>
              </w:rPr>
              <w:t>OLIGONUCLEOTIDES HAVING A CONSERVED G4 CORE SEQUENCE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ISIS-1229</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ind w:left="250"/>
              <w:spacing w:after="0"/>
              <w:rPr>
                <w:sz w:val="20"/>
                <w:szCs w:val="20"/>
                <w:color w:val="auto"/>
              </w:rPr>
            </w:pPr>
            <w:r>
              <w:rPr>
                <w:rFonts w:ascii="Arial" w:cs="Arial" w:eastAsia="Arial" w:hAnsi="Arial"/>
                <w:sz w:val="18"/>
                <w:szCs w:val="18"/>
                <w:color w:val="auto"/>
                <w:w w:val="91"/>
              </w:rPr>
              <w:t>5952490</w:t>
            </w:r>
          </w:p>
        </w:tc>
        <w:tc>
          <w:tcPr>
            <w:tcW w:w="5840" w:type="dxa"/>
            <w:vAlign w:val="bottom"/>
          </w:tcPr>
          <w:p>
            <w:pPr>
              <w:jc w:val="right"/>
              <w:spacing w:after="0"/>
              <w:rPr>
                <w:sz w:val="20"/>
                <w:szCs w:val="20"/>
                <w:color w:val="auto"/>
              </w:rPr>
            </w:pPr>
            <w:r>
              <w:rPr>
                <w:rFonts w:ascii="Arial" w:cs="Arial" w:eastAsia="Arial" w:hAnsi="Arial"/>
                <w:sz w:val="18"/>
                <w:szCs w:val="18"/>
                <w:color w:val="auto"/>
                <w:w w:val="99"/>
              </w:rPr>
              <w:t>OLIGONUCLEOTIDES HAVING A CONSERVED G4 CORE SEQUENCE</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ISIS-1213</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1500" w:type="dxa"/>
            <w:vAlign w:val="bottom"/>
          </w:tcPr>
          <w:p>
            <w:pPr>
              <w:ind w:left="520"/>
              <w:spacing w:after="0"/>
              <w:rPr>
                <w:sz w:val="20"/>
                <w:szCs w:val="20"/>
                <w:color w:val="auto"/>
              </w:rPr>
            </w:pPr>
            <w:r>
              <w:rPr>
                <w:rFonts w:ascii="Arial" w:cs="Arial" w:eastAsia="Arial" w:hAnsi="Arial"/>
                <w:sz w:val="18"/>
                <w:szCs w:val="18"/>
                <w:color w:val="auto"/>
              </w:rPr>
              <w:t>Granted</w:t>
            </w:r>
          </w:p>
        </w:tc>
        <w:tc>
          <w:tcPr>
            <w:tcW w:w="7260" w:type="dxa"/>
            <w:vAlign w:val="bottom"/>
            <w:gridSpan w:val="2"/>
          </w:tcPr>
          <w:p>
            <w:pPr>
              <w:jc w:val="right"/>
              <w:spacing w:after="0"/>
              <w:rPr>
                <w:sz w:val="20"/>
                <w:szCs w:val="20"/>
                <w:color w:val="auto"/>
              </w:rPr>
            </w:pPr>
            <w:r>
              <w:rPr>
                <w:rFonts w:ascii="Arial" w:cs="Arial" w:eastAsia="Arial" w:hAnsi="Arial"/>
                <w:sz w:val="18"/>
                <w:szCs w:val="18"/>
                <w:color w:val="auto"/>
              </w:rPr>
              <w:t>693 32 206.3    OLIGONUCLEOTIDES HAVING A CONSERVED G4 CORE SEQUENCE</w:t>
            </w:r>
          </w:p>
        </w:tc>
      </w:tr>
    </w:tbl>
    <w:p>
      <w:pPr>
        <w:sectPr>
          <w:pgSz w:w="11900" w:h="16838" w:orient="portrait"/>
          <w:cols w:equalWidth="0" w:num="1">
            <w:col w:w="11400"/>
          </w:cols>
          <w:pgMar w:left="240" w:top="341"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Isis Current Mechanism and Motif Patents (June 2007 Updates)</w:t>
      </w:r>
    </w:p>
    <w:tbl>
      <w:tblPr>
        <w:tblLayout w:type="fixed"/>
        <w:tblInd w:w="0" w:type="dxa"/>
        <w:tblCellMar>
          <w:top w:w="0" w:type="dxa"/>
          <w:left w:w="0" w:type="dxa"/>
          <w:bottom w:w="0" w:type="dxa"/>
          <w:right w:w="0" w:type="dxa"/>
        </w:tblCellMar>
      </w:tblPr>
      <w:tr>
        <w:trPr>
          <w:trHeight w:val="158"/>
        </w:trPr>
        <w:tc>
          <w:tcPr>
            <w:tcW w:w="2100" w:type="dxa"/>
            <w:vAlign w:val="bottom"/>
          </w:tcPr>
          <w:p>
            <w:pPr>
              <w:spacing w:after="0" w:line="158" w:lineRule="exact"/>
              <w:rPr>
                <w:sz w:val="20"/>
                <w:szCs w:val="20"/>
                <w:color w:val="auto"/>
              </w:rPr>
            </w:pPr>
            <w:r>
              <w:rPr>
                <w:rFonts w:ascii="Arial" w:cs="Arial" w:eastAsia="Arial" w:hAnsi="Arial"/>
                <w:sz w:val="14"/>
                <w:szCs w:val="14"/>
                <w:b w:val="1"/>
                <w:bCs w:val="1"/>
                <w:color w:val="auto"/>
              </w:rPr>
              <w:t>Isis Docket Number</w:t>
            </w:r>
          </w:p>
        </w:tc>
        <w:tc>
          <w:tcPr>
            <w:tcW w:w="1500" w:type="dxa"/>
            <w:vAlign w:val="bottom"/>
          </w:tcPr>
          <w:p>
            <w:pPr>
              <w:ind w:left="680"/>
              <w:spacing w:after="0" w:line="158" w:lineRule="exact"/>
              <w:rPr>
                <w:sz w:val="20"/>
                <w:szCs w:val="20"/>
                <w:color w:val="auto"/>
              </w:rPr>
            </w:pPr>
            <w:r>
              <w:rPr>
                <w:rFonts w:ascii="Arial" w:cs="Arial" w:eastAsia="Arial" w:hAnsi="Arial"/>
                <w:sz w:val="14"/>
                <w:szCs w:val="14"/>
                <w:b w:val="1"/>
                <w:bCs w:val="1"/>
                <w:color w:val="auto"/>
              </w:rPr>
              <w:t>Country</w:t>
            </w:r>
          </w:p>
        </w:tc>
        <w:tc>
          <w:tcPr>
            <w:tcW w:w="1600" w:type="dxa"/>
            <w:vAlign w:val="bottom"/>
          </w:tcPr>
          <w:p>
            <w:pPr>
              <w:ind w:left="320"/>
              <w:spacing w:after="0" w:line="158" w:lineRule="exact"/>
              <w:rPr>
                <w:sz w:val="20"/>
                <w:szCs w:val="20"/>
                <w:color w:val="auto"/>
              </w:rPr>
            </w:pPr>
            <w:r>
              <w:rPr>
                <w:rFonts w:ascii="Arial" w:cs="Arial" w:eastAsia="Arial" w:hAnsi="Arial"/>
                <w:sz w:val="14"/>
                <w:szCs w:val="14"/>
                <w:b w:val="1"/>
                <w:bCs w:val="1"/>
                <w:color w:val="auto"/>
              </w:rPr>
              <w:t>Status</w:t>
            </w:r>
          </w:p>
        </w:tc>
        <w:tc>
          <w:tcPr>
            <w:tcW w:w="1160" w:type="dxa"/>
            <w:vAlign w:val="bottom"/>
          </w:tcPr>
          <w:p>
            <w:pPr>
              <w:ind w:left="420"/>
              <w:spacing w:after="0" w:line="158" w:lineRule="exact"/>
              <w:rPr>
                <w:sz w:val="20"/>
                <w:szCs w:val="20"/>
                <w:color w:val="auto"/>
              </w:rPr>
            </w:pPr>
            <w:r>
              <w:rPr>
                <w:rFonts w:ascii="Arial" w:cs="Arial" w:eastAsia="Arial" w:hAnsi="Arial"/>
                <w:sz w:val="14"/>
                <w:szCs w:val="14"/>
                <w:b w:val="1"/>
                <w:bCs w:val="1"/>
                <w:color w:val="auto"/>
              </w:rPr>
              <w:t>Filing Date</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CORE0005EP</w:t>
            </w:r>
          </w:p>
        </w:tc>
        <w:tc>
          <w:tcPr>
            <w:tcW w:w="1500" w:type="dxa"/>
            <w:vAlign w:val="bottom"/>
          </w:tcPr>
          <w:p>
            <w:pPr>
              <w:ind w:left="680"/>
              <w:spacing w:after="0"/>
              <w:rPr>
                <w:sz w:val="20"/>
                <w:szCs w:val="20"/>
                <w:color w:val="auto"/>
              </w:rPr>
            </w:pPr>
            <w:r>
              <w:rPr>
                <w:rFonts w:ascii="Arial" w:cs="Arial" w:eastAsia="Arial" w:hAnsi="Arial"/>
                <w:sz w:val="18"/>
                <w:szCs w:val="18"/>
                <w:color w:val="auto"/>
              </w:rPr>
              <w:t>EP</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ind w:left="420"/>
              <w:spacing w:after="0"/>
              <w:rPr>
                <w:sz w:val="20"/>
                <w:szCs w:val="20"/>
                <w:color w:val="auto"/>
              </w:rPr>
            </w:pPr>
            <w:r>
              <w:rPr>
                <w:rFonts w:ascii="Arial" w:cs="Arial" w:eastAsia="Arial" w:hAnsi="Arial"/>
                <w:sz w:val="18"/>
                <w:szCs w:val="18"/>
                <w:color w:val="auto"/>
                <w:w w:val="89"/>
              </w:rPr>
              <w:t>6/18/2004</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CORE0005USA</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ind w:left="420"/>
              <w:spacing w:after="0"/>
              <w:rPr>
                <w:sz w:val="20"/>
                <w:szCs w:val="20"/>
                <w:color w:val="auto"/>
              </w:rPr>
            </w:pPr>
            <w:r>
              <w:rPr>
                <w:rFonts w:ascii="Arial" w:cs="Arial" w:eastAsia="Arial" w:hAnsi="Arial"/>
                <w:sz w:val="18"/>
                <w:szCs w:val="18"/>
                <w:color w:val="auto"/>
              </w:rPr>
              <w:t>5/5/2006</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CHEM0021EP</w:t>
            </w:r>
          </w:p>
        </w:tc>
        <w:tc>
          <w:tcPr>
            <w:tcW w:w="1500" w:type="dxa"/>
            <w:vAlign w:val="bottom"/>
          </w:tcPr>
          <w:p>
            <w:pPr>
              <w:ind w:left="680"/>
              <w:spacing w:after="0"/>
              <w:rPr>
                <w:sz w:val="20"/>
                <w:szCs w:val="20"/>
                <w:color w:val="auto"/>
              </w:rPr>
            </w:pPr>
            <w:r>
              <w:rPr>
                <w:rFonts w:ascii="Arial" w:cs="Arial" w:eastAsia="Arial" w:hAnsi="Arial"/>
                <w:sz w:val="18"/>
                <w:szCs w:val="18"/>
                <w:color w:val="auto"/>
              </w:rPr>
              <w:t>EP</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CHEM0021USA</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CHEM0021WO</w:t>
            </w:r>
          </w:p>
        </w:tc>
        <w:tc>
          <w:tcPr>
            <w:tcW w:w="1500" w:type="dxa"/>
            <w:vAlign w:val="bottom"/>
          </w:tcPr>
          <w:p>
            <w:pPr>
              <w:ind w:left="680"/>
              <w:spacing w:after="0"/>
              <w:rPr>
                <w:sz w:val="20"/>
                <w:szCs w:val="20"/>
                <w:color w:val="auto"/>
              </w:rPr>
            </w:pPr>
            <w:r>
              <w:rPr>
                <w:rFonts w:ascii="Arial" w:cs="Arial" w:eastAsia="Arial" w:hAnsi="Arial"/>
                <w:sz w:val="18"/>
                <w:szCs w:val="18"/>
                <w:color w:val="auto"/>
              </w:rPr>
              <w:t>WO</w:t>
            </w:r>
          </w:p>
        </w:tc>
        <w:tc>
          <w:tcPr>
            <w:tcW w:w="1600" w:type="dxa"/>
            <w:vAlign w:val="bottom"/>
          </w:tcPr>
          <w:p>
            <w:pPr>
              <w:ind w:left="320"/>
              <w:spacing w:after="0"/>
              <w:rPr>
                <w:sz w:val="20"/>
                <w:szCs w:val="20"/>
                <w:color w:val="auto"/>
              </w:rPr>
            </w:pPr>
            <w:r>
              <w:rPr>
                <w:rFonts w:ascii="Arial" w:cs="Arial" w:eastAsia="Arial" w:hAnsi="Arial"/>
                <w:sz w:val="18"/>
                <w:szCs w:val="18"/>
                <w:color w:val="auto"/>
              </w:rPr>
              <w:t>INACTIVE</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CORE0005WO</w:t>
            </w:r>
          </w:p>
        </w:tc>
        <w:tc>
          <w:tcPr>
            <w:tcW w:w="1500" w:type="dxa"/>
            <w:vAlign w:val="bottom"/>
          </w:tcPr>
          <w:p>
            <w:pPr>
              <w:ind w:left="680"/>
              <w:spacing w:after="0"/>
              <w:rPr>
                <w:sz w:val="20"/>
                <w:szCs w:val="20"/>
                <w:color w:val="auto"/>
              </w:rPr>
            </w:pPr>
            <w:r>
              <w:rPr>
                <w:rFonts w:ascii="Arial" w:cs="Arial" w:eastAsia="Arial" w:hAnsi="Arial"/>
                <w:sz w:val="18"/>
                <w:szCs w:val="18"/>
                <w:color w:val="auto"/>
              </w:rPr>
              <w:t>WO</w:t>
            </w:r>
          </w:p>
        </w:tc>
        <w:tc>
          <w:tcPr>
            <w:tcW w:w="1600" w:type="dxa"/>
            <w:vAlign w:val="bottom"/>
          </w:tcPr>
          <w:p>
            <w:pPr>
              <w:ind w:left="320"/>
              <w:spacing w:after="0"/>
              <w:rPr>
                <w:sz w:val="20"/>
                <w:szCs w:val="20"/>
                <w:color w:val="auto"/>
              </w:rPr>
            </w:pPr>
            <w:r>
              <w:rPr>
                <w:rFonts w:ascii="Arial" w:cs="Arial" w:eastAsia="Arial" w:hAnsi="Arial"/>
                <w:sz w:val="18"/>
                <w:szCs w:val="18"/>
                <w:color w:val="auto"/>
              </w:rPr>
              <w:t>INACTIVE</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CORE0026EP</w:t>
            </w:r>
          </w:p>
        </w:tc>
        <w:tc>
          <w:tcPr>
            <w:tcW w:w="1500" w:type="dxa"/>
            <w:vAlign w:val="bottom"/>
          </w:tcPr>
          <w:p>
            <w:pPr>
              <w:ind w:left="680"/>
              <w:spacing w:after="0"/>
              <w:rPr>
                <w:sz w:val="20"/>
                <w:szCs w:val="20"/>
                <w:color w:val="auto"/>
              </w:rPr>
            </w:pPr>
            <w:r>
              <w:rPr>
                <w:rFonts w:ascii="Arial" w:cs="Arial" w:eastAsia="Arial" w:hAnsi="Arial"/>
                <w:sz w:val="18"/>
                <w:szCs w:val="18"/>
                <w:color w:val="auto"/>
              </w:rPr>
              <w:t>EP</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CORE0027EP</w:t>
            </w:r>
          </w:p>
        </w:tc>
        <w:tc>
          <w:tcPr>
            <w:tcW w:w="1500" w:type="dxa"/>
            <w:vAlign w:val="bottom"/>
          </w:tcPr>
          <w:p>
            <w:pPr>
              <w:ind w:left="680"/>
              <w:spacing w:after="0"/>
              <w:rPr>
                <w:sz w:val="20"/>
                <w:szCs w:val="20"/>
                <w:color w:val="auto"/>
              </w:rPr>
            </w:pPr>
            <w:r>
              <w:rPr>
                <w:rFonts w:ascii="Arial" w:cs="Arial" w:eastAsia="Arial" w:hAnsi="Arial"/>
                <w:sz w:val="18"/>
                <w:szCs w:val="18"/>
                <w:color w:val="auto"/>
              </w:rPr>
              <w:t>EP</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CORE0036US</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CORE0041US</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CORE0043EP</w:t>
            </w:r>
          </w:p>
        </w:tc>
        <w:tc>
          <w:tcPr>
            <w:tcW w:w="1500" w:type="dxa"/>
            <w:vAlign w:val="bottom"/>
          </w:tcPr>
          <w:p>
            <w:pPr>
              <w:ind w:left="680"/>
              <w:spacing w:after="0"/>
              <w:rPr>
                <w:sz w:val="20"/>
                <w:szCs w:val="20"/>
                <w:color w:val="auto"/>
              </w:rPr>
            </w:pPr>
            <w:r>
              <w:rPr>
                <w:rFonts w:ascii="Arial" w:cs="Arial" w:eastAsia="Arial" w:hAnsi="Arial"/>
                <w:sz w:val="18"/>
                <w:szCs w:val="18"/>
                <w:color w:val="auto"/>
              </w:rPr>
              <w:t>EP</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CORE0043USA</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CORE0043WO</w:t>
            </w:r>
          </w:p>
        </w:tc>
        <w:tc>
          <w:tcPr>
            <w:tcW w:w="1500" w:type="dxa"/>
            <w:vAlign w:val="bottom"/>
          </w:tcPr>
          <w:p>
            <w:pPr>
              <w:ind w:left="680"/>
              <w:spacing w:after="0"/>
              <w:rPr>
                <w:sz w:val="20"/>
                <w:szCs w:val="20"/>
                <w:color w:val="auto"/>
              </w:rPr>
            </w:pPr>
            <w:r>
              <w:rPr>
                <w:rFonts w:ascii="Arial" w:cs="Arial" w:eastAsia="Arial" w:hAnsi="Arial"/>
                <w:sz w:val="18"/>
                <w:szCs w:val="18"/>
                <w:color w:val="auto"/>
              </w:rPr>
              <w:t>WO</w:t>
            </w:r>
          </w:p>
        </w:tc>
        <w:tc>
          <w:tcPr>
            <w:tcW w:w="1600" w:type="dxa"/>
            <w:vAlign w:val="bottom"/>
          </w:tcPr>
          <w:p>
            <w:pPr>
              <w:ind w:left="320"/>
              <w:spacing w:after="0"/>
              <w:rPr>
                <w:sz w:val="20"/>
                <w:szCs w:val="20"/>
                <w:color w:val="auto"/>
              </w:rPr>
            </w:pPr>
            <w:r>
              <w:rPr>
                <w:rFonts w:ascii="Arial" w:cs="Arial" w:eastAsia="Arial" w:hAnsi="Arial"/>
                <w:sz w:val="18"/>
                <w:szCs w:val="18"/>
                <w:color w:val="auto"/>
              </w:rPr>
              <w:t>INACTIVE</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CORE0052US.L</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EXPIRED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CORE0052US.L2</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EXPIRED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CORE0055AU</w:t>
            </w:r>
          </w:p>
        </w:tc>
        <w:tc>
          <w:tcPr>
            <w:tcW w:w="1500" w:type="dxa"/>
            <w:vAlign w:val="bottom"/>
          </w:tcPr>
          <w:p>
            <w:pPr>
              <w:ind w:left="680"/>
              <w:spacing w:after="0"/>
              <w:rPr>
                <w:sz w:val="20"/>
                <w:szCs w:val="20"/>
                <w:color w:val="auto"/>
              </w:rPr>
            </w:pPr>
            <w:r>
              <w:rPr>
                <w:rFonts w:ascii="Arial" w:cs="Arial" w:eastAsia="Arial" w:hAnsi="Arial"/>
                <w:sz w:val="18"/>
                <w:szCs w:val="18"/>
                <w:color w:val="auto"/>
              </w:rPr>
              <w:t>AU</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CORE0055CA</w:t>
            </w:r>
          </w:p>
        </w:tc>
        <w:tc>
          <w:tcPr>
            <w:tcW w:w="1500" w:type="dxa"/>
            <w:vAlign w:val="bottom"/>
          </w:tcPr>
          <w:p>
            <w:pPr>
              <w:ind w:left="680"/>
              <w:spacing w:after="0"/>
              <w:rPr>
                <w:sz w:val="20"/>
                <w:szCs w:val="20"/>
                <w:color w:val="auto"/>
              </w:rPr>
            </w:pPr>
            <w:r>
              <w:rPr>
                <w:rFonts w:ascii="Arial" w:cs="Arial" w:eastAsia="Arial" w:hAnsi="Arial"/>
                <w:sz w:val="18"/>
                <w:szCs w:val="18"/>
                <w:color w:val="auto"/>
              </w:rPr>
              <w:t>CA</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CORE0055EP</w:t>
            </w:r>
          </w:p>
        </w:tc>
        <w:tc>
          <w:tcPr>
            <w:tcW w:w="1500" w:type="dxa"/>
            <w:vAlign w:val="bottom"/>
          </w:tcPr>
          <w:p>
            <w:pPr>
              <w:ind w:left="680"/>
              <w:spacing w:after="0"/>
              <w:rPr>
                <w:sz w:val="20"/>
                <w:szCs w:val="20"/>
                <w:color w:val="auto"/>
              </w:rPr>
            </w:pPr>
            <w:r>
              <w:rPr>
                <w:rFonts w:ascii="Arial" w:cs="Arial" w:eastAsia="Arial" w:hAnsi="Arial"/>
                <w:sz w:val="18"/>
                <w:szCs w:val="18"/>
                <w:color w:val="auto"/>
              </w:rPr>
              <w:t>EP</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CORE0055JP</w:t>
            </w:r>
          </w:p>
        </w:tc>
        <w:tc>
          <w:tcPr>
            <w:tcW w:w="1500" w:type="dxa"/>
            <w:vAlign w:val="bottom"/>
          </w:tcPr>
          <w:p>
            <w:pPr>
              <w:ind w:left="680"/>
              <w:spacing w:after="0"/>
              <w:rPr>
                <w:sz w:val="20"/>
                <w:szCs w:val="20"/>
                <w:color w:val="auto"/>
              </w:rPr>
            </w:pPr>
            <w:r>
              <w:rPr>
                <w:rFonts w:ascii="Arial" w:cs="Arial" w:eastAsia="Arial" w:hAnsi="Arial"/>
                <w:sz w:val="18"/>
                <w:szCs w:val="18"/>
                <w:color w:val="auto"/>
              </w:rPr>
              <w:t>JP</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CORE0055US.C1</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CORE0055US.C10</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CORE0055US.C2</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CORE0055US.C3</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CORE0055US.C4</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CORE0055US.C5</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CORE0055US.C6</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CORE0055US.C7</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CORE0055US.C8</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CORE0055US.C9</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CORE0055USA</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CORE0055WO</w:t>
            </w:r>
          </w:p>
        </w:tc>
        <w:tc>
          <w:tcPr>
            <w:tcW w:w="1500" w:type="dxa"/>
            <w:vAlign w:val="bottom"/>
          </w:tcPr>
          <w:p>
            <w:pPr>
              <w:ind w:left="680"/>
              <w:spacing w:after="0"/>
              <w:rPr>
                <w:sz w:val="20"/>
                <w:szCs w:val="20"/>
                <w:color w:val="auto"/>
              </w:rPr>
            </w:pPr>
            <w:r>
              <w:rPr>
                <w:rFonts w:ascii="Arial" w:cs="Arial" w:eastAsia="Arial" w:hAnsi="Arial"/>
                <w:sz w:val="18"/>
                <w:szCs w:val="18"/>
                <w:color w:val="auto"/>
              </w:rPr>
              <w:t>WO</w:t>
            </w:r>
          </w:p>
        </w:tc>
        <w:tc>
          <w:tcPr>
            <w:tcW w:w="1600" w:type="dxa"/>
            <w:vAlign w:val="bottom"/>
          </w:tcPr>
          <w:p>
            <w:pPr>
              <w:ind w:left="320"/>
              <w:spacing w:after="0"/>
              <w:rPr>
                <w:sz w:val="20"/>
                <w:szCs w:val="20"/>
                <w:color w:val="auto"/>
              </w:rPr>
            </w:pPr>
            <w:r>
              <w:rPr>
                <w:rFonts w:ascii="Arial" w:cs="Arial" w:eastAsia="Arial" w:hAnsi="Arial"/>
                <w:sz w:val="18"/>
                <w:szCs w:val="18"/>
                <w:color w:val="auto"/>
              </w:rPr>
              <w:t>INACTIVE</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CORE0056AU</w:t>
            </w:r>
          </w:p>
        </w:tc>
        <w:tc>
          <w:tcPr>
            <w:tcW w:w="1500" w:type="dxa"/>
            <w:vAlign w:val="bottom"/>
          </w:tcPr>
          <w:p>
            <w:pPr>
              <w:ind w:left="680"/>
              <w:spacing w:after="0"/>
              <w:rPr>
                <w:sz w:val="20"/>
                <w:szCs w:val="20"/>
                <w:color w:val="auto"/>
              </w:rPr>
            </w:pPr>
            <w:r>
              <w:rPr>
                <w:rFonts w:ascii="Arial" w:cs="Arial" w:eastAsia="Arial" w:hAnsi="Arial"/>
                <w:sz w:val="18"/>
                <w:szCs w:val="18"/>
                <w:color w:val="auto"/>
              </w:rPr>
              <w:t>AU</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CORE0056CA</w:t>
            </w:r>
          </w:p>
        </w:tc>
        <w:tc>
          <w:tcPr>
            <w:tcW w:w="1500" w:type="dxa"/>
            <w:vAlign w:val="bottom"/>
          </w:tcPr>
          <w:p>
            <w:pPr>
              <w:ind w:left="680"/>
              <w:spacing w:after="0"/>
              <w:rPr>
                <w:sz w:val="20"/>
                <w:szCs w:val="20"/>
                <w:color w:val="auto"/>
              </w:rPr>
            </w:pPr>
            <w:r>
              <w:rPr>
                <w:rFonts w:ascii="Arial" w:cs="Arial" w:eastAsia="Arial" w:hAnsi="Arial"/>
                <w:sz w:val="18"/>
                <w:szCs w:val="18"/>
                <w:color w:val="auto"/>
              </w:rPr>
              <w:t>CA</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CORE0056EP</w:t>
            </w:r>
          </w:p>
        </w:tc>
        <w:tc>
          <w:tcPr>
            <w:tcW w:w="1500" w:type="dxa"/>
            <w:vAlign w:val="bottom"/>
          </w:tcPr>
          <w:p>
            <w:pPr>
              <w:ind w:left="680"/>
              <w:spacing w:after="0"/>
              <w:rPr>
                <w:sz w:val="20"/>
                <w:szCs w:val="20"/>
                <w:color w:val="auto"/>
              </w:rPr>
            </w:pPr>
            <w:r>
              <w:rPr>
                <w:rFonts w:ascii="Arial" w:cs="Arial" w:eastAsia="Arial" w:hAnsi="Arial"/>
                <w:sz w:val="18"/>
                <w:szCs w:val="18"/>
                <w:color w:val="auto"/>
              </w:rPr>
              <w:t>EP</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CORE0056JP</w:t>
            </w:r>
          </w:p>
        </w:tc>
        <w:tc>
          <w:tcPr>
            <w:tcW w:w="1500" w:type="dxa"/>
            <w:vAlign w:val="bottom"/>
          </w:tcPr>
          <w:p>
            <w:pPr>
              <w:ind w:left="680"/>
              <w:spacing w:after="0"/>
              <w:rPr>
                <w:sz w:val="20"/>
                <w:szCs w:val="20"/>
                <w:color w:val="auto"/>
              </w:rPr>
            </w:pPr>
            <w:r>
              <w:rPr>
                <w:rFonts w:ascii="Arial" w:cs="Arial" w:eastAsia="Arial" w:hAnsi="Arial"/>
                <w:sz w:val="18"/>
                <w:szCs w:val="18"/>
                <w:color w:val="auto"/>
              </w:rPr>
              <w:t>JP</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CORE0056US.C1</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CORE0056US.C2</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CORE0056US.C3</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CORE0056US.C4</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CORE0056USA</w:t>
            </w:r>
          </w:p>
        </w:tc>
        <w:tc>
          <w:tcPr>
            <w:tcW w:w="1500" w:type="dxa"/>
            <w:vAlign w:val="bottom"/>
          </w:tcPr>
          <w:p>
            <w:pPr>
              <w:ind w:left="680"/>
              <w:spacing w:after="0"/>
              <w:rPr>
                <w:sz w:val="20"/>
                <w:szCs w:val="20"/>
                <w:color w:val="auto"/>
              </w:rPr>
            </w:pPr>
            <w:r>
              <w:rPr>
                <w:rFonts w:ascii="Arial" w:cs="Arial" w:eastAsia="Arial" w:hAnsi="Arial"/>
                <w:sz w:val="18"/>
                <w:szCs w:val="18"/>
                <w:color w:val="auto"/>
              </w:rPr>
              <w:t>US</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CORE0056WO</w:t>
            </w:r>
          </w:p>
        </w:tc>
        <w:tc>
          <w:tcPr>
            <w:tcW w:w="1500" w:type="dxa"/>
            <w:vAlign w:val="bottom"/>
          </w:tcPr>
          <w:p>
            <w:pPr>
              <w:ind w:left="680"/>
              <w:spacing w:after="0"/>
              <w:rPr>
                <w:sz w:val="20"/>
                <w:szCs w:val="20"/>
                <w:color w:val="auto"/>
              </w:rPr>
            </w:pPr>
            <w:r>
              <w:rPr>
                <w:rFonts w:ascii="Arial" w:cs="Arial" w:eastAsia="Arial" w:hAnsi="Arial"/>
                <w:sz w:val="18"/>
                <w:szCs w:val="18"/>
                <w:color w:val="auto"/>
              </w:rPr>
              <w:t>WO</w:t>
            </w:r>
          </w:p>
        </w:tc>
        <w:tc>
          <w:tcPr>
            <w:tcW w:w="1600" w:type="dxa"/>
            <w:vAlign w:val="bottom"/>
          </w:tcPr>
          <w:p>
            <w:pPr>
              <w:ind w:left="320"/>
              <w:spacing w:after="0"/>
              <w:rPr>
                <w:sz w:val="20"/>
                <w:szCs w:val="20"/>
                <w:color w:val="auto"/>
              </w:rPr>
            </w:pPr>
            <w:r>
              <w:rPr>
                <w:rFonts w:ascii="Arial" w:cs="Arial" w:eastAsia="Arial" w:hAnsi="Arial"/>
                <w:sz w:val="18"/>
                <w:szCs w:val="18"/>
                <w:color w:val="auto"/>
              </w:rPr>
              <w:t>INACTIVE</w:t>
            </w:r>
          </w:p>
        </w:tc>
        <w:tc>
          <w:tcPr>
            <w:tcW w:w="116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CORE0060WO2</w:t>
            </w:r>
          </w:p>
        </w:tc>
        <w:tc>
          <w:tcPr>
            <w:tcW w:w="1500" w:type="dxa"/>
            <w:vAlign w:val="bottom"/>
          </w:tcPr>
          <w:p>
            <w:pPr>
              <w:ind w:left="680"/>
              <w:spacing w:after="0"/>
              <w:rPr>
                <w:sz w:val="20"/>
                <w:szCs w:val="20"/>
                <w:color w:val="auto"/>
              </w:rPr>
            </w:pPr>
            <w:r>
              <w:rPr>
                <w:rFonts w:ascii="Arial" w:cs="Arial" w:eastAsia="Arial" w:hAnsi="Arial"/>
                <w:sz w:val="18"/>
                <w:szCs w:val="18"/>
                <w:color w:val="auto"/>
              </w:rPr>
              <w:t>WO</w:t>
            </w:r>
          </w:p>
        </w:tc>
        <w:tc>
          <w:tcPr>
            <w:tcW w:w="1600" w:type="dxa"/>
            <w:vAlign w:val="bottom"/>
          </w:tcPr>
          <w:p>
            <w:pPr>
              <w:ind w:left="320"/>
              <w:spacing w:after="0"/>
              <w:rPr>
                <w:sz w:val="20"/>
                <w:szCs w:val="20"/>
                <w:color w:val="auto"/>
              </w:rPr>
            </w:pPr>
            <w:r>
              <w:rPr>
                <w:rFonts w:ascii="Arial" w:cs="Arial" w:eastAsia="Arial" w:hAnsi="Arial"/>
                <w:sz w:val="18"/>
                <w:szCs w:val="18"/>
                <w:color w:val="auto"/>
              </w:rPr>
              <w:t>FILED</w:t>
            </w:r>
          </w:p>
        </w:tc>
        <w:tc>
          <w:tcPr>
            <w:tcW w:w="1160" w:type="dxa"/>
            <w:vAlign w:val="bottom"/>
          </w:tcPr>
          <w:p>
            <w:pPr>
              <w:spacing w:after="0"/>
              <w:rPr>
                <w:sz w:val="20"/>
                <w:szCs w:val="20"/>
                <w:color w:val="auto"/>
              </w:rPr>
            </w:pPr>
          </w:p>
        </w:tc>
      </w:tr>
    </w:tbl>
    <w:p>
      <w:pPr>
        <w:sectPr>
          <w:pgSz w:w="11900" w:h="16838" w:orient="portrait"/>
          <w:cols w:equalWidth="0" w:num="1">
            <w:col w:w="10219"/>
          </w:cols>
          <w:pgMar w:left="240" w:top="341" w:right="1440"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CORE0066WO</w:t>
            </w:r>
          </w:p>
        </w:tc>
        <w:tc>
          <w:tcPr>
            <w:tcW w:w="1500" w:type="dxa"/>
            <w:vAlign w:val="bottom"/>
          </w:tcPr>
          <w:p>
            <w:pPr>
              <w:ind w:left="780"/>
              <w:spacing w:after="0"/>
              <w:rPr>
                <w:sz w:val="20"/>
                <w:szCs w:val="20"/>
                <w:color w:val="auto"/>
              </w:rPr>
            </w:pPr>
            <w:r>
              <w:rPr>
                <w:rFonts w:ascii="Arial" w:cs="Arial" w:eastAsia="Arial" w:hAnsi="Arial"/>
                <w:sz w:val="18"/>
                <w:szCs w:val="18"/>
                <w:color w:val="auto"/>
              </w:rPr>
              <w:t>WO</w:t>
            </w:r>
          </w:p>
        </w:tc>
        <w:tc>
          <w:tcPr>
            <w:tcW w:w="1180" w:type="dxa"/>
            <w:vAlign w:val="bottom"/>
          </w:tcPr>
          <w:p>
            <w:pPr>
              <w:ind w:left="420"/>
              <w:spacing w:after="0"/>
              <w:rPr>
                <w:sz w:val="20"/>
                <w:szCs w:val="20"/>
                <w:color w:val="auto"/>
              </w:rPr>
            </w:pPr>
            <w:r>
              <w:rPr>
                <w:rFonts w:ascii="Arial" w:cs="Arial" w:eastAsia="Arial" w:hAnsi="Arial"/>
                <w:sz w:val="18"/>
                <w:szCs w:val="18"/>
                <w:color w:val="auto"/>
              </w:rPr>
              <w:t>FILED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CORE0068WO</w:t>
            </w:r>
          </w:p>
        </w:tc>
        <w:tc>
          <w:tcPr>
            <w:tcW w:w="1500" w:type="dxa"/>
            <w:vAlign w:val="bottom"/>
          </w:tcPr>
          <w:p>
            <w:pPr>
              <w:ind w:left="780"/>
              <w:spacing w:after="0"/>
              <w:rPr>
                <w:sz w:val="20"/>
                <w:szCs w:val="20"/>
                <w:color w:val="auto"/>
              </w:rPr>
            </w:pPr>
            <w:r>
              <w:rPr>
                <w:rFonts w:ascii="Arial" w:cs="Arial" w:eastAsia="Arial" w:hAnsi="Arial"/>
                <w:sz w:val="18"/>
                <w:szCs w:val="18"/>
                <w:color w:val="auto"/>
              </w:rPr>
              <w:t>WO</w:t>
            </w:r>
          </w:p>
        </w:tc>
        <w:tc>
          <w:tcPr>
            <w:tcW w:w="1180" w:type="dxa"/>
            <w:vAlign w:val="bottom"/>
          </w:tcPr>
          <w:p>
            <w:pPr>
              <w:ind w:left="420"/>
              <w:spacing w:after="0"/>
              <w:rPr>
                <w:sz w:val="20"/>
                <w:szCs w:val="20"/>
                <w:color w:val="auto"/>
              </w:rPr>
            </w:pPr>
            <w:r>
              <w:rPr>
                <w:rFonts w:ascii="Arial" w:cs="Arial" w:eastAsia="Arial" w:hAnsi="Arial"/>
                <w:sz w:val="18"/>
                <w:szCs w:val="18"/>
                <w:color w:val="auto"/>
              </w:rPr>
              <w:t>FILED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ISIS-2965EP.D1</w:t>
            </w:r>
          </w:p>
        </w:tc>
        <w:tc>
          <w:tcPr>
            <w:tcW w:w="1500" w:type="dxa"/>
            <w:vAlign w:val="bottom"/>
          </w:tcPr>
          <w:p>
            <w:pPr>
              <w:ind w:left="780"/>
              <w:spacing w:after="0"/>
              <w:rPr>
                <w:sz w:val="20"/>
                <w:szCs w:val="20"/>
                <w:color w:val="auto"/>
              </w:rPr>
            </w:pPr>
            <w:r>
              <w:rPr>
                <w:rFonts w:ascii="Arial" w:cs="Arial" w:eastAsia="Arial" w:hAnsi="Arial"/>
                <w:sz w:val="18"/>
                <w:szCs w:val="18"/>
                <w:color w:val="auto"/>
              </w:rPr>
              <w:t>EP</w:t>
            </w:r>
          </w:p>
        </w:tc>
        <w:tc>
          <w:tcPr>
            <w:tcW w:w="1180" w:type="dxa"/>
            <w:vAlign w:val="bottom"/>
          </w:tcPr>
          <w:p>
            <w:pPr>
              <w:ind w:left="420"/>
              <w:spacing w:after="0"/>
              <w:rPr>
                <w:sz w:val="20"/>
                <w:szCs w:val="20"/>
                <w:color w:val="auto"/>
              </w:rPr>
            </w:pPr>
            <w:r>
              <w:rPr>
                <w:rFonts w:ascii="Arial" w:cs="Arial" w:eastAsia="Arial" w:hAnsi="Arial"/>
                <w:sz w:val="18"/>
                <w:szCs w:val="18"/>
                <w:color w:val="auto"/>
              </w:rPr>
              <w:t>FILED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ISIS-2965EP.D2</w:t>
            </w:r>
          </w:p>
        </w:tc>
        <w:tc>
          <w:tcPr>
            <w:tcW w:w="1500" w:type="dxa"/>
            <w:vAlign w:val="bottom"/>
          </w:tcPr>
          <w:p>
            <w:pPr>
              <w:ind w:left="780"/>
              <w:spacing w:after="0"/>
              <w:rPr>
                <w:sz w:val="20"/>
                <w:szCs w:val="20"/>
                <w:color w:val="auto"/>
              </w:rPr>
            </w:pPr>
            <w:r>
              <w:rPr>
                <w:rFonts w:ascii="Arial" w:cs="Arial" w:eastAsia="Arial" w:hAnsi="Arial"/>
                <w:sz w:val="18"/>
                <w:szCs w:val="18"/>
                <w:color w:val="auto"/>
              </w:rPr>
              <w:t>EP</w:t>
            </w:r>
          </w:p>
        </w:tc>
        <w:tc>
          <w:tcPr>
            <w:tcW w:w="1180" w:type="dxa"/>
            <w:vAlign w:val="bottom"/>
          </w:tcPr>
          <w:p>
            <w:pPr>
              <w:ind w:left="420"/>
              <w:spacing w:after="0"/>
              <w:rPr>
                <w:sz w:val="20"/>
                <w:szCs w:val="20"/>
                <w:color w:val="auto"/>
              </w:rPr>
            </w:pPr>
            <w:r>
              <w:rPr>
                <w:rFonts w:ascii="Arial" w:cs="Arial" w:eastAsia="Arial" w:hAnsi="Arial"/>
                <w:sz w:val="18"/>
                <w:szCs w:val="18"/>
                <w:color w:val="auto"/>
              </w:rPr>
              <w:t>FILED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ISIS-5482</w:t>
            </w:r>
          </w:p>
        </w:tc>
        <w:tc>
          <w:tcPr>
            <w:tcW w:w="1500" w:type="dxa"/>
            <w:vAlign w:val="bottom"/>
          </w:tcPr>
          <w:p>
            <w:pPr>
              <w:ind w:left="780"/>
              <w:spacing w:after="0"/>
              <w:rPr>
                <w:sz w:val="20"/>
                <w:szCs w:val="20"/>
                <w:color w:val="auto"/>
              </w:rPr>
            </w:pPr>
            <w:r>
              <w:rPr>
                <w:rFonts w:ascii="Arial" w:cs="Arial" w:eastAsia="Arial" w:hAnsi="Arial"/>
                <w:sz w:val="18"/>
                <w:szCs w:val="18"/>
                <w:color w:val="auto"/>
              </w:rPr>
              <w:t>US</w:t>
            </w:r>
          </w:p>
        </w:tc>
        <w:tc>
          <w:tcPr>
            <w:tcW w:w="1180" w:type="dxa"/>
            <w:vAlign w:val="bottom"/>
          </w:tcPr>
          <w:p>
            <w:pPr>
              <w:ind w:left="420"/>
              <w:spacing w:after="0"/>
              <w:rPr>
                <w:sz w:val="20"/>
                <w:szCs w:val="20"/>
                <w:color w:val="auto"/>
              </w:rPr>
            </w:pPr>
            <w:r>
              <w:rPr>
                <w:rFonts w:ascii="Arial" w:cs="Arial" w:eastAsia="Arial" w:hAnsi="Arial"/>
                <w:sz w:val="18"/>
                <w:szCs w:val="18"/>
                <w:color w:val="auto"/>
              </w:rPr>
              <w:t>FILED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ISIS-5586</w:t>
            </w:r>
          </w:p>
        </w:tc>
        <w:tc>
          <w:tcPr>
            <w:tcW w:w="1500" w:type="dxa"/>
            <w:vAlign w:val="bottom"/>
          </w:tcPr>
          <w:p>
            <w:pPr>
              <w:ind w:left="780"/>
              <w:spacing w:after="0"/>
              <w:rPr>
                <w:sz w:val="20"/>
                <w:szCs w:val="20"/>
                <w:color w:val="auto"/>
              </w:rPr>
            </w:pPr>
            <w:r>
              <w:rPr>
                <w:rFonts w:ascii="Arial" w:cs="Arial" w:eastAsia="Arial" w:hAnsi="Arial"/>
                <w:sz w:val="18"/>
                <w:szCs w:val="18"/>
                <w:color w:val="auto"/>
              </w:rPr>
              <w:t>US</w:t>
            </w:r>
          </w:p>
        </w:tc>
        <w:tc>
          <w:tcPr>
            <w:tcW w:w="1180" w:type="dxa"/>
            <w:vAlign w:val="bottom"/>
          </w:tcPr>
          <w:p>
            <w:pPr>
              <w:ind w:left="420"/>
              <w:spacing w:after="0"/>
              <w:rPr>
                <w:sz w:val="20"/>
                <w:szCs w:val="20"/>
                <w:color w:val="auto"/>
              </w:rPr>
            </w:pPr>
            <w:r>
              <w:rPr>
                <w:rFonts w:ascii="Arial" w:cs="Arial" w:eastAsia="Arial" w:hAnsi="Arial"/>
                <w:sz w:val="18"/>
                <w:szCs w:val="18"/>
                <w:color w:val="auto"/>
              </w:rPr>
              <w:t>FILED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ISIS-5737</w:t>
            </w:r>
          </w:p>
        </w:tc>
        <w:tc>
          <w:tcPr>
            <w:tcW w:w="1500" w:type="dxa"/>
            <w:vAlign w:val="bottom"/>
          </w:tcPr>
          <w:p>
            <w:pPr>
              <w:ind w:left="780"/>
              <w:spacing w:after="0"/>
              <w:rPr>
                <w:sz w:val="20"/>
                <w:szCs w:val="20"/>
                <w:color w:val="auto"/>
              </w:rPr>
            </w:pPr>
            <w:r>
              <w:rPr>
                <w:rFonts w:ascii="Arial" w:cs="Arial" w:eastAsia="Arial" w:hAnsi="Arial"/>
                <w:sz w:val="18"/>
                <w:szCs w:val="18"/>
                <w:color w:val="auto"/>
              </w:rPr>
              <w:t>AU</w:t>
            </w:r>
          </w:p>
        </w:tc>
        <w:tc>
          <w:tcPr>
            <w:tcW w:w="1180" w:type="dxa"/>
            <w:vAlign w:val="bottom"/>
          </w:tcPr>
          <w:p>
            <w:pPr>
              <w:ind w:left="420"/>
              <w:spacing w:after="0"/>
              <w:rPr>
                <w:sz w:val="20"/>
                <w:szCs w:val="20"/>
                <w:color w:val="auto"/>
              </w:rPr>
            </w:pPr>
            <w:r>
              <w:rPr>
                <w:rFonts w:ascii="Arial" w:cs="Arial" w:eastAsia="Arial" w:hAnsi="Arial"/>
                <w:sz w:val="18"/>
                <w:szCs w:val="18"/>
                <w:color w:val="auto"/>
              </w:rPr>
              <w:t>FILED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ISIS-5738</w:t>
            </w:r>
          </w:p>
        </w:tc>
        <w:tc>
          <w:tcPr>
            <w:tcW w:w="1500" w:type="dxa"/>
            <w:vAlign w:val="bottom"/>
          </w:tcPr>
          <w:p>
            <w:pPr>
              <w:ind w:left="780"/>
              <w:spacing w:after="0"/>
              <w:rPr>
                <w:sz w:val="20"/>
                <w:szCs w:val="20"/>
                <w:color w:val="auto"/>
              </w:rPr>
            </w:pPr>
            <w:r>
              <w:rPr>
                <w:rFonts w:ascii="Arial" w:cs="Arial" w:eastAsia="Arial" w:hAnsi="Arial"/>
                <w:sz w:val="18"/>
                <w:szCs w:val="18"/>
                <w:color w:val="auto"/>
              </w:rPr>
              <w:t>CA</w:t>
            </w:r>
          </w:p>
        </w:tc>
        <w:tc>
          <w:tcPr>
            <w:tcW w:w="1180" w:type="dxa"/>
            <w:vAlign w:val="bottom"/>
          </w:tcPr>
          <w:p>
            <w:pPr>
              <w:ind w:left="420"/>
              <w:spacing w:after="0"/>
              <w:rPr>
                <w:sz w:val="20"/>
                <w:szCs w:val="20"/>
                <w:color w:val="auto"/>
              </w:rPr>
            </w:pPr>
            <w:r>
              <w:rPr>
                <w:rFonts w:ascii="Arial" w:cs="Arial" w:eastAsia="Arial" w:hAnsi="Arial"/>
                <w:sz w:val="18"/>
                <w:szCs w:val="18"/>
                <w:color w:val="auto"/>
              </w:rPr>
              <w:t>FILED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ISIS-5739</w:t>
            </w:r>
          </w:p>
        </w:tc>
        <w:tc>
          <w:tcPr>
            <w:tcW w:w="1500" w:type="dxa"/>
            <w:vAlign w:val="bottom"/>
          </w:tcPr>
          <w:p>
            <w:pPr>
              <w:ind w:left="780"/>
              <w:spacing w:after="0"/>
              <w:rPr>
                <w:sz w:val="20"/>
                <w:szCs w:val="20"/>
                <w:color w:val="auto"/>
              </w:rPr>
            </w:pPr>
            <w:r>
              <w:rPr>
                <w:rFonts w:ascii="Arial" w:cs="Arial" w:eastAsia="Arial" w:hAnsi="Arial"/>
                <w:sz w:val="18"/>
                <w:szCs w:val="18"/>
                <w:color w:val="auto"/>
              </w:rPr>
              <w:t>EP</w:t>
            </w:r>
          </w:p>
        </w:tc>
        <w:tc>
          <w:tcPr>
            <w:tcW w:w="1180" w:type="dxa"/>
            <w:vAlign w:val="bottom"/>
          </w:tcPr>
          <w:p>
            <w:pPr>
              <w:ind w:left="420"/>
              <w:spacing w:after="0"/>
              <w:rPr>
                <w:sz w:val="20"/>
                <w:szCs w:val="20"/>
                <w:color w:val="auto"/>
              </w:rPr>
            </w:pPr>
            <w:r>
              <w:rPr>
                <w:rFonts w:ascii="Arial" w:cs="Arial" w:eastAsia="Arial" w:hAnsi="Arial"/>
                <w:sz w:val="18"/>
                <w:szCs w:val="18"/>
                <w:color w:val="auto"/>
              </w:rPr>
              <w:t>FILED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CORE0054US.L</w:t>
            </w:r>
          </w:p>
        </w:tc>
        <w:tc>
          <w:tcPr>
            <w:tcW w:w="1500" w:type="dxa"/>
            <w:vAlign w:val="bottom"/>
          </w:tcPr>
          <w:p>
            <w:pPr>
              <w:ind w:left="780"/>
              <w:spacing w:after="0"/>
              <w:rPr>
                <w:sz w:val="20"/>
                <w:szCs w:val="20"/>
                <w:color w:val="auto"/>
              </w:rPr>
            </w:pPr>
            <w:r>
              <w:rPr>
                <w:rFonts w:ascii="Arial" w:cs="Arial" w:eastAsia="Arial" w:hAnsi="Arial"/>
                <w:sz w:val="18"/>
                <w:szCs w:val="18"/>
                <w:color w:val="auto"/>
              </w:rPr>
              <w:t>US</w:t>
            </w:r>
          </w:p>
        </w:tc>
        <w:tc>
          <w:tcPr>
            <w:tcW w:w="1180" w:type="dxa"/>
            <w:vAlign w:val="bottom"/>
          </w:tcPr>
          <w:p>
            <w:pPr>
              <w:ind w:left="420"/>
              <w:spacing w:after="0"/>
              <w:rPr>
                <w:sz w:val="20"/>
                <w:szCs w:val="20"/>
                <w:color w:val="auto"/>
              </w:rPr>
            </w:pPr>
            <w:r>
              <w:rPr>
                <w:rFonts w:ascii="Arial" w:cs="Arial" w:eastAsia="Arial" w:hAnsi="Arial"/>
                <w:sz w:val="18"/>
                <w:szCs w:val="18"/>
                <w:color w:val="auto"/>
                <w:w w:val="93"/>
              </w:rPr>
              <w:t>EXPIRED</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CORE0053US.L</w:t>
            </w:r>
          </w:p>
        </w:tc>
        <w:tc>
          <w:tcPr>
            <w:tcW w:w="1500" w:type="dxa"/>
            <w:vAlign w:val="bottom"/>
          </w:tcPr>
          <w:p>
            <w:pPr>
              <w:ind w:left="780"/>
              <w:spacing w:after="0"/>
              <w:rPr>
                <w:sz w:val="20"/>
                <w:szCs w:val="20"/>
                <w:color w:val="auto"/>
              </w:rPr>
            </w:pPr>
            <w:r>
              <w:rPr>
                <w:rFonts w:ascii="Arial" w:cs="Arial" w:eastAsia="Arial" w:hAnsi="Arial"/>
                <w:sz w:val="18"/>
                <w:szCs w:val="18"/>
                <w:color w:val="auto"/>
              </w:rPr>
              <w:t>US</w:t>
            </w:r>
          </w:p>
        </w:tc>
        <w:tc>
          <w:tcPr>
            <w:tcW w:w="1180" w:type="dxa"/>
            <w:vAlign w:val="bottom"/>
          </w:tcPr>
          <w:p>
            <w:pPr>
              <w:ind w:left="420"/>
              <w:spacing w:after="0"/>
              <w:rPr>
                <w:sz w:val="20"/>
                <w:szCs w:val="20"/>
                <w:color w:val="auto"/>
              </w:rPr>
            </w:pPr>
            <w:r>
              <w:rPr>
                <w:rFonts w:ascii="Arial" w:cs="Arial" w:eastAsia="Arial" w:hAnsi="Arial"/>
                <w:sz w:val="18"/>
                <w:szCs w:val="18"/>
                <w:color w:val="auto"/>
                <w:w w:val="93"/>
              </w:rPr>
              <w:t>EXPIRED</w:t>
            </w:r>
          </w:p>
        </w:tc>
      </w:tr>
    </w:tbl>
    <w:p>
      <w:pPr>
        <w:sectPr>
          <w:pgSz w:w="11900" w:h="16838" w:orient="portrait"/>
          <w:cols w:equalWidth="0" w:num="1">
            <w:col w:w="10219"/>
          </w:cols>
          <w:pgMar w:left="240" w:top="341"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Arial" w:cs="Arial" w:eastAsia="Arial" w:hAnsi="Arial"/>
                <w:sz w:val="14"/>
                <w:szCs w:val="14"/>
                <w:color w:val="auto"/>
              </w:rPr>
              <w:t>Our Ref. No.</w:t>
            </w:r>
          </w:p>
        </w:tc>
        <w:tc>
          <w:tcPr>
            <w:tcW w:w="1040" w:type="dxa"/>
            <w:vAlign w:val="bottom"/>
          </w:tcPr>
          <w:p>
            <w:pPr>
              <w:ind w:left="360"/>
              <w:spacing w:after="0"/>
              <w:rPr>
                <w:sz w:val="20"/>
                <w:szCs w:val="20"/>
                <w:color w:val="auto"/>
              </w:rPr>
            </w:pPr>
            <w:r>
              <w:rPr>
                <w:rFonts w:ascii="Arial" w:cs="Arial" w:eastAsia="Arial" w:hAnsi="Arial"/>
                <w:sz w:val="14"/>
                <w:szCs w:val="14"/>
                <w:color w:val="auto"/>
              </w:rPr>
              <w:t>CaseType</w:t>
            </w:r>
          </w:p>
        </w:tc>
        <w:tc>
          <w:tcPr>
            <w:tcW w:w="1740" w:type="dxa"/>
            <w:vAlign w:val="bottom"/>
          </w:tcPr>
          <w:p>
            <w:pPr>
              <w:ind w:left="120"/>
              <w:spacing w:after="0"/>
              <w:rPr>
                <w:sz w:val="20"/>
                <w:szCs w:val="20"/>
                <w:color w:val="auto"/>
              </w:rPr>
            </w:pPr>
            <w:r>
              <w:rPr>
                <w:rFonts w:ascii="Arial" w:cs="Arial" w:eastAsia="Arial" w:hAnsi="Arial"/>
                <w:sz w:val="14"/>
                <w:szCs w:val="14"/>
                <w:color w:val="auto"/>
              </w:rPr>
              <w:t>Application No.</w:t>
            </w:r>
          </w:p>
        </w:tc>
        <w:tc>
          <w:tcPr>
            <w:tcW w:w="820" w:type="dxa"/>
            <w:vAlign w:val="bottom"/>
          </w:tcPr>
          <w:p>
            <w:pPr>
              <w:ind w:left="60"/>
              <w:spacing w:after="0"/>
              <w:rPr>
                <w:sz w:val="20"/>
                <w:szCs w:val="20"/>
                <w:color w:val="auto"/>
              </w:rPr>
            </w:pPr>
            <w:r>
              <w:rPr>
                <w:rFonts w:ascii="Arial" w:cs="Arial" w:eastAsia="Arial" w:hAnsi="Arial"/>
                <w:sz w:val="14"/>
                <w:szCs w:val="14"/>
                <w:color w:val="auto"/>
              </w:rPr>
              <w:t>Patent No.</w:t>
            </w:r>
          </w:p>
        </w:tc>
        <w:tc>
          <w:tcPr>
            <w:tcW w:w="960" w:type="dxa"/>
            <w:vAlign w:val="bottom"/>
          </w:tcPr>
          <w:p>
            <w:pPr>
              <w:ind w:left="160"/>
              <w:spacing w:after="0"/>
              <w:rPr>
                <w:sz w:val="20"/>
                <w:szCs w:val="20"/>
                <w:color w:val="auto"/>
              </w:rPr>
            </w:pPr>
            <w:r>
              <w:rPr>
                <w:rFonts w:ascii="Arial" w:cs="Arial" w:eastAsia="Arial" w:hAnsi="Arial"/>
                <w:sz w:val="14"/>
                <w:szCs w:val="14"/>
                <w:color w:val="auto"/>
              </w:rPr>
              <w:t>Status</w:t>
            </w:r>
          </w:p>
        </w:tc>
        <w:tc>
          <w:tcPr>
            <w:tcW w:w="1600" w:type="dxa"/>
            <w:vAlign w:val="bottom"/>
          </w:tcPr>
          <w:p>
            <w:pPr>
              <w:ind w:left="100"/>
              <w:spacing w:after="0"/>
              <w:rPr>
                <w:sz w:val="20"/>
                <w:szCs w:val="20"/>
                <w:color w:val="auto"/>
              </w:rPr>
            </w:pPr>
            <w:r>
              <w:rPr>
                <w:rFonts w:ascii="Arial" w:cs="Arial" w:eastAsia="Arial" w:hAnsi="Arial"/>
                <w:sz w:val="14"/>
                <w:szCs w:val="14"/>
                <w:color w:val="auto"/>
              </w:rPr>
              <w:t>Country</w:t>
            </w:r>
          </w:p>
        </w:tc>
        <w:tc>
          <w:tcPr>
            <w:tcW w:w="3540" w:type="dxa"/>
            <w:vAlign w:val="bottom"/>
          </w:tcPr>
          <w:p>
            <w:pPr>
              <w:ind w:left="100"/>
              <w:spacing w:after="0"/>
              <w:rPr>
                <w:sz w:val="20"/>
                <w:szCs w:val="20"/>
                <w:color w:val="auto"/>
              </w:rPr>
            </w:pPr>
            <w:r>
              <w:rPr>
                <w:rFonts w:ascii="Arial" w:cs="Arial" w:eastAsia="Arial" w:hAnsi="Arial"/>
                <w:sz w:val="14"/>
                <w:szCs w:val="14"/>
                <w:color w:val="auto"/>
              </w:rPr>
              <w:t>Title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2004263832</w:t>
            </w: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2004263832Granted</w:t>
            </w:r>
          </w:p>
        </w:tc>
        <w:tc>
          <w:tcPr>
            <w:tcW w:w="160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PI0411219.9</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w w:val="98"/>
              </w:rPr>
              <w:t>ExamReq</w:t>
            </w:r>
          </w:p>
        </w:tc>
        <w:tc>
          <w:tcPr>
            <w:tcW w:w="1600" w:type="dxa"/>
            <w:vAlign w:val="bottom"/>
          </w:tcPr>
          <w:p>
            <w:pPr>
              <w:ind w:left="100"/>
              <w:spacing w:after="0"/>
              <w:rPr>
                <w:sz w:val="20"/>
                <w:szCs w:val="20"/>
                <w:color w:val="auto"/>
              </w:rPr>
            </w:pPr>
            <w:r>
              <w:rPr>
                <w:rFonts w:ascii="Arial" w:cs="Arial" w:eastAsia="Arial" w:hAnsi="Arial"/>
                <w:sz w:val="18"/>
                <w:szCs w:val="18"/>
                <w:color w:val="auto"/>
              </w:rPr>
              <w:t>Brazil</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2528510</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w w:val="98"/>
              </w:rPr>
              <w:t>Published</w:t>
            </w:r>
          </w:p>
        </w:tc>
        <w:tc>
          <w:tcPr>
            <w:tcW w:w="1600" w:type="dxa"/>
            <w:vAlign w:val="bottom"/>
          </w:tcPr>
          <w:p>
            <w:pPr>
              <w:ind w:left="100"/>
              <w:spacing w:after="0"/>
              <w:rPr>
                <w:sz w:val="20"/>
                <w:szCs w:val="20"/>
                <w:color w:val="auto"/>
              </w:rPr>
            </w:pPr>
            <w:r>
              <w:rPr>
                <w:rFonts w:ascii="Arial" w:cs="Arial" w:eastAsia="Arial" w:hAnsi="Arial"/>
                <w:sz w:val="18"/>
                <w:szCs w:val="18"/>
                <w:color w:val="auto"/>
              </w:rPr>
              <w:t>Canada</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200480022894.9</w:t>
            </w:r>
          </w:p>
        </w:tc>
        <w:tc>
          <w:tcPr>
            <w:tcW w:w="82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Abandoned China (People’s</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Republic)</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04776661.3</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Pending</w:t>
            </w:r>
          </w:p>
        </w:tc>
        <w:tc>
          <w:tcPr>
            <w:tcW w:w="1600" w:type="dxa"/>
            <w:vAlign w:val="bottom"/>
          </w:tcPr>
          <w:p>
            <w:pPr>
              <w:ind w:left="100"/>
              <w:spacing w:after="0"/>
              <w:rPr>
                <w:sz w:val="20"/>
                <w:szCs w:val="20"/>
                <w:color w:val="auto"/>
              </w:rPr>
            </w:pPr>
            <w:r>
              <w:rPr>
                <w:rFonts w:ascii="Arial" w:cs="Arial" w:eastAsia="Arial" w:hAnsi="Arial"/>
                <w:sz w:val="18"/>
                <w:szCs w:val="18"/>
                <w:color w:val="auto"/>
              </w:rPr>
              <w:t>European Patent</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Convention</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DIV</w:t>
            </w:r>
          </w:p>
        </w:tc>
        <w:tc>
          <w:tcPr>
            <w:tcW w:w="1740" w:type="dxa"/>
            <w:vAlign w:val="bottom"/>
          </w:tcPr>
          <w:p>
            <w:pPr>
              <w:ind w:left="120"/>
              <w:spacing w:after="0"/>
              <w:rPr>
                <w:sz w:val="20"/>
                <w:szCs w:val="20"/>
                <w:color w:val="auto"/>
              </w:rPr>
            </w:pPr>
            <w:r>
              <w:rPr>
                <w:rFonts w:ascii="Arial" w:cs="Arial" w:eastAsia="Arial" w:hAnsi="Arial"/>
                <w:sz w:val="18"/>
                <w:szCs w:val="18"/>
                <w:color w:val="auto"/>
              </w:rPr>
              <w:t>10180048.0</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w w:val="98"/>
              </w:rPr>
              <w:t>Published</w:t>
            </w:r>
          </w:p>
        </w:tc>
        <w:tc>
          <w:tcPr>
            <w:tcW w:w="1600" w:type="dxa"/>
            <w:vAlign w:val="bottom"/>
          </w:tcPr>
          <w:p>
            <w:pPr>
              <w:ind w:left="100"/>
              <w:spacing w:after="0"/>
              <w:rPr>
                <w:sz w:val="20"/>
                <w:szCs w:val="20"/>
                <w:color w:val="auto"/>
              </w:rPr>
            </w:pPr>
            <w:r>
              <w:rPr>
                <w:rFonts w:ascii="Arial" w:cs="Arial" w:eastAsia="Arial" w:hAnsi="Arial"/>
                <w:sz w:val="18"/>
                <w:szCs w:val="18"/>
                <w:color w:val="auto"/>
              </w:rPr>
              <w:t>European Patent</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Convention</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DIV</w:t>
            </w:r>
          </w:p>
        </w:tc>
        <w:tc>
          <w:tcPr>
            <w:tcW w:w="1740" w:type="dxa"/>
            <w:vAlign w:val="bottom"/>
          </w:tcPr>
          <w:p>
            <w:pPr>
              <w:ind w:left="120"/>
              <w:spacing w:after="0"/>
              <w:rPr>
                <w:sz w:val="20"/>
                <w:szCs w:val="20"/>
                <w:color w:val="auto"/>
              </w:rPr>
            </w:pPr>
            <w:r>
              <w:rPr>
                <w:rFonts w:ascii="Arial" w:cs="Arial" w:eastAsia="Arial" w:hAnsi="Arial"/>
                <w:sz w:val="18"/>
                <w:szCs w:val="18"/>
                <w:color w:val="auto"/>
              </w:rPr>
              <w:t>10180047.2</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w w:val="98"/>
              </w:rPr>
              <w:t>Published</w:t>
            </w:r>
          </w:p>
        </w:tc>
        <w:tc>
          <w:tcPr>
            <w:tcW w:w="1600" w:type="dxa"/>
            <w:vAlign w:val="bottom"/>
          </w:tcPr>
          <w:p>
            <w:pPr>
              <w:ind w:left="100"/>
              <w:spacing w:after="0"/>
              <w:rPr>
                <w:sz w:val="20"/>
                <w:szCs w:val="20"/>
                <w:color w:val="auto"/>
              </w:rPr>
            </w:pPr>
            <w:r>
              <w:rPr>
                <w:rFonts w:ascii="Arial" w:cs="Arial" w:eastAsia="Arial" w:hAnsi="Arial"/>
                <w:sz w:val="18"/>
                <w:szCs w:val="18"/>
                <w:color w:val="auto"/>
              </w:rPr>
              <w:t>European Patent</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Convention</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5572/DELNP/2005</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w w:val="98"/>
              </w:rPr>
              <w:t>Published</w:t>
            </w:r>
          </w:p>
        </w:tc>
        <w:tc>
          <w:tcPr>
            <w:tcW w:w="1600" w:type="dxa"/>
            <w:vAlign w:val="bottom"/>
          </w:tcPr>
          <w:p>
            <w:pPr>
              <w:ind w:left="100"/>
              <w:spacing w:after="0"/>
              <w:rPr>
                <w:sz w:val="20"/>
                <w:szCs w:val="20"/>
                <w:color w:val="auto"/>
              </w:rPr>
            </w:pPr>
            <w:r>
              <w:rPr>
                <w:rFonts w:ascii="Arial" w:cs="Arial" w:eastAsia="Arial" w:hAnsi="Arial"/>
                <w:sz w:val="18"/>
                <w:szCs w:val="18"/>
                <w:color w:val="auto"/>
              </w:rPr>
              <w:t>India</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172268</w:t>
            </w:r>
          </w:p>
        </w:tc>
        <w:tc>
          <w:tcPr>
            <w:tcW w:w="82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Abandoned Israel</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2006-533810</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w w:val="98"/>
              </w:rPr>
              <w:t>ExamReq</w:t>
            </w:r>
          </w:p>
        </w:tc>
        <w:tc>
          <w:tcPr>
            <w:tcW w:w="1600" w:type="dxa"/>
            <w:vAlign w:val="bottom"/>
          </w:tcPr>
          <w:p>
            <w:pPr>
              <w:ind w:left="100"/>
              <w:spacing w:after="0"/>
              <w:rPr>
                <w:sz w:val="20"/>
                <w:szCs w:val="20"/>
                <w:color w:val="auto"/>
              </w:rPr>
            </w:pPr>
            <w:r>
              <w:rPr>
                <w:rFonts w:ascii="Arial" w:cs="Arial" w:eastAsia="Arial" w:hAnsi="Arial"/>
                <w:sz w:val="18"/>
                <w:szCs w:val="18"/>
                <w:color w:val="auto"/>
              </w:rPr>
              <w:t>Japan</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DIV</w:t>
            </w:r>
          </w:p>
        </w:tc>
        <w:tc>
          <w:tcPr>
            <w:tcW w:w="1740" w:type="dxa"/>
            <w:vAlign w:val="bottom"/>
          </w:tcPr>
          <w:p>
            <w:pPr>
              <w:ind w:left="120"/>
              <w:spacing w:after="0"/>
              <w:rPr>
                <w:sz w:val="20"/>
                <w:szCs w:val="20"/>
                <w:color w:val="auto"/>
              </w:rPr>
            </w:pPr>
            <w:r>
              <w:rPr>
                <w:rFonts w:ascii="Arial" w:cs="Arial" w:eastAsia="Arial" w:hAnsi="Arial"/>
                <w:sz w:val="18"/>
                <w:szCs w:val="18"/>
                <w:color w:val="auto"/>
              </w:rPr>
              <w:t>2011-148461</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Pending</w:t>
            </w:r>
          </w:p>
        </w:tc>
        <w:tc>
          <w:tcPr>
            <w:tcW w:w="1600" w:type="dxa"/>
            <w:vAlign w:val="bottom"/>
          </w:tcPr>
          <w:p>
            <w:pPr>
              <w:ind w:left="100"/>
              <w:spacing w:after="0"/>
              <w:rPr>
                <w:sz w:val="20"/>
                <w:szCs w:val="20"/>
                <w:color w:val="auto"/>
              </w:rPr>
            </w:pPr>
            <w:r>
              <w:rPr>
                <w:rFonts w:ascii="Arial" w:cs="Arial" w:eastAsia="Arial" w:hAnsi="Arial"/>
                <w:sz w:val="18"/>
                <w:szCs w:val="18"/>
                <w:color w:val="auto"/>
              </w:rPr>
              <w:t>Japan</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ORD</w:t>
            </w:r>
          </w:p>
        </w:tc>
        <w:tc>
          <w:tcPr>
            <w:tcW w:w="1740" w:type="dxa"/>
            <w:vAlign w:val="bottom"/>
          </w:tcPr>
          <w:p>
            <w:pPr>
              <w:ind w:left="120"/>
              <w:spacing w:after="0"/>
              <w:rPr>
                <w:sz w:val="20"/>
                <w:szCs w:val="20"/>
                <w:color w:val="auto"/>
              </w:rPr>
            </w:pPr>
            <w:r>
              <w:rPr>
                <w:rFonts w:ascii="Arial" w:cs="Arial" w:eastAsia="Arial" w:hAnsi="Arial"/>
                <w:sz w:val="18"/>
                <w:szCs w:val="18"/>
                <w:color w:val="auto"/>
                <w:w w:val="93"/>
              </w:rPr>
              <w:t>PCT/US2004/019229</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Expired</w:t>
            </w:r>
          </w:p>
        </w:tc>
        <w:tc>
          <w:tcPr>
            <w:tcW w:w="1600" w:type="dxa"/>
            <w:vAlign w:val="bottom"/>
          </w:tcPr>
          <w:p>
            <w:pPr>
              <w:ind w:left="100"/>
              <w:spacing w:after="0"/>
              <w:rPr>
                <w:sz w:val="20"/>
                <w:szCs w:val="20"/>
                <w:color w:val="auto"/>
              </w:rPr>
            </w:pPr>
            <w:r>
              <w:rPr>
                <w:rFonts w:ascii="Arial" w:cs="Arial" w:eastAsia="Arial" w:hAnsi="Arial"/>
                <w:sz w:val="18"/>
                <w:szCs w:val="18"/>
                <w:color w:val="auto"/>
                <w:w w:val="95"/>
              </w:rPr>
              <w:t>Patent Cooperation</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Treaty</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200507781-3</w:t>
            </w:r>
          </w:p>
        </w:tc>
        <w:tc>
          <w:tcPr>
            <w:tcW w:w="820" w:type="dxa"/>
            <w:vAlign w:val="bottom"/>
          </w:tcPr>
          <w:p>
            <w:pPr>
              <w:ind w:left="60"/>
              <w:spacing w:after="0"/>
              <w:rPr>
                <w:sz w:val="20"/>
                <w:szCs w:val="20"/>
                <w:color w:val="auto"/>
              </w:rPr>
            </w:pPr>
            <w:r>
              <w:rPr>
                <w:rFonts w:ascii="Arial" w:cs="Arial" w:eastAsia="Arial" w:hAnsi="Arial"/>
                <w:sz w:val="18"/>
                <w:szCs w:val="18"/>
                <w:color w:val="auto"/>
              </w:rPr>
              <w:t>117818</w:t>
            </w:r>
          </w:p>
        </w:tc>
        <w:tc>
          <w:tcPr>
            <w:tcW w:w="9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ind w:left="100"/>
              <w:spacing w:after="0"/>
              <w:rPr>
                <w:sz w:val="20"/>
                <w:szCs w:val="20"/>
                <w:color w:val="auto"/>
              </w:rPr>
            </w:pPr>
            <w:r>
              <w:rPr>
                <w:rFonts w:ascii="Arial" w:cs="Arial" w:eastAsia="Arial" w:hAnsi="Arial"/>
                <w:sz w:val="18"/>
                <w:szCs w:val="18"/>
                <w:color w:val="auto"/>
              </w:rPr>
              <w:t>Singapore</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DIV</w:t>
            </w:r>
          </w:p>
        </w:tc>
        <w:tc>
          <w:tcPr>
            <w:tcW w:w="1740" w:type="dxa"/>
            <w:vAlign w:val="bottom"/>
          </w:tcPr>
          <w:p>
            <w:pPr>
              <w:ind w:left="120"/>
              <w:spacing w:after="0"/>
              <w:rPr>
                <w:sz w:val="20"/>
                <w:szCs w:val="20"/>
                <w:color w:val="auto"/>
              </w:rPr>
            </w:pPr>
            <w:r>
              <w:rPr>
                <w:rFonts w:ascii="Arial" w:cs="Arial" w:eastAsia="Arial" w:hAnsi="Arial"/>
                <w:sz w:val="18"/>
                <w:szCs w:val="18"/>
                <w:color w:val="auto"/>
              </w:rPr>
              <w:t>200704437-3</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w w:val="98"/>
              </w:rPr>
              <w:t>Published</w:t>
            </w:r>
          </w:p>
        </w:tc>
        <w:tc>
          <w:tcPr>
            <w:tcW w:w="1600" w:type="dxa"/>
            <w:vAlign w:val="bottom"/>
          </w:tcPr>
          <w:p>
            <w:pPr>
              <w:ind w:left="100"/>
              <w:spacing w:after="0"/>
              <w:rPr>
                <w:sz w:val="20"/>
                <w:szCs w:val="20"/>
                <w:color w:val="auto"/>
              </w:rPr>
            </w:pPr>
            <w:r>
              <w:rPr>
                <w:rFonts w:ascii="Arial" w:cs="Arial" w:eastAsia="Arial" w:hAnsi="Arial"/>
                <w:sz w:val="18"/>
                <w:szCs w:val="18"/>
                <w:color w:val="auto"/>
              </w:rPr>
              <w:t>Singapore</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10/560377</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w w:val="98"/>
              </w:rPr>
              <w:t>Published</w:t>
            </w:r>
          </w:p>
        </w:tc>
        <w:tc>
          <w:tcPr>
            <w:tcW w:w="1600" w:type="dxa"/>
            <w:vAlign w:val="bottom"/>
          </w:tcPr>
          <w:p>
            <w:pPr>
              <w:ind w:left="100"/>
              <w:spacing w:after="0"/>
              <w:rPr>
                <w:sz w:val="20"/>
                <w:szCs w:val="20"/>
                <w:color w:val="auto"/>
              </w:rPr>
            </w:pPr>
            <w:r>
              <w:rPr>
                <w:rFonts w:ascii="Arial" w:cs="Arial" w:eastAsia="Arial" w:hAnsi="Arial"/>
                <w:sz w:val="18"/>
                <w:szCs w:val="18"/>
                <w:color w:val="auto"/>
              </w:rPr>
              <w:t>United States of</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America</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PRO</w:t>
            </w:r>
          </w:p>
        </w:tc>
        <w:tc>
          <w:tcPr>
            <w:tcW w:w="1740" w:type="dxa"/>
            <w:vAlign w:val="bottom"/>
          </w:tcPr>
          <w:p>
            <w:pPr>
              <w:ind w:left="120"/>
              <w:spacing w:after="0"/>
              <w:rPr>
                <w:sz w:val="20"/>
                <w:szCs w:val="20"/>
                <w:color w:val="auto"/>
              </w:rPr>
            </w:pPr>
            <w:r>
              <w:rPr>
                <w:rFonts w:ascii="Arial" w:cs="Arial" w:eastAsia="Arial" w:hAnsi="Arial"/>
                <w:sz w:val="18"/>
                <w:szCs w:val="18"/>
                <w:color w:val="auto"/>
              </w:rPr>
              <w:t>60/478,076</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Expired</w:t>
            </w:r>
          </w:p>
        </w:tc>
        <w:tc>
          <w:tcPr>
            <w:tcW w:w="1600" w:type="dxa"/>
            <w:vAlign w:val="bottom"/>
          </w:tcPr>
          <w:p>
            <w:pPr>
              <w:ind w:left="100"/>
              <w:spacing w:after="0"/>
              <w:rPr>
                <w:sz w:val="20"/>
                <w:szCs w:val="20"/>
                <w:color w:val="auto"/>
              </w:rPr>
            </w:pPr>
            <w:r>
              <w:rPr>
                <w:rFonts w:ascii="Arial" w:cs="Arial" w:eastAsia="Arial" w:hAnsi="Arial"/>
                <w:sz w:val="18"/>
                <w:szCs w:val="18"/>
                <w:color w:val="auto"/>
              </w:rPr>
              <w:t>United States of</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America</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13/065601</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Pending</w:t>
            </w:r>
          </w:p>
        </w:tc>
        <w:tc>
          <w:tcPr>
            <w:tcW w:w="1600" w:type="dxa"/>
            <w:vAlign w:val="bottom"/>
          </w:tcPr>
          <w:p>
            <w:pPr>
              <w:ind w:left="100"/>
              <w:spacing w:after="0"/>
              <w:rPr>
                <w:sz w:val="20"/>
                <w:szCs w:val="20"/>
                <w:color w:val="auto"/>
              </w:rPr>
            </w:pPr>
            <w:r>
              <w:rPr>
                <w:rFonts w:ascii="Arial" w:cs="Arial" w:eastAsia="Arial" w:hAnsi="Arial"/>
                <w:sz w:val="18"/>
                <w:szCs w:val="18"/>
                <w:color w:val="auto"/>
              </w:rPr>
              <w:t>United States of</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America</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NUCL-006</w:t>
            </w:r>
          </w:p>
        </w:tc>
        <w:tc>
          <w:tcPr>
            <w:tcW w:w="1040" w:type="dxa"/>
            <w:vAlign w:val="bottom"/>
          </w:tcPr>
          <w:p>
            <w:pPr>
              <w:ind w:left="360"/>
              <w:spacing w:after="0"/>
              <w:rPr>
                <w:sz w:val="20"/>
                <w:szCs w:val="20"/>
                <w:color w:val="auto"/>
              </w:rPr>
            </w:pPr>
            <w:r>
              <w:rPr>
                <w:rFonts w:ascii="Arial" w:cs="Arial" w:eastAsia="Arial" w:hAnsi="Arial"/>
                <w:sz w:val="18"/>
                <w:szCs w:val="18"/>
                <w:color w:val="auto"/>
              </w:rPr>
              <w:t>CON</w:t>
            </w:r>
          </w:p>
        </w:tc>
        <w:tc>
          <w:tcPr>
            <w:tcW w:w="1740" w:type="dxa"/>
            <w:vAlign w:val="bottom"/>
          </w:tcPr>
          <w:p>
            <w:pPr>
              <w:ind w:left="120"/>
              <w:spacing w:after="0"/>
              <w:rPr>
                <w:sz w:val="20"/>
                <w:szCs w:val="20"/>
                <w:color w:val="auto"/>
              </w:rPr>
            </w:pPr>
            <w:r>
              <w:rPr>
                <w:rFonts w:ascii="Arial" w:cs="Arial" w:eastAsia="Arial" w:hAnsi="Arial"/>
                <w:sz w:val="18"/>
                <w:szCs w:val="18"/>
                <w:color w:val="auto"/>
              </w:rPr>
              <w:t>13/234698</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Pending</w:t>
            </w:r>
          </w:p>
        </w:tc>
        <w:tc>
          <w:tcPr>
            <w:tcW w:w="1600" w:type="dxa"/>
            <w:vAlign w:val="bottom"/>
          </w:tcPr>
          <w:p>
            <w:pPr>
              <w:ind w:left="100"/>
              <w:spacing w:after="0"/>
              <w:rPr>
                <w:sz w:val="20"/>
                <w:szCs w:val="20"/>
                <w:color w:val="auto"/>
              </w:rPr>
            </w:pPr>
            <w:r>
              <w:rPr>
                <w:rFonts w:ascii="Arial" w:cs="Arial" w:eastAsia="Arial" w:hAnsi="Arial"/>
                <w:sz w:val="18"/>
                <w:szCs w:val="18"/>
                <w:color w:val="auto"/>
              </w:rPr>
              <w:t>United States of</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America</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2005319306</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Allowed</w:t>
            </w:r>
          </w:p>
        </w:tc>
        <w:tc>
          <w:tcPr>
            <w:tcW w:w="160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2592099</w:t>
            </w:r>
          </w:p>
        </w:tc>
        <w:tc>
          <w:tcPr>
            <w:tcW w:w="8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w w:val="98"/>
              </w:rPr>
              <w:t>Published</w:t>
            </w:r>
          </w:p>
        </w:tc>
        <w:tc>
          <w:tcPr>
            <w:tcW w:w="1600" w:type="dxa"/>
            <w:vAlign w:val="bottom"/>
          </w:tcPr>
          <w:p>
            <w:pPr>
              <w:ind w:left="100"/>
              <w:spacing w:after="0"/>
              <w:rPr>
                <w:sz w:val="20"/>
                <w:szCs w:val="20"/>
                <w:color w:val="auto"/>
              </w:rPr>
            </w:pPr>
            <w:r>
              <w:rPr>
                <w:rFonts w:ascii="Arial" w:cs="Arial" w:eastAsia="Arial" w:hAnsi="Arial"/>
                <w:sz w:val="18"/>
                <w:szCs w:val="18"/>
                <w:color w:val="auto"/>
              </w:rPr>
              <w:t>Canada</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1040" w:type="dxa"/>
            <w:vAlign w:val="bottom"/>
          </w:tcPr>
          <w:p>
            <w:pPr>
              <w:ind w:left="360"/>
              <w:spacing w:after="0"/>
              <w:rPr>
                <w:sz w:val="20"/>
                <w:szCs w:val="20"/>
                <w:color w:val="auto"/>
              </w:rPr>
            </w:pPr>
            <w:r>
              <w:rPr>
                <w:rFonts w:ascii="Arial" w:cs="Arial" w:eastAsia="Arial" w:hAnsi="Arial"/>
                <w:sz w:val="18"/>
                <w:szCs w:val="18"/>
                <w:color w:val="auto"/>
              </w:rPr>
              <w:t>PCT</w:t>
            </w:r>
          </w:p>
        </w:tc>
        <w:tc>
          <w:tcPr>
            <w:tcW w:w="1740" w:type="dxa"/>
            <w:vAlign w:val="bottom"/>
          </w:tcPr>
          <w:p>
            <w:pPr>
              <w:ind w:left="120"/>
              <w:spacing w:after="0"/>
              <w:rPr>
                <w:sz w:val="20"/>
                <w:szCs w:val="20"/>
                <w:color w:val="auto"/>
              </w:rPr>
            </w:pPr>
            <w:r>
              <w:rPr>
                <w:rFonts w:ascii="Arial" w:cs="Arial" w:eastAsia="Arial" w:hAnsi="Arial"/>
                <w:sz w:val="18"/>
                <w:szCs w:val="18"/>
                <w:color w:val="auto"/>
              </w:rPr>
              <w:t>05854816.5</w:t>
            </w: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EP1833967 Allowed</w:t>
            </w:r>
          </w:p>
        </w:tc>
        <w:tc>
          <w:tcPr>
            <w:tcW w:w="1600" w:type="dxa"/>
            <w:vAlign w:val="bottom"/>
          </w:tcPr>
          <w:p>
            <w:pPr>
              <w:ind w:left="100"/>
              <w:spacing w:after="0"/>
              <w:rPr>
                <w:sz w:val="20"/>
                <w:szCs w:val="20"/>
                <w:color w:val="auto"/>
              </w:rPr>
            </w:pPr>
            <w:r>
              <w:rPr>
                <w:rFonts w:ascii="Arial" w:cs="Arial" w:eastAsia="Arial" w:hAnsi="Arial"/>
                <w:sz w:val="18"/>
                <w:szCs w:val="18"/>
                <w:color w:val="auto"/>
              </w:rPr>
              <w:t>European Patent</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30"/>
        </w:trPr>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Convention</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bl>
    <w:p>
      <w:pPr>
        <w:sectPr>
          <w:pgSz w:w="11900" w:h="16838" w:orient="portrait"/>
          <w:cols w:equalWidth="0" w:num="1">
            <w:col w:w="10880"/>
          </w:cols>
          <w:pgMar w:left="240" w:top="545" w:right="77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940" w:type="dxa"/>
            <w:vAlign w:val="bottom"/>
          </w:tcPr>
          <w:p>
            <w:pPr>
              <w:ind w:left="360"/>
              <w:spacing w:after="0"/>
              <w:rPr>
                <w:sz w:val="20"/>
                <w:szCs w:val="20"/>
                <w:color w:val="auto"/>
              </w:rPr>
            </w:pPr>
            <w:r>
              <w:rPr>
                <w:rFonts w:ascii="Arial" w:cs="Arial" w:eastAsia="Arial" w:hAnsi="Arial"/>
                <w:sz w:val="18"/>
                <w:szCs w:val="18"/>
                <w:color w:val="auto"/>
              </w:rPr>
              <w:t>DIV</w:t>
            </w:r>
          </w:p>
        </w:tc>
        <w:tc>
          <w:tcPr>
            <w:tcW w:w="1840" w:type="dxa"/>
            <w:vAlign w:val="bottom"/>
          </w:tcPr>
          <w:p>
            <w:pPr>
              <w:ind w:left="220"/>
              <w:spacing w:after="0"/>
              <w:rPr>
                <w:sz w:val="20"/>
                <w:szCs w:val="20"/>
                <w:color w:val="auto"/>
              </w:rPr>
            </w:pPr>
            <w:r>
              <w:rPr>
                <w:rFonts w:ascii="Arial" w:cs="Arial" w:eastAsia="Arial" w:hAnsi="Arial"/>
                <w:sz w:val="18"/>
                <w:szCs w:val="18"/>
                <w:color w:val="auto"/>
              </w:rPr>
              <w:t>10010655.8</w:t>
            </w:r>
          </w:p>
        </w:tc>
        <w:tc>
          <w:tcPr>
            <w:tcW w:w="3380" w:type="dxa"/>
            <w:vAlign w:val="bottom"/>
            <w:gridSpan w:val="2"/>
          </w:tcPr>
          <w:p>
            <w:pPr>
              <w:ind w:left="980"/>
              <w:spacing w:after="0"/>
              <w:rPr>
                <w:sz w:val="20"/>
                <w:szCs w:val="20"/>
                <w:color w:val="auto"/>
              </w:rPr>
            </w:pPr>
            <w:r>
              <w:rPr>
                <w:rFonts w:ascii="Arial" w:cs="Arial" w:eastAsia="Arial" w:hAnsi="Arial"/>
                <w:sz w:val="18"/>
                <w:szCs w:val="18"/>
                <w:color w:val="auto"/>
              </w:rPr>
              <w:t>Abandoned European Patent</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Convention</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940" w:type="dxa"/>
            <w:vAlign w:val="bottom"/>
          </w:tcPr>
          <w:p>
            <w:pPr>
              <w:ind w:left="360"/>
              <w:spacing w:after="0"/>
              <w:rPr>
                <w:sz w:val="20"/>
                <w:szCs w:val="20"/>
                <w:color w:val="auto"/>
              </w:rPr>
            </w:pPr>
            <w:r>
              <w:rPr>
                <w:rFonts w:ascii="Arial" w:cs="Arial" w:eastAsia="Arial" w:hAnsi="Arial"/>
                <w:sz w:val="18"/>
                <w:szCs w:val="18"/>
                <w:color w:val="auto"/>
              </w:rPr>
              <w:t>EPP</w:t>
            </w:r>
          </w:p>
        </w:tc>
        <w:tc>
          <w:tcPr>
            <w:tcW w:w="1840" w:type="dxa"/>
            <w:vAlign w:val="bottom"/>
          </w:tcPr>
          <w:p>
            <w:pPr>
              <w:ind w:left="220"/>
              <w:spacing w:after="0"/>
              <w:rPr>
                <w:sz w:val="20"/>
                <w:szCs w:val="20"/>
                <w:color w:val="auto"/>
              </w:rPr>
            </w:pPr>
            <w:r>
              <w:rPr>
                <w:rFonts w:ascii="Arial" w:cs="Arial" w:eastAsia="Arial" w:hAnsi="Arial"/>
                <w:sz w:val="18"/>
                <w:szCs w:val="18"/>
                <w:color w:val="auto"/>
              </w:rPr>
              <w:t>05854816.5</w:t>
            </w:r>
          </w:p>
        </w:tc>
        <w:tc>
          <w:tcPr>
            <w:tcW w:w="1780" w:type="dxa"/>
            <w:vAlign w:val="bottom"/>
          </w:tcPr>
          <w:p>
            <w:pPr>
              <w:ind w:left="60"/>
              <w:spacing w:after="0"/>
              <w:rPr>
                <w:sz w:val="20"/>
                <w:szCs w:val="20"/>
                <w:color w:val="auto"/>
              </w:rPr>
            </w:pPr>
            <w:r>
              <w:rPr>
                <w:rFonts w:ascii="Arial" w:cs="Arial" w:eastAsia="Arial" w:hAnsi="Arial"/>
                <w:sz w:val="18"/>
                <w:szCs w:val="18"/>
                <w:color w:val="auto"/>
              </w:rPr>
              <w:t>EP1833967 Allowed</w:t>
            </w:r>
          </w:p>
        </w:tc>
        <w:tc>
          <w:tcPr>
            <w:tcW w:w="1600" w:type="dxa"/>
            <w:vAlign w:val="bottom"/>
          </w:tcPr>
          <w:p>
            <w:pPr>
              <w:ind w:left="100"/>
              <w:spacing w:after="0"/>
              <w:rPr>
                <w:sz w:val="20"/>
                <w:szCs w:val="20"/>
                <w:color w:val="auto"/>
              </w:rPr>
            </w:pPr>
            <w:r>
              <w:rPr>
                <w:rFonts w:ascii="Arial" w:cs="Arial" w:eastAsia="Arial" w:hAnsi="Arial"/>
                <w:sz w:val="18"/>
                <w:szCs w:val="18"/>
                <w:color w:val="auto"/>
              </w:rPr>
              <w:t>France</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940" w:type="dxa"/>
            <w:vAlign w:val="bottom"/>
          </w:tcPr>
          <w:p>
            <w:pPr>
              <w:ind w:left="360"/>
              <w:spacing w:after="0"/>
              <w:rPr>
                <w:sz w:val="20"/>
                <w:szCs w:val="20"/>
                <w:color w:val="auto"/>
              </w:rPr>
            </w:pPr>
            <w:r>
              <w:rPr>
                <w:rFonts w:ascii="Arial" w:cs="Arial" w:eastAsia="Arial" w:hAnsi="Arial"/>
                <w:sz w:val="18"/>
                <w:szCs w:val="18"/>
                <w:color w:val="auto"/>
              </w:rPr>
              <w:t>EPP</w:t>
            </w:r>
          </w:p>
        </w:tc>
        <w:tc>
          <w:tcPr>
            <w:tcW w:w="1840" w:type="dxa"/>
            <w:vAlign w:val="bottom"/>
          </w:tcPr>
          <w:p>
            <w:pPr>
              <w:ind w:left="220"/>
              <w:spacing w:after="0"/>
              <w:rPr>
                <w:sz w:val="20"/>
                <w:szCs w:val="20"/>
                <w:color w:val="auto"/>
              </w:rPr>
            </w:pPr>
            <w:r>
              <w:rPr>
                <w:rFonts w:ascii="Arial" w:cs="Arial" w:eastAsia="Arial" w:hAnsi="Arial"/>
                <w:sz w:val="18"/>
                <w:szCs w:val="18"/>
                <w:color w:val="auto"/>
              </w:rPr>
              <w:t>05854816.5</w:t>
            </w:r>
          </w:p>
        </w:tc>
        <w:tc>
          <w:tcPr>
            <w:tcW w:w="1780" w:type="dxa"/>
            <w:vAlign w:val="bottom"/>
          </w:tcPr>
          <w:p>
            <w:pPr>
              <w:ind w:left="60"/>
              <w:spacing w:after="0"/>
              <w:rPr>
                <w:sz w:val="20"/>
                <w:szCs w:val="20"/>
                <w:color w:val="auto"/>
              </w:rPr>
            </w:pPr>
            <w:r>
              <w:rPr>
                <w:rFonts w:ascii="Arial" w:cs="Arial" w:eastAsia="Arial" w:hAnsi="Arial"/>
                <w:sz w:val="18"/>
                <w:szCs w:val="18"/>
                <w:color w:val="auto"/>
              </w:rPr>
              <w:t>EP1833967 Allowed</w:t>
            </w:r>
          </w:p>
        </w:tc>
        <w:tc>
          <w:tcPr>
            <w:tcW w:w="1600" w:type="dxa"/>
            <w:vAlign w:val="bottom"/>
          </w:tcPr>
          <w:p>
            <w:pPr>
              <w:ind w:left="100"/>
              <w:spacing w:after="0"/>
              <w:rPr>
                <w:sz w:val="20"/>
                <w:szCs w:val="20"/>
                <w:color w:val="auto"/>
              </w:rPr>
            </w:pPr>
            <w:r>
              <w:rPr>
                <w:rFonts w:ascii="Arial" w:cs="Arial" w:eastAsia="Arial" w:hAnsi="Arial"/>
                <w:sz w:val="18"/>
                <w:szCs w:val="18"/>
                <w:color w:val="auto"/>
              </w:rPr>
              <w:t>Germany</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940" w:type="dxa"/>
            <w:vAlign w:val="bottom"/>
          </w:tcPr>
          <w:p>
            <w:pPr>
              <w:ind w:left="360"/>
              <w:spacing w:after="0"/>
              <w:rPr>
                <w:sz w:val="20"/>
                <w:szCs w:val="20"/>
                <w:color w:val="auto"/>
              </w:rPr>
            </w:pPr>
            <w:r>
              <w:rPr>
                <w:rFonts w:ascii="Arial" w:cs="Arial" w:eastAsia="Arial" w:hAnsi="Arial"/>
                <w:sz w:val="18"/>
                <w:szCs w:val="18"/>
                <w:color w:val="auto"/>
              </w:rPr>
              <w:t>PCT</w:t>
            </w:r>
          </w:p>
        </w:tc>
        <w:tc>
          <w:tcPr>
            <w:tcW w:w="1840" w:type="dxa"/>
            <w:vAlign w:val="bottom"/>
          </w:tcPr>
          <w:p>
            <w:pPr>
              <w:ind w:left="220"/>
              <w:spacing w:after="0"/>
              <w:rPr>
                <w:sz w:val="20"/>
                <w:szCs w:val="20"/>
                <w:color w:val="auto"/>
              </w:rPr>
            </w:pPr>
            <w:r>
              <w:rPr>
                <w:rFonts w:ascii="Arial" w:cs="Arial" w:eastAsia="Arial" w:hAnsi="Arial"/>
                <w:sz w:val="18"/>
                <w:szCs w:val="18"/>
                <w:color w:val="auto"/>
              </w:rPr>
              <w:t>2007-548393</w:t>
            </w:r>
          </w:p>
        </w:tc>
        <w:tc>
          <w:tcPr>
            <w:tcW w:w="3380" w:type="dxa"/>
            <w:vAlign w:val="bottom"/>
            <w:gridSpan w:val="2"/>
          </w:tcPr>
          <w:p>
            <w:pPr>
              <w:ind w:left="980"/>
              <w:spacing w:after="0"/>
              <w:rPr>
                <w:sz w:val="20"/>
                <w:szCs w:val="20"/>
                <w:color w:val="auto"/>
              </w:rPr>
            </w:pPr>
            <w:r>
              <w:rPr>
                <w:rFonts w:ascii="Arial" w:cs="Arial" w:eastAsia="Arial" w:hAnsi="Arial"/>
                <w:sz w:val="18"/>
                <w:szCs w:val="18"/>
                <w:color w:val="auto"/>
              </w:rPr>
              <w:t>Abandoned Japan</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940" w:type="dxa"/>
            <w:vAlign w:val="bottom"/>
          </w:tcPr>
          <w:p>
            <w:pPr>
              <w:ind w:left="360"/>
              <w:spacing w:after="0"/>
              <w:rPr>
                <w:sz w:val="20"/>
                <w:szCs w:val="20"/>
                <w:color w:val="auto"/>
              </w:rPr>
            </w:pPr>
            <w:r>
              <w:rPr>
                <w:rFonts w:ascii="Arial" w:cs="Arial" w:eastAsia="Arial" w:hAnsi="Arial"/>
                <w:sz w:val="18"/>
                <w:szCs w:val="18"/>
                <w:color w:val="auto"/>
              </w:rPr>
              <w:t>ORD</w:t>
            </w:r>
          </w:p>
        </w:tc>
        <w:tc>
          <w:tcPr>
            <w:tcW w:w="1840" w:type="dxa"/>
            <w:vAlign w:val="bottom"/>
          </w:tcPr>
          <w:p>
            <w:pPr>
              <w:ind w:left="220"/>
              <w:spacing w:after="0"/>
              <w:rPr>
                <w:sz w:val="20"/>
                <w:szCs w:val="20"/>
                <w:color w:val="auto"/>
              </w:rPr>
            </w:pPr>
            <w:r>
              <w:rPr>
                <w:rFonts w:ascii="Arial" w:cs="Arial" w:eastAsia="Arial" w:hAnsi="Arial"/>
                <w:sz w:val="18"/>
                <w:szCs w:val="18"/>
                <w:color w:val="auto"/>
                <w:w w:val="93"/>
              </w:rPr>
              <w:t>PCT/US2005/046162</w:t>
            </w:r>
          </w:p>
        </w:tc>
        <w:tc>
          <w:tcPr>
            <w:tcW w:w="1780" w:type="dxa"/>
            <w:vAlign w:val="bottom"/>
          </w:tcPr>
          <w:p>
            <w:pPr>
              <w:ind w:left="980"/>
              <w:spacing w:after="0"/>
              <w:rPr>
                <w:sz w:val="20"/>
                <w:szCs w:val="20"/>
                <w:color w:val="auto"/>
              </w:rPr>
            </w:pPr>
            <w:r>
              <w:rPr>
                <w:rFonts w:ascii="Arial" w:cs="Arial" w:eastAsia="Arial" w:hAnsi="Arial"/>
                <w:sz w:val="18"/>
                <w:szCs w:val="18"/>
                <w:color w:val="auto"/>
              </w:rPr>
              <w:t>Expired</w:t>
            </w:r>
          </w:p>
        </w:tc>
        <w:tc>
          <w:tcPr>
            <w:tcW w:w="1600" w:type="dxa"/>
            <w:vAlign w:val="bottom"/>
          </w:tcPr>
          <w:p>
            <w:pPr>
              <w:ind w:left="100"/>
              <w:spacing w:after="0"/>
              <w:rPr>
                <w:sz w:val="20"/>
                <w:szCs w:val="20"/>
                <w:color w:val="auto"/>
              </w:rPr>
            </w:pPr>
            <w:r>
              <w:rPr>
                <w:rFonts w:ascii="Arial" w:cs="Arial" w:eastAsia="Arial" w:hAnsi="Arial"/>
                <w:sz w:val="18"/>
                <w:szCs w:val="18"/>
                <w:color w:val="auto"/>
                <w:w w:val="95"/>
              </w:rPr>
              <w:t>Patent Cooperation</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Treaty</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940" w:type="dxa"/>
            <w:vAlign w:val="bottom"/>
          </w:tcPr>
          <w:p>
            <w:pPr>
              <w:ind w:left="360"/>
              <w:spacing w:after="0"/>
              <w:rPr>
                <w:sz w:val="20"/>
                <w:szCs w:val="20"/>
                <w:color w:val="auto"/>
              </w:rPr>
            </w:pPr>
            <w:r>
              <w:rPr>
                <w:rFonts w:ascii="Arial" w:cs="Arial" w:eastAsia="Arial" w:hAnsi="Arial"/>
                <w:sz w:val="18"/>
                <w:szCs w:val="18"/>
                <w:color w:val="auto"/>
              </w:rPr>
              <w:t>EPP</w:t>
            </w:r>
          </w:p>
        </w:tc>
        <w:tc>
          <w:tcPr>
            <w:tcW w:w="1840" w:type="dxa"/>
            <w:vAlign w:val="bottom"/>
          </w:tcPr>
          <w:p>
            <w:pPr>
              <w:ind w:left="220"/>
              <w:spacing w:after="0"/>
              <w:rPr>
                <w:sz w:val="20"/>
                <w:szCs w:val="20"/>
                <w:color w:val="auto"/>
              </w:rPr>
            </w:pPr>
            <w:r>
              <w:rPr>
                <w:rFonts w:ascii="Arial" w:cs="Arial" w:eastAsia="Arial" w:hAnsi="Arial"/>
                <w:sz w:val="18"/>
                <w:szCs w:val="18"/>
                <w:color w:val="auto"/>
              </w:rPr>
              <w:t>05854816.5</w:t>
            </w:r>
          </w:p>
        </w:tc>
        <w:tc>
          <w:tcPr>
            <w:tcW w:w="1780" w:type="dxa"/>
            <w:vAlign w:val="bottom"/>
          </w:tcPr>
          <w:p>
            <w:pPr>
              <w:ind w:left="60"/>
              <w:spacing w:after="0"/>
              <w:rPr>
                <w:sz w:val="20"/>
                <w:szCs w:val="20"/>
                <w:color w:val="auto"/>
              </w:rPr>
            </w:pPr>
            <w:r>
              <w:rPr>
                <w:rFonts w:ascii="Arial" w:cs="Arial" w:eastAsia="Arial" w:hAnsi="Arial"/>
                <w:sz w:val="18"/>
                <w:szCs w:val="18"/>
                <w:color w:val="auto"/>
              </w:rPr>
              <w:t>EP1833967 Allowed</w:t>
            </w:r>
          </w:p>
        </w:tc>
        <w:tc>
          <w:tcPr>
            <w:tcW w:w="160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940" w:type="dxa"/>
            <w:vAlign w:val="bottom"/>
          </w:tcPr>
          <w:p>
            <w:pPr>
              <w:ind w:left="360"/>
              <w:spacing w:after="0"/>
              <w:rPr>
                <w:sz w:val="20"/>
                <w:szCs w:val="20"/>
                <w:color w:val="auto"/>
              </w:rPr>
            </w:pPr>
            <w:r>
              <w:rPr>
                <w:rFonts w:ascii="Arial" w:cs="Arial" w:eastAsia="Arial" w:hAnsi="Arial"/>
                <w:sz w:val="18"/>
                <w:szCs w:val="18"/>
                <w:color w:val="auto"/>
              </w:rPr>
              <w:t>PRO</w:t>
            </w:r>
          </w:p>
        </w:tc>
        <w:tc>
          <w:tcPr>
            <w:tcW w:w="1840" w:type="dxa"/>
            <w:vAlign w:val="bottom"/>
          </w:tcPr>
          <w:p>
            <w:pPr>
              <w:ind w:left="220"/>
              <w:spacing w:after="0"/>
              <w:rPr>
                <w:sz w:val="20"/>
                <w:szCs w:val="20"/>
                <w:color w:val="auto"/>
              </w:rPr>
            </w:pPr>
            <w:r>
              <w:rPr>
                <w:rFonts w:ascii="Arial" w:cs="Arial" w:eastAsia="Arial" w:hAnsi="Arial"/>
                <w:sz w:val="18"/>
                <w:szCs w:val="18"/>
                <w:color w:val="auto"/>
              </w:rPr>
              <w:t>60/638,294</w:t>
            </w:r>
          </w:p>
        </w:tc>
        <w:tc>
          <w:tcPr>
            <w:tcW w:w="1780" w:type="dxa"/>
            <w:vAlign w:val="bottom"/>
          </w:tcPr>
          <w:p>
            <w:pPr>
              <w:ind w:left="980"/>
              <w:spacing w:after="0"/>
              <w:rPr>
                <w:sz w:val="20"/>
                <w:szCs w:val="20"/>
                <w:color w:val="auto"/>
              </w:rPr>
            </w:pPr>
            <w:r>
              <w:rPr>
                <w:rFonts w:ascii="Arial" w:cs="Arial" w:eastAsia="Arial" w:hAnsi="Arial"/>
                <w:sz w:val="18"/>
                <w:szCs w:val="18"/>
                <w:color w:val="auto"/>
              </w:rPr>
              <w:t>Expired</w:t>
            </w:r>
          </w:p>
        </w:tc>
        <w:tc>
          <w:tcPr>
            <w:tcW w:w="1600" w:type="dxa"/>
            <w:vAlign w:val="bottom"/>
          </w:tcPr>
          <w:p>
            <w:pPr>
              <w:ind w:left="100"/>
              <w:spacing w:after="0"/>
              <w:rPr>
                <w:sz w:val="20"/>
                <w:szCs w:val="20"/>
                <w:color w:val="auto"/>
              </w:rPr>
            </w:pPr>
            <w:r>
              <w:rPr>
                <w:rFonts w:ascii="Arial" w:cs="Arial" w:eastAsia="Arial" w:hAnsi="Arial"/>
                <w:sz w:val="18"/>
                <w:szCs w:val="18"/>
                <w:color w:val="auto"/>
              </w:rPr>
              <w:t>United States of</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16"/>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America</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NUCL-010</w:t>
            </w:r>
          </w:p>
        </w:tc>
        <w:tc>
          <w:tcPr>
            <w:tcW w:w="940" w:type="dxa"/>
            <w:vAlign w:val="bottom"/>
          </w:tcPr>
          <w:p>
            <w:pPr>
              <w:ind w:left="360"/>
              <w:spacing w:after="0"/>
              <w:rPr>
                <w:sz w:val="20"/>
                <w:szCs w:val="20"/>
                <w:color w:val="auto"/>
              </w:rPr>
            </w:pPr>
            <w:r>
              <w:rPr>
                <w:rFonts w:ascii="Arial" w:cs="Arial" w:eastAsia="Arial" w:hAnsi="Arial"/>
                <w:sz w:val="18"/>
                <w:szCs w:val="18"/>
                <w:color w:val="auto"/>
              </w:rPr>
              <w:t>PCT</w:t>
            </w:r>
          </w:p>
        </w:tc>
        <w:tc>
          <w:tcPr>
            <w:tcW w:w="1840" w:type="dxa"/>
            <w:vAlign w:val="bottom"/>
          </w:tcPr>
          <w:p>
            <w:pPr>
              <w:spacing w:after="0"/>
              <w:rPr>
                <w:sz w:val="18"/>
                <w:szCs w:val="18"/>
                <w:color w:val="auto"/>
              </w:rPr>
            </w:pPr>
          </w:p>
        </w:tc>
        <w:tc>
          <w:tcPr>
            <w:tcW w:w="1780" w:type="dxa"/>
            <w:vAlign w:val="bottom"/>
          </w:tcPr>
          <w:p>
            <w:pPr>
              <w:ind w:left="980"/>
              <w:spacing w:after="0"/>
              <w:rPr>
                <w:sz w:val="20"/>
                <w:szCs w:val="20"/>
                <w:color w:val="auto"/>
              </w:rPr>
            </w:pPr>
            <w:r>
              <w:rPr>
                <w:rFonts w:ascii="Arial" w:cs="Arial" w:eastAsia="Arial" w:hAnsi="Arial"/>
                <w:sz w:val="18"/>
                <w:szCs w:val="18"/>
                <w:color w:val="auto"/>
              </w:rPr>
              <w:t>Not Filed</w:t>
            </w:r>
          </w:p>
        </w:tc>
        <w:tc>
          <w:tcPr>
            <w:tcW w:w="1600" w:type="dxa"/>
            <w:vAlign w:val="bottom"/>
          </w:tcPr>
          <w:p>
            <w:pPr>
              <w:ind w:left="100"/>
              <w:spacing w:after="0"/>
              <w:rPr>
                <w:sz w:val="20"/>
                <w:szCs w:val="20"/>
                <w:color w:val="auto"/>
              </w:rPr>
            </w:pPr>
            <w:r>
              <w:rPr>
                <w:rFonts w:ascii="Arial" w:cs="Arial" w:eastAsia="Arial" w:hAnsi="Arial"/>
                <w:sz w:val="18"/>
                <w:szCs w:val="18"/>
                <w:color w:val="auto"/>
              </w:rPr>
              <w:t>United States of</w:t>
            </w:r>
          </w:p>
        </w:tc>
        <w:tc>
          <w:tcPr>
            <w:tcW w:w="3540" w:type="dxa"/>
            <w:vAlign w:val="bottom"/>
          </w:tcPr>
          <w:p>
            <w:pPr>
              <w:ind w:left="100"/>
              <w:spacing w:after="0"/>
              <w:rPr>
                <w:sz w:val="20"/>
                <w:szCs w:val="20"/>
                <w:color w:val="auto"/>
              </w:rPr>
            </w:pPr>
            <w:r>
              <w:rPr>
                <w:rFonts w:ascii="Arial" w:cs="Arial" w:eastAsia="Arial" w:hAnsi="Arial"/>
                <w:sz w:val="18"/>
                <w:szCs w:val="18"/>
                <w:color w:val="auto"/>
                <w:w w:val="94"/>
              </w:rPr>
              <w:t>CONSERVED HBV AND HCV SEQUENCES</w:t>
            </w:r>
          </w:p>
        </w:tc>
      </w:tr>
      <w:tr>
        <w:trPr>
          <w:trHeight w:val="230"/>
        </w:trPr>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America</w:t>
            </w:r>
          </w:p>
        </w:tc>
        <w:tc>
          <w:tcPr>
            <w:tcW w:w="3540" w:type="dxa"/>
            <w:vAlign w:val="bottom"/>
          </w:tcPr>
          <w:p>
            <w:pPr>
              <w:ind w:left="100"/>
              <w:spacing w:after="0"/>
              <w:rPr>
                <w:sz w:val="20"/>
                <w:szCs w:val="20"/>
                <w:color w:val="auto"/>
              </w:rPr>
            </w:pPr>
            <w:r>
              <w:rPr>
                <w:rFonts w:ascii="Arial" w:cs="Arial" w:eastAsia="Arial" w:hAnsi="Arial"/>
                <w:sz w:val="18"/>
                <w:szCs w:val="18"/>
                <w:color w:val="auto"/>
              </w:rPr>
              <w:t>USEFUL FOR GENE SILENCING</w:t>
            </w:r>
          </w:p>
        </w:tc>
      </w:tr>
    </w:tbl>
    <w:p>
      <w:pPr>
        <w:sectPr>
          <w:pgSz w:w="11900" w:h="16838" w:orient="portrait"/>
          <w:cols w:equalWidth="0" w:num="1">
            <w:col w:w="10880"/>
          </w:cols>
          <w:pgMar w:left="240" w:top="341" w:right="77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Our Ref. No.</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480" w:type="dxa"/>
            <w:vAlign w:val="bottom"/>
          </w:tcPr>
          <w:p>
            <w:pPr>
              <w:ind w:left="300"/>
              <w:spacing w:after="0"/>
              <w:rPr>
                <w:sz w:val="20"/>
                <w:szCs w:val="20"/>
                <w:color w:val="auto"/>
              </w:rPr>
            </w:pPr>
            <w:r>
              <w:rPr>
                <w:rFonts w:ascii="Arial" w:cs="Arial" w:eastAsia="Arial" w:hAnsi="Arial"/>
                <w:sz w:val="14"/>
                <w:szCs w:val="14"/>
                <w:b w:val="1"/>
                <w:bCs w:val="1"/>
                <w:color w:val="auto"/>
              </w:rPr>
              <w:t>Application No.</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Patent No.</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c>
          <w:tcPr>
            <w:tcW w:w="4380" w:type="dxa"/>
            <w:vAlign w:val="bottom"/>
          </w:tcPr>
          <w:p>
            <w:pPr>
              <w:ind w:left="1860"/>
              <w:spacing w:after="0"/>
              <w:rPr>
                <w:sz w:val="20"/>
                <w:szCs w:val="20"/>
                <w:color w:val="auto"/>
              </w:rPr>
            </w:pPr>
            <w:r>
              <w:rPr>
                <w:rFonts w:ascii="Arial" w:cs="Arial" w:eastAsia="Arial" w:hAnsi="Arial"/>
                <w:sz w:val="14"/>
                <w:szCs w:val="14"/>
                <w:b w:val="1"/>
                <w:bCs w:val="1"/>
                <w:color w:val="auto"/>
              </w:rPr>
              <w:t>Application Title</w:t>
            </w:r>
          </w:p>
        </w:tc>
      </w:tr>
      <w:tr>
        <w:trPr>
          <w:trHeight w:val="216"/>
        </w:trPr>
        <w:tc>
          <w:tcPr>
            <w:tcW w:w="1400" w:type="dxa"/>
            <w:vAlign w:val="bottom"/>
          </w:tcPr>
          <w:p>
            <w:pPr>
              <w:jc w:val="center"/>
              <w:ind w:right="71"/>
              <w:spacing w:after="0"/>
              <w:rPr>
                <w:sz w:val="20"/>
                <w:szCs w:val="20"/>
                <w:color w:val="auto"/>
              </w:rPr>
            </w:pPr>
            <w:r>
              <w:rPr>
                <w:rFonts w:ascii="Arial" w:cs="Arial" w:eastAsia="Arial" w:hAnsi="Arial"/>
                <w:sz w:val="18"/>
                <w:szCs w:val="18"/>
                <w:color w:val="auto"/>
                <w:w w:val="94"/>
              </w:rPr>
              <w:t>RIB-001.3AT1</w:t>
            </w: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Austria</w:t>
            </w:r>
          </w:p>
        </w:tc>
        <w:tc>
          <w:tcPr>
            <w:tcW w:w="1480" w:type="dxa"/>
            <w:vAlign w:val="bottom"/>
          </w:tcPr>
          <w:p>
            <w:pPr>
              <w:ind w:left="300"/>
              <w:spacing w:after="0"/>
              <w:rPr>
                <w:sz w:val="20"/>
                <w:szCs w:val="20"/>
                <w:color w:val="auto"/>
              </w:rPr>
            </w:pPr>
            <w:r>
              <w:rPr>
                <w:rFonts w:ascii="Arial" w:cs="Arial" w:eastAsia="Arial" w:hAnsi="Arial"/>
                <w:sz w:val="18"/>
                <w:szCs w:val="18"/>
                <w:color w:val="auto"/>
              </w:rPr>
              <w:t>EP 02003683</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E297.463</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71"/>
              <w:spacing w:after="0"/>
              <w:rPr>
                <w:sz w:val="20"/>
                <w:szCs w:val="20"/>
                <w:color w:val="auto"/>
              </w:rPr>
            </w:pPr>
            <w:r>
              <w:rPr>
                <w:rFonts w:ascii="Arial" w:cs="Arial" w:eastAsia="Arial" w:hAnsi="Arial"/>
                <w:sz w:val="18"/>
                <w:szCs w:val="18"/>
                <w:color w:val="auto"/>
                <w:w w:val="94"/>
              </w:rPr>
              <w:t>RIB-001.3AT2</w:t>
            </w: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Austria</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E418.60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6"/>
              </w:rPr>
              <w:t>RIB-001.3AU</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89"/>
              </w:rPr>
              <w:t>2000032713</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778474</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71"/>
              <w:spacing w:after="0"/>
              <w:rPr>
                <w:sz w:val="20"/>
                <w:szCs w:val="20"/>
                <w:color w:val="auto"/>
              </w:rPr>
            </w:pPr>
            <w:r>
              <w:rPr>
                <w:rFonts w:ascii="Arial" w:cs="Arial" w:eastAsia="Arial" w:hAnsi="Arial"/>
                <w:sz w:val="18"/>
                <w:szCs w:val="18"/>
                <w:color w:val="auto"/>
                <w:w w:val="96"/>
              </w:rPr>
              <w:t>RIB-001.3AU1</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89"/>
              </w:rPr>
              <w:t>2005201044</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2005201044</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71"/>
              <w:spacing w:after="0"/>
              <w:rPr>
                <w:sz w:val="20"/>
                <w:szCs w:val="20"/>
                <w:color w:val="auto"/>
              </w:rPr>
            </w:pPr>
            <w:r>
              <w:rPr>
                <w:rFonts w:ascii="Arial" w:cs="Arial" w:eastAsia="Arial" w:hAnsi="Arial"/>
                <w:sz w:val="18"/>
                <w:szCs w:val="18"/>
                <w:color w:val="auto"/>
                <w:w w:val="96"/>
              </w:rPr>
              <w:t>RIB-001.3AUD2</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89"/>
              </w:rPr>
              <w:t>2008202208</w:t>
            </w:r>
          </w:p>
        </w:tc>
        <w:tc>
          <w:tcPr>
            <w:tcW w:w="14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Opposed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6"/>
              </w:rPr>
              <w:t>RIB-001.3CA</w:t>
            </w: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2,359,180</w:t>
            </w:r>
          </w:p>
        </w:tc>
        <w:tc>
          <w:tcPr>
            <w:tcW w:w="1420" w:type="dxa"/>
            <w:vAlign w:val="bottom"/>
          </w:tcPr>
          <w:p>
            <w:pPr>
              <w:jc w:val="center"/>
              <w:ind w:right="11"/>
              <w:spacing w:after="0"/>
              <w:rPr>
                <w:sz w:val="20"/>
                <w:szCs w:val="20"/>
                <w:color w:val="auto"/>
              </w:rPr>
            </w:pPr>
            <w:r>
              <w:rPr>
                <w:rFonts w:ascii="Arial" w:cs="Arial" w:eastAsia="Arial" w:hAnsi="Arial"/>
                <w:sz w:val="18"/>
                <w:szCs w:val="18"/>
                <w:color w:val="auto"/>
                <w:w w:val="89"/>
              </w:rPr>
              <w:t>2,359,180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3"/>
              </w:rPr>
              <w:t>RIB-001.3CH1</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1480" w:type="dxa"/>
            <w:vAlign w:val="bottom"/>
          </w:tcPr>
          <w:p>
            <w:pPr>
              <w:ind w:left="300"/>
              <w:spacing w:after="0"/>
              <w:rPr>
                <w:sz w:val="20"/>
                <w:szCs w:val="20"/>
                <w:color w:val="auto"/>
              </w:rPr>
            </w:pPr>
            <w:r>
              <w:rPr>
                <w:rFonts w:ascii="Arial" w:cs="Arial" w:eastAsia="Arial" w:hAnsi="Arial"/>
                <w:sz w:val="18"/>
                <w:szCs w:val="18"/>
                <w:color w:val="auto"/>
              </w:rPr>
              <w:t>EP 02003683</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3"/>
              </w:rPr>
              <w:t>RIB-001.3CH2</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20" w:type="dxa"/>
            <w:vAlign w:val="bottom"/>
          </w:tcPr>
          <w:p>
            <w:pPr>
              <w:jc w:val="center"/>
              <w:ind w:right="11"/>
              <w:spacing w:after="0"/>
              <w:rPr>
                <w:sz w:val="20"/>
                <w:szCs w:val="20"/>
                <w:color w:val="auto"/>
              </w:rPr>
            </w:pPr>
            <w:r>
              <w:rPr>
                <w:rFonts w:ascii="Arial" w:cs="Arial" w:eastAsia="Arial" w:hAnsi="Arial"/>
                <w:sz w:val="18"/>
                <w:szCs w:val="18"/>
                <w:color w:val="auto"/>
                <w:w w:val="89"/>
              </w:rPr>
              <w:t>EP1550719</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4"/>
              </w:rPr>
              <w:t>RIB-001.3CY1</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Cyprus</w:t>
            </w:r>
          </w:p>
        </w:tc>
        <w:tc>
          <w:tcPr>
            <w:tcW w:w="1480" w:type="dxa"/>
            <w:vAlign w:val="bottom"/>
          </w:tcPr>
          <w:p>
            <w:pPr>
              <w:ind w:left="300"/>
              <w:spacing w:after="0"/>
              <w:rPr>
                <w:sz w:val="20"/>
                <w:szCs w:val="20"/>
                <w:color w:val="auto"/>
              </w:rPr>
            </w:pPr>
            <w:r>
              <w:rPr>
                <w:rFonts w:ascii="Arial" w:cs="Arial" w:eastAsia="Arial" w:hAnsi="Arial"/>
                <w:sz w:val="18"/>
                <w:szCs w:val="18"/>
                <w:color w:val="auto"/>
              </w:rPr>
              <w:t>EP 02003683</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CY05/1101016</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4"/>
              </w:rPr>
              <w:t>RIB-001.3CY2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Cyprus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20" w:type="dxa"/>
            <w:vAlign w:val="bottom"/>
          </w:tcPr>
          <w:p>
            <w:pPr>
              <w:jc w:val="center"/>
              <w:ind w:right="11"/>
              <w:spacing w:after="0"/>
              <w:rPr>
                <w:sz w:val="20"/>
                <w:szCs w:val="20"/>
                <w:color w:val="auto"/>
              </w:rPr>
            </w:pPr>
            <w:r>
              <w:rPr>
                <w:rFonts w:ascii="Arial" w:cs="Arial" w:eastAsia="Arial" w:hAnsi="Arial"/>
                <w:sz w:val="18"/>
                <w:szCs w:val="18"/>
                <w:color w:val="auto"/>
                <w:w w:val="89"/>
              </w:rPr>
              <w:t>EP1550719</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4"/>
              </w:rPr>
              <w:t>RIB-001.3DE0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0"/>
              </w:rPr>
              <w:t>50000414.5-08</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1144623</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4"/>
              </w:rPr>
              <w:t>RIB-001.3DE1</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1480" w:type="dxa"/>
            <w:vAlign w:val="bottom"/>
          </w:tcPr>
          <w:p>
            <w:pPr>
              <w:ind w:left="300"/>
              <w:spacing w:after="0"/>
              <w:rPr>
                <w:sz w:val="20"/>
                <w:szCs w:val="20"/>
                <w:color w:val="auto"/>
              </w:rPr>
            </w:pPr>
            <w:r>
              <w:rPr>
                <w:rFonts w:ascii="Arial" w:cs="Arial" w:eastAsia="Arial" w:hAnsi="Arial"/>
                <w:sz w:val="18"/>
                <w:szCs w:val="18"/>
                <w:color w:val="auto"/>
              </w:rPr>
              <w:t>EP 02003683</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4"/>
              </w:rPr>
              <w:t>RIB-001.3DE1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0"/>
              </w:rPr>
              <w:t>50010528.6-08</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1214945</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4"/>
              </w:rPr>
              <w:t>RIB-001.3DE2</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20" w:type="dxa"/>
            <w:vAlign w:val="bottom"/>
          </w:tcPr>
          <w:p>
            <w:pPr>
              <w:jc w:val="center"/>
              <w:ind w:right="11"/>
              <w:spacing w:after="0"/>
              <w:rPr>
                <w:sz w:val="20"/>
                <w:szCs w:val="20"/>
                <w:color w:val="auto"/>
              </w:rPr>
            </w:pPr>
            <w:r>
              <w:rPr>
                <w:rFonts w:ascii="Arial" w:cs="Arial" w:eastAsia="Arial" w:hAnsi="Arial"/>
                <w:sz w:val="18"/>
                <w:szCs w:val="18"/>
                <w:color w:val="auto"/>
                <w:w w:val="89"/>
              </w:rPr>
              <w:t>EP1550719</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4"/>
              </w:rPr>
              <w:t>RIB-001.3DE2</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20" w:type="dxa"/>
            <w:vAlign w:val="bottom"/>
          </w:tcPr>
          <w:p>
            <w:pPr>
              <w:jc w:val="center"/>
              <w:ind w:right="11"/>
              <w:spacing w:after="0"/>
              <w:rPr>
                <w:sz w:val="20"/>
                <w:szCs w:val="20"/>
                <w:color w:val="auto"/>
              </w:rPr>
            </w:pPr>
            <w:r>
              <w:rPr>
                <w:rFonts w:ascii="Arial" w:cs="Arial" w:eastAsia="Arial" w:hAnsi="Arial"/>
                <w:sz w:val="18"/>
                <w:szCs w:val="18"/>
                <w:color w:val="auto"/>
                <w:w w:val="89"/>
              </w:rPr>
              <w:t>EP1550719</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4"/>
              </w:rPr>
              <w:t>RIB-001.3DED1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0"/>
              </w:rPr>
              <w:t>10066235.8</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10066235.8</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4"/>
              </w:rPr>
              <w:t>RIB-001.3DED2</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0"/>
              </w:rPr>
              <w:t>10066344.3</w:t>
            </w:r>
          </w:p>
        </w:tc>
        <w:tc>
          <w:tcPr>
            <w:tcW w:w="14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91"/>
              <w:spacing w:after="0"/>
              <w:rPr>
                <w:sz w:val="20"/>
                <w:szCs w:val="20"/>
                <w:color w:val="auto"/>
              </w:rPr>
            </w:pPr>
            <w:r>
              <w:rPr>
                <w:rFonts w:ascii="Arial" w:cs="Arial" w:eastAsia="Arial" w:hAnsi="Arial"/>
                <w:sz w:val="18"/>
                <w:szCs w:val="18"/>
                <w:color w:val="auto"/>
                <w:w w:val="94"/>
              </w:rPr>
              <w:t>RIB-001.3DED3</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0"/>
              </w:rPr>
              <w:t>10066382.6</w:t>
            </w:r>
          </w:p>
        </w:tc>
        <w:tc>
          <w:tcPr>
            <w:tcW w:w="14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71"/>
              <w:spacing w:after="0"/>
              <w:rPr>
                <w:sz w:val="20"/>
                <w:szCs w:val="20"/>
                <w:color w:val="auto"/>
              </w:rPr>
            </w:pPr>
            <w:r>
              <w:rPr>
                <w:rFonts w:ascii="Arial" w:cs="Arial" w:eastAsia="Arial" w:hAnsi="Arial"/>
                <w:sz w:val="18"/>
                <w:szCs w:val="18"/>
                <w:color w:val="auto"/>
                <w:w w:val="99"/>
              </w:rPr>
              <w:t>RIB-</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0"/>
              </w:rPr>
              <w:t>20023125.1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DE20023125 U1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RegUtilMode</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jc w:val="center"/>
              <w:ind w:right="71"/>
              <w:spacing w:after="0"/>
              <w:rPr>
                <w:sz w:val="20"/>
                <w:szCs w:val="20"/>
                <w:color w:val="auto"/>
              </w:rPr>
            </w:pPr>
            <w:r>
              <w:rPr>
                <w:rFonts w:ascii="Arial" w:cs="Arial" w:eastAsia="Arial" w:hAnsi="Arial"/>
                <w:sz w:val="18"/>
                <w:szCs w:val="18"/>
                <w:color w:val="auto"/>
                <w:w w:val="95"/>
              </w:rPr>
              <w:t>001.3DEUTM</w:t>
            </w: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71"/>
              <w:spacing w:after="0"/>
              <w:rPr>
                <w:sz w:val="20"/>
                <w:szCs w:val="20"/>
                <w:color w:val="auto"/>
              </w:rPr>
            </w:pPr>
            <w:r>
              <w:rPr>
                <w:rFonts w:ascii="Arial" w:cs="Arial" w:eastAsia="Arial" w:hAnsi="Arial"/>
                <w:sz w:val="18"/>
                <w:szCs w:val="18"/>
                <w:color w:val="auto"/>
                <w:w w:val="96"/>
              </w:rPr>
              <w:t>RIB-001.3DK1</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Denmark</w:t>
            </w:r>
          </w:p>
        </w:tc>
        <w:tc>
          <w:tcPr>
            <w:tcW w:w="1480" w:type="dxa"/>
            <w:vAlign w:val="bottom"/>
          </w:tcPr>
          <w:p>
            <w:pPr>
              <w:ind w:left="300"/>
              <w:spacing w:after="0"/>
              <w:rPr>
                <w:sz w:val="20"/>
                <w:szCs w:val="20"/>
                <w:color w:val="auto"/>
              </w:rPr>
            </w:pPr>
            <w:r>
              <w:rPr>
                <w:rFonts w:ascii="Arial" w:cs="Arial" w:eastAsia="Arial" w:hAnsi="Arial"/>
                <w:sz w:val="18"/>
                <w:szCs w:val="18"/>
                <w:color w:val="auto"/>
              </w:rPr>
              <w:t>EP 02003683</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400" w:type="dxa"/>
            <w:vAlign w:val="bottom"/>
          </w:tcPr>
          <w:p>
            <w:pPr>
              <w:jc w:val="center"/>
              <w:ind w:right="71"/>
              <w:spacing w:after="0"/>
              <w:rPr>
                <w:sz w:val="20"/>
                <w:szCs w:val="20"/>
                <w:color w:val="auto"/>
              </w:rPr>
            </w:pPr>
            <w:r>
              <w:rPr>
                <w:rFonts w:ascii="Arial" w:cs="Arial" w:eastAsia="Arial" w:hAnsi="Arial"/>
                <w:sz w:val="18"/>
                <w:szCs w:val="18"/>
                <w:color w:val="auto"/>
                <w:w w:val="96"/>
              </w:rPr>
              <w:t>RIB-001.3DK2</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Denmark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420" w:type="dxa"/>
            <w:vAlign w:val="bottom"/>
          </w:tcPr>
          <w:p>
            <w:pPr>
              <w:jc w:val="center"/>
              <w:ind w:right="11"/>
              <w:spacing w:after="0"/>
              <w:rPr>
                <w:sz w:val="20"/>
                <w:szCs w:val="20"/>
                <w:color w:val="auto"/>
              </w:rPr>
            </w:pPr>
            <w:r>
              <w:rPr>
                <w:rFonts w:ascii="Arial" w:cs="Arial" w:eastAsia="Arial" w:hAnsi="Arial"/>
                <w:sz w:val="18"/>
                <w:szCs w:val="18"/>
                <w:color w:val="auto"/>
                <w:w w:val="89"/>
              </w:rPr>
              <w:t>EP1550719</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30"/>
        </w:trPr>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bl>
    <w:p>
      <w:pPr>
        <w:sectPr>
          <w:pgSz w:w="11900" w:h="16838" w:orient="portrait"/>
          <w:cols w:equalWidth="0" w:num="1">
            <w:col w:w="11060"/>
          </w:cols>
          <w:pgMar w:left="320" w:top="545" w:right="51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RIB-001.3EPD1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02003683.6</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1214945</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RIB-001.3EPD2</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05002454.6</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RIB-001.3EPD3</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06025389.5</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RIB-001.3EPD4</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10011217.6</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2"/>
              </w:rPr>
              <w:t>RIB-001.3ES1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1420" w:type="dxa"/>
            <w:vAlign w:val="bottom"/>
          </w:tcPr>
          <w:p>
            <w:pPr>
              <w:ind w:left="22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ES2243608</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2"/>
              </w:rPr>
              <w:t>RIB-001.3ES2</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5"/>
              </w:rPr>
              <w:t>RIB-001.3FI1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Finland</w:t>
            </w:r>
          </w:p>
        </w:tc>
        <w:tc>
          <w:tcPr>
            <w:tcW w:w="1420" w:type="dxa"/>
            <w:vAlign w:val="bottom"/>
          </w:tcPr>
          <w:p>
            <w:pPr>
              <w:ind w:left="220"/>
              <w:spacing w:after="0"/>
              <w:rPr>
                <w:sz w:val="20"/>
                <w:szCs w:val="20"/>
                <w:color w:val="auto"/>
              </w:rPr>
            </w:pPr>
            <w:r>
              <w:rPr>
                <w:rFonts w:ascii="Arial" w:cs="Arial" w:eastAsia="Arial" w:hAnsi="Arial"/>
                <w:sz w:val="18"/>
                <w:szCs w:val="18"/>
                <w:color w:val="auto"/>
              </w:rPr>
              <w:t>EP 02003683</w:t>
            </w:r>
          </w:p>
        </w:tc>
        <w:tc>
          <w:tcPr>
            <w:tcW w:w="1380" w:type="dxa"/>
            <w:vAlign w:val="bottom"/>
          </w:tcPr>
          <w:p>
            <w:pPr>
              <w:ind w:left="80"/>
              <w:spacing w:after="0"/>
              <w:rPr>
                <w:sz w:val="20"/>
                <w:szCs w:val="20"/>
                <w:color w:val="auto"/>
              </w:rPr>
            </w:pPr>
            <w:r>
              <w:rPr>
                <w:rFonts w:ascii="Arial" w:cs="Arial" w:eastAsia="Arial" w:hAnsi="Arial"/>
                <w:sz w:val="18"/>
                <w:szCs w:val="18"/>
                <w:color w:val="auto"/>
              </w:rPr>
              <w:t>EP 1214945 B1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5"/>
              </w:rPr>
              <w:t>RIB-001.3FI2</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Finland</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RIB-001.3FR1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1420" w:type="dxa"/>
            <w:vAlign w:val="bottom"/>
          </w:tcPr>
          <w:p>
            <w:pPr>
              <w:ind w:left="220"/>
              <w:spacing w:after="0"/>
              <w:rPr>
                <w:sz w:val="20"/>
                <w:szCs w:val="20"/>
                <w:color w:val="auto"/>
              </w:rPr>
            </w:pPr>
            <w:r>
              <w:rPr>
                <w:rFonts w:ascii="Arial" w:cs="Arial" w:eastAsia="Arial" w:hAnsi="Arial"/>
                <w:sz w:val="18"/>
                <w:szCs w:val="18"/>
                <w:color w:val="auto"/>
              </w:rPr>
              <w:t>EP 02003683</w:t>
            </w:r>
          </w:p>
        </w:tc>
        <w:tc>
          <w:tcPr>
            <w:tcW w:w="1380" w:type="dxa"/>
            <w:vAlign w:val="bottom"/>
          </w:tcPr>
          <w:p>
            <w:pPr>
              <w:ind w:left="80"/>
              <w:spacing w:after="0"/>
              <w:rPr>
                <w:sz w:val="20"/>
                <w:szCs w:val="20"/>
                <w:color w:val="auto"/>
              </w:rPr>
            </w:pPr>
            <w:r>
              <w:rPr>
                <w:rFonts w:ascii="Arial" w:cs="Arial" w:eastAsia="Arial" w:hAnsi="Arial"/>
                <w:sz w:val="18"/>
                <w:szCs w:val="18"/>
                <w:color w:val="auto"/>
              </w:rPr>
              <w:t>EP 1214945 B1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RIB-001.3FR2</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3"/>
              </w:rPr>
              <w:t>RIB-001.3GB1</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420" w:type="dxa"/>
            <w:vAlign w:val="bottom"/>
          </w:tcPr>
          <w:p>
            <w:pPr>
              <w:ind w:left="22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EP1214945</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3"/>
              </w:rPr>
              <w:t>RIB-001.3GB2</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3"/>
              </w:rPr>
              <w:t>RIB-001.3GR1</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Greece</w:t>
            </w:r>
          </w:p>
        </w:tc>
        <w:tc>
          <w:tcPr>
            <w:tcW w:w="1420" w:type="dxa"/>
            <w:vAlign w:val="bottom"/>
          </w:tcPr>
          <w:p>
            <w:pPr>
              <w:ind w:left="22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3054579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3"/>
              </w:rPr>
              <w:t>RIB-001.3GR2</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Greece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5"/>
              </w:rPr>
              <w:t>RIB-001.3IE</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1420" w:type="dxa"/>
            <w:vAlign w:val="bottom"/>
          </w:tcPr>
          <w:p>
            <w:pPr>
              <w:ind w:left="220"/>
              <w:spacing w:after="0"/>
              <w:rPr>
                <w:sz w:val="20"/>
                <w:szCs w:val="20"/>
                <w:color w:val="auto"/>
              </w:rPr>
            </w:pPr>
            <w:r>
              <w:rPr>
                <w:rFonts w:ascii="Arial" w:cs="Arial" w:eastAsia="Arial" w:hAnsi="Arial"/>
                <w:sz w:val="18"/>
                <w:szCs w:val="18"/>
                <w:color w:val="auto"/>
              </w:rPr>
              <w:t>EP 00910510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1144623 B9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Revoked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4"/>
              </w:rPr>
              <w:t>RIB-001.3IE1</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1420" w:type="dxa"/>
            <w:vAlign w:val="bottom"/>
          </w:tcPr>
          <w:p>
            <w:pPr>
              <w:ind w:left="220"/>
              <w:spacing w:after="0"/>
              <w:rPr>
                <w:sz w:val="20"/>
                <w:szCs w:val="20"/>
                <w:color w:val="auto"/>
              </w:rPr>
            </w:pPr>
            <w:r>
              <w:rPr>
                <w:rFonts w:ascii="Arial" w:cs="Arial" w:eastAsia="Arial" w:hAnsi="Arial"/>
                <w:sz w:val="18"/>
                <w:szCs w:val="18"/>
                <w:color w:val="auto"/>
              </w:rPr>
              <w:t>EP 02003683</w:t>
            </w:r>
          </w:p>
        </w:tc>
        <w:tc>
          <w:tcPr>
            <w:tcW w:w="1380" w:type="dxa"/>
            <w:vAlign w:val="bottom"/>
          </w:tcPr>
          <w:p>
            <w:pPr>
              <w:ind w:left="80"/>
              <w:spacing w:after="0"/>
              <w:rPr>
                <w:sz w:val="20"/>
                <w:szCs w:val="20"/>
                <w:color w:val="auto"/>
              </w:rPr>
            </w:pPr>
            <w:r>
              <w:rPr>
                <w:rFonts w:ascii="Arial" w:cs="Arial" w:eastAsia="Arial" w:hAnsi="Arial"/>
                <w:sz w:val="18"/>
                <w:szCs w:val="18"/>
                <w:color w:val="auto"/>
              </w:rPr>
              <w:t>EP 1214945 B1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4"/>
              </w:rPr>
              <w:t>RIB-001.3IE2</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5"/>
              </w:rPr>
              <w:t>RIB-001.3IT1</w:t>
            </w:r>
          </w:p>
        </w:tc>
        <w:tc>
          <w:tcPr>
            <w:tcW w:w="1340" w:type="dxa"/>
            <w:vAlign w:val="bottom"/>
          </w:tcPr>
          <w:p>
            <w:pPr>
              <w:jc w:val="center"/>
              <w:spacing w:after="0"/>
              <w:rPr>
                <w:sz w:val="20"/>
                <w:szCs w:val="20"/>
                <w:color w:val="auto"/>
              </w:rPr>
            </w:pPr>
            <w:r>
              <w:rPr>
                <w:rFonts w:ascii="Arial" w:cs="Arial" w:eastAsia="Arial" w:hAnsi="Arial"/>
                <w:sz w:val="18"/>
                <w:szCs w:val="18"/>
                <w:color w:val="auto"/>
              </w:rPr>
              <w:t>Italy</w:t>
            </w:r>
          </w:p>
        </w:tc>
        <w:tc>
          <w:tcPr>
            <w:tcW w:w="1420" w:type="dxa"/>
            <w:vAlign w:val="bottom"/>
          </w:tcPr>
          <w:p>
            <w:pPr>
              <w:ind w:left="220"/>
              <w:spacing w:after="0"/>
              <w:rPr>
                <w:sz w:val="20"/>
                <w:szCs w:val="20"/>
                <w:color w:val="auto"/>
              </w:rPr>
            </w:pPr>
            <w:r>
              <w:rPr>
                <w:rFonts w:ascii="Arial" w:cs="Arial" w:eastAsia="Arial" w:hAnsi="Arial"/>
                <w:sz w:val="18"/>
                <w:szCs w:val="18"/>
                <w:color w:val="auto"/>
              </w:rPr>
              <w:t>EP 02003683</w:t>
            </w:r>
          </w:p>
        </w:tc>
        <w:tc>
          <w:tcPr>
            <w:tcW w:w="1380" w:type="dxa"/>
            <w:vAlign w:val="bottom"/>
          </w:tcPr>
          <w:p>
            <w:pPr>
              <w:ind w:left="80"/>
              <w:spacing w:after="0"/>
              <w:rPr>
                <w:sz w:val="20"/>
                <w:szCs w:val="20"/>
                <w:color w:val="auto"/>
              </w:rPr>
            </w:pPr>
            <w:r>
              <w:rPr>
                <w:rFonts w:ascii="Arial" w:cs="Arial" w:eastAsia="Arial" w:hAnsi="Arial"/>
                <w:sz w:val="18"/>
                <w:szCs w:val="18"/>
                <w:color w:val="auto"/>
              </w:rPr>
              <w:t>EP 1214945 B1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5"/>
              </w:rPr>
              <w:t>RIB-001.3IT2</w:t>
            </w:r>
          </w:p>
        </w:tc>
        <w:tc>
          <w:tcPr>
            <w:tcW w:w="1340" w:type="dxa"/>
            <w:vAlign w:val="bottom"/>
          </w:tcPr>
          <w:p>
            <w:pPr>
              <w:jc w:val="center"/>
              <w:spacing w:after="0"/>
              <w:rPr>
                <w:sz w:val="20"/>
                <w:szCs w:val="20"/>
                <w:color w:val="auto"/>
              </w:rPr>
            </w:pPr>
            <w:r>
              <w:rPr>
                <w:rFonts w:ascii="Arial" w:cs="Arial" w:eastAsia="Arial" w:hAnsi="Arial"/>
                <w:sz w:val="18"/>
                <w:szCs w:val="18"/>
                <w:color w:val="auto"/>
              </w:rPr>
              <w:t>Italy</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RIB-001.3JPD10</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2009-285706</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RIB-001.3JPD3</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2007-186341</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Appealed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RIB-001.3JPD4</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2007-186340</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Appealed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30"/>
        </w:trPr>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bl>
    <w:p>
      <w:pPr>
        <w:sectPr>
          <w:pgSz w:w="11900" w:h="16838" w:orient="portrait"/>
          <w:cols w:equalWidth="0" w:num="1">
            <w:col w:w="11060"/>
          </w:cols>
          <w:pgMar w:left="320" w:top="341" w:right="51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2"/>
              </w:rPr>
              <w:t>RIB-001.3JPD5</w:t>
            </w: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2007-186339</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ExamReq</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2"/>
              </w:rPr>
              <w:t>RIB-001.3JPD7</w:t>
            </w: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2009-002825</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2"/>
              </w:rPr>
              <w:t>RIB-001.3JPD9</w:t>
            </w: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2009-285705</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6"/>
              </w:rPr>
              <w:t>RIB-001.3LI1</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Liechtenstein</w:t>
            </w:r>
          </w:p>
        </w:tc>
        <w:tc>
          <w:tcPr>
            <w:tcW w:w="148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6"/>
              </w:rPr>
              <w:t>RIB-001.3LI2</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Liechtenstein</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6"/>
              </w:rPr>
              <w:t>RIB-001.3LU1</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148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6"/>
              </w:rPr>
              <w:t>RIB-001.3LU2</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5"/>
              </w:rPr>
              <w:t>RIB-001.3MC1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Monaco</w:t>
            </w:r>
          </w:p>
        </w:tc>
        <w:tc>
          <w:tcPr>
            <w:tcW w:w="148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5"/>
              </w:rPr>
              <w:t>RIB-001.3MC2</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Monaco</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6"/>
              </w:rPr>
              <w:t>RIB-001.3NL1</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148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6"/>
              </w:rPr>
              <w:t>RIB-001.3NL2</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2"/>
              </w:rPr>
              <w:t>RIB-001.3PT1</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Portugal</w:t>
            </w:r>
          </w:p>
        </w:tc>
        <w:tc>
          <w:tcPr>
            <w:tcW w:w="148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2"/>
              </w:rPr>
              <w:t>RIB-001.3PT2</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Portugal</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2"/>
              </w:rPr>
              <w:t>RIB-001.3SE1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Sweden</w:t>
            </w:r>
          </w:p>
        </w:tc>
        <w:tc>
          <w:tcPr>
            <w:tcW w:w="1480" w:type="dxa"/>
            <w:vAlign w:val="bottom"/>
          </w:tcPr>
          <w:p>
            <w:pPr>
              <w:ind w:left="280"/>
              <w:spacing w:after="0"/>
              <w:rPr>
                <w:sz w:val="20"/>
                <w:szCs w:val="20"/>
                <w:color w:val="auto"/>
              </w:rPr>
            </w:pPr>
            <w:r>
              <w:rPr>
                <w:rFonts w:ascii="Arial" w:cs="Arial" w:eastAsia="Arial" w:hAnsi="Arial"/>
                <w:sz w:val="18"/>
                <w:szCs w:val="18"/>
                <w:color w:val="auto"/>
              </w:rPr>
              <w:t>EP 02003683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EP 1214945 B1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2"/>
              </w:rPr>
              <w:t>RIB-001.3SE2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Sweden</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05002454.6-2107</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EP1550719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RIB-</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11/982325</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001.3USCON1</w:t>
            </w: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RIB-</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11/982305</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001.3USCON2</w:t>
            </w: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RIB-</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11/982425</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001.3USCON3</w:t>
            </w: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RIB-</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11/982441</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001.3USCON4</w:t>
            </w: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RIB-</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11/982345</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001.3USCON5</w:t>
            </w: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RIB-</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11/982434</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001.3USCON6</w:t>
            </w: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60" w:type="dxa"/>
            <w:vAlign w:val="bottom"/>
          </w:tcPr>
          <w:p>
            <w:pPr>
              <w:jc w:val="center"/>
              <w:ind w:right="50"/>
              <w:spacing w:after="0"/>
              <w:rPr>
                <w:sz w:val="20"/>
                <w:szCs w:val="20"/>
                <w:color w:val="auto"/>
              </w:rPr>
            </w:pPr>
            <w:r>
              <w:rPr>
                <w:rFonts w:ascii="Arial" w:cs="Arial" w:eastAsia="Arial" w:hAnsi="Arial"/>
                <w:sz w:val="18"/>
                <w:szCs w:val="18"/>
                <w:color w:val="auto"/>
                <w:w w:val="94"/>
              </w:rPr>
              <w:t>RIB-001.3USD1</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10/382395</w:t>
            </w:r>
          </w:p>
        </w:tc>
        <w:tc>
          <w:tcPr>
            <w:tcW w:w="1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380" w:type="dxa"/>
            <w:vAlign w:val="bottom"/>
          </w:tcPr>
          <w:p>
            <w:pPr>
              <w:ind w:left="100"/>
              <w:spacing w:after="0"/>
              <w:rPr>
                <w:sz w:val="20"/>
                <w:szCs w:val="20"/>
                <w:color w:val="auto"/>
              </w:rPr>
            </w:pPr>
            <w:r>
              <w:rPr>
                <w:rFonts w:ascii="Arial" w:cs="Arial" w:eastAsia="Arial" w:hAnsi="Arial"/>
                <w:sz w:val="18"/>
                <w:szCs w:val="18"/>
                <w:color w:val="auto"/>
                <w:w w:val="98"/>
              </w:rPr>
              <w:t>METHOD AND MEDICAMENT FOR INHIBITION THE</w:t>
            </w:r>
          </w:p>
        </w:tc>
      </w:tr>
      <w:tr>
        <w:trPr>
          <w:trHeight w:val="230"/>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bl>
    <w:p>
      <w:pPr>
        <w:sectPr>
          <w:pgSz w:w="11900" w:h="16838" w:orient="portrait"/>
          <w:cols w:equalWidth="0" w:num="1">
            <w:col w:w="11060"/>
          </w:cols>
          <w:pgMar w:left="320" w:top="341" w:right="51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RIB-001.3USD2</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10/383099</w:t>
            </w:r>
          </w:p>
        </w:tc>
        <w:tc>
          <w:tcPr>
            <w:tcW w:w="14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480" w:type="dxa"/>
            <w:vAlign w:val="bottom"/>
          </w:tcPr>
          <w:p>
            <w:pPr>
              <w:ind w:left="100"/>
              <w:spacing w:after="0"/>
              <w:rPr>
                <w:sz w:val="20"/>
                <w:szCs w:val="20"/>
                <w:color w:val="auto"/>
              </w:rPr>
            </w:pPr>
            <w:r>
              <w:rPr>
                <w:rFonts w:ascii="Arial" w:cs="Arial" w:eastAsia="Arial" w:hAnsi="Arial"/>
                <w:sz w:val="18"/>
                <w:szCs w:val="18"/>
                <w:color w:val="auto"/>
              </w:rPr>
              <w:t>METHOD AND MEDICAMENT FOR INHIBITION THE</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RIB-001.3USD3</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10/382768</w:t>
            </w:r>
          </w:p>
        </w:tc>
        <w:tc>
          <w:tcPr>
            <w:tcW w:w="14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480" w:type="dxa"/>
            <w:vAlign w:val="bottom"/>
          </w:tcPr>
          <w:p>
            <w:pPr>
              <w:ind w:left="100"/>
              <w:spacing w:after="0"/>
              <w:rPr>
                <w:sz w:val="20"/>
                <w:szCs w:val="20"/>
                <w:color w:val="auto"/>
              </w:rPr>
            </w:pPr>
            <w:r>
              <w:rPr>
                <w:rFonts w:ascii="Arial" w:cs="Arial" w:eastAsia="Arial" w:hAnsi="Arial"/>
                <w:sz w:val="18"/>
                <w:szCs w:val="18"/>
                <w:color w:val="auto"/>
              </w:rPr>
              <w:t>METHOD AND MEDICAMENT FOR INHIBITION THE</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RIB-001.3USD4</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10/612179</w:t>
            </w:r>
          </w:p>
        </w:tc>
        <w:tc>
          <w:tcPr>
            <w:tcW w:w="14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480" w:type="dxa"/>
            <w:vAlign w:val="bottom"/>
          </w:tcPr>
          <w:p>
            <w:pPr>
              <w:ind w:left="100"/>
              <w:spacing w:after="0"/>
              <w:rPr>
                <w:sz w:val="20"/>
                <w:szCs w:val="20"/>
                <w:color w:val="auto"/>
              </w:rPr>
            </w:pPr>
            <w:r>
              <w:rPr>
                <w:rFonts w:ascii="Arial" w:cs="Arial" w:eastAsia="Arial" w:hAnsi="Arial"/>
                <w:sz w:val="18"/>
                <w:szCs w:val="18"/>
                <w:color w:val="auto"/>
              </w:rPr>
              <w:t>METHOD AND MEDICAMENT FOR INHIBITION THE</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RIB-001.3WO</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PCT/DE00/00244</w:t>
            </w:r>
          </w:p>
        </w:tc>
        <w:tc>
          <w:tcPr>
            <w:tcW w:w="14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CompletedNt</w:t>
            </w:r>
          </w:p>
        </w:tc>
        <w:tc>
          <w:tcPr>
            <w:tcW w:w="4480" w:type="dxa"/>
            <w:vAlign w:val="bottom"/>
          </w:tcPr>
          <w:p>
            <w:pPr>
              <w:ind w:left="100"/>
              <w:spacing w:after="0"/>
              <w:rPr>
                <w:sz w:val="20"/>
                <w:szCs w:val="20"/>
                <w:color w:val="auto"/>
              </w:rPr>
            </w:pPr>
            <w:r>
              <w:rPr>
                <w:rFonts w:ascii="Arial" w:cs="Arial" w:eastAsia="Arial" w:hAnsi="Arial"/>
                <w:sz w:val="18"/>
                <w:szCs w:val="18"/>
                <w:color w:val="auto"/>
              </w:rPr>
              <w:t>METHOD AND MEDICAMENT FOR INHIBITION THE</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6"/>
              </w:rPr>
              <w:t>RIB-001.3ZA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South Africa</w:t>
            </w:r>
          </w:p>
        </w:tc>
        <w:tc>
          <w:tcPr>
            <w:tcW w:w="1400" w:type="dxa"/>
            <w:vAlign w:val="bottom"/>
          </w:tcPr>
          <w:p>
            <w:pPr>
              <w:ind w:left="200"/>
              <w:spacing w:after="0"/>
              <w:rPr>
                <w:sz w:val="20"/>
                <w:szCs w:val="20"/>
                <w:color w:val="auto"/>
              </w:rPr>
            </w:pPr>
            <w:r>
              <w:rPr>
                <w:rFonts w:ascii="Arial" w:cs="Arial" w:eastAsia="Arial" w:hAnsi="Arial"/>
                <w:sz w:val="18"/>
                <w:szCs w:val="18"/>
                <w:color w:val="auto"/>
              </w:rPr>
              <w:t>ZA 20015909</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2001/5909</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80" w:type="dxa"/>
            <w:vAlign w:val="bottom"/>
          </w:tcPr>
          <w:p>
            <w:pPr>
              <w:ind w:left="100"/>
              <w:spacing w:after="0"/>
              <w:rPr>
                <w:sz w:val="20"/>
                <w:szCs w:val="20"/>
                <w:color w:val="auto"/>
              </w:rPr>
            </w:pPr>
            <w:r>
              <w:rPr>
                <w:rFonts w:ascii="Arial" w:cs="Arial" w:eastAsia="Arial" w:hAnsi="Arial"/>
                <w:sz w:val="18"/>
                <w:szCs w:val="18"/>
                <w:color w:val="auto"/>
              </w:rPr>
              <w:t>METHOD AND MEDICAMENT FOR INHIBITION THE</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DEFINED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RIB-002.1DE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10100586.5-09</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DE10100586 C1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80" w:type="dxa"/>
            <w:vAlign w:val="bottom"/>
          </w:tcPr>
          <w:p>
            <w:pPr>
              <w:ind w:left="100"/>
              <w:spacing w:after="0"/>
              <w:rPr>
                <w:sz w:val="20"/>
                <w:szCs w:val="20"/>
                <w:color w:val="auto"/>
              </w:rPr>
            </w:pPr>
            <w:r>
              <w:rPr>
                <w:rFonts w:ascii="Arial" w:cs="Arial" w:eastAsia="Arial" w:hAnsi="Arial"/>
                <w:sz w:val="18"/>
                <w:szCs w:val="18"/>
                <w:color w:val="auto"/>
                <w:w w:val="99"/>
              </w:rPr>
              <w:t>INHIBITING GENE EXPRESSION IN CELLS, USEFUL</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FOR e.g., TREATING TUMORS, BY INTRODUCING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w w:val="97"/>
              </w:rPr>
              <w:t>DOUBLE-STRANDED COMPLEMENTARY OLIGORNA</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HAVING</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RIB-002.4</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12/894018</w:t>
            </w:r>
          </w:p>
        </w:tc>
        <w:tc>
          <w:tcPr>
            <w:tcW w:w="14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RIB-002.4AT</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Austria</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02710786.1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E328.075</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6"/>
              </w:rPr>
              <w:t>RIB-002.4AU</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2002229701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2002229701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5"/>
              </w:rPr>
              <w:t>RIB-002.4CH</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02710786.1</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1352061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6"/>
              </w:rPr>
              <w:t>RIB-002.4CY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Cyprus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02710786.1</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1352061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RIB-002.4DE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50206993.7-08</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1352061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RIB-002.4EP</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02710786.1</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1352061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5"/>
              </w:rPr>
              <w:t>RIB-002.4GB</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400" w:type="dxa"/>
            <w:vAlign w:val="bottom"/>
          </w:tcPr>
          <w:p>
            <w:pPr>
              <w:ind w:left="220"/>
              <w:spacing w:after="0"/>
              <w:rPr>
                <w:sz w:val="20"/>
                <w:szCs w:val="20"/>
                <w:color w:val="auto"/>
              </w:rPr>
            </w:pPr>
            <w:r>
              <w:rPr>
                <w:rFonts w:ascii="Arial" w:cs="Arial" w:eastAsia="Arial" w:hAnsi="Arial"/>
                <w:sz w:val="18"/>
                <w:szCs w:val="18"/>
                <w:color w:val="auto"/>
              </w:rPr>
              <w:t>EP 02710786</w:t>
            </w:r>
          </w:p>
        </w:tc>
        <w:tc>
          <w:tcPr>
            <w:tcW w:w="1420" w:type="dxa"/>
            <w:vAlign w:val="bottom"/>
          </w:tcPr>
          <w:p>
            <w:pPr>
              <w:ind w:left="220"/>
              <w:spacing w:after="0"/>
              <w:rPr>
                <w:sz w:val="20"/>
                <w:szCs w:val="20"/>
                <w:color w:val="auto"/>
              </w:rPr>
            </w:pPr>
            <w:r>
              <w:rPr>
                <w:rFonts w:ascii="Arial" w:cs="Arial" w:eastAsia="Arial" w:hAnsi="Arial"/>
                <w:sz w:val="18"/>
                <w:szCs w:val="18"/>
                <w:color w:val="auto"/>
              </w:rPr>
              <w:t>EP 1352061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5"/>
              </w:rPr>
              <w:t>RIB-002.4IE</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02710786.1</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1352061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RIB-002.4JP</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2002-556740</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4210116</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RIB-002.4JPD1</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2002-556739</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4209678</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7"/>
              </w:rPr>
              <w:t>RIB-002.4LI</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Liechtenstein</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02710786.1</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1352061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6"/>
              </w:rPr>
              <w:t>RIB-002.4LU</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02710786.1</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1352061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5"/>
              </w:rPr>
              <w:t>RIB-002.4TR</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Turkey</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02710786.1</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1352061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RIB-002.4US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10/384,339</w:t>
            </w:r>
          </w:p>
        </w:tc>
        <w:tc>
          <w:tcPr>
            <w:tcW w:w="1420" w:type="dxa"/>
            <w:vAlign w:val="bottom"/>
          </w:tcPr>
          <w:p>
            <w:pPr>
              <w:jc w:val="center"/>
              <w:ind w:right="10"/>
              <w:spacing w:after="0"/>
              <w:rPr>
                <w:sz w:val="20"/>
                <w:szCs w:val="20"/>
                <w:color w:val="auto"/>
              </w:rPr>
            </w:pPr>
            <w:r>
              <w:rPr>
                <w:rFonts w:ascii="Arial" w:cs="Arial" w:eastAsia="Arial" w:hAnsi="Arial"/>
                <w:sz w:val="18"/>
                <w:szCs w:val="18"/>
                <w:color w:val="auto"/>
                <w:w w:val="89"/>
              </w:rPr>
              <w:t>7,829,693</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Issued</w:t>
            </w:r>
          </w:p>
        </w:tc>
        <w:tc>
          <w:tcPr>
            <w:tcW w:w="448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30"/>
        </w:trPr>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bl>
    <w:p>
      <w:pPr>
        <w:sectPr>
          <w:pgSz w:w="11900" w:h="16838" w:orient="portrait"/>
          <w:cols w:equalWidth="0" w:num="1">
            <w:col w:w="11160"/>
          </w:cols>
          <w:pgMar w:left="320" w:top="341" w:right="41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4"/>
              </w:rPr>
              <w:t>RIB-002.4WO</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PCT/EP02/00152</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CompletedNt</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 TARGET GENE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4"/>
              </w:rPr>
              <w:t>RIB-006.1DE</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2780" w:type="dxa"/>
            <w:vAlign w:val="bottom"/>
            <w:gridSpan w:val="2"/>
          </w:tcPr>
          <w:p>
            <w:pPr>
              <w:ind w:left="240"/>
              <w:spacing w:after="0"/>
              <w:rPr>
                <w:sz w:val="20"/>
                <w:szCs w:val="20"/>
                <w:color w:val="auto"/>
              </w:rPr>
            </w:pPr>
            <w:r>
              <w:rPr>
                <w:rFonts w:ascii="Arial" w:cs="Arial" w:eastAsia="Arial" w:hAnsi="Arial"/>
                <w:sz w:val="18"/>
                <w:szCs w:val="18"/>
                <w:color w:val="auto"/>
                <w:w w:val="90"/>
              </w:rPr>
              <w:t>02702247.4-50214866.9-08</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2405/1349</w:t>
            </w: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3"/>
              </w:rPr>
              <w:t>RIB-006.1EP</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02702247.4</w:t>
            </w: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EP1349927</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3"/>
              </w:rPr>
              <w:t>RIB-006.1EPD1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10002422.3</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3"/>
              </w:rPr>
              <w:t>RIB-006.1EPD2</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00" w:type="dxa"/>
            <w:vAlign w:val="bottom"/>
          </w:tcPr>
          <w:p>
            <w:pPr>
              <w:jc w:val="center"/>
              <w:ind w:right="13"/>
              <w:spacing w:after="0"/>
              <w:rPr>
                <w:sz w:val="20"/>
                <w:szCs w:val="20"/>
                <w:color w:val="auto"/>
              </w:rPr>
            </w:pPr>
            <w:r>
              <w:rPr>
                <w:rFonts w:ascii="Arial" w:cs="Arial" w:eastAsia="Arial" w:hAnsi="Arial"/>
                <w:sz w:val="18"/>
                <w:szCs w:val="18"/>
                <w:color w:val="auto"/>
                <w:w w:val="88"/>
              </w:rPr>
              <w:t>10011812.4</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3"/>
              </w:rPr>
              <w:t>RIB-006.1ES</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1500" w:type="dxa"/>
            <w:vAlign w:val="bottom"/>
          </w:tcPr>
          <w:p>
            <w:pPr>
              <w:jc w:val="center"/>
              <w:ind w:right="13"/>
              <w:spacing w:after="0"/>
              <w:rPr>
                <w:sz w:val="20"/>
                <w:szCs w:val="20"/>
                <w:color w:val="auto"/>
              </w:rPr>
            </w:pPr>
            <w:r>
              <w:rPr>
                <w:rFonts w:ascii="Arial" w:cs="Arial" w:eastAsia="Arial" w:hAnsi="Arial"/>
                <w:sz w:val="18"/>
                <w:szCs w:val="18"/>
                <w:color w:val="auto"/>
                <w:w w:val="89"/>
              </w:rPr>
              <w:t>02702247</w:t>
            </w: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ES2204360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3"/>
              </w:rPr>
              <w:t>RIB-006.1FR</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1500" w:type="dxa"/>
            <w:vAlign w:val="bottom"/>
          </w:tcPr>
          <w:p>
            <w:pPr>
              <w:ind w:left="220"/>
              <w:spacing w:after="0"/>
              <w:rPr>
                <w:sz w:val="20"/>
                <w:szCs w:val="20"/>
                <w:color w:val="auto"/>
              </w:rPr>
            </w:pPr>
            <w:r>
              <w:rPr>
                <w:rFonts w:ascii="Arial" w:cs="Arial" w:eastAsia="Arial" w:hAnsi="Arial"/>
                <w:sz w:val="18"/>
                <w:szCs w:val="18"/>
                <w:color w:val="auto"/>
              </w:rPr>
              <w:t>EP 02702247</w:t>
            </w: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EP1349927</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5"/>
              </w:rPr>
              <w:t>RIB-006.1GB</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500" w:type="dxa"/>
            <w:vAlign w:val="bottom"/>
          </w:tcPr>
          <w:p>
            <w:pPr>
              <w:jc w:val="center"/>
              <w:ind w:right="13"/>
              <w:spacing w:after="0"/>
              <w:rPr>
                <w:sz w:val="20"/>
                <w:szCs w:val="20"/>
                <w:color w:val="auto"/>
              </w:rPr>
            </w:pPr>
            <w:r>
              <w:rPr>
                <w:rFonts w:ascii="Arial" w:cs="Arial" w:eastAsia="Arial" w:hAnsi="Arial"/>
                <w:sz w:val="18"/>
                <w:szCs w:val="18"/>
                <w:color w:val="auto"/>
                <w:w w:val="90"/>
              </w:rPr>
              <w:t>02702247.4-</w:t>
            </w: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EP1349927</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2405/1349</w:t>
            </w: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6"/>
              </w:rPr>
              <w:t>RIB-006.1HKD1</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500" w:type="dxa"/>
            <w:vAlign w:val="bottom"/>
          </w:tcPr>
          <w:p>
            <w:pPr>
              <w:jc w:val="center"/>
              <w:ind w:right="13"/>
              <w:spacing w:after="0"/>
              <w:rPr>
                <w:sz w:val="20"/>
                <w:szCs w:val="20"/>
                <w:color w:val="auto"/>
              </w:rPr>
            </w:pPr>
            <w:r>
              <w:rPr>
                <w:rFonts w:ascii="Arial" w:cs="Arial" w:eastAsia="Arial" w:hAnsi="Arial"/>
                <w:sz w:val="18"/>
                <w:szCs w:val="18"/>
                <w:color w:val="auto"/>
                <w:w w:val="88"/>
              </w:rPr>
              <w:t>11100629.6</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6"/>
              </w:rPr>
              <w:t>RIB-006.1HKD2</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11111936.1</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6"/>
              </w:rPr>
              <w:t>RIB-006.1NL</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1500" w:type="dxa"/>
            <w:vAlign w:val="bottom"/>
          </w:tcPr>
          <w:p>
            <w:pPr>
              <w:ind w:left="220"/>
              <w:spacing w:after="0"/>
              <w:rPr>
                <w:sz w:val="20"/>
                <w:szCs w:val="20"/>
                <w:color w:val="auto"/>
              </w:rPr>
            </w:pPr>
            <w:r>
              <w:rPr>
                <w:rFonts w:ascii="Arial" w:cs="Arial" w:eastAsia="Arial" w:hAnsi="Arial"/>
                <w:sz w:val="18"/>
                <w:szCs w:val="18"/>
                <w:color w:val="auto"/>
              </w:rPr>
              <w:t>EP 02702247</w:t>
            </w: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EP1349927</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4"/>
              </w:rPr>
              <w:t>RIB-006.1WO</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PCT/EP02/00151</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CompletedNt</w:t>
            </w:r>
          </w:p>
        </w:tc>
        <w:tc>
          <w:tcPr>
            <w:tcW w:w="4520" w:type="dxa"/>
            <w:vAlign w:val="bottom"/>
          </w:tcPr>
          <w:p>
            <w:pPr>
              <w:ind w:left="100"/>
              <w:spacing w:after="0"/>
              <w:rPr>
                <w:sz w:val="20"/>
                <w:szCs w:val="20"/>
                <w:color w:val="auto"/>
              </w:rPr>
            </w:pPr>
            <w:r>
              <w:rPr>
                <w:rFonts w:ascii="Arial" w:cs="Arial" w:eastAsia="Arial" w:hAnsi="Arial"/>
                <w:sz w:val="18"/>
                <w:szCs w:val="18"/>
                <w:color w:val="auto"/>
              </w:rPr>
              <w:t>METHOD FOR INHIBITING THE EXPRESSION OF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w w:val="96"/>
              </w:rPr>
              <w:t>TARGET GENE AND MEDICAMENT FOR TREATING A</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TUMOR DISEASE</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4"/>
              </w:rPr>
              <w:t>RIB-006.2US</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10/384,260</w:t>
            </w: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7,473,525</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Issued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4"/>
              </w:rPr>
              <w:t>RIB-006.2US</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12/276,270</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6"/>
              </w:rPr>
              <w:t>RIB-006.4AU</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2005284729</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6"/>
              </w:rPr>
              <w:t>RIB-006.4CA</w:t>
            </w:r>
          </w:p>
        </w:tc>
        <w:tc>
          <w:tcPr>
            <w:tcW w:w="132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2580560</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3"/>
              </w:rPr>
              <w:t>RIB-006.4EP</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05797892.6</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3"/>
              </w:rPr>
              <w:t>RIB-006.4EPD1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500" w:type="dxa"/>
            <w:vAlign w:val="bottom"/>
          </w:tcPr>
          <w:p>
            <w:pPr>
              <w:jc w:val="center"/>
              <w:ind w:right="13"/>
              <w:spacing w:after="0"/>
              <w:rPr>
                <w:sz w:val="20"/>
                <w:szCs w:val="20"/>
                <w:color w:val="auto"/>
              </w:rPr>
            </w:pPr>
            <w:r>
              <w:rPr>
                <w:rFonts w:ascii="Arial" w:cs="Arial" w:eastAsia="Arial" w:hAnsi="Arial"/>
                <w:sz w:val="18"/>
                <w:szCs w:val="18"/>
                <w:color w:val="auto"/>
                <w:w w:val="88"/>
              </w:rPr>
              <w:t>11004902.0</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6"/>
              </w:rPr>
              <w:t>RIB-006.4HK</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500" w:type="dxa"/>
            <w:vAlign w:val="bottom"/>
          </w:tcPr>
          <w:p>
            <w:pPr>
              <w:jc w:val="center"/>
              <w:ind w:right="13"/>
              <w:spacing w:after="0"/>
              <w:rPr>
                <w:sz w:val="20"/>
                <w:szCs w:val="20"/>
                <w:color w:val="auto"/>
              </w:rPr>
            </w:pPr>
            <w:r>
              <w:rPr>
                <w:rFonts w:ascii="Arial" w:cs="Arial" w:eastAsia="Arial" w:hAnsi="Arial"/>
                <w:sz w:val="18"/>
                <w:szCs w:val="18"/>
                <w:color w:val="auto"/>
                <w:w w:val="88"/>
              </w:rPr>
              <w:t>07114036.0</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4"/>
              </w:rPr>
              <w:t>RIB-006.4US</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10/941663</w:t>
            </w: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88"/>
              </w:rPr>
              <w:t>7767802</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Issued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3"/>
              </w:rPr>
              <w:t>RIB-006.4USCIP2</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00" w:type="dxa"/>
            <w:vAlign w:val="bottom"/>
          </w:tcPr>
          <w:p>
            <w:pPr>
              <w:jc w:val="center"/>
              <w:ind w:right="13"/>
              <w:spacing w:after="0"/>
              <w:rPr>
                <w:sz w:val="20"/>
                <w:szCs w:val="20"/>
                <w:color w:val="auto"/>
              </w:rPr>
            </w:pPr>
            <w:r>
              <w:rPr>
                <w:rFonts w:ascii="Arial" w:cs="Arial" w:eastAsia="Arial" w:hAnsi="Arial"/>
                <w:sz w:val="18"/>
                <w:szCs w:val="18"/>
                <w:color w:val="auto"/>
                <w:w w:val="89"/>
              </w:rPr>
              <w:t>11/229183</w:t>
            </w: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88"/>
              </w:rPr>
              <w:t>7423142</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Issued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99"/>
              </w:rPr>
              <w:t>RIB-</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12/961337</w:t>
            </w:r>
          </w:p>
        </w:tc>
        <w:tc>
          <w:tcPr>
            <w:tcW w:w="1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5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30"/>
        </w:trPr>
        <w:tc>
          <w:tcPr>
            <w:tcW w:w="1400" w:type="dxa"/>
            <w:vAlign w:val="bottom"/>
          </w:tcPr>
          <w:p>
            <w:pPr>
              <w:jc w:val="center"/>
              <w:spacing w:after="0"/>
              <w:rPr>
                <w:sz w:val="20"/>
                <w:szCs w:val="20"/>
                <w:color w:val="auto"/>
              </w:rPr>
            </w:pPr>
            <w:r>
              <w:rPr>
                <w:rFonts w:ascii="Arial" w:cs="Arial" w:eastAsia="Arial" w:hAnsi="Arial"/>
                <w:sz w:val="18"/>
                <w:szCs w:val="18"/>
                <w:color w:val="auto"/>
                <w:w w:val="91"/>
              </w:rPr>
              <w:t>006.4USCON2</w:t>
            </w:r>
          </w:p>
        </w:tc>
        <w:tc>
          <w:tcPr>
            <w:tcW w:w="1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bl>
    <w:p>
      <w:pPr>
        <w:sectPr>
          <w:pgSz w:w="11900" w:h="16838" w:orient="portrait"/>
          <w:cols w:equalWidth="0" w:num="1">
            <w:col w:w="11260"/>
          </w:cols>
          <w:pgMar w:left="260" w:top="341" w:right="37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RIB-006.4USD1</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0"/>
              </w:rPr>
              <w:t>12/175,938</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7,868,160</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6"/>
              </w:rPr>
              <w:t>Issued</w:t>
            </w:r>
          </w:p>
        </w:tc>
        <w:tc>
          <w:tcPr>
            <w:tcW w:w="46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RIB-006.4WO</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2"/>
              </w:rPr>
              <w:t>PCT/US2005/033</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3"/>
              </w:rPr>
              <w:t>CompletedNt</w:t>
            </w:r>
          </w:p>
        </w:tc>
        <w:tc>
          <w:tcPr>
            <w:tcW w:w="4620" w:type="dxa"/>
            <w:vAlign w:val="bottom"/>
          </w:tcPr>
          <w:p>
            <w:pPr>
              <w:ind w:left="100"/>
              <w:spacing w:after="0"/>
              <w:rPr>
                <w:sz w:val="20"/>
                <w:szCs w:val="20"/>
                <w:color w:val="auto"/>
              </w:rPr>
            </w:pPr>
            <w:r>
              <w:rPr>
                <w:rFonts w:ascii="Arial" w:cs="Arial" w:eastAsia="Arial" w:hAnsi="Arial"/>
                <w:sz w:val="18"/>
                <w:szCs w:val="18"/>
                <w:color w:val="auto"/>
              </w:rPr>
              <w:t>COMPOSITIONS AND METHODS FOR INHIBITING</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86"/>
              </w:rPr>
              <w:t>309</w:t>
            </w: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EXPRESSION OF ANTI- APOPTOTIC GENES</w:t>
            </w:r>
          </w:p>
        </w:tc>
      </w:tr>
      <w:tr>
        <w:trPr>
          <w:trHeight w:val="216"/>
        </w:trPr>
        <w:tc>
          <w:tcPr>
            <w:tcW w:w="1560" w:type="dxa"/>
            <w:vAlign w:val="bottom"/>
          </w:tcPr>
          <w:p>
            <w:pPr>
              <w:jc w:val="center"/>
              <w:ind w:right="70"/>
              <w:spacing w:after="0"/>
              <w:rPr>
                <w:sz w:val="20"/>
                <w:szCs w:val="20"/>
                <w:color w:val="auto"/>
              </w:rPr>
            </w:pPr>
            <w:r>
              <w:rPr>
                <w:rFonts w:ascii="Arial" w:cs="Arial" w:eastAsia="Arial" w:hAnsi="Arial"/>
                <w:sz w:val="18"/>
                <w:szCs w:val="18"/>
                <w:color w:val="auto"/>
                <w:w w:val="94"/>
              </w:rPr>
              <w:t>RIB-008.2DE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600" w:type="dxa"/>
            <w:vAlign w:val="bottom"/>
          </w:tcPr>
          <w:p>
            <w:pPr>
              <w:ind w:left="340"/>
              <w:spacing w:after="0"/>
              <w:rPr>
                <w:sz w:val="20"/>
                <w:szCs w:val="20"/>
                <w:color w:val="auto"/>
              </w:rPr>
            </w:pPr>
            <w:r>
              <w:rPr>
                <w:rFonts w:ascii="Arial" w:cs="Arial" w:eastAsia="Arial" w:hAnsi="Arial"/>
                <w:sz w:val="18"/>
                <w:szCs w:val="18"/>
                <w:color w:val="auto"/>
              </w:rPr>
              <w:t>DE 10163098</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DE10163098</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Granted</w:t>
            </w:r>
          </w:p>
        </w:tc>
        <w:tc>
          <w:tcPr>
            <w:tcW w:w="4620" w:type="dxa"/>
            <w:vAlign w:val="bottom"/>
          </w:tcPr>
          <w:p>
            <w:pPr>
              <w:ind w:left="100"/>
              <w:spacing w:after="0"/>
              <w:rPr>
                <w:sz w:val="20"/>
                <w:szCs w:val="20"/>
                <w:color w:val="auto"/>
              </w:rPr>
            </w:pPr>
            <w:r>
              <w:rPr>
                <w:rFonts w:ascii="Arial" w:cs="Arial" w:eastAsia="Arial" w:hAnsi="Arial"/>
                <w:sz w:val="18"/>
                <w:szCs w:val="18"/>
                <w:color w:val="auto"/>
              </w:rPr>
              <w:t>METHOD FOR INHIBITING THE REPLICATION OF</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VIRUSES</w:t>
            </w:r>
          </w:p>
        </w:tc>
      </w:tr>
      <w:tr>
        <w:trPr>
          <w:trHeight w:val="216"/>
        </w:trPr>
        <w:tc>
          <w:tcPr>
            <w:tcW w:w="1560" w:type="dxa"/>
            <w:vAlign w:val="bottom"/>
          </w:tcPr>
          <w:p>
            <w:pPr>
              <w:jc w:val="center"/>
              <w:ind w:right="70"/>
              <w:spacing w:after="0"/>
              <w:rPr>
                <w:sz w:val="20"/>
                <w:szCs w:val="20"/>
                <w:color w:val="auto"/>
              </w:rPr>
            </w:pPr>
            <w:r>
              <w:rPr>
                <w:rFonts w:ascii="Arial" w:cs="Arial" w:eastAsia="Arial" w:hAnsi="Arial"/>
                <w:sz w:val="18"/>
                <w:szCs w:val="18"/>
                <w:color w:val="auto"/>
                <w:w w:val="94"/>
              </w:rPr>
              <w:t>RIB-008.3USCIP</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0"/>
              </w:rPr>
              <w:t>10/384,512</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7,348,314</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6"/>
              </w:rPr>
              <w:t>Issued</w:t>
            </w:r>
          </w:p>
        </w:tc>
        <w:tc>
          <w:tcPr>
            <w:tcW w:w="4620" w:type="dxa"/>
            <w:vAlign w:val="bottom"/>
          </w:tcPr>
          <w:p>
            <w:pPr>
              <w:ind w:left="100"/>
              <w:spacing w:after="0"/>
              <w:rPr>
                <w:sz w:val="20"/>
                <w:szCs w:val="20"/>
                <w:color w:val="auto"/>
              </w:rPr>
            </w:pPr>
            <w:r>
              <w:rPr>
                <w:rFonts w:ascii="Arial" w:cs="Arial" w:eastAsia="Arial" w:hAnsi="Arial"/>
                <w:sz w:val="18"/>
                <w:szCs w:val="18"/>
                <w:color w:val="auto"/>
                <w:w w:val="98"/>
              </w:rPr>
              <w:t>METHOD TO INHIBIT THE REPLICATION OF VIRUSES</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RIB-008.3USCON</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11/959,936</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7,745,418</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6"/>
              </w:rPr>
              <w:t>Issued</w:t>
            </w:r>
          </w:p>
        </w:tc>
        <w:tc>
          <w:tcPr>
            <w:tcW w:w="4620" w:type="dxa"/>
            <w:vAlign w:val="bottom"/>
          </w:tcPr>
          <w:p>
            <w:pPr>
              <w:ind w:left="100"/>
              <w:spacing w:after="0"/>
              <w:rPr>
                <w:sz w:val="20"/>
                <w:szCs w:val="20"/>
                <w:color w:val="auto"/>
              </w:rPr>
            </w:pPr>
            <w:r>
              <w:rPr>
                <w:rFonts w:ascii="Arial" w:cs="Arial" w:eastAsia="Arial" w:hAnsi="Arial"/>
                <w:sz w:val="18"/>
                <w:szCs w:val="18"/>
                <w:color w:val="auto"/>
                <w:w w:val="98"/>
              </w:rPr>
              <w:t>METHOD TO INHIBIT THE REPLICATION OF VIRUSES</w:t>
            </w:r>
          </w:p>
        </w:tc>
      </w:tr>
      <w:tr>
        <w:trPr>
          <w:trHeight w:val="216"/>
        </w:trPr>
        <w:tc>
          <w:tcPr>
            <w:tcW w:w="1560" w:type="dxa"/>
            <w:vAlign w:val="bottom"/>
          </w:tcPr>
          <w:p>
            <w:pPr>
              <w:jc w:val="center"/>
              <w:ind w:right="70"/>
              <w:spacing w:after="0"/>
              <w:rPr>
                <w:sz w:val="20"/>
                <w:szCs w:val="20"/>
                <w:color w:val="auto"/>
              </w:rPr>
            </w:pPr>
            <w:r>
              <w:rPr>
                <w:rFonts w:ascii="Arial" w:cs="Arial" w:eastAsia="Arial" w:hAnsi="Arial"/>
                <w:sz w:val="18"/>
                <w:szCs w:val="18"/>
                <w:color w:val="auto"/>
                <w:w w:val="99"/>
              </w:rPr>
              <w:t>RIB-</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1"/>
              </w:rPr>
              <w:t>12/631689</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w w:val="98"/>
              </w:rPr>
              <w:t>METHOD TO INHIBIT THE REPLICATION OF VIRUSES</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1"/>
              </w:rPr>
              <w:t>008.3USCON1</w:t>
            </w: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RIB-011.2WO</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89"/>
              </w:rPr>
              <w:t>PCT/EP02/11973</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3"/>
              </w:rPr>
              <w:t>CompletedNt</w:t>
            </w:r>
          </w:p>
        </w:tc>
        <w:tc>
          <w:tcPr>
            <w:tcW w:w="4620" w:type="dxa"/>
            <w:vAlign w:val="bottom"/>
          </w:tcPr>
          <w:p>
            <w:pPr>
              <w:ind w:left="100"/>
              <w:spacing w:after="0"/>
              <w:rPr>
                <w:sz w:val="20"/>
                <w:szCs w:val="20"/>
                <w:color w:val="auto"/>
              </w:rPr>
            </w:pPr>
            <w:r>
              <w:rPr>
                <w:rFonts w:ascii="Arial" w:cs="Arial" w:eastAsia="Arial" w:hAnsi="Arial"/>
                <w:sz w:val="18"/>
                <w:szCs w:val="18"/>
                <w:color w:val="auto"/>
              </w:rPr>
              <w:t>USE OF DOUBLE STRAND RIBONUCLEIC ACID FOR</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TREATING AN INFECTION WITH A POSTIVE-STRAND</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RNA-VIRUS</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3"/>
              </w:rPr>
              <w:t>RIB-012.2EP</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02779511.1</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1"/>
              </w:rPr>
              <w:t>Appealed</w:t>
            </w:r>
          </w:p>
        </w:tc>
        <w:tc>
          <w:tcPr>
            <w:tcW w:w="4620" w:type="dxa"/>
            <w:vAlign w:val="bottom"/>
          </w:tcPr>
          <w:p>
            <w:pPr>
              <w:ind w:left="100"/>
              <w:spacing w:after="0"/>
              <w:rPr>
                <w:sz w:val="20"/>
                <w:szCs w:val="20"/>
                <w:color w:val="auto"/>
              </w:rPr>
            </w:pPr>
            <w:r>
              <w:rPr>
                <w:rFonts w:ascii="Arial" w:cs="Arial" w:eastAsia="Arial" w:hAnsi="Arial"/>
                <w:sz w:val="18"/>
                <w:szCs w:val="18"/>
                <w:color w:val="auto"/>
              </w:rPr>
              <w:t>USE OF A DOUBLE-STRANDED RIBONUCLEIC ACID</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w w:val="96"/>
              </w:rPr>
              <w:t>FOR SPECIFICALLY INHIBITING THE EXPRESSION OF</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A GIVEN TARGET GENE</w:t>
            </w:r>
          </w:p>
        </w:tc>
      </w:tr>
      <w:tr>
        <w:trPr>
          <w:trHeight w:val="216"/>
        </w:trPr>
        <w:tc>
          <w:tcPr>
            <w:tcW w:w="1560" w:type="dxa"/>
            <w:vAlign w:val="bottom"/>
          </w:tcPr>
          <w:p>
            <w:pPr>
              <w:jc w:val="center"/>
              <w:ind w:right="70"/>
              <w:spacing w:after="0"/>
              <w:rPr>
                <w:sz w:val="20"/>
                <w:szCs w:val="20"/>
                <w:color w:val="auto"/>
              </w:rPr>
            </w:pPr>
            <w:r>
              <w:rPr>
                <w:rFonts w:ascii="Arial" w:cs="Arial" w:eastAsia="Arial" w:hAnsi="Arial"/>
                <w:sz w:val="18"/>
                <w:szCs w:val="18"/>
                <w:color w:val="auto"/>
                <w:w w:val="93"/>
              </w:rPr>
              <w:t>RIB-012.2EPD1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10011813.2</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rPr>
              <w:t>USE OF A DOUBLE-STRANDED RIBONUCLEIC ACID</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w w:val="96"/>
              </w:rPr>
              <w:t>FOR SPECIFICALLY INHIBITING THE EXPRESSION OF</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A GIVEN TARGET GENE</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RIB-012.2WO</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89"/>
              </w:rPr>
              <w:t>PCT/EP02/11969</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3"/>
              </w:rPr>
              <w:t>CompletedNt</w:t>
            </w:r>
          </w:p>
        </w:tc>
        <w:tc>
          <w:tcPr>
            <w:tcW w:w="4620" w:type="dxa"/>
            <w:vAlign w:val="bottom"/>
          </w:tcPr>
          <w:p>
            <w:pPr>
              <w:ind w:left="100"/>
              <w:spacing w:after="0"/>
              <w:rPr>
                <w:sz w:val="20"/>
                <w:szCs w:val="20"/>
                <w:color w:val="auto"/>
              </w:rPr>
            </w:pPr>
            <w:r>
              <w:rPr>
                <w:rFonts w:ascii="Arial" w:cs="Arial" w:eastAsia="Arial" w:hAnsi="Arial"/>
                <w:sz w:val="18"/>
                <w:szCs w:val="18"/>
                <w:color w:val="auto"/>
              </w:rPr>
              <w:t>USE OF A DOUBLE-STRANDED RIBONUCLEIC ACID</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w w:val="96"/>
              </w:rPr>
              <w:t>FOR SPECIFICALLY INHIBITING THE EXPRESSION OF</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A GIVEN TARGET GENE</w:t>
            </w:r>
          </w:p>
        </w:tc>
      </w:tr>
      <w:tr>
        <w:trPr>
          <w:trHeight w:val="216"/>
        </w:trPr>
        <w:tc>
          <w:tcPr>
            <w:tcW w:w="1560" w:type="dxa"/>
            <w:vAlign w:val="bottom"/>
          </w:tcPr>
          <w:p>
            <w:pPr>
              <w:jc w:val="center"/>
              <w:ind w:right="70"/>
              <w:spacing w:after="0"/>
              <w:rPr>
                <w:sz w:val="20"/>
                <w:szCs w:val="20"/>
                <w:color w:val="auto"/>
              </w:rPr>
            </w:pPr>
            <w:r>
              <w:rPr>
                <w:rFonts w:ascii="Arial" w:cs="Arial" w:eastAsia="Arial" w:hAnsi="Arial"/>
                <w:sz w:val="18"/>
                <w:szCs w:val="18"/>
                <w:color w:val="auto"/>
                <w:w w:val="94"/>
              </w:rPr>
              <w:t>RIB-012.3US</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0"/>
              </w:rPr>
              <w:t>10/384,463</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7,763,590</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6"/>
              </w:rPr>
              <w:t>Issued</w:t>
            </w:r>
          </w:p>
        </w:tc>
        <w:tc>
          <w:tcPr>
            <w:tcW w:w="4620" w:type="dxa"/>
            <w:vAlign w:val="bottom"/>
          </w:tcPr>
          <w:p>
            <w:pPr>
              <w:ind w:left="100"/>
              <w:spacing w:after="0"/>
              <w:rPr>
                <w:sz w:val="20"/>
                <w:szCs w:val="20"/>
                <w:color w:val="auto"/>
              </w:rPr>
            </w:pPr>
            <w:r>
              <w:rPr>
                <w:rFonts w:ascii="Arial" w:cs="Arial" w:eastAsia="Arial" w:hAnsi="Arial"/>
                <w:sz w:val="18"/>
                <w:szCs w:val="18"/>
                <w:color w:val="auto"/>
                <w:w w:val="97"/>
              </w:rPr>
              <w:t>COMPOSITIONS AND METHODS FOR INHIBITING THE</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EXPRESSION OF A MUTANT GENE</w:t>
            </w:r>
          </w:p>
        </w:tc>
      </w:tr>
      <w:tr>
        <w:trPr>
          <w:trHeight w:val="216"/>
        </w:trPr>
        <w:tc>
          <w:tcPr>
            <w:tcW w:w="1560" w:type="dxa"/>
            <w:vAlign w:val="bottom"/>
          </w:tcPr>
          <w:p>
            <w:pPr>
              <w:jc w:val="center"/>
              <w:ind w:right="70"/>
              <w:spacing w:after="0"/>
              <w:rPr>
                <w:sz w:val="20"/>
                <w:szCs w:val="20"/>
                <w:color w:val="auto"/>
              </w:rPr>
            </w:pPr>
            <w:r>
              <w:rPr>
                <w:rFonts w:ascii="Arial" w:cs="Arial" w:eastAsia="Arial" w:hAnsi="Arial"/>
                <w:sz w:val="18"/>
                <w:szCs w:val="18"/>
                <w:color w:val="auto"/>
                <w:w w:val="99"/>
              </w:rPr>
              <w:t>RIB-</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1"/>
              </w:rPr>
              <w:t>13/177316</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w w:val="97"/>
              </w:rPr>
              <w:t>COMPOSITIONS AND METHODS FOR INHIBITING THE</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1"/>
              </w:rPr>
              <w:t>012.3USCON1</w:t>
            </w: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EXPRESSION OF A MUTANT GENE</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RIB-012.3USD1</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1"/>
              </w:rPr>
              <w:t>12/817009</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7994309</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8"/>
              </w:rPr>
              <w:t>Allowed</w:t>
            </w:r>
          </w:p>
        </w:tc>
        <w:tc>
          <w:tcPr>
            <w:tcW w:w="4620" w:type="dxa"/>
            <w:vAlign w:val="bottom"/>
          </w:tcPr>
          <w:p>
            <w:pPr>
              <w:ind w:left="100"/>
              <w:spacing w:after="0"/>
              <w:rPr>
                <w:sz w:val="20"/>
                <w:szCs w:val="20"/>
                <w:color w:val="auto"/>
              </w:rPr>
            </w:pPr>
            <w:r>
              <w:rPr>
                <w:rFonts w:ascii="Arial" w:cs="Arial" w:eastAsia="Arial" w:hAnsi="Arial"/>
                <w:sz w:val="18"/>
                <w:szCs w:val="18"/>
                <w:color w:val="auto"/>
                <w:w w:val="97"/>
              </w:rPr>
              <w:t>COMPOSITIONS AND METHODS FOR INHIBITING THE</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EXPRESSION OF A MUTANT GENE</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RIB-013.1WO</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89"/>
              </w:rPr>
              <w:t>PCT/EP02/11972</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3"/>
              </w:rPr>
              <w:t>CompletedNt</w:t>
            </w:r>
          </w:p>
        </w:tc>
        <w:tc>
          <w:tcPr>
            <w:tcW w:w="4620" w:type="dxa"/>
            <w:vAlign w:val="bottom"/>
          </w:tcPr>
          <w:p>
            <w:pPr>
              <w:ind w:left="100"/>
              <w:spacing w:after="0"/>
              <w:rPr>
                <w:sz w:val="20"/>
                <w:szCs w:val="20"/>
                <w:color w:val="auto"/>
              </w:rPr>
            </w:pPr>
            <w:r>
              <w:rPr>
                <w:rFonts w:ascii="Arial" w:cs="Arial" w:eastAsia="Arial" w:hAnsi="Arial"/>
                <w:sz w:val="18"/>
                <w:szCs w:val="18"/>
                <w:color w:val="auto"/>
              </w:rPr>
              <w:t>DRUG FOR TREATING A FIBROTIC DISEASE</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THROUGH RNA INTERFERENCE</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RIB-014.1WO</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89"/>
              </w:rPr>
              <w:t>PCT/EP02/12221</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4"/>
              </w:rPr>
              <w:t>Expired</w:t>
            </w:r>
          </w:p>
        </w:tc>
        <w:tc>
          <w:tcPr>
            <w:tcW w:w="4620" w:type="dxa"/>
            <w:vAlign w:val="bottom"/>
          </w:tcPr>
          <w:p>
            <w:pPr>
              <w:ind w:left="100"/>
              <w:spacing w:after="0"/>
              <w:rPr>
                <w:sz w:val="20"/>
                <w:szCs w:val="20"/>
                <w:color w:val="auto"/>
              </w:rPr>
            </w:pPr>
            <w:r>
              <w:rPr>
                <w:rFonts w:ascii="Arial" w:cs="Arial" w:eastAsia="Arial" w:hAnsi="Arial"/>
                <w:sz w:val="18"/>
                <w:szCs w:val="18"/>
                <w:color w:val="auto"/>
              </w:rPr>
              <w:t>SMAD7 INHIBITORS FOR THE TREATMENT OF CNS</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DISEASES</w:t>
            </w:r>
          </w:p>
        </w:tc>
      </w:tr>
      <w:tr>
        <w:trPr>
          <w:trHeight w:val="216"/>
        </w:trPr>
        <w:tc>
          <w:tcPr>
            <w:tcW w:w="1560" w:type="dxa"/>
            <w:vAlign w:val="bottom"/>
          </w:tcPr>
          <w:p>
            <w:pPr>
              <w:jc w:val="center"/>
              <w:ind w:right="70"/>
              <w:spacing w:after="0"/>
              <w:rPr>
                <w:sz w:val="20"/>
                <w:szCs w:val="20"/>
                <w:color w:val="auto"/>
              </w:rPr>
            </w:pPr>
            <w:r>
              <w:rPr>
                <w:rFonts w:ascii="Arial" w:cs="Arial" w:eastAsia="Arial" w:hAnsi="Arial"/>
                <w:sz w:val="18"/>
                <w:szCs w:val="18"/>
                <w:color w:val="auto"/>
                <w:w w:val="94"/>
              </w:rPr>
              <w:t>RIB-015.2US</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0"/>
              </w:rPr>
              <w:t>10/349,320</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7,196,184</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6"/>
              </w:rPr>
              <w:t>Issued</w:t>
            </w:r>
          </w:p>
        </w:tc>
        <w:tc>
          <w:tcPr>
            <w:tcW w:w="4620" w:type="dxa"/>
            <w:vAlign w:val="bottom"/>
          </w:tcPr>
          <w:p>
            <w:pPr>
              <w:ind w:left="100"/>
              <w:spacing w:after="0"/>
              <w:rPr>
                <w:sz w:val="20"/>
                <w:szCs w:val="20"/>
                <w:color w:val="auto"/>
              </w:rPr>
            </w:pPr>
            <w:r>
              <w:rPr>
                <w:rFonts w:ascii="Arial" w:cs="Arial" w:eastAsia="Arial" w:hAnsi="Arial"/>
                <w:sz w:val="18"/>
                <w:szCs w:val="18"/>
                <w:color w:val="auto"/>
                <w:w w:val="96"/>
              </w:rPr>
              <w:t>DOUBLE-STRANDED RNA (dsRNA) AND METHOD FOR</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USE FOR INHIBITING EXPRESSION OF A FUSION</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w:t>
            </w:r>
          </w:p>
        </w:tc>
      </w:tr>
      <w:tr>
        <w:trPr>
          <w:trHeight w:val="216"/>
        </w:trPr>
        <w:tc>
          <w:tcPr>
            <w:tcW w:w="1560" w:type="dxa"/>
            <w:vAlign w:val="bottom"/>
          </w:tcPr>
          <w:p>
            <w:pPr>
              <w:jc w:val="center"/>
              <w:ind w:right="70"/>
              <w:spacing w:after="0"/>
              <w:rPr>
                <w:sz w:val="20"/>
                <w:szCs w:val="20"/>
                <w:color w:val="auto"/>
              </w:rPr>
            </w:pPr>
            <w:r>
              <w:rPr>
                <w:rFonts w:ascii="Arial" w:cs="Arial" w:eastAsia="Arial" w:hAnsi="Arial"/>
                <w:sz w:val="18"/>
                <w:szCs w:val="18"/>
                <w:color w:val="auto"/>
                <w:w w:val="99"/>
              </w:rPr>
              <w:t>RIB-</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1"/>
              </w:rPr>
              <w:t>12/912616</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w w:val="96"/>
              </w:rPr>
              <w:t>DOUBLE-STRANDED RNA (dsRNA) AND METHOD FOR</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1"/>
              </w:rPr>
              <w:t>015.2USCON1</w:t>
            </w: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USE FOR INHIBITING EXPRESSION OF A FUSION</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RIB-015.2USD1</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11/656,349</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7,846,907</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8"/>
              </w:rPr>
              <w:t>Allowed</w:t>
            </w:r>
          </w:p>
        </w:tc>
        <w:tc>
          <w:tcPr>
            <w:tcW w:w="4620" w:type="dxa"/>
            <w:vAlign w:val="bottom"/>
          </w:tcPr>
          <w:p>
            <w:pPr>
              <w:ind w:left="100"/>
              <w:spacing w:after="0"/>
              <w:rPr>
                <w:sz w:val="20"/>
                <w:szCs w:val="20"/>
                <w:color w:val="auto"/>
              </w:rPr>
            </w:pPr>
            <w:r>
              <w:rPr>
                <w:rFonts w:ascii="Arial" w:cs="Arial" w:eastAsia="Arial" w:hAnsi="Arial"/>
                <w:sz w:val="18"/>
                <w:szCs w:val="18"/>
                <w:color w:val="auto"/>
                <w:w w:val="96"/>
              </w:rPr>
              <w:t>DOUBLE-STRANDED RNA (dsRNA) AND METHOD FOR</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USE FOR INHIBITING EXPRESSION OF A FUSION</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GENE</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RIB-015.3WO</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89"/>
              </w:rPr>
              <w:t>PCT/EP03/00604</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4"/>
              </w:rPr>
              <w:t>Expired</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FOR INCREASING THE EFFICIENCY OF AN</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INHIBITOR OF TYROSINE KINASE ACTIVITY</w:t>
            </w:r>
          </w:p>
        </w:tc>
      </w:tr>
      <w:tr>
        <w:trPr>
          <w:trHeight w:val="216"/>
        </w:trPr>
        <w:tc>
          <w:tcPr>
            <w:tcW w:w="1560" w:type="dxa"/>
            <w:vAlign w:val="bottom"/>
          </w:tcPr>
          <w:p>
            <w:pPr>
              <w:jc w:val="center"/>
              <w:ind w:right="70"/>
              <w:spacing w:after="0"/>
              <w:rPr>
                <w:sz w:val="20"/>
                <w:szCs w:val="20"/>
                <w:color w:val="auto"/>
              </w:rPr>
            </w:pPr>
            <w:r>
              <w:rPr>
                <w:rFonts w:ascii="Arial" w:cs="Arial" w:eastAsia="Arial" w:hAnsi="Arial"/>
                <w:sz w:val="18"/>
                <w:szCs w:val="18"/>
                <w:color w:val="auto"/>
                <w:w w:val="94"/>
              </w:rPr>
              <w:t>RIB-016.1DE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0"/>
              </w:rPr>
              <w:t>10302421.2-41</w:t>
            </w:r>
          </w:p>
        </w:tc>
        <w:tc>
          <w:tcPr>
            <w:tcW w:w="128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rPr>
              <w:t>DOUBLE-STRANDED RIBONUCLEIC ACID WITH</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IMPROVED ACTIVITY</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4"/>
              </w:rPr>
              <w:t>RIB-016.2AT</w:t>
            </w:r>
          </w:p>
        </w:tc>
        <w:tc>
          <w:tcPr>
            <w:tcW w:w="1040" w:type="dxa"/>
            <w:vAlign w:val="bottom"/>
          </w:tcPr>
          <w:p>
            <w:pPr>
              <w:jc w:val="center"/>
              <w:spacing w:after="0"/>
              <w:rPr>
                <w:sz w:val="20"/>
                <w:szCs w:val="20"/>
                <w:color w:val="auto"/>
              </w:rPr>
            </w:pPr>
            <w:r>
              <w:rPr>
                <w:rFonts w:ascii="Arial" w:cs="Arial" w:eastAsia="Arial" w:hAnsi="Arial"/>
                <w:sz w:val="18"/>
                <w:szCs w:val="18"/>
                <w:color w:val="auto"/>
                <w:w w:val="96"/>
              </w:rPr>
              <w:t>Austria</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1"/>
              </w:rPr>
              <w:t>E367441</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1587926</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Granted</w:t>
            </w:r>
          </w:p>
        </w:tc>
        <w:tc>
          <w:tcPr>
            <w:tcW w:w="4620" w:type="dxa"/>
            <w:vAlign w:val="bottom"/>
          </w:tcPr>
          <w:p>
            <w:pPr>
              <w:ind w:left="100"/>
              <w:spacing w:after="0"/>
              <w:rPr>
                <w:sz w:val="20"/>
                <w:szCs w:val="20"/>
                <w:color w:val="auto"/>
              </w:rPr>
            </w:pPr>
            <w:r>
              <w:rPr>
                <w:rFonts w:ascii="Arial" w:cs="Arial" w:eastAsia="Arial" w:hAnsi="Arial"/>
                <w:sz w:val="18"/>
                <w:szCs w:val="18"/>
                <w:color w:val="auto"/>
              </w:rPr>
              <w:t>LIPOPHILIC DERIVATIVES OF DOUBLE-STRANDED</w:t>
            </w:r>
          </w:p>
        </w:tc>
      </w:tr>
      <w:tr>
        <w:trPr>
          <w:trHeight w:val="216"/>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560" w:type="dxa"/>
            <w:vAlign w:val="bottom"/>
          </w:tcPr>
          <w:p>
            <w:pPr>
              <w:jc w:val="center"/>
              <w:ind w:right="90"/>
              <w:spacing w:after="0"/>
              <w:rPr>
                <w:sz w:val="20"/>
                <w:szCs w:val="20"/>
                <w:color w:val="auto"/>
              </w:rPr>
            </w:pPr>
            <w:r>
              <w:rPr>
                <w:rFonts w:ascii="Arial" w:cs="Arial" w:eastAsia="Arial" w:hAnsi="Arial"/>
                <w:sz w:val="18"/>
                <w:szCs w:val="18"/>
                <w:color w:val="auto"/>
                <w:w w:val="96"/>
              </w:rPr>
              <w:t>RIB-016.2AU</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89"/>
              </w:rPr>
              <w:t>2004206255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2004206255</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6"/>
              </w:rPr>
              <w:t>Issued</w:t>
            </w:r>
          </w:p>
        </w:tc>
        <w:tc>
          <w:tcPr>
            <w:tcW w:w="4620" w:type="dxa"/>
            <w:vAlign w:val="bottom"/>
          </w:tcPr>
          <w:p>
            <w:pPr>
              <w:ind w:left="100"/>
              <w:spacing w:after="0"/>
              <w:rPr>
                <w:sz w:val="20"/>
                <w:szCs w:val="20"/>
                <w:color w:val="auto"/>
              </w:rPr>
            </w:pPr>
            <w:r>
              <w:rPr>
                <w:rFonts w:ascii="Arial" w:cs="Arial" w:eastAsia="Arial" w:hAnsi="Arial"/>
                <w:sz w:val="18"/>
                <w:szCs w:val="18"/>
                <w:color w:val="auto"/>
              </w:rPr>
              <w:t>LIPOPHILIC DERIVATIVES OF DOUBLE-STRANDED</w:t>
            </w:r>
          </w:p>
        </w:tc>
      </w:tr>
      <w:tr>
        <w:trPr>
          <w:trHeight w:val="230"/>
        </w:trPr>
        <w:tc>
          <w:tcPr>
            <w:tcW w:w="1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RIBONUCLEIC ACID</w:t>
            </w:r>
          </w:p>
        </w:tc>
      </w:tr>
    </w:tbl>
    <w:p>
      <w:pPr>
        <w:sectPr>
          <w:pgSz w:w="11900" w:h="16838" w:orient="portrait"/>
          <w:cols w:equalWidth="0" w:num="1">
            <w:col w:w="11380"/>
          </w:cols>
          <w:pgMar w:left="240" w:top="341" w:right="27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6"/>
              </w:rPr>
              <w:t>RIB-016.2AUD1</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2008203538</w:t>
            </w:r>
          </w:p>
        </w:tc>
        <w:tc>
          <w:tcPr>
            <w:tcW w:w="14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RIB-016.2BE</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w:t>
            </w: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89"/>
              </w:rPr>
              <w:t>EP1587926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6"/>
              </w:rPr>
              <w:t>RIB-016.2CA</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2513809</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2513809</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5"/>
              </w:rPr>
              <w:t>RIB-016.2CH</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w:t>
            </w: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89"/>
              </w:rPr>
              <w:t>EP1587926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6"/>
              </w:rPr>
              <w:t>RIB-016.2CY</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Cyprus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4"/>
              </w:rPr>
              <w:t>RIB-016.2DE</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602004007620.1-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08</w:t>
            </w: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6"/>
              </w:rPr>
              <w:t>RIB-016.2DK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Denmark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w:t>
            </w:r>
          </w:p>
        </w:tc>
        <w:tc>
          <w:tcPr>
            <w:tcW w:w="1480" w:type="dxa"/>
            <w:vAlign w:val="bottom"/>
          </w:tcPr>
          <w:p>
            <w:pPr>
              <w:ind w:left="80"/>
              <w:spacing w:after="0"/>
              <w:rPr>
                <w:sz w:val="20"/>
                <w:szCs w:val="20"/>
                <w:color w:val="auto"/>
              </w:rPr>
            </w:pPr>
            <w:r>
              <w:rPr>
                <w:rFonts w:ascii="Arial" w:cs="Arial" w:eastAsia="Arial" w:hAnsi="Arial"/>
                <w:sz w:val="18"/>
                <w:szCs w:val="18"/>
                <w:color w:val="auto"/>
              </w:rPr>
              <w:t>DK/EP 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3"/>
              </w:rPr>
              <w:t>RIB-016.2EP</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RIB-016.2EPD1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07010839.4</w:t>
            </w:r>
          </w:p>
        </w:tc>
        <w:tc>
          <w:tcPr>
            <w:tcW w:w="14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3"/>
              </w:rPr>
              <w:t>RIB-016.2ES</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89"/>
              </w:rPr>
              <w:t>EP1587926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3"/>
              </w:rPr>
              <w:t>RIB-016.2FR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91"/>
              </w:rPr>
              <w:t>EP1587926B1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5"/>
              </w:rPr>
              <w:t>RIB-016.2GB</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89"/>
              </w:rPr>
              <w:t>EP1587926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6"/>
              </w:rPr>
              <w:t>RIB-016.2HK</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08105048.3</w:t>
            </w:r>
          </w:p>
        </w:tc>
        <w:tc>
          <w:tcPr>
            <w:tcW w:w="14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5"/>
              </w:rPr>
              <w:t>RIB-016.2HU</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Hungary</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5"/>
              </w:rPr>
              <w:t>RIB-016.2IE</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w:t>
            </w: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89"/>
              </w:rPr>
              <w:t>EP1587926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6"/>
              </w:rPr>
              <w:t>RIB-016.2IT</w:t>
            </w:r>
          </w:p>
        </w:tc>
        <w:tc>
          <w:tcPr>
            <w:tcW w:w="1340" w:type="dxa"/>
            <w:vAlign w:val="bottom"/>
          </w:tcPr>
          <w:p>
            <w:pPr>
              <w:jc w:val="center"/>
              <w:spacing w:after="0"/>
              <w:rPr>
                <w:sz w:val="20"/>
                <w:szCs w:val="20"/>
                <w:color w:val="auto"/>
              </w:rPr>
            </w:pPr>
            <w:r>
              <w:rPr>
                <w:rFonts w:ascii="Arial" w:cs="Arial" w:eastAsia="Arial" w:hAnsi="Arial"/>
                <w:sz w:val="18"/>
                <w:szCs w:val="18"/>
                <w:color w:val="auto"/>
              </w:rPr>
              <w:t>Italy</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89"/>
              </w:rPr>
              <w:t>EP1587926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7"/>
              </w:rPr>
              <w:t>RIB-016.2LI</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Liechtenstein</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6"/>
              </w:rPr>
              <w:t>RIB-016.2LU</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6"/>
              </w:rPr>
              <w:t>RIB-016.2NL</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91"/>
              </w:rPr>
              <w:t>EP1587926B1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4"/>
              </w:rPr>
              <w:t>RIB-016.2PT</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Portugal</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ind w:right="10"/>
              <w:spacing w:after="0"/>
              <w:rPr>
                <w:sz w:val="20"/>
                <w:szCs w:val="20"/>
                <w:color w:val="auto"/>
              </w:rPr>
            </w:pPr>
            <w:r>
              <w:rPr>
                <w:rFonts w:ascii="Arial" w:cs="Arial" w:eastAsia="Arial" w:hAnsi="Arial"/>
                <w:sz w:val="18"/>
                <w:szCs w:val="18"/>
                <w:color w:val="auto"/>
                <w:w w:val="93"/>
              </w:rPr>
              <w:t>RIB-016.2SE</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Sweden</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89"/>
              </w:rPr>
              <w:t>EP1587926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RIB-016.2SI</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Slovenia</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1587926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400" w:type="dxa"/>
            <w:vAlign w:val="bottom"/>
          </w:tcPr>
          <w:p>
            <w:pPr>
              <w:ind w:left="160"/>
              <w:spacing w:after="0"/>
              <w:rPr>
                <w:sz w:val="20"/>
                <w:szCs w:val="20"/>
                <w:color w:val="auto"/>
              </w:rPr>
            </w:pPr>
            <w:r>
              <w:rPr>
                <w:rFonts w:ascii="Arial" w:cs="Arial" w:eastAsia="Arial" w:hAnsi="Arial"/>
                <w:sz w:val="18"/>
                <w:szCs w:val="18"/>
                <w:color w:val="auto"/>
                <w:w w:val="96"/>
              </w:rPr>
              <w:t>LIPOPHILIC DERIVATIVES OF DOUBLE-STRANDED</w:t>
            </w:r>
          </w:p>
        </w:tc>
      </w:tr>
      <w:tr>
        <w:trPr>
          <w:trHeight w:val="230"/>
        </w:trPr>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RIBONUCLEIC ACID</w:t>
            </w:r>
          </w:p>
        </w:tc>
      </w:tr>
    </w:tbl>
    <w:p>
      <w:pPr>
        <w:sectPr>
          <w:pgSz w:w="11900" w:h="16838" w:orient="portrait"/>
          <w:cols w:equalWidth="0" w:num="1">
            <w:col w:w="11020"/>
          </w:cols>
          <w:pgMar w:left="320" w:top="341" w:right="55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jc w:val="center"/>
              <w:ind w:right="170"/>
              <w:spacing w:after="0"/>
              <w:rPr>
                <w:sz w:val="20"/>
                <w:szCs w:val="20"/>
                <w:color w:val="auto"/>
              </w:rPr>
            </w:pPr>
            <w:r>
              <w:rPr>
                <w:rFonts w:ascii="Arial" w:cs="Arial" w:eastAsia="Arial" w:hAnsi="Arial"/>
                <w:sz w:val="18"/>
                <w:szCs w:val="18"/>
                <w:color w:val="auto"/>
                <w:w w:val="95"/>
              </w:rPr>
              <w:t>RIB-016.2TR</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Turkey</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04704041.5-1521</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1587926</w:t>
            </w:r>
          </w:p>
        </w:tc>
        <w:tc>
          <w:tcPr>
            <w:tcW w:w="1360" w:type="dxa"/>
            <w:vAlign w:val="bottom"/>
          </w:tcPr>
          <w:p>
            <w:pPr>
              <w:jc w:val="center"/>
              <w:ind w:left="90"/>
              <w:spacing w:after="0"/>
              <w:rPr>
                <w:sz w:val="20"/>
                <w:szCs w:val="20"/>
                <w:color w:val="auto"/>
              </w:rPr>
            </w:pPr>
            <w:r>
              <w:rPr>
                <w:rFonts w:ascii="Arial" w:cs="Arial" w:eastAsia="Arial" w:hAnsi="Arial"/>
                <w:sz w:val="18"/>
                <w:szCs w:val="18"/>
                <w:color w:val="auto"/>
                <w:w w:val="89"/>
              </w:rPr>
              <w:t>Granted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460" w:type="dxa"/>
            <w:vAlign w:val="bottom"/>
          </w:tcPr>
          <w:p>
            <w:pPr>
              <w:jc w:val="center"/>
              <w:ind w:right="170"/>
              <w:spacing w:after="0"/>
              <w:rPr>
                <w:sz w:val="20"/>
                <w:szCs w:val="20"/>
                <w:color w:val="auto"/>
              </w:rPr>
            </w:pPr>
            <w:r>
              <w:rPr>
                <w:rFonts w:ascii="Arial" w:cs="Arial" w:eastAsia="Arial" w:hAnsi="Arial"/>
                <w:sz w:val="18"/>
                <w:szCs w:val="18"/>
                <w:color w:val="auto"/>
                <w:w w:val="94"/>
              </w:rPr>
              <w:t>RIB-016.2US</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10/543048</w:t>
            </w:r>
          </w:p>
        </w:tc>
        <w:tc>
          <w:tcPr>
            <w:tcW w:w="1100" w:type="dxa"/>
            <w:vAlign w:val="bottom"/>
          </w:tcPr>
          <w:p>
            <w:pPr>
              <w:spacing w:after="0"/>
              <w:rPr>
                <w:sz w:val="18"/>
                <w:szCs w:val="18"/>
                <w:color w:val="auto"/>
              </w:rPr>
            </w:pPr>
          </w:p>
        </w:tc>
        <w:tc>
          <w:tcPr>
            <w:tcW w:w="1360" w:type="dxa"/>
            <w:vAlign w:val="bottom"/>
          </w:tcPr>
          <w:p>
            <w:pPr>
              <w:jc w:val="center"/>
              <w:ind w:left="90"/>
              <w:spacing w:after="0"/>
              <w:rPr>
                <w:sz w:val="20"/>
                <w:szCs w:val="20"/>
                <w:color w:val="auto"/>
              </w:rPr>
            </w:pPr>
            <w:r>
              <w:rPr>
                <w:rFonts w:ascii="Arial" w:cs="Arial" w:eastAsia="Arial" w:hAnsi="Arial"/>
                <w:sz w:val="18"/>
                <w:szCs w:val="18"/>
                <w:color w:val="auto"/>
                <w:w w:val="91"/>
              </w:rPr>
              <w:t>Appealed</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16"/>
        </w:trPr>
        <w:tc>
          <w:tcPr>
            <w:tcW w:w="1460" w:type="dxa"/>
            <w:vAlign w:val="bottom"/>
          </w:tcPr>
          <w:p>
            <w:pPr>
              <w:jc w:val="center"/>
              <w:ind w:right="190"/>
              <w:spacing w:after="0"/>
              <w:rPr>
                <w:sz w:val="20"/>
                <w:szCs w:val="20"/>
                <w:color w:val="auto"/>
              </w:rPr>
            </w:pPr>
            <w:r>
              <w:rPr>
                <w:rFonts w:ascii="Arial" w:cs="Arial" w:eastAsia="Arial" w:hAnsi="Arial"/>
                <w:sz w:val="18"/>
                <w:szCs w:val="18"/>
                <w:color w:val="auto"/>
                <w:w w:val="94"/>
              </w:rPr>
              <w:t>RIB-016.2WO</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PCT</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PCT/US2004/001</w:t>
            </w:r>
          </w:p>
        </w:tc>
        <w:tc>
          <w:tcPr>
            <w:tcW w:w="1100" w:type="dxa"/>
            <w:vAlign w:val="bottom"/>
          </w:tcPr>
          <w:p>
            <w:pPr>
              <w:spacing w:after="0"/>
              <w:rPr>
                <w:sz w:val="18"/>
                <w:szCs w:val="18"/>
                <w:color w:val="auto"/>
              </w:rPr>
            </w:pPr>
          </w:p>
        </w:tc>
        <w:tc>
          <w:tcPr>
            <w:tcW w:w="1360" w:type="dxa"/>
            <w:vAlign w:val="bottom"/>
          </w:tcPr>
          <w:p>
            <w:pPr>
              <w:jc w:val="center"/>
              <w:ind w:left="90"/>
              <w:spacing w:after="0"/>
              <w:rPr>
                <w:sz w:val="20"/>
                <w:szCs w:val="20"/>
                <w:color w:val="auto"/>
              </w:rPr>
            </w:pPr>
            <w:r>
              <w:rPr>
                <w:rFonts w:ascii="Arial" w:cs="Arial" w:eastAsia="Arial" w:hAnsi="Arial"/>
                <w:sz w:val="18"/>
                <w:szCs w:val="18"/>
                <w:color w:val="auto"/>
                <w:w w:val="93"/>
              </w:rPr>
              <w:t>CompletedNt</w:t>
            </w: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LIPOPHILIC DERIVATIVES OF DOUBLE-STRANDED</w:t>
            </w:r>
          </w:p>
        </w:tc>
      </w:tr>
      <w:tr>
        <w:trPr>
          <w:trHeight w:val="216"/>
        </w:trPr>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461</w:t>
            </w: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RIBONUCLEIC ACID</w:t>
            </w:r>
          </w:p>
        </w:tc>
      </w:tr>
      <w:tr>
        <w:trPr>
          <w:trHeight w:val="230"/>
        </w:trPr>
        <w:tc>
          <w:tcPr>
            <w:tcW w:w="1460" w:type="dxa"/>
            <w:vAlign w:val="bottom"/>
          </w:tcPr>
          <w:p>
            <w:pPr>
              <w:jc w:val="center"/>
              <w:ind w:right="170"/>
              <w:spacing w:after="0"/>
              <w:rPr>
                <w:sz w:val="20"/>
                <w:szCs w:val="20"/>
                <w:color w:val="auto"/>
              </w:rPr>
            </w:pPr>
            <w:r>
              <w:rPr>
                <w:rFonts w:ascii="Arial" w:cs="Arial" w:eastAsia="Arial" w:hAnsi="Arial"/>
                <w:sz w:val="18"/>
                <w:szCs w:val="18"/>
                <w:color w:val="auto"/>
                <w:w w:val="92"/>
              </w:rPr>
              <w:t>RIB-017.1EPUS</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60/479,354</w:t>
            </w:r>
          </w:p>
        </w:tc>
        <w:tc>
          <w:tcPr>
            <w:tcW w:w="1100" w:type="dxa"/>
            <w:vAlign w:val="bottom"/>
          </w:tcPr>
          <w:p>
            <w:pPr>
              <w:spacing w:after="0"/>
              <w:rPr>
                <w:sz w:val="20"/>
                <w:szCs w:val="20"/>
                <w:color w:val="auto"/>
              </w:rPr>
            </w:pPr>
          </w:p>
        </w:tc>
        <w:tc>
          <w:tcPr>
            <w:tcW w:w="1360" w:type="dxa"/>
            <w:vAlign w:val="bottom"/>
          </w:tcPr>
          <w:p>
            <w:pPr>
              <w:jc w:val="center"/>
              <w:ind w:left="90"/>
              <w:spacing w:after="0"/>
              <w:rPr>
                <w:sz w:val="20"/>
                <w:szCs w:val="20"/>
                <w:color w:val="auto"/>
              </w:rPr>
            </w:pPr>
            <w:r>
              <w:rPr>
                <w:rFonts w:ascii="Arial" w:cs="Arial" w:eastAsia="Arial" w:hAnsi="Arial"/>
                <w:sz w:val="18"/>
                <w:szCs w:val="18"/>
                <w:color w:val="auto"/>
                <w:w w:val="89"/>
              </w:rPr>
              <w:t>Converted</w:t>
            </w:r>
          </w:p>
        </w:tc>
        <w:tc>
          <w:tcPr>
            <w:tcW w:w="4340" w:type="dxa"/>
            <w:vAlign w:val="bottom"/>
          </w:tcPr>
          <w:p>
            <w:pPr>
              <w:ind w:left="100"/>
              <w:spacing w:after="0"/>
              <w:rPr>
                <w:sz w:val="20"/>
                <w:szCs w:val="20"/>
                <w:color w:val="auto"/>
              </w:rPr>
            </w:pPr>
            <w:r>
              <w:rPr>
                <w:rFonts w:ascii="Arial" w:cs="Arial" w:eastAsia="Arial" w:hAnsi="Arial"/>
                <w:sz w:val="18"/>
                <w:szCs w:val="18"/>
                <w:color w:val="auto"/>
              </w:rPr>
              <w:t>SiRNA WITH INCREASED STABILITY IN SERUM</w:t>
            </w:r>
          </w:p>
        </w:tc>
      </w:tr>
    </w:tbl>
    <w:p>
      <w:pPr>
        <w:sectPr>
          <w:pgSz w:w="11900" w:h="16838" w:orient="portrait"/>
          <w:cols w:equalWidth="0" w:num="1">
            <w:col w:w="11000"/>
          </w:cols>
          <w:pgMar w:left="340" w:top="341" w:right="5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IN-LICENSES COVERING ALNYLAM PATENT RIGHTS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u w:val="single" w:color="auto"/>
          <w:color w:val="auto"/>
        </w:rPr>
        <w:t>B.1.</w:t>
      </w:r>
      <w:r>
        <w:rPr>
          <w:sz w:val="20"/>
          <w:szCs w:val="20"/>
          <w:color w:val="auto"/>
        </w:rPr>
        <w:tab/>
      </w:r>
      <w:r>
        <w:rPr>
          <w:rFonts w:ascii="Arial" w:cs="Arial" w:eastAsia="Arial" w:hAnsi="Arial"/>
          <w:sz w:val="16"/>
          <w:szCs w:val="16"/>
          <w:b w:val="1"/>
          <w:bCs w:val="1"/>
          <w:u w:val="single" w:color="auto"/>
          <w:color w:val="auto"/>
        </w:rPr>
        <w:t>In-Licenses Covering Base Alnylam Patent Rights</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Co-Exclusive License Agreement between Garching Innovation GmbH and Alnylam Pharmaceuticals, Inc., (effective December 20, 2002) and Amendment (effective 8 July, 2003).</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Amended and Restated Strategic Collaboration and License Agreement effective as of April 28, 2009, between Isis Pharmaceuticals, Inc. and Alnylam Pharmaceuticals, Inc.</w:t>
      </w:r>
    </w:p>
    <w:p>
      <w:pPr>
        <w:spacing w:after="0" w:line="2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u w:val="single" w:color="auto"/>
          <w:color w:val="auto"/>
        </w:rPr>
        <w:t>B.2.</w:t>
      </w:r>
      <w:r>
        <w:rPr>
          <w:sz w:val="20"/>
          <w:szCs w:val="20"/>
          <w:color w:val="auto"/>
        </w:rPr>
        <w:tab/>
      </w:r>
      <w:r>
        <w:rPr>
          <w:rFonts w:ascii="Arial" w:cs="Arial" w:eastAsia="Arial" w:hAnsi="Arial"/>
          <w:sz w:val="16"/>
          <w:szCs w:val="16"/>
          <w:b w:val="1"/>
          <w:bCs w:val="1"/>
          <w:u w:val="single" w:color="auto"/>
          <w:color w:val="auto"/>
        </w:rPr>
        <w:t>In-Licenses Covering Additional Alnylam Patent Rights Stanford</w:t>
      </w:r>
    </w:p>
    <w:p>
      <w:pPr>
        <w:spacing w:after="0" w:line="13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Co-Exclusive License Agreement between THE BOARD OF TRUSTEES OF THE LELAND Stanford JUNIOR UNIVERSITY and Alnylam Pharmaceuticals, Inc., (effective September 17, 2003)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Cancer Research Technology Limited</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Exclusive License Agreement between CANCER RESEARCH TECHNOLOGIES LIMITED and Alnylam Pharmaceuticals, Inc., (effective July 18, 2003)</w:t>
      </w:r>
    </w:p>
    <w:p>
      <w:pPr>
        <w:sectPr>
          <w:pgSz w:w="11900" w:h="16838" w:orient="portrait"/>
          <w:cols w:equalWidth="0" w:num="1">
            <w:col w:w="11420"/>
          </w:cols>
          <w:pgMar w:left="240" w:top="337" w:right="239" w:bottom="1440" w:gutter="0" w:footer="0" w:header="0"/>
        </w:sectPr>
      </w:pPr>
    </w:p>
    <w:bookmarkStart w:id="104" w:name="page105"/>
    <w:bookmarkEnd w:id="104"/>
    <w:p>
      <w:pPr>
        <w:jc w:val="center"/>
        <w:ind w:right="-120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color w:val="auto"/>
        </w:rPr>
        <w:t>RESEARCH COLLABORATION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ectPr>
          <w:pgSz w:w="11900" w:h="16838" w:orient="portrait"/>
          <w:cols w:equalWidth="0" w:num="1">
            <w:col w:w="10219"/>
          </w:cols>
          <w:pgMar w:left="240" w:top="337" w:right="1440"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PRESS RELEASE</w:t>
      </w:r>
    </w:p>
    <w:p>
      <w:pPr>
        <w:sectPr>
          <w:pgSz w:w="11900" w:h="16838" w:orient="portrait"/>
          <w:cols w:equalWidth="0" w:num="1">
            <w:col w:w="9019"/>
          </w:cols>
          <w:pgMar w:left="1440" w:top="337"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2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0"/>
        </w:trPr>
        <w:tc>
          <w:tcPr>
            <w:tcW w:w="2860" w:type="dxa"/>
            <w:vAlign w:val="bottom"/>
          </w:tcPr>
          <w:p>
            <w:pPr>
              <w:spacing w:after="0"/>
              <w:rPr>
                <w:sz w:val="20"/>
                <w:szCs w:val="20"/>
                <w:color w:val="auto"/>
              </w:rPr>
            </w:pPr>
            <w:r>
              <w:rPr>
                <w:rFonts w:ascii="Arial" w:cs="Arial" w:eastAsia="Arial" w:hAnsi="Arial"/>
                <w:sz w:val="18"/>
                <w:szCs w:val="18"/>
                <w:b w:val="1"/>
                <w:bCs w:val="1"/>
                <w:color w:val="auto"/>
              </w:rPr>
              <w:t>Alnylam Pharmaceuticals, Inc.</w:t>
            </w:r>
          </w:p>
        </w:tc>
        <w:tc>
          <w:tcPr>
            <w:tcW w:w="286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w w:val="95"/>
              </w:rPr>
              <w:t>Arrowhead Research Corporation</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Cynthia Clayton</w:t>
            </w:r>
          </w:p>
        </w:tc>
        <w:tc>
          <w:tcPr>
            <w:tcW w:w="28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Michael Levitan</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w w:val="93"/>
              </w:rPr>
              <w:t>Vice President, Investor Relations and</w:t>
            </w:r>
          </w:p>
        </w:tc>
        <w:tc>
          <w:tcPr>
            <w:tcW w:w="28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The Trout Group, LLC</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Corporate Communications</w:t>
            </w:r>
          </w:p>
        </w:tc>
        <w:tc>
          <w:tcPr>
            <w:tcW w:w="4120" w:type="dxa"/>
            <w:vAlign w:val="bottom"/>
            <w:gridSpan w:val="2"/>
          </w:tcPr>
          <w:p>
            <w:pPr>
              <w:ind w:left="2860"/>
              <w:spacing w:after="0"/>
              <w:rPr>
                <w:sz w:val="20"/>
                <w:szCs w:val="20"/>
                <w:color w:val="auto"/>
              </w:rPr>
            </w:pPr>
            <w:r>
              <w:rPr>
                <w:rFonts w:ascii="Arial" w:cs="Arial" w:eastAsia="Arial" w:hAnsi="Arial"/>
                <w:sz w:val="18"/>
                <w:szCs w:val="18"/>
                <w:color w:val="auto"/>
              </w:rPr>
              <w:t>646-378-2920</w:t>
            </w:r>
          </w:p>
        </w:tc>
        <w:tc>
          <w:tcPr>
            <w:tcW w:w="1500" w:type="dxa"/>
            <w:vAlign w:val="bottom"/>
          </w:tcPr>
          <w:p>
            <w:pPr>
              <w:spacing w:after="0"/>
              <w:rPr>
                <w:sz w:val="18"/>
                <w:szCs w:val="18"/>
                <w:color w:val="auto"/>
              </w:rPr>
            </w:pP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8"/>
                <w:szCs w:val="18"/>
                <w:color w:val="auto"/>
              </w:rPr>
              <w:t>617-551-8207</w:t>
            </w:r>
          </w:p>
        </w:tc>
        <w:tc>
          <w:tcPr>
            <w:tcW w:w="2860" w:type="dxa"/>
            <w:vAlign w:val="bottom"/>
          </w:tcPr>
          <w:p>
            <w:pPr>
              <w:spacing w:after="0"/>
              <w:rPr>
                <w:sz w:val="16"/>
                <w:szCs w:val="16"/>
                <w:color w:val="auto"/>
              </w:rPr>
            </w:pPr>
          </w:p>
        </w:tc>
        <w:tc>
          <w:tcPr>
            <w:tcW w:w="2760" w:type="dxa"/>
            <w:vAlign w:val="bottom"/>
            <w:gridSpan w:val="2"/>
          </w:tcPr>
          <w:p>
            <w:pPr>
              <w:spacing w:after="0" w:line="190" w:lineRule="exact"/>
              <w:rPr>
                <w:sz w:val="20"/>
                <w:szCs w:val="20"/>
                <w:color w:val="auto"/>
              </w:rPr>
            </w:pPr>
            <w:r>
              <w:rPr>
                <w:rFonts w:ascii="Arial" w:cs="Arial" w:eastAsia="Arial" w:hAnsi="Arial"/>
                <w:sz w:val="18"/>
                <w:szCs w:val="18"/>
                <w:color w:val="auto"/>
              </w:rPr>
              <w:t>ir@arrowres.com</w:t>
            </w:r>
          </w:p>
        </w:tc>
      </w:tr>
      <w:tr>
        <w:trPr>
          <w:trHeight w:val="465"/>
        </w:trPr>
        <w:tc>
          <w:tcPr>
            <w:tcW w:w="2860" w:type="dxa"/>
            <w:vAlign w:val="bottom"/>
          </w:tcPr>
          <w:p>
            <w:pPr>
              <w:spacing w:after="0"/>
              <w:rPr>
                <w:sz w:val="20"/>
                <w:szCs w:val="20"/>
                <w:color w:val="auto"/>
              </w:rPr>
            </w:pPr>
            <w:r>
              <w:rPr>
                <w:rFonts w:ascii="Arial" w:cs="Arial" w:eastAsia="Arial" w:hAnsi="Arial"/>
                <w:sz w:val="18"/>
                <w:szCs w:val="18"/>
                <w:color w:val="auto"/>
              </w:rPr>
              <w:t>Amanda Sellers (Media)</w:t>
            </w:r>
          </w:p>
        </w:tc>
        <w:tc>
          <w:tcPr>
            <w:tcW w:w="28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Spectrum</w:t>
            </w:r>
          </w:p>
        </w:tc>
        <w:tc>
          <w:tcPr>
            <w:tcW w:w="2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202-955-6222 x2597</w:t>
            </w:r>
          </w:p>
        </w:tc>
        <w:tc>
          <w:tcPr>
            <w:tcW w:w="2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2860" w:type="dxa"/>
            <w:vAlign w:val="bottom"/>
          </w:tcPr>
          <w:p>
            <w:pPr>
              <w:spacing w:after="0"/>
              <w:rPr>
                <w:sz w:val="24"/>
                <w:szCs w:val="24"/>
                <w:color w:val="auto"/>
              </w:rPr>
            </w:pPr>
          </w:p>
        </w:tc>
        <w:tc>
          <w:tcPr>
            <w:tcW w:w="56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Alnylam and Arrowhead Form Collaboration and Licensing Agreement</w:t>
            </w:r>
          </w:p>
        </w:tc>
      </w:tr>
      <w:tr>
        <w:trPr>
          <w:trHeight w:val="418"/>
        </w:trPr>
        <w:tc>
          <w:tcPr>
            <w:tcW w:w="2860" w:type="dxa"/>
            <w:vAlign w:val="bottom"/>
          </w:tcPr>
          <w:p>
            <w:pPr>
              <w:spacing w:after="0"/>
              <w:rPr>
                <w:sz w:val="24"/>
                <w:szCs w:val="24"/>
                <w:color w:val="auto"/>
              </w:rPr>
            </w:pPr>
          </w:p>
        </w:tc>
        <w:tc>
          <w:tcPr>
            <w:tcW w:w="56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 Arrowhead Receives License from Alnylam to Develop RNAi Therapeutic</w:t>
            </w:r>
          </w:p>
        </w:tc>
      </w:tr>
      <w:tr>
        <w:trPr>
          <w:trHeight w:val="230"/>
        </w:trPr>
        <w:tc>
          <w:tcPr>
            <w:tcW w:w="2860" w:type="dxa"/>
            <w:vAlign w:val="bottom"/>
          </w:tcPr>
          <w:p>
            <w:pPr>
              <w:spacing w:after="0"/>
              <w:rPr>
                <w:sz w:val="20"/>
                <w:szCs w:val="20"/>
                <w:color w:val="auto"/>
              </w:rPr>
            </w:pPr>
          </w:p>
        </w:tc>
        <w:tc>
          <w:tcPr>
            <w:tcW w:w="56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Toward Hepatitis B Virus (HBV) –</w:t>
            </w:r>
          </w:p>
        </w:tc>
      </w:tr>
      <w:tr>
        <w:trPr>
          <w:trHeight w:val="418"/>
        </w:trPr>
        <w:tc>
          <w:tcPr>
            <w:tcW w:w="2860" w:type="dxa"/>
            <w:vAlign w:val="bottom"/>
          </w:tcPr>
          <w:p>
            <w:pPr>
              <w:spacing w:after="0"/>
              <w:rPr>
                <w:sz w:val="24"/>
                <w:szCs w:val="24"/>
                <w:color w:val="auto"/>
              </w:rPr>
            </w:pPr>
          </w:p>
        </w:tc>
        <w:tc>
          <w:tcPr>
            <w:tcW w:w="56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1"/>
              </w:rPr>
              <w:t>– Alnylam Gains Access to Arrowhead’s Dynamic Polyconjugate (DPC)</w:t>
            </w:r>
          </w:p>
        </w:tc>
      </w:tr>
      <w:tr>
        <w:trPr>
          <w:trHeight w:val="230"/>
        </w:trPr>
        <w:tc>
          <w:tcPr>
            <w:tcW w:w="2860" w:type="dxa"/>
            <w:vAlign w:val="bottom"/>
          </w:tcPr>
          <w:p>
            <w:pPr>
              <w:spacing w:after="0"/>
              <w:rPr>
                <w:sz w:val="20"/>
                <w:szCs w:val="20"/>
                <w:color w:val="auto"/>
              </w:rPr>
            </w:pPr>
          </w:p>
        </w:tc>
        <w:tc>
          <w:tcPr>
            <w:tcW w:w="56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Delivery Technology for “Alnylam 5x15” Target –</w:t>
            </w:r>
          </w:p>
        </w:tc>
      </w:tr>
    </w:tbl>
    <w:p>
      <w:pPr>
        <w:spacing w:after="0" w:line="198"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Cambridge, Mass. and Pasadena, Calif., January 5, 2012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Alnylam Pharmaceuticals,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ALNY), a leading RNAi therapeutics company,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Arrowhead Research Corporation</w:t>
      </w:r>
      <w:r>
        <w:rPr>
          <w:rFonts w:ascii="Arial" w:cs="Arial" w:eastAsia="Arial" w:hAnsi="Arial"/>
          <w:sz w:val="18"/>
          <w:szCs w:val="18"/>
          <w:color w:val="auto"/>
        </w:rPr>
        <w:t>, (Nasdaq: ARWR) a nanomedicine company with development programs in RNAi and obesity, announced today that they have entered into a collaboration and joint licensing agreement.</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Alnylam has granted Arrowhead a license under its intellectual property that enables the discovery, development, and commercialization of an RNAi therapeutic targeting the hepatitis B virus (HBV). Alnylam is eligible to receive from Arrowhead milestone payments and royalties on sales of product resulting from the license. In addition, Alnylam has received a license from Arrowhead to utilize their </w:t>
      </w:r>
      <w:r>
        <w:rPr>
          <w:rFonts w:ascii="Arial" w:cs="Arial" w:eastAsia="Arial" w:hAnsi="Arial"/>
          <w:sz w:val="18"/>
          <w:szCs w:val="18"/>
          <w:u w:val="single" w:color="auto"/>
          <w:color w:val="auto"/>
        </w:rPr>
        <w:t>Dynamic Polyconjugate</w:t>
      </w:r>
      <w:r>
        <w:rPr>
          <w:rFonts w:ascii="Arial" w:cs="Arial" w:eastAsia="Arial" w:hAnsi="Arial"/>
          <w:sz w:val="18"/>
          <w:szCs w:val="18"/>
          <w:color w:val="auto"/>
        </w:rPr>
        <w:t xml:space="preserve"> (DPC) delivery technology for an RNAi therapeutic product. Alnylam expects to deploy this technology for an undisclosed target in its “</w:t>
      </w:r>
      <w:r>
        <w:rPr>
          <w:rFonts w:ascii="Arial" w:cs="Arial" w:eastAsia="Arial" w:hAnsi="Arial"/>
          <w:sz w:val="18"/>
          <w:szCs w:val="18"/>
          <w:u w:val="single" w:color="auto"/>
          <w:color w:val="auto"/>
        </w:rPr>
        <w:t>Alnylam 5x15</w:t>
      </w:r>
      <w:r>
        <w:rPr>
          <w:rFonts w:ascii="Arial" w:cs="Arial" w:eastAsia="Arial" w:hAnsi="Arial"/>
          <w:sz w:val="18"/>
          <w:szCs w:val="18"/>
          <w:color w:val="auto"/>
        </w:rPr>
        <w:t>” pipeline which is focused on genetically defined targets and diseases. Arrowhead is eligible to receive from Alnylam milestone payments and royalties on sales of product resulting from the license. No additional financial details were disclosed.</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view Arrowhead’s DPC technology as a promising emerging delivery approach, with the potential to complement our existing delivery platform which currently includes lipid nanoparticles and our siRNA conjugate platform,” said Laurence Reid, Ph.D., Senior Vice President and Chief Business Officer of Alnylam. “In addition, by granting Arrowhead a license for their HBV program, we are enabling their efforts with access to Alnylam intellectual property which we believe is critical for the development and commercialization of RNAi therapeutics. We look forward to continuing to work with Arrowhead, who is already a partner and licensee of Alnylam.”</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license from Alnylam is an important step for us as we expand our pipeline to include our first DPC-enabled candidate targeting hepatitis B,” said Christopher Anzalone, Ph.D., President and CEO of Arrowhead. “With over 350 million carriers world-wide, HBV represents a large underserved medical need, and one that RNAi and DPCs are well-suited to address. We are also very pleased to grant Alnylam the first commercial license to our DPC technology for one of their genetically defined disease targets. We believe DPCs represent one of the most promising delivery approaches for the systemic delivery of RNAi therapeutics, and we look forward to a close collaboration to help Alnylam bring a DPC-enabled candidate to the clinic.”</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RNA Interference (RNAi)</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RNAi (RNA interference) is a revolution in biology, representing a breakthrough in understanding how genes are turned on and off in cells, and a completely new approach to drug discovery and development. Its discovery has been heralded as “a major scientific breakthrough that happens once every decade or so,” and represents one of the most promising and rapidly advancing frontiers in biology and drug discovery today which was awarded the 2006 Nobel Prize for Physiology or Medicine. RNAi is a natural process of gene silencing that occurs in organisms ranging from plants to mammals. By harnessing the natural biological process of RNAi occurring in our cells, the creation of a major new class of medicines, known as RNAi therapeutics, is on the horizon. Small interfering RNAs (siRNAs), the molecules that mediate RNAi and comprise Alnylam’s RNAi therapeutic platform, target the cause of diseases by potently silencing specific mRNAs, thereby preventing disease-causing proteins from being made. RNAi therapeutics have the potential to treat disease and help patients in a fundamentally new way.</w:t>
      </w:r>
    </w:p>
    <w:p>
      <w:pPr>
        <w:sectPr>
          <w:pgSz w:w="11900" w:h="16838" w:orient="portrait"/>
          <w:cols w:equalWidth="0" w:num="1">
            <w:col w:w="11380"/>
          </w:cols>
          <w:pgMar w:left="240" w:top="553" w:right="2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About DPC Technology</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Dynamic Polyconjugate (DPC) technology is a systemic siRNA delivery platform that enables polymer-based formulation chemistry to efficiently target gene silencing complexes to specific cells. As the DPCs attach to and enter the target cells, they respond to the environmental cues provided by the cell to disassemble and release the active siRNA molecule. This unique chemistry mimics the natural viral targeting and disassembly process. Pre-clinical studies show that DPCs are highly efficacious for delivery to the liver.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“Alnylam 5x15™”</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“Alnylam 5x15” strategy, launched in January 2011, establishes a path for development and commercialization of novel RNAi therapeutics to address genetically defined diseases with high unmet medical need. Products arising from this initiative share several key characteristics including: a genetically defined target and disease; the potential to have a major impact in a high unmet need population; the ability to leverage the existing Alnylam RNAi delivery platform; the opportunity to monitor an early biomarker in Phase I clinical trials for human proof of concept; and the existence of clinically relevant endpoints for the filing of a new drug application (NDA) with a focused patient database and possible accelerated paths for commercialization. This strategy leverages Alnylam’s clinical progress on siRNA delivery, including definitive human proof-of-concept data for systemic delivery. By the end of 2015, the company expects to have five such RNAi therapeutic programs in advanced clinical development. These include ALN-TTR for the treatment of transthyretin-mediated amyloidosis (ATTR), ALN-PCS for the treatment of severe hypercholesterolemia, ALN-HPN for the treatment of refractory anemia, ALN-APC for the treatment of hemophilia, and one additional program from the company’s ongoing discovery efforts that will be designated at or around the end of 2011. Alnylam intends to focus on developing and commercializing certain products arising under the “Alnylam 5x15” strategy itself in the United States and potentially certain other countries; the company will seek development and commercial partners for other core products both in the United States and in other global territories.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Alnylam Pharmaceuticals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Alnylam is a biopharmaceutical company developing novel therapeutics based on RNA interference, or RNAi. The company is leading the translation of RNAi as a new class of innovative medicines with a core focus on RNAi therapeutics for the treatment of genetically defined diseases, including ALN-TTR for the treatment of transthyretin-mediated amyloidosis (ATTR), ALN-PCS for the treatment of severe hypercholesterolemia, ALN-HPN for the treatment of refractory anemia, and ALN-APC for the treatment of hemophilia. As part of its “Alnylam 5x15</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strategy, the company expects to have five RNAi therapeutic products for genetically defined diseases in advanced stages of clinical development by the end of 2015. Alnylam has additional partner-based programs in clinical or development stages, including ALN-RSV01 for the treatment of respiratory syncytial virus (RSV) infection, ALN-VSP for the treatment of liver cancers, and ALN-HTT for the treatment of Huntington’s disease. The company’s leadership position on RNAi therapeutics and intellectual property have enabled it to form major alliances with leading companies including Merck, Medtronic, Novartis, Biogen Idec, Roche, Takeda, Kyowa Hakko Kirin, and Cubist. In addition, Alnylam and Isis co-founded Regulus Therapeutics Inc., a company focused on discovery, development, and commercialization of microRNA therapeutics; Regulus has formed partnerships with GlaxoSmithKline and Sanofi. Alnylam has also formed Alnylam Biotherapeutics, a division of the company focused on the development of RNAi technologies for application in biologics manufacturing, including recombinant proteins and monoclonal antibodies. Alnylam’s VaxiRNA™ platform applies RNAi technology to improve the manufacturing processes for vaccines; GlaxoSmithKline is a collaborator in this effort. Alnylam scientists and collaborators have published their research on RNAi therapeutics in over 100 peer-reviewed papers, including many in the world’s top scientific journals such as </w:t>
      </w:r>
      <w:r>
        <w:rPr>
          <w:rFonts w:ascii="Arial" w:cs="Arial" w:eastAsia="Arial" w:hAnsi="Arial"/>
          <w:sz w:val="16"/>
          <w:szCs w:val="16"/>
          <w:i w:val="1"/>
          <w:iCs w:val="1"/>
          <w:color w:val="auto"/>
        </w:rPr>
        <w:t>Nature</w:t>
      </w:r>
      <w:r>
        <w:rPr>
          <w:rFonts w:ascii="Arial" w:cs="Arial" w:eastAsia="Arial" w:hAnsi="Arial"/>
          <w:sz w:val="16"/>
          <w:szCs w:val="16"/>
          <w:color w:val="auto"/>
        </w:rPr>
        <w:t xml:space="preserve">, </w:t>
      </w:r>
      <w:r>
        <w:rPr>
          <w:rFonts w:ascii="Arial" w:cs="Arial" w:eastAsia="Arial" w:hAnsi="Arial"/>
          <w:sz w:val="16"/>
          <w:szCs w:val="16"/>
          <w:i w:val="1"/>
          <w:iCs w:val="1"/>
          <w:color w:val="auto"/>
        </w:rPr>
        <w:t>Nature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Nature Biotechnology</w:t>
      </w:r>
      <w:r>
        <w:rPr>
          <w:rFonts w:ascii="Arial" w:cs="Arial" w:eastAsia="Arial" w:hAnsi="Arial"/>
          <w:sz w:val="16"/>
          <w:szCs w:val="16"/>
          <w:color w:val="auto"/>
        </w:rPr>
        <w:t xml:space="preserve">, and </w:t>
      </w:r>
      <w:r>
        <w:rPr>
          <w:rFonts w:ascii="Arial" w:cs="Arial" w:eastAsia="Arial" w:hAnsi="Arial"/>
          <w:sz w:val="16"/>
          <w:szCs w:val="16"/>
          <w:i w:val="1"/>
          <w:iCs w:val="1"/>
          <w:color w:val="auto"/>
        </w:rPr>
        <w:t>Cell</w:t>
      </w:r>
      <w:r>
        <w:rPr>
          <w:rFonts w:ascii="Arial" w:cs="Arial" w:eastAsia="Arial" w:hAnsi="Arial"/>
          <w:sz w:val="16"/>
          <w:szCs w:val="16"/>
          <w:color w:val="auto"/>
        </w:rPr>
        <w:t xml:space="preserve">. Founded in 2002, Alnylam maintains headquarters in Cambridge, Massachusetts. For more information, please visit </w:t>
      </w:r>
      <w:r>
        <w:rPr>
          <w:rFonts w:ascii="Arial" w:cs="Arial" w:eastAsia="Arial" w:hAnsi="Arial"/>
          <w:sz w:val="16"/>
          <w:szCs w:val="16"/>
          <w:u w:val="single" w:color="auto"/>
          <w:color w:val="auto"/>
        </w:rPr>
        <w:t>www.alnylam.com</w:t>
      </w:r>
      <w:r>
        <w:rPr>
          <w:rFonts w:ascii="Arial" w:cs="Arial" w:eastAsia="Arial" w:hAnsi="Arial"/>
          <w:sz w:val="16"/>
          <w:szCs w:val="16"/>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Arrowhead Research Corporation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Arrowhead Research Corporation is a clinical stage nanomedicine company developing innovative therapies at the interface of biology and nanoengineering. Arrowhead’s world-class capabilities and intellectual property covering nucleic acid delivery, siRNA chemistry, and tissue targeting allow it to design and develop therapeutic agents for a wide range of diseases. The company’s lead products include CALAA-01, an oncology drug candidate based on the gene silencing RNA interference (RNAi) mechanism, and Adipotide™, an anti-obesity peptide that targets and kills the blood vessels that feed white adipose tissue. Arrowhead is leveraging its proprietary Dynamic Polyconjugate™ (DPC), Liposomal Nanoparticle (LNP), and RONDEL™ delivery platforms to support its own pipeline of preclinical and clinical candidates and to secure external partnerships and collaborations with biotech and pharmaceutical companies. For more information, please visit </w:t>
      </w:r>
      <w:r>
        <w:rPr>
          <w:rFonts w:ascii="Arial" w:cs="Arial" w:eastAsia="Arial" w:hAnsi="Arial"/>
          <w:sz w:val="17"/>
          <w:szCs w:val="17"/>
          <w:u w:val="single" w:color="auto"/>
          <w:color w:val="auto"/>
        </w:rPr>
        <w:t>www.arrowheadresearch.com</w:t>
      </w:r>
      <w:r>
        <w:rPr>
          <w:rFonts w:ascii="Arial" w:cs="Arial" w:eastAsia="Arial" w:hAnsi="Arial"/>
          <w:sz w:val="17"/>
          <w:szCs w:val="17"/>
          <w:color w:val="auto"/>
        </w:rPr>
        <w:t>.</w:t>
      </w:r>
    </w:p>
    <w:p>
      <w:pPr>
        <w:sectPr>
          <w:pgSz w:w="11900" w:h="16838" w:orient="portrait"/>
          <w:cols w:equalWidth="0" w:num="1">
            <w:col w:w="11400"/>
          </w:cols>
          <w:pgMar w:left="240" w:top="661"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Alnylam 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Various statements in this release concerning Alnylam’s future expectations, plans and prospects, including without limitation, statements regarding Alnylam’s views with respect to the potential for RNAi therapeutics and DPC technology, and Alnylam’s expectations regarding its “Alnylam 5x15” product strategy, constitute forward-looking statements for the purposes of the safe harbor provisions under The Private Securities Litigation Reform Act of 1995. Actual results may differ materially from those indicated by these forward-looking statements as a result of various important factors, including, without limitation, Alnylam’s ability to discover and develop novel drug candidates, successfully demonstrate the efficacy and safety of its drug candidates, including those utilizing DPC technology, the pre-clinical and clinical results for its product candidates, which may not support further development of product candidates, actions of regulatory agencies, which may affect the initiation, timing and progress of clinical trials, obtaining, maintaining and protecting intellectual property, obtaining regulatory approval for products, competition from others using technology similar to Alnylam’s and others developing products for similar uses, as well as those risks more fully discussed in the “Risk Factors” section of its most recent quarterly report on Form 10-Q on file with the Securities and Exchange Commission. In addition, any forward-looking statements represent Alnylam’s views only as of today and should not be relied upon as representing its views as of any subsequent date. Alnylam does not assume any obligation to update any forward-looking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Arrowhead Forward-Looking Statements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This news release contains forward-looking statements within the meaning of the “safe harbor” provisions of the Private Securities Litigation Reform Act of 1995. These statements are based upon our current expectations and speak only as of the date hereof. Our actual results may differ materially and adversely from those expressed in any forward-looking statements as a result of various factors and uncertainties, including the future success of our scientific studies, our ability to successfully develop drug candidates, the timing for starting and completing clinical trials, rapid technological change in our markets, and the enforcement of our intellectual property rights. Arrowhead Research Corporation’s most recent Annual Report on Form 10-K and subsequent Quarterly Reports on Form 10-Q discuss some of the important risk factors that may affect our business, results of operations and financial condition. We assume no obligation to update or revise forward-looking statements to reflect new events or circumstances.</w:t>
      </w:r>
    </w:p>
    <w:p>
      <w:pPr>
        <w:sectPr>
          <w:pgSz w:w="11900" w:h="16838" w:orient="portrait"/>
          <w:cols w:equalWidth="0" w:num="1">
            <w:col w:w="11360"/>
          </w:cols>
          <w:pgMar w:left="240" w:top="661" w:right="2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ALNYLAM CRT ADDITIONAL PATENT RIGHTS</w:t>
      </w:r>
    </w:p>
    <w:p>
      <w:pPr>
        <w:sectPr>
          <w:pgSz w:w="11900" w:h="16838" w:orient="portrait"/>
          <w:cols w:equalWidth="0" w:num="1">
            <w:col w:w="9019"/>
          </w:cols>
          <w:pgMar w:left="1440" w:top="337" w:right="144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0"/>
        </w:trPr>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Our Ref. No.</w:t>
            </w:r>
          </w:p>
        </w:tc>
        <w:tc>
          <w:tcPr>
            <w:tcW w:w="1360" w:type="dxa"/>
            <w:vAlign w:val="bottom"/>
          </w:tcPr>
          <w:p>
            <w:pPr>
              <w:ind w:left="460"/>
              <w:spacing w:after="0"/>
              <w:rPr>
                <w:sz w:val="20"/>
                <w:szCs w:val="20"/>
                <w:color w:val="auto"/>
              </w:rPr>
            </w:pPr>
            <w:r>
              <w:rPr>
                <w:rFonts w:ascii="Arial" w:cs="Arial" w:eastAsia="Arial" w:hAnsi="Arial"/>
                <w:sz w:val="18"/>
                <w:szCs w:val="18"/>
                <w:b w:val="1"/>
                <w:bCs w:val="1"/>
                <w:color w:val="auto"/>
              </w:rPr>
              <w:t>Country</w:t>
            </w:r>
          </w:p>
        </w:tc>
        <w:tc>
          <w:tcPr>
            <w:tcW w:w="1460" w:type="dxa"/>
            <w:vAlign w:val="bottom"/>
          </w:tcPr>
          <w:p>
            <w:pPr>
              <w:ind w:left="180"/>
              <w:spacing w:after="0"/>
              <w:rPr>
                <w:sz w:val="20"/>
                <w:szCs w:val="20"/>
                <w:color w:val="auto"/>
              </w:rPr>
            </w:pPr>
            <w:r>
              <w:rPr>
                <w:rFonts w:ascii="Arial" w:cs="Arial" w:eastAsia="Arial" w:hAnsi="Arial"/>
                <w:sz w:val="18"/>
                <w:szCs w:val="18"/>
                <w:b w:val="1"/>
                <w:bCs w:val="1"/>
                <w:color w:val="auto"/>
                <w:w w:val="95"/>
              </w:rPr>
              <w:t>Application No.</w:t>
            </w: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PatNumber</w:t>
            </w:r>
          </w:p>
        </w:tc>
        <w:tc>
          <w:tcPr>
            <w:tcW w:w="1500" w:type="dxa"/>
            <w:vAlign w:val="bottom"/>
          </w:tcPr>
          <w:p>
            <w:pPr>
              <w:ind w:left="120"/>
              <w:spacing w:after="0"/>
              <w:rPr>
                <w:sz w:val="20"/>
                <w:szCs w:val="20"/>
                <w:color w:val="auto"/>
              </w:rPr>
            </w:pPr>
            <w:r>
              <w:rPr>
                <w:rFonts w:ascii="Arial" w:cs="Arial" w:eastAsia="Arial" w:hAnsi="Arial"/>
                <w:sz w:val="18"/>
                <w:szCs w:val="18"/>
                <w:b w:val="1"/>
                <w:bCs w:val="1"/>
                <w:color w:val="auto"/>
                <w:w w:val="88"/>
              </w:rPr>
              <w:t>ApplicationStatus</w:t>
            </w:r>
          </w:p>
        </w:tc>
        <w:tc>
          <w:tcPr>
            <w:tcW w:w="3820" w:type="dxa"/>
            <w:vAlign w:val="bottom"/>
          </w:tcPr>
          <w:p>
            <w:pPr>
              <w:ind w:left="140"/>
              <w:spacing w:after="0"/>
              <w:rPr>
                <w:sz w:val="20"/>
                <w:szCs w:val="20"/>
                <w:color w:val="auto"/>
              </w:rPr>
            </w:pPr>
            <w:r>
              <w:rPr>
                <w:rFonts w:ascii="Arial" w:cs="Arial" w:eastAsia="Arial" w:hAnsi="Arial"/>
                <w:sz w:val="18"/>
                <w:szCs w:val="18"/>
                <w:b w:val="1"/>
                <w:bCs w:val="1"/>
                <w:color w:val="auto"/>
              </w:rPr>
              <w:t>Title</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4"/>
              </w:rPr>
              <w:t>CRT-001AU1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200114065 B2</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774285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2"/>
              </w:rPr>
              <w:t>CRT-001AT1</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Austria</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CRT-001BE1</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CRT-001CA1</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2391622</w:t>
            </w: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ExamReq</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CRT-001CY1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Cyprus</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4"/>
              </w:rPr>
              <w:t>CRT-001DK1</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Denmark</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7"/>
              </w:rPr>
              <w:t>CRT-001EP1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EP1230375B1</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CRT-001FI1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Finland</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CRT-001FR1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CRT-001DE1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CRT-001DE1</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Greece</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4"/>
              </w:rPr>
              <w:t>CRT-001HK1</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03100785.6</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1050378</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9"/>
              </w:rPr>
              <w:t>CRT-001IE1</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CRT-001IL1</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Israel</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149666</w:t>
            </w: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CRT-001IT1</w:t>
            </w:r>
          </w:p>
        </w:tc>
        <w:tc>
          <w:tcPr>
            <w:tcW w:w="1360" w:type="dxa"/>
            <w:vAlign w:val="bottom"/>
          </w:tcPr>
          <w:p>
            <w:pPr>
              <w:jc w:val="center"/>
              <w:spacing w:after="0"/>
              <w:rPr>
                <w:sz w:val="20"/>
                <w:szCs w:val="20"/>
                <w:color w:val="auto"/>
              </w:rPr>
            </w:pPr>
            <w:r>
              <w:rPr>
                <w:rFonts w:ascii="Arial" w:cs="Arial" w:eastAsia="Arial" w:hAnsi="Arial"/>
                <w:sz w:val="18"/>
                <w:szCs w:val="18"/>
                <w:color w:val="auto"/>
              </w:rPr>
              <w:t>Italy</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6"/>
              </w:rPr>
              <w:t>CRT-001JP1</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2001-538524</w:t>
            </w: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CRT-001JPD1</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Not Filed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3"/>
              </w:rPr>
              <w:t>CRT-001LV1</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Latvia</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EP1230375B1</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CRT-001LI1</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Liechtenstein</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2"/>
              </w:rPr>
              <w:t>CRT-001LU1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2"/>
              </w:rPr>
              <w:t>CRT-001MX1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PA/a/2002/005013</w:t>
            </w: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CRT-001MC1</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Monaco</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3"/>
              </w:rPr>
              <w:t>CRT-001NL</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2"/>
              </w:rPr>
              <w:t>CRT-001NZ</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New Zealand</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519325</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519325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CRT-001NZ1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Norway</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20022359</w:t>
            </w: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CRT-001PL</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P356698</w:t>
            </w: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9"/>
              </w:rPr>
              <w:t>CRT-001PL1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P388605</w:t>
            </w: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8"/>
              </w:rPr>
              <w:t>CRT-001PT1</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Portugal</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9"/>
              </w:rPr>
              <w:t>CRT-001SG1</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Singapore</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200203380-1</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89569</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2"/>
              </w:rPr>
              <w:t>CRT-001ZA1</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South Africa</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2002-3816</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2002/3816</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8"/>
              </w:rPr>
              <w:t>CRT-001ES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8"/>
              </w:rPr>
              <w:t>CRT-001SE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Sweden</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CRT-001CH</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CRT-001TR1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Turkey</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9"/>
              </w:rPr>
              <w:t>CRT-001GB0</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Expired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9"/>
              </w:rPr>
              <w:t>CRT-001GB1</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00976188.3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1230375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GrantedInOp</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CRT-001US1</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10/150426</w:t>
            </w: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8"/>
              </w:rPr>
              <w:t>CRT-</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11/933121</w:t>
            </w: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3"/>
              </w:rPr>
              <w:t>001USCON1</w:t>
            </w: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8"/>
              </w:rPr>
              <w:t>CRT-</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11/933,153</w:t>
            </w:r>
          </w:p>
        </w:tc>
        <w:tc>
          <w:tcPr>
            <w:tcW w:w="1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3820" w:type="dxa"/>
            <w:vAlign w:val="bottom"/>
          </w:tcPr>
          <w:p>
            <w:pPr>
              <w:spacing w:after="0"/>
              <w:rPr>
                <w:sz w:val="20"/>
                <w:szCs w:val="20"/>
                <w:color w:val="auto"/>
              </w:rPr>
            </w:pPr>
            <w:r>
              <w:rPr>
                <w:rFonts w:ascii="Arial" w:cs="Arial" w:eastAsia="Arial" w:hAnsi="Arial"/>
                <w:sz w:val="18"/>
                <w:szCs w:val="18"/>
                <w:color w:val="auto"/>
                <w:w w:val="96"/>
              </w:rPr>
              <w:t>INHIBITING GENE EXPRESSION WITH DSRNA</w:t>
            </w:r>
          </w:p>
        </w:tc>
      </w:tr>
      <w:tr>
        <w:trPr>
          <w:trHeight w:val="230"/>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3"/>
              </w:rPr>
              <w:t>001USCON2</w:t>
            </w:r>
          </w:p>
        </w:tc>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ectPr>
          <w:pgSz w:w="11900" w:h="16838" w:orient="portrait"/>
          <w:cols w:equalWidth="0" w:num="1">
            <w:col w:w="10560"/>
          </w:cols>
          <w:pgMar w:left="380" w:top="418" w:right="9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ALNYLAM STANFORD ADDITIONAL PATENT RIGHTS</w:t>
      </w:r>
    </w:p>
    <w:p>
      <w:pPr>
        <w:sectPr>
          <w:pgSz w:w="11900" w:h="16838" w:orient="portrait"/>
          <w:cols w:equalWidth="0" w:num="1">
            <w:col w:w="9019"/>
          </w:cols>
          <w:pgMar w:left="1440" w:top="337"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1660" w:type="dxa"/>
            <w:vAlign w:val="bottom"/>
          </w:tcPr>
          <w:p>
            <w:pPr>
              <w:jc w:val="center"/>
              <w:ind w:right="71"/>
              <w:spacing w:after="0"/>
              <w:rPr>
                <w:sz w:val="20"/>
                <w:szCs w:val="20"/>
                <w:color w:val="auto"/>
              </w:rPr>
            </w:pPr>
            <w:r>
              <w:rPr>
                <w:rFonts w:ascii="Arial" w:cs="Arial" w:eastAsia="Arial" w:hAnsi="Arial"/>
                <w:sz w:val="14"/>
                <w:szCs w:val="14"/>
                <w:b w:val="1"/>
                <w:bCs w:val="1"/>
                <w:color w:val="auto"/>
                <w:w w:val="95"/>
              </w:rPr>
              <w:t>Our Ref. No.</w:t>
            </w:r>
          </w:p>
        </w:tc>
        <w:tc>
          <w:tcPr>
            <w:tcW w:w="1220" w:type="dxa"/>
            <w:vAlign w:val="bottom"/>
          </w:tcPr>
          <w:p>
            <w:pPr>
              <w:ind w:left="380"/>
              <w:spacing w:after="0"/>
              <w:rPr>
                <w:sz w:val="20"/>
                <w:szCs w:val="20"/>
                <w:color w:val="auto"/>
              </w:rPr>
            </w:pPr>
            <w:r>
              <w:rPr>
                <w:rFonts w:ascii="Arial" w:cs="Arial" w:eastAsia="Arial" w:hAnsi="Arial"/>
                <w:sz w:val="14"/>
                <w:szCs w:val="14"/>
                <w:b w:val="1"/>
                <w:bCs w:val="1"/>
                <w:color w:val="auto"/>
              </w:rPr>
              <w:t>Country</w:t>
            </w:r>
          </w:p>
        </w:tc>
        <w:tc>
          <w:tcPr>
            <w:tcW w:w="1660" w:type="dxa"/>
            <w:vAlign w:val="bottom"/>
          </w:tcPr>
          <w:p>
            <w:pPr>
              <w:ind w:left="440"/>
              <w:spacing w:after="0"/>
              <w:rPr>
                <w:sz w:val="20"/>
                <w:szCs w:val="20"/>
                <w:color w:val="auto"/>
              </w:rPr>
            </w:pPr>
            <w:r>
              <w:rPr>
                <w:rFonts w:ascii="Arial" w:cs="Arial" w:eastAsia="Arial" w:hAnsi="Arial"/>
                <w:sz w:val="14"/>
                <w:szCs w:val="14"/>
                <w:b w:val="1"/>
                <w:bCs w:val="1"/>
                <w:color w:val="auto"/>
              </w:rPr>
              <w:t>Application No.</w:t>
            </w: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Patent No.</w:t>
            </w:r>
          </w:p>
        </w:tc>
        <w:tc>
          <w:tcPr>
            <w:tcW w:w="1200" w:type="dxa"/>
            <w:vAlign w:val="bottom"/>
          </w:tcPr>
          <w:p>
            <w:pPr>
              <w:ind w:left="480"/>
              <w:spacing w:after="0"/>
              <w:rPr>
                <w:sz w:val="20"/>
                <w:szCs w:val="20"/>
                <w:color w:val="auto"/>
              </w:rPr>
            </w:pPr>
            <w:r>
              <w:rPr>
                <w:rFonts w:ascii="Arial" w:cs="Arial" w:eastAsia="Arial" w:hAnsi="Arial"/>
                <w:sz w:val="14"/>
                <w:szCs w:val="14"/>
                <w:b w:val="1"/>
                <w:bCs w:val="1"/>
                <w:color w:val="auto"/>
              </w:rPr>
              <w:t>Status</w:t>
            </w:r>
          </w:p>
        </w:tc>
        <w:tc>
          <w:tcPr>
            <w:tcW w:w="462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0"/>
              </w:rPr>
              <w:t>STN 001.4US1</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10/259226</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w w:val="96"/>
              </w:rPr>
              <w:t>METHODS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VIRAL GENE EXPRESSION IN</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3"/>
              </w:rPr>
              <w:t>STN 001.4USCON1</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12/368,082</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620" w:type="dxa"/>
            <w:vAlign w:val="bottom"/>
          </w:tcPr>
          <w:p>
            <w:pPr>
              <w:ind w:left="100"/>
              <w:spacing w:after="0"/>
              <w:rPr>
                <w:sz w:val="20"/>
                <w:szCs w:val="20"/>
                <w:color w:val="auto"/>
              </w:rPr>
            </w:pPr>
            <w:r>
              <w:rPr>
                <w:rFonts w:ascii="Arial" w:cs="Arial" w:eastAsia="Arial" w:hAnsi="Arial"/>
                <w:sz w:val="18"/>
                <w:szCs w:val="18"/>
                <w:color w:val="auto"/>
                <w:w w:val="96"/>
              </w:rPr>
              <w:t>METHODS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VIRAL GENE EXPRESSION IN</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3"/>
              </w:rPr>
              <w:t>STN 001.4USCON2</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12/576052</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Appealed</w:t>
            </w:r>
          </w:p>
        </w:tc>
        <w:tc>
          <w:tcPr>
            <w:tcW w:w="4620" w:type="dxa"/>
            <w:vAlign w:val="bottom"/>
          </w:tcPr>
          <w:p>
            <w:pPr>
              <w:ind w:left="100"/>
              <w:spacing w:after="0"/>
              <w:rPr>
                <w:sz w:val="20"/>
                <w:szCs w:val="20"/>
                <w:color w:val="auto"/>
              </w:rPr>
            </w:pPr>
            <w:r>
              <w:rPr>
                <w:rFonts w:ascii="Arial" w:cs="Arial" w:eastAsia="Arial" w:hAnsi="Arial"/>
                <w:sz w:val="18"/>
                <w:szCs w:val="18"/>
                <w:color w:val="auto"/>
                <w:w w:val="96"/>
              </w:rPr>
              <w:t>METHODS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VIRAL GENE EXPRESSION IN</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0"/>
              </w:rPr>
              <w:t>STN-001.1USPRO1</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60/307,411</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Expired</w:t>
            </w:r>
          </w:p>
        </w:tc>
        <w:tc>
          <w:tcPr>
            <w:tcW w:w="4620" w:type="dxa"/>
            <w:vAlign w:val="bottom"/>
          </w:tcPr>
          <w:p>
            <w:pPr>
              <w:ind w:left="100"/>
              <w:spacing w:after="0"/>
              <w:rPr>
                <w:sz w:val="20"/>
                <w:szCs w:val="20"/>
                <w:color w:val="auto"/>
              </w:rPr>
            </w:pPr>
            <w:r>
              <w:rPr>
                <w:rFonts w:ascii="Arial" w:cs="Arial" w:eastAsia="Arial" w:hAnsi="Arial"/>
                <w:sz w:val="18"/>
                <w:szCs w:val="18"/>
                <w:color w:val="auto"/>
              </w:rPr>
              <w:t>METHODS AND COMPOSITIONS FOR IN VIVO</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DELIVERY OF A NAKED RIBONUCLEIC ACID INTO A</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TARGET CELL</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0"/>
              </w:rPr>
              <w:t>STN-001.2USPRO1</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60/360,664</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Expired</w:t>
            </w:r>
          </w:p>
        </w:tc>
        <w:tc>
          <w:tcPr>
            <w:tcW w:w="4620" w:type="dxa"/>
            <w:vAlign w:val="bottom"/>
          </w:tcPr>
          <w:p>
            <w:pPr>
              <w:ind w:left="100"/>
              <w:spacing w:after="0"/>
              <w:rPr>
                <w:sz w:val="20"/>
                <w:szCs w:val="20"/>
                <w:color w:val="auto"/>
              </w:rPr>
            </w:pPr>
            <w:r>
              <w:rPr>
                <w:rFonts w:ascii="Arial" w:cs="Arial" w:eastAsia="Arial" w:hAnsi="Arial"/>
                <w:sz w:val="18"/>
                <w:szCs w:val="18"/>
                <w:color w:val="auto"/>
              </w:rPr>
              <w:t>METHODS AND COMPOSITIONS FOR IN VIVO</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DELIVERY OF A NAKED RIBONUCLEIC ACID INTO A</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TARGET CELL</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4"/>
              </w:rPr>
              <w:t>STN-001.3AU</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2002326410</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Accepted</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6"/>
              </w:rPr>
              <w:t>STN-001.3AUD1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2009200231</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4"/>
              </w:rPr>
              <w:t>STN-001.3CA</w:t>
            </w:r>
          </w:p>
        </w:tc>
        <w:tc>
          <w:tcPr>
            <w:tcW w:w="122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2,454,183</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1"/>
              </w:rPr>
              <w:t>STN-001.3EP</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02761123.5</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0"/>
              </w:rPr>
              <w:t>STN-001.3EPD1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10178509.5</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4"/>
              </w:rPr>
              <w:t>STN-001.3HK</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04108019.6</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0"/>
              </w:rPr>
              <w:t>STN-001.3JP</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2003-515539</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0"/>
              </w:rPr>
              <w:t>STN-001.3JPD1</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2007-511489</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0"/>
              </w:rPr>
              <w:t>STN-001.3JPD2</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2010-249697</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3"/>
              </w:rPr>
              <w:t>STN-001.3WO</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PCT</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PCT/US02/22869</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CompletedNt</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1"/>
              </w:rPr>
              <w:t>STN-001.3US</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10/200002</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Appealed</w:t>
            </w:r>
          </w:p>
        </w:tc>
        <w:tc>
          <w:tcPr>
            <w:tcW w:w="4620" w:type="dxa"/>
            <w:vAlign w:val="bottom"/>
          </w:tcPr>
          <w:p>
            <w:pPr>
              <w:ind w:left="100"/>
              <w:spacing w:after="0"/>
              <w:rPr>
                <w:sz w:val="20"/>
                <w:szCs w:val="20"/>
                <w:color w:val="auto"/>
              </w:rPr>
            </w:pPr>
            <w:r>
              <w:rPr>
                <w:rFonts w:ascii="Arial" w:cs="Arial" w:eastAsia="Arial" w:hAnsi="Arial"/>
                <w:sz w:val="18"/>
                <w:szCs w:val="18"/>
                <w:color w:val="auto"/>
                <w:w w:val="99"/>
              </w:rPr>
              <w:t>METHOD AND COMPOSITIONS FOR RNAi MEDIATED</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INHIBITION OF GENE EXPRESSION IN MAMMALS</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6"/>
              </w:rPr>
              <w:t>STN-003AU</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2005240118</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Opposed</w:t>
            </w:r>
          </w:p>
        </w:tc>
        <w:tc>
          <w:tcPr>
            <w:tcW w:w="4620" w:type="dxa"/>
            <w:vAlign w:val="bottom"/>
          </w:tcPr>
          <w:p>
            <w:pPr>
              <w:ind w:left="100"/>
              <w:spacing w:after="0"/>
              <w:rPr>
                <w:sz w:val="20"/>
                <w:szCs w:val="20"/>
                <w:color w:val="auto"/>
              </w:rPr>
            </w:pPr>
            <w:r>
              <w:rPr>
                <w:rFonts w:ascii="Arial" w:cs="Arial" w:eastAsia="Arial" w:hAnsi="Arial"/>
                <w:sz w:val="18"/>
                <w:szCs w:val="18"/>
                <w:color w:val="auto"/>
              </w:rPr>
              <w:t>METHODS AND COMPOSITIONS FOR REDUCING</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VIRAL GENOME AMOUNTS IN A TARGET CELL</w:t>
            </w:r>
          </w:p>
        </w:tc>
      </w:tr>
      <w:tr>
        <w:trPr>
          <w:trHeight w:val="216"/>
        </w:trPr>
        <w:tc>
          <w:tcPr>
            <w:tcW w:w="1660" w:type="dxa"/>
            <w:vAlign w:val="bottom"/>
          </w:tcPr>
          <w:p>
            <w:pPr>
              <w:jc w:val="center"/>
              <w:ind w:right="71"/>
              <w:spacing w:after="0"/>
              <w:rPr>
                <w:sz w:val="20"/>
                <w:szCs w:val="20"/>
                <w:color w:val="auto"/>
              </w:rPr>
            </w:pPr>
            <w:r>
              <w:rPr>
                <w:rFonts w:ascii="Arial" w:cs="Arial" w:eastAsia="Arial" w:hAnsi="Arial"/>
                <w:sz w:val="18"/>
                <w:szCs w:val="18"/>
                <w:color w:val="auto"/>
                <w:w w:val="94"/>
              </w:rPr>
              <w:t>STN-003AUD1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620" w:type="dxa"/>
            <w:vAlign w:val="bottom"/>
          </w:tcPr>
          <w:p>
            <w:pPr>
              <w:ind w:left="100"/>
              <w:spacing w:after="0"/>
              <w:rPr>
                <w:sz w:val="20"/>
                <w:szCs w:val="20"/>
                <w:color w:val="auto"/>
              </w:rPr>
            </w:pPr>
            <w:r>
              <w:rPr>
                <w:rFonts w:ascii="Arial" w:cs="Arial" w:eastAsia="Arial" w:hAnsi="Arial"/>
                <w:sz w:val="18"/>
                <w:szCs w:val="18"/>
                <w:color w:val="auto"/>
              </w:rPr>
              <w:t>METHODS AND COMPOSITIONS FOR REDUCING</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VIRAL GENOME AMOUNTS IN A TARGET CELL</w:t>
            </w:r>
          </w:p>
        </w:tc>
      </w:tr>
      <w:tr>
        <w:trPr>
          <w:trHeight w:val="216"/>
        </w:trPr>
        <w:tc>
          <w:tcPr>
            <w:tcW w:w="1660" w:type="dxa"/>
            <w:vAlign w:val="bottom"/>
          </w:tcPr>
          <w:p>
            <w:pPr>
              <w:jc w:val="center"/>
              <w:ind w:right="51"/>
              <w:spacing w:after="0"/>
              <w:rPr>
                <w:sz w:val="20"/>
                <w:szCs w:val="20"/>
                <w:color w:val="auto"/>
              </w:rPr>
            </w:pPr>
            <w:r>
              <w:rPr>
                <w:rFonts w:ascii="Arial" w:cs="Arial" w:eastAsia="Arial" w:hAnsi="Arial"/>
                <w:sz w:val="18"/>
                <w:szCs w:val="18"/>
                <w:color w:val="auto"/>
                <w:w w:val="94"/>
              </w:rPr>
              <w:t>STN-003CA</w:t>
            </w:r>
          </w:p>
        </w:tc>
        <w:tc>
          <w:tcPr>
            <w:tcW w:w="122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2564503</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620" w:type="dxa"/>
            <w:vAlign w:val="bottom"/>
          </w:tcPr>
          <w:p>
            <w:pPr>
              <w:ind w:left="100"/>
              <w:spacing w:after="0"/>
              <w:rPr>
                <w:sz w:val="20"/>
                <w:szCs w:val="20"/>
                <w:color w:val="auto"/>
              </w:rPr>
            </w:pPr>
            <w:r>
              <w:rPr>
                <w:rFonts w:ascii="Arial" w:cs="Arial" w:eastAsia="Arial" w:hAnsi="Arial"/>
                <w:sz w:val="18"/>
                <w:szCs w:val="18"/>
                <w:color w:val="auto"/>
              </w:rPr>
              <w:t>METHODS AND COMPOSITIONS FOR REDUCING</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VIRAL GENOME AMOUNTS IN A TARGET CELL</w:t>
            </w:r>
          </w:p>
        </w:tc>
      </w:tr>
      <w:tr>
        <w:trPr>
          <w:trHeight w:val="216"/>
        </w:trPr>
        <w:tc>
          <w:tcPr>
            <w:tcW w:w="1660" w:type="dxa"/>
            <w:vAlign w:val="bottom"/>
          </w:tcPr>
          <w:p>
            <w:pPr>
              <w:jc w:val="center"/>
              <w:ind w:right="51"/>
              <w:spacing w:after="0"/>
              <w:rPr>
                <w:sz w:val="20"/>
                <w:szCs w:val="20"/>
                <w:color w:val="auto"/>
              </w:rPr>
            </w:pPr>
            <w:r>
              <w:rPr>
                <w:rFonts w:ascii="Arial" w:cs="Arial" w:eastAsia="Arial" w:hAnsi="Arial"/>
                <w:sz w:val="18"/>
                <w:szCs w:val="18"/>
                <w:color w:val="auto"/>
                <w:w w:val="91"/>
              </w:rPr>
              <w:t>STN-003EP</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05749437.9</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620" w:type="dxa"/>
            <w:vAlign w:val="bottom"/>
          </w:tcPr>
          <w:p>
            <w:pPr>
              <w:ind w:left="100"/>
              <w:spacing w:after="0"/>
              <w:rPr>
                <w:sz w:val="20"/>
                <w:szCs w:val="20"/>
                <w:color w:val="auto"/>
              </w:rPr>
            </w:pPr>
            <w:r>
              <w:rPr>
                <w:rFonts w:ascii="Arial" w:cs="Arial" w:eastAsia="Arial" w:hAnsi="Arial"/>
                <w:sz w:val="18"/>
                <w:szCs w:val="18"/>
                <w:color w:val="auto"/>
              </w:rPr>
              <w:t>METHODS AND COMPOSITIONS FOR REDUCING</w:t>
            </w:r>
          </w:p>
        </w:tc>
      </w:tr>
      <w:tr>
        <w:trPr>
          <w:trHeight w:val="216"/>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VIRAL GENOME AMOUNTS IN A TARGET CELL</w:t>
            </w:r>
          </w:p>
        </w:tc>
      </w:tr>
      <w:tr>
        <w:trPr>
          <w:trHeight w:val="216"/>
        </w:trPr>
        <w:tc>
          <w:tcPr>
            <w:tcW w:w="1660" w:type="dxa"/>
            <w:vAlign w:val="bottom"/>
          </w:tcPr>
          <w:p>
            <w:pPr>
              <w:jc w:val="center"/>
              <w:ind w:right="51"/>
              <w:spacing w:after="0"/>
              <w:rPr>
                <w:sz w:val="20"/>
                <w:szCs w:val="20"/>
                <w:color w:val="auto"/>
              </w:rPr>
            </w:pPr>
            <w:r>
              <w:rPr>
                <w:rFonts w:ascii="Arial" w:cs="Arial" w:eastAsia="Arial" w:hAnsi="Arial"/>
                <w:sz w:val="18"/>
                <w:szCs w:val="18"/>
                <w:color w:val="auto"/>
                <w:w w:val="96"/>
              </w:rPr>
              <w:t>STN-003IL</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Israel</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178679</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4620" w:type="dxa"/>
            <w:vAlign w:val="bottom"/>
          </w:tcPr>
          <w:p>
            <w:pPr>
              <w:ind w:left="100"/>
              <w:spacing w:after="0"/>
              <w:rPr>
                <w:sz w:val="20"/>
                <w:szCs w:val="20"/>
                <w:color w:val="auto"/>
              </w:rPr>
            </w:pPr>
            <w:r>
              <w:rPr>
                <w:rFonts w:ascii="Arial" w:cs="Arial" w:eastAsia="Arial" w:hAnsi="Arial"/>
                <w:sz w:val="18"/>
                <w:szCs w:val="18"/>
                <w:color w:val="auto"/>
              </w:rPr>
              <w:t>METHODS AND COMPOSITIONS FOR REDUCING</w:t>
            </w:r>
          </w:p>
        </w:tc>
      </w:tr>
      <w:tr>
        <w:trPr>
          <w:trHeight w:val="230"/>
        </w:trPr>
        <w:tc>
          <w:tcPr>
            <w:tcW w:w="1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VIRAL GENOME AMOUNTS IN A TARGET CELL</w:t>
            </w:r>
          </w:p>
        </w:tc>
      </w:tr>
    </w:tbl>
    <w:p>
      <w:pPr>
        <w:sectPr>
          <w:pgSz w:w="11900" w:h="16838" w:orient="portrait"/>
          <w:cols w:equalWidth="0" w:num="1">
            <w:col w:w="11320"/>
          </w:cols>
          <w:pgMar w:left="300" w:top="450" w:right="27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jc w:val="center"/>
              <w:ind w:right="230"/>
              <w:spacing w:after="0"/>
              <w:rPr>
                <w:sz w:val="20"/>
                <w:szCs w:val="20"/>
                <w:color w:val="auto"/>
              </w:rPr>
            </w:pPr>
            <w:r>
              <w:rPr>
                <w:rFonts w:ascii="Arial" w:cs="Arial" w:eastAsia="Arial" w:hAnsi="Arial"/>
                <w:sz w:val="18"/>
                <w:szCs w:val="18"/>
                <w:color w:val="auto"/>
                <w:w w:val="95"/>
              </w:rPr>
              <w:t>STN-003WO</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PCT</w:t>
            </w:r>
          </w:p>
        </w:tc>
        <w:tc>
          <w:tcPr>
            <w:tcW w:w="1880" w:type="dxa"/>
            <w:vAlign w:val="bottom"/>
          </w:tcPr>
          <w:p>
            <w:pPr>
              <w:jc w:val="center"/>
              <w:ind w:left="110"/>
              <w:spacing w:after="0"/>
              <w:rPr>
                <w:sz w:val="20"/>
                <w:szCs w:val="20"/>
                <w:color w:val="auto"/>
              </w:rPr>
            </w:pPr>
            <w:r>
              <w:rPr>
                <w:rFonts w:ascii="Arial" w:cs="Arial" w:eastAsia="Arial" w:hAnsi="Arial"/>
                <w:sz w:val="18"/>
                <w:szCs w:val="18"/>
                <w:color w:val="auto"/>
                <w:w w:val="91"/>
              </w:rPr>
              <w:t>PCT/US2005/015264</w:t>
            </w:r>
          </w:p>
        </w:tc>
        <w:tc>
          <w:tcPr>
            <w:tcW w:w="9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CompletedNt</w:t>
            </w:r>
          </w:p>
        </w:tc>
        <w:tc>
          <w:tcPr>
            <w:tcW w:w="4140" w:type="dxa"/>
            <w:vAlign w:val="bottom"/>
          </w:tcPr>
          <w:p>
            <w:pPr>
              <w:ind w:left="100"/>
              <w:spacing w:after="0"/>
              <w:rPr>
                <w:sz w:val="20"/>
                <w:szCs w:val="20"/>
                <w:color w:val="auto"/>
              </w:rPr>
            </w:pPr>
            <w:r>
              <w:rPr>
                <w:rFonts w:ascii="Arial" w:cs="Arial" w:eastAsia="Arial" w:hAnsi="Arial"/>
                <w:sz w:val="18"/>
                <w:szCs w:val="18"/>
                <w:color w:val="auto"/>
                <w:w w:val="95"/>
              </w:rPr>
              <w:t>METHODS AND COMPOSITIONS FOR REDUCING</w:t>
            </w:r>
          </w:p>
        </w:tc>
      </w:tr>
      <w:tr>
        <w:trPr>
          <w:trHeight w:val="216"/>
        </w:trPr>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VIRAL GENOME AMOUNTS IN A TARGET CELL</w:t>
            </w:r>
          </w:p>
        </w:tc>
      </w:tr>
      <w:tr>
        <w:trPr>
          <w:trHeight w:val="216"/>
        </w:trPr>
        <w:tc>
          <w:tcPr>
            <w:tcW w:w="1700" w:type="dxa"/>
            <w:vAlign w:val="bottom"/>
          </w:tcPr>
          <w:p>
            <w:pPr>
              <w:jc w:val="center"/>
              <w:ind w:right="230"/>
              <w:spacing w:after="0"/>
              <w:rPr>
                <w:sz w:val="20"/>
                <w:szCs w:val="20"/>
                <w:color w:val="auto"/>
              </w:rPr>
            </w:pPr>
            <w:r>
              <w:rPr>
                <w:rFonts w:ascii="Arial" w:cs="Arial" w:eastAsia="Arial" w:hAnsi="Arial"/>
                <w:sz w:val="18"/>
                <w:szCs w:val="18"/>
                <w:color w:val="auto"/>
                <w:w w:val="92"/>
              </w:rPr>
              <w:t>STN-003US</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ind w:left="130"/>
              <w:spacing w:after="0"/>
              <w:rPr>
                <w:sz w:val="20"/>
                <w:szCs w:val="20"/>
                <w:color w:val="auto"/>
              </w:rPr>
            </w:pPr>
            <w:r>
              <w:rPr>
                <w:rFonts w:ascii="Arial" w:cs="Arial" w:eastAsia="Arial" w:hAnsi="Arial"/>
                <w:sz w:val="18"/>
                <w:szCs w:val="18"/>
                <w:color w:val="auto"/>
                <w:w w:val="90"/>
              </w:rPr>
              <w:t>11/122,328</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7,307,067</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Allowed</w:t>
            </w:r>
          </w:p>
        </w:tc>
        <w:tc>
          <w:tcPr>
            <w:tcW w:w="4140" w:type="dxa"/>
            <w:vAlign w:val="bottom"/>
          </w:tcPr>
          <w:p>
            <w:pPr>
              <w:ind w:left="100"/>
              <w:spacing w:after="0"/>
              <w:rPr>
                <w:sz w:val="20"/>
                <w:szCs w:val="20"/>
                <w:color w:val="auto"/>
              </w:rPr>
            </w:pPr>
            <w:r>
              <w:rPr>
                <w:rFonts w:ascii="Arial" w:cs="Arial" w:eastAsia="Arial" w:hAnsi="Arial"/>
                <w:sz w:val="18"/>
                <w:szCs w:val="18"/>
                <w:color w:val="auto"/>
                <w:w w:val="95"/>
              </w:rPr>
              <w:t>METHODS AND COMPOSITIONS FOR REDUCING</w:t>
            </w:r>
          </w:p>
        </w:tc>
      </w:tr>
      <w:tr>
        <w:trPr>
          <w:trHeight w:val="216"/>
        </w:trPr>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VIRAL GENOME AMOUNTS IN A TARGET CELL</w:t>
            </w:r>
          </w:p>
        </w:tc>
      </w:tr>
      <w:tr>
        <w:trPr>
          <w:trHeight w:val="216"/>
        </w:trPr>
        <w:tc>
          <w:tcPr>
            <w:tcW w:w="1700" w:type="dxa"/>
            <w:vAlign w:val="bottom"/>
          </w:tcPr>
          <w:p>
            <w:pPr>
              <w:jc w:val="center"/>
              <w:ind w:right="230"/>
              <w:spacing w:after="0"/>
              <w:rPr>
                <w:sz w:val="20"/>
                <w:szCs w:val="20"/>
                <w:color w:val="auto"/>
              </w:rPr>
            </w:pPr>
            <w:r>
              <w:rPr>
                <w:rFonts w:ascii="Arial" w:cs="Arial" w:eastAsia="Arial" w:hAnsi="Arial"/>
                <w:sz w:val="18"/>
                <w:szCs w:val="18"/>
                <w:color w:val="auto"/>
                <w:w w:val="93"/>
              </w:rPr>
              <w:t>STN-003USCON1</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ind w:left="130"/>
              <w:spacing w:after="0"/>
              <w:rPr>
                <w:sz w:val="20"/>
                <w:szCs w:val="20"/>
                <w:color w:val="auto"/>
              </w:rPr>
            </w:pPr>
            <w:r>
              <w:rPr>
                <w:rFonts w:ascii="Arial" w:cs="Arial" w:eastAsia="Arial" w:hAnsi="Arial"/>
                <w:sz w:val="18"/>
                <w:szCs w:val="18"/>
                <w:color w:val="auto"/>
                <w:w w:val="91"/>
              </w:rPr>
              <w:t>12/950672</w:t>
            </w:r>
          </w:p>
        </w:tc>
        <w:tc>
          <w:tcPr>
            <w:tcW w:w="9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Published</w:t>
            </w:r>
          </w:p>
        </w:tc>
        <w:tc>
          <w:tcPr>
            <w:tcW w:w="4140" w:type="dxa"/>
            <w:vAlign w:val="bottom"/>
          </w:tcPr>
          <w:p>
            <w:pPr>
              <w:ind w:left="100"/>
              <w:spacing w:after="0"/>
              <w:rPr>
                <w:sz w:val="20"/>
                <w:szCs w:val="20"/>
                <w:color w:val="auto"/>
              </w:rPr>
            </w:pPr>
            <w:r>
              <w:rPr>
                <w:rFonts w:ascii="Arial" w:cs="Arial" w:eastAsia="Arial" w:hAnsi="Arial"/>
                <w:sz w:val="18"/>
                <w:szCs w:val="18"/>
                <w:color w:val="auto"/>
                <w:w w:val="95"/>
              </w:rPr>
              <w:t>METHODS AND COMPOSITIONS FOR REDUCING</w:t>
            </w:r>
          </w:p>
        </w:tc>
      </w:tr>
      <w:tr>
        <w:trPr>
          <w:trHeight w:val="216"/>
        </w:trPr>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VIRAL GENOME AMOUNTS IN A TARGET CELL</w:t>
            </w:r>
          </w:p>
        </w:tc>
      </w:tr>
      <w:tr>
        <w:trPr>
          <w:trHeight w:val="216"/>
        </w:trPr>
        <w:tc>
          <w:tcPr>
            <w:tcW w:w="1700" w:type="dxa"/>
            <w:vAlign w:val="bottom"/>
          </w:tcPr>
          <w:p>
            <w:pPr>
              <w:jc w:val="center"/>
              <w:ind w:right="230"/>
              <w:spacing w:after="0"/>
              <w:rPr>
                <w:sz w:val="20"/>
                <w:szCs w:val="20"/>
                <w:color w:val="auto"/>
              </w:rPr>
            </w:pPr>
            <w:r>
              <w:rPr>
                <w:rFonts w:ascii="Arial" w:cs="Arial" w:eastAsia="Arial" w:hAnsi="Arial"/>
                <w:sz w:val="18"/>
                <w:szCs w:val="18"/>
                <w:color w:val="auto"/>
                <w:w w:val="93"/>
              </w:rPr>
              <w:t>STN-003USCON2</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ind w:left="130"/>
              <w:spacing w:after="0"/>
              <w:rPr>
                <w:sz w:val="20"/>
                <w:szCs w:val="20"/>
                <w:color w:val="auto"/>
              </w:rPr>
            </w:pPr>
            <w:r>
              <w:rPr>
                <w:rFonts w:ascii="Arial" w:cs="Arial" w:eastAsia="Arial" w:hAnsi="Arial"/>
                <w:sz w:val="18"/>
                <w:szCs w:val="18"/>
                <w:color w:val="auto"/>
                <w:w w:val="90"/>
              </w:rPr>
              <w:t>11/953,705</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7,838,504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4140" w:type="dxa"/>
            <w:vAlign w:val="bottom"/>
          </w:tcPr>
          <w:p>
            <w:pPr>
              <w:ind w:left="100"/>
              <w:spacing w:after="0"/>
              <w:rPr>
                <w:sz w:val="20"/>
                <w:szCs w:val="20"/>
                <w:color w:val="auto"/>
              </w:rPr>
            </w:pPr>
            <w:r>
              <w:rPr>
                <w:rFonts w:ascii="Arial" w:cs="Arial" w:eastAsia="Arial" w:hAnsi="Arial"/>
                <w:sz w:val="18"/>
                <w:szCs w:val="18"/>
                <w:color w:val="auto"/>
                <w:w w:val="95"/>
              </w:rPr>
              <w:t>METHODS AND COMPOSITIONS FOR REDUCING</w:t>
            </w:r>
          </w:p>
        </w:tc>
      </w:tr>
      <w:tr>
        <w:trPr>
          <w:trHeight w:val="216"/>
        </w:trPr>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VIRAL GENOME AMOUNTS IN A TARGET CELL</w:t>
            </w:r>
          </w:p>
        </w:tc>
      </w:tr>
      <w:tr>
        <w:trPr>
          <w:trHeight w:val="216"/>
        </w:trPr>
        <w:tc>
          <w:tcPr>
            <w:tcW w:w="1700" w:type="dxa"/>
            <w:vAlign w:val="bottom"/>
          </w:tcPr>
          <w:p>
            <w:pPr>
              <w:jc w:val="center"/>
              <w:ind w:right="230"/>
              <w:spacing w:after="0"/>
              <w:rPr>
                <w:sz w:val="20"/>
                <w:szCs w:val="20"/>
                <w:color w:val="auto"/>
              </w:rPr>
            </w:pPr>
            <w:r>
              <w:rPr>
                <w:rFonts w:ascii="Arial" w:cs="Arial" w:eastAsia="Arial" w:hAnsi="Arial"/>
                <w:sz w:val="18"/>
                <w:szCs w:val="18"/>
                <w:color w:val="auto"/>
                <w:w w:val="91"/>
              </w:rPr>
              <w:t>STN-003USPRO1</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80" w:type="dxa"/>
            <w:vAlign w:val="bottom"/>
          </w:tcPr>
          <w:p>
            <w:pPr>
              <w:jc w:val="center"/>
              <w:ind w:left="130"/>
              <w:spacing w:after="0"/>
              <w:rPr>
                <w:sz w:val="20"/>
                <w:szCs w:val="20"/>
                <w:color w:val="auto"/>
              </w:rPr>
            </w:pPr>
            <w:r>
              <w:rPr>
                <w:rFonts w:ascii="Arial" w:cs="Arial" w:eastAsia="Arial" w:hAnsi="Arial"/>
                <w:sz w:val="18"/>
                <w:szCs w:val="18"/>
                <w:color w:val="auto"/>
                <w:w w:val="90"/>
              </w:rPr>
              <w:t>60/568,358</w:t>
            </w:r>
          </w:p>
        </w:tc>
        <w:tc>
          <w:tcPr>
            <w:tcW w:w="9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Converted</w:t>
            </w:r>
          </w:p>
        </w:tc>
        <w:tc>
          <w:tcPr>
            <w:tcW w:w="4140" w:type="dxa"/>
            <w:vAlign w:val="bottom"/>
          </w:tcPr>
          <w:p>
            <w:pPr>
              <w:ind w:left="100"/>
              <w:spacing w:after="0"/>
              <w:rPr>
                <w:sz w:val="20"/>
                <w:szCs w:val="20"/>
                <w:color w:val="auto"/>
              </w:rPr>
            </w:pPr>
            <w:r>
              <w:rPr>
                <w:rFonts w:ascii="Arial" w:cs="Arial" w:eastAsia="Arial" w:hAnsi="Arial"/>
                <w:sz w:val="18"/>
                <w:szCs w:val="18"/>
                <w:color w:val="auto"/>
                <w:w w:val="95"/>
              </w:rPr>
              <w:t>METHODS AND COMPOSITIONS FOR REDUCING</w:t>
            </w:r>
          </w:p>
        </w:tc>
      </w:tr>
      <w:tr>
        <w:trPr>
          <w:trHeight w:val="230"/>
        </w:trPr>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VIRAL GENOME AMOUNTS IN A TARGET CELL</w:t>
            </w:r>
          </w:p>
        </w:tc>
      </w:tr>
    </w:tbl>
    <w:p>
      <w:pPr>
        <w:sectPr>
          <w:pgSz w:w="11900" w:h="16838" w:orient="portrait"/>
          <w:cols w:equalWidth="0" w:num="1">
            <w:col w:w="10780"/>
          </w:cols>
          <w:pgMar w:left="360" w:top="341" w:right="7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3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499"/>
        <w:spacing w:after="0" w:line="308" w:lineRule="auto"/>
        <w:tabs>
          <w:tab w:leader="none" w:pos="1249"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Quarterly Report on Form 10-Q of the Company for the quarterly period ended June 30, 2014,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3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Research Corporation (the “Company”), certify, pursuant to Rule 13(a)-14(b) or Rule 15(d)-14(b) of the Securities Exchange Act of 1934 and 18 U.S.C. Section 1350, that (i) the Quarterly Report on Form 10-Q of the Company for the quarterly period ended June 30, 2014,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0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emdash "/>
      <w:numFmt w:val="bullet"/>
      <w:start w:val="1"/>
    </w:lvl>
  </w:abstractNum>
  <w:abstractNum w:abstractNumId="12">
    <w:nsid w:val="22221A70"/>
    <w:multiLevelType w:val="hybridMultilevel"/>
    <w:lvl w:ilvl="0">
      <w:lvlJc w:val="left"/>
      <w:lvlText w:val="(%1)"/>
      <w:numFmt w:val="lowerRoman"/>
      <w:start w:val="3"/>
    </w:lvl>
  </w:abstractNum>
  <w:abstractNum w:abstractNumId="13">
    <w:nsid w:val="4516DDE9"/>
    <w:multiLevelType w:val="hybridMultilevel"/>
    <w:lvl w:ilvl="0">
      <w:lvlJc w:val="left"/>
      <w:lvlText w:val="(%1)"/>
      <w:numFmt w:val="lowerRoman"/>
      <w:start w:val="5"/>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lvl w:ilvl="1">
      <w:lvlJc w:val="left"/>
      <w:lvlText w:val="(%2)"/>
      <w:numFmt w:val="lowerLetter"/>
      <w:start w:val="1"/>
    </w:lvl>
  </w:abstractNum>
  <w:abstractNum w:abstractNumId="17">
    <w:nsid w:val="5577F8E1"/>
    <w:multiLevelType w:val="hybridMultilevel"/>
    <w:lvl w:ilvl="0">
      <w:lvlJc w:val="left"/>
      <w:lvlText w:val="(%1)"/>
      <w:numFmt w:val="lowerLetter"/>
      <w:start w:val="1"/>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
      <w:numFmt w:val="bullet"/>
      <w:start w:val="1"/>
    </w:lvl>
    <w:lvl w:ilvl="1">
      <w:lvlJc w:val="left"/>
      <w:lvlText w:val="(%2)"/>
      <w:numFmt w:val="lowerLetter"/>
      <w:start w:val="1"/>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1)"/>
      <w:numFmt w:val="lowerLetter"/>
      <w:start w:val="1"/>
    </w:lvl>
    <w:lvl w:ilvl="1">
      <w:lvlJc w:val="left"/>
      <w:lvlText w:val="(%2)"/>
      <w:numFmt w:val="decimal"/>
      <w:start w:val="30"/>
    </w:lvl>
    <w:lvl w:ilvl="2">
      <w:lvlJc w:val="left"/>
      <w:lvlText w:val="(%3)"/>
      <w:numFmt w:val="lowerRoman"/>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
      <w:numFmt w:val="bullet"/>
      <w:start w:val="1"/>
    </w:lvl>
    <w:lvl w:ilvl="1">
      <w:lvlJc w:val="left"/>
      <w:lvlText w:val="(%2)"/>
      <w:numFmt w:val="lowerLetter"/>
      <w:start w:val="3"/>
    </w:lvl>
  </w:abstractNum>
  <w:abstractNum w:abstractNumId="25">
    <w:nsid w:val="5E884ADC"/>
    <w:multiLevelType w:val="hybridMultilevel"/>
    <w:lvl w:ilvl="0">
      <w:lvlJc w:val="left"/>
      <w:lvlText w:val="(%1)"/>
      <w:numFmt w:val="decimal"/>
      <w:start w:val="75"/>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2"/>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
      <w:numFmt w:val="bullet"/>
      <w:start w:val="1"/>
    </w:lvl>
    <w:lvl w:ilvl="1">
      <w:lvlJc w:val="left"/>
      <w:lvlText w:val="(%2)"/>
      <w:numFmt w:val="lowerLetter"/>
      <w:start w:val="1"/>
    </w:lvl>
  </w:abstractNum>
  <w:abstractNum w:abstractNumId="30">
    <w:nsid w:val="3855585C"/>
    <w:multiLevelType w:val="hybridMultilevel"/>
    <w:lvl w:ilvl="0">
      <w:lvlJc w:val="left"/>
      <w:lvlText w:val="(%1)"/>
      <w:numFmt w:val="lowerLetter"/>
      <w:start w:val="3"/>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
      <w:numFmt w:val="bullet"/>
      <w:start w:val="1"/>
    </w:lvl>
    <w:lvl w:ilvl="1">
      <w:lvlJc w:val="left"/>
      <w:lvlText w:val="(%2)"/>
      <w:numFmt w:val="lowerRoman"/>
      <w:start w:val="3"/>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8">
    <w:nsid w:val="7A6D8D3C"/>
    <w:multiLevelType w:val="hybridMultilevel"/>
    <w:lvl w:ilvl="0">
      <w:lvlJc w:val="left"/>
      <w:lvlText w:val="%1"/>
      <w:numFmt w:val="lowerLetter"/>
      <w:start w:val="1"/>
    </w:lvl>
    <w:lvl w:ilvl="1">
      <w:lvlJc w:val="left"/>
      <w:lvlText w:val="(%2)"/>
      <w:numFmt w:val="lowerRoman"/>
      <w:start w:val="3"/>
    </w:lvl>
  </w:abstractNum>
  <w:abstractNum w:abstractNumId="39">
    <w:nsid w:val="4B588F54"/>
    <w:multiLevelType w:val="hybridMultilevel"/>
    <w:lvl w:ilvl="0">
      <w:lvlJc w:val="left"/>
      <w:lvlText w:val="(%1)"/>
      <w:numFmt w:val="lowerLetter"/>
      <w:start w:val="2"/>
    </w:lvl>
    <w:lvl w:ilvl="1">
      <w:lvlJc w:val="left"/>
      <w:lvlText w:val="(%2)"/>
      <w:numFmt w:val="lowerRoman"/>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
      <w:numFmt w:val="bullet"/>
      <w:start w:val="1"/>
    </w:lvl>
    <w:lvl w:ilvl="1">
      <w:lvlJc w:val="left"/>
      <w:lvlText w:val="(%2)"/>
      <w:numFmt w:val="lowerLetter"/>
      <w:start w:val="1"/>
    </w:lvl>
  </w:abstractNum>
  <w:abstractNum w:abstractNumId="42">
    <w:nsid w:val="38437FDB"/>
    <w:multiLevelType w:val="hybridMultilevel"/>
    <w:lvl w:ilvl="0">
      <w:lvlJc w:val="left"/>
      <w:lvlText w:val="(%1)"/>
      <w:numFmt w:val="lowerLetter"/>
      <w:start w:val="2"/>
    </w:lvl>
    <w:lvl w:ilvl="1">
      <w:lvlJc w:val="left"/>
      <w:lvlText w:val="(%2)"/>
      <w:numFmt w:val="decimal"/>
      <w:start w:val="30"/>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lowerLetter"/>
      <w:start w:val="2"/>
    </w:lvl>
  </w:abstractNum>
  <w:abstractNum w:abstractNumId="48">
    <w:nsid w:val="3DC240FB"/>
    <w:multiLevelType w:val="hybridMultilevel"/>
    <w:lvl w:ilvl="0">
      <w:lvlJc w:val="left"/>
      <w:lvlText w:val="(%1)"/>
      <w:numFmt w:val="lowerLetter"/>
      <w:start w:val="4"/>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2019-12-06T04:49:55Z</dcterms:created>
  <dcterms:modified xsi:type="dcterms:W3CDTF">2019-12-06T04:49:55Z</dcterms:modified>
</cp:coreProperties>
</file>