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w:t>
      </w:r>
    </w:p>
    <w:p>
      <w:pPr>
        <w:spacing w:after="0" w:line="109"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September 30, 2015.</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22" w:lineRule="exact"/>
        <w:rPr>
          <w:sz w:val="24"/>
          <w:szCs w:val="24"/>
          <w:color w:val="auto"/>
        </w:rPr>
      </w:pPr>
    </w:p>
    <w:p>
      <w:pPr>
        <w:ind w:left="412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ARROWHEAD RESEARCH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20" w:type="dxa"/>
            <w:vAlign w:val="bottom"/>
          </w:tcPr>
          <w:p>
            <w:pPr>
              <w:jc w:val="center"/>
              <w:ind w:left="1646"/>
              <w:spacing w:after="0"/>
              <w:rPr>
                <w:sz w:val="20"/>
                <w:szCs w:val="20"/>
                <w:color w:val="auto"/>
              </w:rPr>
            </w:pPr>
            <w:r>
              <w:rPr>
                <w:rFonts w:ascii="Arial" w:cs="Arial" w:eastAsia="Arial" w:hAnsi="Arial"/>
                <w:sz w:val="16"/>
                <w:szCs w:val="16"/>
                <w:b w:val="1"/>
                <w:bCs w:val="1"/>
                <w:color w:val="auto"/>
                <w:w w:val="93"/>
              </w:rPr>
              <w:t>Delaware</w:t>
            </w:r>
          </w:p>
        </w:tc>
        <w:tc>
          <w:tcPr>
            <w:tcW w:w="7400" w:type="dxa"/>
            <w:vAlign w:val="bottom"/>
            <w:gridSpan w:val="5"/>
          </w:tcPr>
          <w:p>
            <w:pPr>
              <w:jc w:val="center"/>
              <w:ind w:left="1705"/>
              <w:spacing w:after="0"/>
              <w:rPr>
                <w:sz w:val="20"/>
                <w:szCs w:val="20"/>
                <w:color w:val="auto"/>
              </w:rPr>
            </w:pPr>
            <w:r>
              <w:rPr>
                <w:rFonts w:ascii="Arial" w:cs="Arial" w:eastAsia="Arial" w:hAnsi="Arial"/>
                <w:sz w:val="16"/>
                <w:szCs w:val="16"/>
                <w:b w:val="1"/>
                <w:bCs w:val="1"/>
                <w:color w:val="auto"/>
                <w:w w:val="91"/>
              </w:rPr>
              <w:t>46-0408024</w:t>
            </w:r>
          </w:p>
        </w:tc>
      </w:tr>
      <w:tr>
        <w:trPr>
          <w:trHeight w:val="164"/>
        </w:trPr>
        <w:tc>
          <w:tcPr>
            <w:tcW w:w="4020" w:type="dxa"/>
            <w:vAlign w:val="bottom"/>
          </w:tcPr>
          <w:p>
            <w:pPr>
              <w:jc w:val="center"/>
              <w:ind w:left="1646"/>
              <w:spacing w:after="0"/>
              <w:rPr>
                <w:sz w:val="20"/>
                <w:szCs w:val="20"/>
                <w:color w:val="auto"/>
              </w:rPr>
            </w:pPr>
            <w:r>
              <w:rPr>
                <w:rFonts w:ascii="Arial" w:cs="Arial" w:eastAsia="Arial" w:hAnsi="Arial"/>
                <w:sz w:val="13"/>
                <w:szCs w:val="13"/>
                <w:b w:val="1"/>
                <w:bCs w:val="1"/>
                <w:color w:val="auto"/>
                <w:w w:val="87"/>
              </w:rPr>
              <w:t>(State of incorporation)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80" w:type="dxa"/>
            <w:vAlign w:val="bottom"/>
          </w:tcPr>
          <w:p>
            <w:pPr>
              <w:jc w:val="center"/>
              <w:ind w:right="951"/>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59"/>
        </w:trPr>
        <w:tc>
          <w:tcPr>
            <w:tcW w:w="4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0"/>
              </w:rPr>
              <w:t>225 S. Lake Avenue, Suite 1050</w:t>
            </w:r>
          </w:p>
        </w:tc>
      </w:tr>
      <w:tr>
        <w:trPr>
          <w:trHeight w:val="203"/>
        </w:trPr>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1"/>
              </w:rPr>
              <w:t>Pasadena, California 91101</w:t>
            </w:r>
          </w:p>
        </w:tc>
      </w:tr>
      <w:tr>
        <w:trPr>
          <w:trHeight w:val="198"/>
        </w:trPr>
        <w:tc>
          <w:tcPr>
            <w:tcW w:w="4020" w:type="dxa"/>
            <w:vAlign w:val="bottom"/>
          </w:tcPr>
          <w:p>
            <w:pPr>
              <w:spacing w:after="0"/>
              <w:rPr>
                <w:sz w:val="17"/>
                <w:szCs w:val="17"/>
                <w:color w:val="auto"/>
              </w:rPr>
            </w:pPr>
          </w:p>
        </w:tc>
        <w:tc>
          <w:tcPr>
            <w:tcW w:w="2820" w:type="dxa"/>
            <w:vAlign w:val="bottom"/>
            <w:gridSpan w:val="4"/>
          </w:tcPr>
          <w:p>
            <w:pPr>
              <w:jc w:val="center"/>
              <w:ind w:left="485"/>
              <w:spacing w:after="0"/>
              <w:rPr>
                <w:sz w:val="20"/>
                <w:szCs w:val="20"/>
                <w:color w:val="auto"/>
              </w:rPr>
            </w:pPr>
            <w:r>
              <w:rPr>
                <w:rFonts w:ascii="Arial" w:cs="Arial" w:eastAsia="Arial" w:hAnsi="Arial"/>
                <w:sz w:val="16"/>
                <w:szCs w:val="16"/>
                <w:b w:val="1"/>
                <w:bCs w:val="1"/>
                <w:color w:val="auto"/>
                <w:w w:val="93"/>
              </w:rPr>
              <w:t>(626) 304-3400</w:t>
            </w:r>
          </w:p>
        </w:tc>
        <w:tc>
          <w:tcPr>
            <w:tcW w:w="4580" w:type="dxa"/>
            <w:vAlign w:val="bottom"/>
          </w:tcPr>
          <w:p>
            <w:pPr>
              <w:spacing w:after="0"/>
              <w:rPr>
                <w:sz w:val="17"/>
                <w:szCs w:val="17"/>
                <w:color w:val="auto"/>
              </w:rPr>
            </w:pPr>
          </w:p>
        </w:tc>
      </w:tr>
      <w:tr>
        <w:trPr>
          <w:trHeight w:val="164"/>
        </w:trPr>
        <w:tc>
          <w:tcPr>
            <w:tcW w:w="4020" w:type="dxa"/>
            <w:vAlign w:val="bottom"/>
          </w:tcPr>
          <w:p>
            <w:pPr>
              <w:spacing w:after="0"/>
              <w:rPr>
                <w:sz w:val="14"/>
                <w:szCs w:val="14"/>
                <w:color w:val="auto"/>
              </w:rPr>
            </w:pPr>
          </w:p>
        </w:tc>
        <w:tc>
          <w:tcPr>
            <w:tcW w:w="7400" w:type="dxa"/>
            <w:vAlign w:val="bottom"/>
            <w:gridSpan w:val="5"/>
          </w:tcPr>
          <w:p>
            <w:pPr>
              <w:jc w:val="center"/>
              <w:ind w:right="3931"/>
              <w:spacing w:after="0"/>
              <w:rPr>
                <w:sz w:val="20"/>
                <w:szCs w:val="20"/>
                <w:color w:val="auto"/>
              </w:rPr>
            </w:pPr>
            <w:r>
              <w:rPr>
                <w:rFonts w:ascii="Arial" w:cs="Arial" w:eastAsia="Arial" w:hAnsi="Arial"/>
                <w:sz w:val="13"/>
                <w:szCs w:val="13"/>
                <w:b w:val="1"/>
                <w:bCs w:val="1"/>
                <w:color w:val="auto"/>
                <w:w w:val="86"/>
              </w:rPr>
              <w:t>(Address and telephone number of principal executive offices)</w:t>
            </w:r>
          </w:p>
        </w:tc>
      </w:tr>
      <w:tr>
        <w:trPr>
          <w:trHeight w:val="70"/>
        </w:trPr>
        <w:tc>
          <w:tcPr>
            <w:tcW w:w="4560" w:type="dxa"/>
            <w:vAlign w:val="bottom"/>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580" w:type="dxa"/>
            <w:vAlign w:val="bottom"/>
          </w:tcPr>
          <w:p>
            <w:pPr>
              <w:spacing w:after="0"/>
              <w:rPr>
                <w:sz w:val="6"/>
                <w:szCs w:val="6"/>
                <w:color w:val="auto"/>
              </w:rPr>
            </w:pPr>
          </w:p>
        </w:tc>
      </w:tr>
      <w:tr>
        <w:trPr>
          <w:trHeight w:val="298"/>
        </w:trPr>
        <w:tc>
          <w:tcPr>
            <w:tcW w:w="1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Securities registered under Section 12(b) of the Exchange Act:</w:t>
            </w:r>
          </w:p>
        </w:tc>
      </w:tr>
      <w:tr>
        <w:trPr>
          <w:trHeight w:val="182"/>
        </w:trPr>
        <w:tc>
          <w:tcPr>
            <w:tcW w:w="4020" w:type="dxa"/>
            <w:vAlign w:val="bottom"/>
            <w:tcBorders>
              <w:bottom w:val="single" w:sz="8" w:color="auto"/>
            </w:tcBorders>
          </w:tcPr>
          <w:p>
            <w:pPr>
              <w:jc w:val="center"/>
              <w:ind w:left="1646"/>
              <w:spacing w:after="0"/>
              <w:rPr>
                <w:sz w:val="20"/>
                <w:szCs w:val="20"/>
                <w:color w:val="auto"/>
              </w:rPr>
            </w:pPr>
            <w:r>
              <w:rPr>
                <w:rFonts w:ascii="Arial" w:cs="Arial" w:eastAsia="Arial" w:hAnsi="Arial"/>
                <w:sz w:val="13"/>
                <w:szCs w:val="13"/>
                <w:b w:val="1"/>
                <w:bCs w:val="1"/>
                <w:color w:val="auto"/>
                <w:w w:val="83"/>
              </w:rPr>
              <w:t>Title of each class</w:t>
            </w: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center"/>
              <w:ind w:right="971"/>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04"/>
        </w:trPr>
        <w:tc>
          <w:tcPr>
            <w:tcW w:w="4020" w:type="dxa"/>
            <w:vAlign w:val="bottom"/>
          </w:tcPr>
          <w:p>
            <w:pPr>
              <w:jc w:val="center"/>
              <w:ind w:left="1626"/>
              <w:spacing w:after="0"/>
              <w:rPr>
                <w:sz w:val="20"/>
                <w:szCs w:val="20"/>
                <w:color w:val="auto"/>
              </w:rPr>
            </w:pPr>
            <w:r>
              <w:rPr>
                <w:rFonts w:ascii="Arial" w:cs="Arial" w:eastAsia="Arial" w:hAnsi="Arial"/>
                <w:sz w:val="16"/>
                <w:szCs w:val="16"/>
                <w:b w:val="1"/>
                <w:bCs w:val="1"/>
                <w:color w:val="auto"/>
                <w:w w:val="91"/>
              </w:rPr>
              <w:t>Common Stock, $0.001 par value</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580" w:type="dxa"/>
            <w:vAlign w:val="bottom"/>
          </w:tcPr>
          <w:p>
            <w:pPr>
              <w:jc w:val="center"/>
              <w:ind w:right="951"/>
              <w:spacing w:after="0"/>
              <w:rPr>
                <w:sz w:val="20"/>
                <w:szCs w:val="20"/>
                <w:color w:val="auto"/>
              </w:rPr>
            </w:pPr>
            <w:r>
              <w:rPr>
                <w:rFonts w:ascii="Arial" w:cs="Arial" w:eastAsia="Arial" w:hAnsi="Arial"/>
                <w:sz w:val="16"/>
                <w:szCs w:val="16"/>
                <w:b w:val="1"/>
                <w:bCs w:val="1"/>
                <w:color w:val="auto"/>
                <w:w w:val="95"/>
              </w:rPr>
              <w:t>The NASDAQ Global Select Market</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Exchange Act:</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ind w:left="520" w:right="2280"/>
        <w:spacing w:after="0" w:line="283" w:lineRule="exact"/>
        <w:rPr>
          <w:sz w:val="20"/>
          <w:szCs w:val="20"/>
          <w:color w:val="auto"/>
        </w:rPr>
      </w:pPr>
      <w:r>
        <w:rPr>
          <w:rFonts w:ascii="Arial" w:cs="Arial" w:eastAsia="Arial" w:hAnsi="Arial"/>
          <w:sz w:val="15"/>
          <w:szCs w:val="15"/>
          <w:color w:val="auto"/>
        </w:rPr>
        <w:t xml:space="preserve">Indicate by a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a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3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500" w:firstLine="518"/>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7" w:lineRule="exact"/>
        <w:rPr>
          <w:sz w:val="24"/>
          <w:szCs w:val="24"/>
          <w:color w:val="auto"/>
        </w:rPr>
      </w:pPr>
    </w:p>
    <w:p>
      <w:pPr>
        <w:ind w:right="220" w:firstLine="518"/>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line="184" w:lineRule="exact"/>
        <w:tabs>
          <w:tab w:leader="none" w:pos="2880" w:val="left"/>
          <w:tab w:leader="none" w:pos="5120" w:val="left"/>
          <w:tab w:leader="none" w:pos="78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7"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ind w:right="100" w:firstLine="518"/>
        <w:spacing w:after="0" w:line="273" w:lineRule="auto"/>
        <w:rPr>
          <w:sz w:val="20"/>
          <w:szCs w:val="20"/>
          <w:color w:val="auto"/>
        </w:rPr>
      </w:pPr>
      <w:r>
        <w:rPr>
          <w:rFonts w:ascii="Arial" w:cs="Arial" w:eastAsia="Arial" w:hAnsi="Arial"/>
          <w:sz w:val="16"/>
          <w:szCs w:val="16"/>
          <w:color w:val="auto"/>
        </w:rPr>
        <w:t>The aggregate market value of issuer’s voting and non-voting outstanding Common Stock held by non-affiliates was approximately $407 million based upon the closing stock price of issuer’s Common Stock on March 31, 2015.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December 11, 2015, 59,554,677 shares of the issuer’s Common Stock were issued and outstanding.</w:t>
      </w:r>
    </w:p>
    <w:p>
      <w:pPr>
        <w:spacing w:after="0" w:line="42"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00" w:firstLine="518"/>
        <w:spacing w:after="0" w:line="293" w:lineRule="auto"/>
        <w:rPr>
          <w:sz w:val="20"/>
          <w:szCs w:val="20"/>
          <w:color w:val="auto"/>
        </w:rPr>
      </w:pPr>
      <w:r>
        <w:rPr>
          <w:rFonts w:ascii="Arial" w:cs="Arial" w:eastAsia="Arial" w:hAnsi="Arial"/>
          <w:sz w:val="16"/>
          <w:szCs w:val="16"/>
          <w:color w:val="auto"/>
        </w:rPr>
        <w:t>Portions of the Definitive Proxy Statement to be filed for Arrowhead Research Corporation’s 2016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299720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w:t>
            </w:r>
          </w:p>
        </w:tc>
        <w:tc>
          <w:tcPr>
            <w:tcW w:w="97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w:t>
              </w:r>
              <w:r>
                <w:rPr>
                  <w:rFonts w:ascii="Arial" w:cs="Arial" w:eastAsia="Arial" w:hAnsi="Arial"/>
                  <w:sz w:val="13"/>
                  <w:szCs w:val="13"/>
                  <w:color w:val="0000EE"/>
                </w:rPr>
                <w:t>USINESS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R</w:t>
              </w:r>
              <w:r>
                <w:rPr>
                  <w:rFonts w:ascii="Arial" w:cs="Arial" w:eastAsia="Arial" w:hAnsi="Arial"/>
                  <w:sz w:val="13"/>
                  <w:szCs w:val="13"/>
                  <w:color w:val="0000EE"/>
                  <w:w w:val="94"/>
                </w:rPr>
                <w:t>ISK</w:t>
              </w:r>
              <w:r>
                <w:rPr>
                  <w:rFonts w:ascii="Arial" w:cs="Arial" w:eastAsia="Arial" w:hAnsi="Arial"/>
                  <w:sz w:val="18"/>
                  <w:szCs w:val="18"/>
                  <w:color w:val="0000EE"/>
                  <w:w w:val="94"/>
                </w:rPr>
                <w:t xml:space="preserve"> F</w:t>
              </w:r>
              <w:r>
                <w:rPr>
                  <w:rFonts w:ascii="Arial" w:cs="Arial" w:eastAsia="Arial" w:hAnsi="Arial"/>
                  <w:sz w:val="13"/>
                  <w:szCs w:val="13"/>
                  <w:color w:val="0000EE"/>
                  <w:w w:val="94"/>
                </w:rPr>
                <w:t>ACTORS</w:t>
              </w:r>
            </w:hyperlink>
          </w:p>
        </w:tc>
        <w:tc>
          <w:tcPr>
            <w:tcW w:w="876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1B.</w:t>
            </w:r>
          </w:p>
        </w:tc>
        <w:tc>
          <w:tcPr>
            <w:tcW w:w="976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w:t>
              </w:r>
              <w:r>
                <w:rPr>
                  <w:rFonts w:ascii="Arial" w:cs="Arial" w:eastAsia="Arial" w:hAnsi="Arial"/>
                  <w:sz w:val="13"/>
                  <w:szCs w:val="13"/>
                  <w:color w:val="0000EE"/>
                </w:rPr>
                <w:t>NRESOLVED</w:t>
              </w:r>
              <w:r>
                <w:rPr>
                  <w:rFonts w:ascii="Arial" w:cs="Arial" w:eastAsia="Arial" w:hAnsi="Arial"/>
                  <w:sz w:val="18"/>
                  <w:szCs w:val="18"/>
                  <w:color w:val="0000EE"/>
                </w:rPr>
                <w:t xml:space="preserve"> S</w:t>
              </w:r>
              <w:r>
                <w:rPr>
                  <w:rFonts w:ascii="Arial" w:cs="Arial" w:eastAsia="Arial" w:hAnsi="Arial"/>
                  <w:sz w:val="13"/>
                  <w:szCs w:val="13"/>
                  <w:color w:val="0000EE"/>
                </w:rPr>
                <w:t>TAFF</w:t>
              </w:r>
              <w:r>
                <w:rPr>
                  <w:rFonts w:ascii="Arial" w:cs="Arial" w:eastAsia="Arial" w:hAnsi="Arial"/>
                  <w:sz w:val="18"/>
                  <w:szCs w:val="18"/>
                  <w:color w:val="0000EE"/>
                </w:rPr>
                <w:t xml:space="preserve"> C</w:t>
              </w:r>
              <w:r>
                <w:rPr>
                  <w:rFonts w:ascii="Arial" w:cs="Arial" w:eastAsia="Arial" w:hAnsi="Arial"/>
                  <w:sz w:val="13"/>
                  <w:szCs w:val="13"/>
                  <w:color w:val="0000EE"/>
                </w:rPr>
                <w:t>OMMENTS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2.</w:t>
            </w: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P</w:t>
              </w:r>
              <w:r>
                <w:rPr>
                  <w:rFonts w:ascii="Arial" w:cs="Arial" w:eastAsia="Arial" w:hAnsi="Arial"/>
                  <w:sz w:val="13"/>
                  <w:szCs w:val="13"/>
                  <w:color w:val="0000EE"/>
                  <w:w w:val="89"/>
                </w:rPr>
                <w:t>ROPERTIES</w:t>
              </w:r>
            </w:hyperlink>
          </w:p>
        </w:tc>
        <w:tc>
          <w:tcPr>
            <w:tcW w:w="1400" w:type="dxa"/>
            <w:vAlign w:val="bottom"/>
            <w:tcBorders>
              <w:top w:val="single" w:sz="8" w:color="0000EE"/>
            </w:tcBorders>
            <w:gridSpan w:val="6"/>
          </w:tcPr>
          <w:p>
            <w:pPr>
              <w:spacing w:after="0"/>
              <w:rPr>
                <w:sz w:val="17"/>
                <w:szCs w:val="17"/>
                <w:color w:val="auto"/>
              </w:rPr>
            </w:pPr>
          </w:p>
        </w:tc>
        <w:tc>
          <w:tcPr>
            <w:tcW w:w="756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3.</w:t>
            </w: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L</w:t>
              </w:r>
              <w:r>
                <w:rPr>
                  <w:rFonts w:ascii="Arial" w:cs="Arial" w:eastAsia="Arial" w:hAnsi="Arial"/>
                  <w:sz w:val="13"/>
                  <w:szCs w:val="13"/>
                  <w:color w:val="0000EE"/>
                  <w:w w:val="96"/>
                </w:rPr>
                <w:t>EGAL</w:t>
              </w:r>
              <w:r>
                <w:rPr>
                  <w:rFonts w:ascii="Arial" w:cs="Arial" w:eastAsia="Arial" w:hAnsi="Arial"/>
                  <w:sz w:val="18"/>
                  <w:szCs w:val="18"/>
                  <w:color w:val="0000EE"/>
                  <w:w w:val="96"/>
                </w:rPr>
                <w:t xml:space="preserve"> P</w:t>
              </w:r>
              <w:r>
                <w:rPr>
                  <w:rFonts w:ascii="Arial" w:cs="Arial" w:eastAsia="Arial" w:hAnsi="Arial"/>
                  <w:sz w:val="13"/>
                  <w:szCs w:val="13"/>
                  <w:color w:val="0000EE"/>
                  <w:w w:val="96"/>
                </w:rPr>
                <w:t>ROCEEDINGS</w:t>
              </w:r>
            </w:hyperlink>
          </w:p>
        </w:tc>
        <w:tc>
          <w:tcPr>
            <w:tcW w:w="83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4.</w:t>
            </w:r>
          </w:p>
        </w:tc>
        <w:tc>
          <w:tcPr>
            <w:tcW w:w="976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w:t>
              </w:r>
              <w:r>
                <w:rPr>
                  <w:rFonts w:ascii="Arial" w:cs="Arial" w:eastAsia="Arial" w:hAnsi="Arial"/>
                  <w:sz w:val="13"/>
                  <w:szCs w:val="13"/>
                  <w:color w:val="0000EE"/>
                </w:rPr>
                <w:t>INE</w:t>
              </w:r>
              <w:r>
                <w:rPr>
                  <w:rFonts w:ascii="Arial" w:cs="Arial" w:eastAsia="Arial" w:hAnsi="Arial"/>
                  <w:sz w:val="18"/>
                  <w:szCs w:val="18"/>
                  <w:color w:val="0000EE"/>
                </w:rPr>
                <w:t xml:space="preserve"> S</w:t>
              </w:r>
              <w:r>
                <w:rPr>
                  <w:rFonts w:ascii="Arial" w:cs="Arial" w:eastAsia="Arial" w:hAnsi="Arial"/>
                  <w:sz w:val="13"/>
                  <w:szCs w:val="13"/>
                  <w:color w:val="0000EE"/>
                </w:rPr>
                <w:t>AFETY</w:t>
              </w:r>
              <w:r>
                <w:rPr>
                  <w:rFonts w:ascii="Arial" w:cs="Arial" w:eastAsia="Arial" w:hAnsi="Arial"/>
                  <w:sz w:val="18"/>
                  <w:szCs w:val="18"/>
                  <w:color w:val="0000EE"/>
                </w:rPr>
                <w:t xml:space="preserve"> D</w:t>
              </w:r>
              <w:r>
                <w:rPr>
                  <w:rFonts w:ascii="Arial" w:cs="Arial" w:eastAsia="Arial" w:hAnsi="Arial"/>
                  <w:sz w:val="13"/>
                  <w:szCs w:val="13"/>
                  <w:color w:val="0000EE"/>
                </w:rPr>
                <w:t>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5.</w:t>
            </w:r>
          </w:p>
        </w:tc>
        <w:tc>
          <w:tcPr>
            <w:tcW w:w="97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w:t>
              </w:r>
              <w:r>
                <w:rPr>
                  <w:rFonts w:ascii="Arial" w:cs="Arial" w:eastAsia="Arial" w:hAnsi="Arial"/>
                  <w:sz w:val="13"/>
                  <w:szCs w:val="13"/>
                  <w:color w:val="0000EE"/>
                </w:rPr>
                <w:t>ARKET FOR THE</w:t>
              </w:r>
              <w:r>
                <w:rPr>
                  <w:rFonts w:ascii="Arial" w:cs="Arial" w:eastAsia="Arial" w:hAnsi="Arial"/>
                  <w:sz w:val="18"/>
                  <w:szCs w:val="18"/>
                  <w:color w:val="0000EE"/>
                </w:rPr>
                <w:t xml:space="preserve"> R</w:t>
              </w:r>
              <w:r>
                <w:rPr>
                  <w:rFonts w:ascii="Arial" w:cs="Arial" w:eastAsia="Arial" w:hAnsi="Arial"/>
                  <w:sz w:val="13"/>
                  <w:szCs w:val="13"/>
                  <w:color w:val="0000EE"/>
                </w:rPr>
                <w:t>EGISTRANT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C</w:t>
              </w:r>
              <w:r>
                <w:rPr>
                  <w:rFonts w:ascii="Arial" w:cs="Arial" w:eastAsia="Arial" w:hAnsi="Arial"/>
                  <w:sz w:val="13"/>
                  <w:szCs w:val="13"/>
                  <w:color w:val="0000EE"/>
                </w:rPr>
                <w:t>OMMON</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w:t>
              </w:r>
              <w:r>
                <w:rPr>
                  <w:rFonts w:ascii="Arial" w:cs="Arial" w:eastAsia="Arial" w:hAnsi="Arial"/>
                  <w:sz w:val="18"/>
                  <w:szCs w:val="18"/>
                  <w:color w:val="0000EE"/>
                </w:rPr>
                <w:t xml:space="preserve"> M</w:t>
              </w:r>
              <w:r>
                <w:rPr>
                  <w:rFonts w:ascii="Arial" w:cs="Arial" w:eastAsia="Arial" w:hAnsi="Arial"/>
                  <w:sz w:val="13"/>
                  <w:szCs w:val="13"/>
                  <w:color w:val="0000EE"/>
                </w:rPr>
                <w:t>ATTERS AND</w:t>
              </w:r>
              <w:r>
                <w:rPr>
                  <w:rFonts w:ascii="Arial" w:cs="Arial" w:eastAsia="Arial" w:hAnsi="Arial"/>
                  <w:sz w:val="18"/>
                  <w:szCs w:val="18"/>
                  <w:color w:val="0000EE"/>
                </w:rPr>
                <w:t xml:space="preserve"> I</w:t>
              </w:r>
              <w:r>
                <w:rPr>
                  <w:rFonts w:ascii="Arial" w:cs="Arial" w:eastAsia="Arial" w:hAnsi="Arial"/>
                  <w:sz w:val="13"/>
                  <w:szCs w:val="13"/>
                  <w:color w:val="0000EE"/>
                </w:rPr>
                <w:t>SSUER</w:t>
              </w:r>
              <w:r>
                <w:rPr>
                  <w:rFonts w:ascii="Arial" w:cs="Arial" w:eastAsia="Arial" w:hAnsi="Arial"/>
                  <w:sz w:val="18"/>
                  <w:szCs w:val="18"/>
                  <w:color w:val="0000EE"/>
                </w:rPr>
                <w:t xml:space="preserve"> P</w:t>
              </w:r>
              <w:r>
                <w:rPr>
                  <w:rFonts w:ascii="Arial" w:cs="Arial" w:eastAsia="Arial" w:hAnsi="Arial"/>
                  <w:sz w:val="13"/>
                  <w:szCs w:val="13"/>
                  <w:color w:val="0000EE"/>
                </w:rPr>
                <w:t>URCHASES OF</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xml:space="preserve"> S</w:t>
              </w:r>
              <w:r>
                <w:rPr>
                  <w:rFonts w:ascii="Arial" w:cs="Arial" w:eastAsia="Arial" w:hAnsi="Arial"/>
                  <w:sz w:val="13"/>
                  <w:szCs w:val="13"/>
                  <w:color w:val="0000EE"/>
                </w:rPr>
                <w:t>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6.</w:t>
            </w: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w:t>
              </w:r>
              <w:r>
                <w:rPr>
                  <w:rFonts w:ascii="Arial" w:cs="Arial" w:eastAsia="Arial" w:hAnsi="Arial"/>
                  <w:sz w:val="13"/>
                  <w:szCs w:val="13"/>
                  <w:color w:val="0000EE"/>
                </w:rPr>
                <w:t>ELECTED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w:t>
            </w: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w:t>
              </w:r>
              <w:r>
                <w:rPr>
                  <w:rFonts w:ascii="Arial" w:cs="Arial" w:eastAsia="Arial" w:hAnsi="Arial"/>
                  <w:sz w:val="13"/>
                  <w:szCs w:val="13"/>
                  <w:color w:val="0000EE"/>
                </w:rPr>
                <w:t>ANAGEMENT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D</w:t>
              </w:r>
              <w:r>
                <w:rPr>
                  <w:rFonts w:ascii="Arial" w:cs="Arial" w:eastAsia="Arial" w:hAnsi="Arial"/>
                  <w:sz w:val="13"/>
                  <w:szCs w:val="13"/>
                  <w:color w:val="0000EE"/>
                </w:rPr>
                <w:t>ISCUSSION AND</w:t>
              </w:r>
              <w:r>
                <w:rPr>
                  <w:rFonts w:ascii="Arial" w:cs="Arial" w:eastAsia="Arial" w:hAnsi="Arial"/>
                  <w:sz w:val="18"/>
                  <w:szCs w:val="18"/>
                  <w:color w:val="0000EE"/>
                </w:rPr>
                <w:t xml:space="preserve"> A</w:t>
              </w:r>
              <w:r>
                <w:rPr>
                  <w:rFonts w:ascii="Arial" w:cs="Arial" w:eastAsia="Arial" w:hAnsi="Arial"/>
                  <w:sz w:val="13"/>
                  <w:szCs w:val="13"/>
                  <w:color w:val="0000EE"/>
                </w:rPr>
                <w:t>NALYSIS OF</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C</w:t>
              </w:r>
              <w:r>
                <w:rPr>
                  <w:rFonts w:ascii="Arial" w:cs="Arial" w:eastAsia="Arial" w:hAnsi="Arial"/>
                  <w:sz w:val="13"/>
                  <w:szCs w:val="13"/>
                  <w:color w:val="0000EE"/>
                </w:rPr>
                <w:t>ONDITION AND</w:t>
              </w:r>
              <w:r>
                <w:rPr>
                  <w:rFonts w:ascii="Arial" w:cs="Arial" w:eastAsia="Arial" w:hAnsi="Arial"/>
                  <w:sz w:val="18"/>
                  <w:szCs w:val="18"/>
                  <w:color w:val="0000EE"/>
                </w:rPr>
                <w:t xml:space="preserve"> R</w:t>
              </w:r>
              <w:r>
                <w:rPr>
                  <w:rFonts w:ascii="Arial" w:cs="Arial" w:eastAsia="Arial" w:hAnsi="Arial"/>
                  <w:sz w:val="13"/>
                  <w:szCs w:val="13"/>
                  <w:color w:val="0000EE"/>
                </w:rPr>
                <w:t>ESULTS OF</w:t>
              </w:r>
              <w:r>
                <w:rPr>
                  <w:rFonts w:ascii="Arial" w:cs="Arial" w:eastAsia="Arial" w:hAnsi="Arial"/>
                  <w:sz w:val="18"/>
                  <w:szCs w:val="18"/>
                  <w:color w:val="0000EE"/>
                </w:rPr>
                <w:t xml:space="preserve"> O</w:t>
              </w:r>
              <w:r>
                <w:rPr>
                  <w:rFonts w:ascii="Arial" w:cs="Arial" w:eastAsia="Arial" w:hAnsi="Arial"/>
                  <w:sz w:val="13"/>
                  <w:szCs w:val="13"/>
                  <w:color w:val="0000EE"/>
                </w:rPr>
                <w:t>PERATIONS</w:t>
              </w:r>
            </w:hyperlink>
          </w:p>
        </w:tc>
        <w:tc>
          <w:tcPr>
            <w:tcW w:w="27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7A.</w:t>
            </w:r>
          </w:p>
        </w:tc>
        <w:tc>
          <w:tcPr>
            <w:tcW w:w="486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Q</w:t>
              </w:r>
              <w:r>
                <w:rPr>
                  <w:rFonts w:ascii="Arial" w:cs="Arial" w:eastAsia="Arial" w:hAnsi="Arial"/>
                  <w:sz w:val="13"/>
                  <w:szCs w:val="13"/>
                  <w:color w:val="0000EE"/>
                </w:rPr>
                <w:t>UANTITATIVE AND</w:t>
              </w:r>
              <w:r>
                <w:rPr>
                  <w:rFonts w:ascii="Arial" w:cs="Arial" w:eastAsia="Arial" w:hAnsi="Arial"/>
                  <w:sz w:val="18"/>
                  <w:szCs w:val="18"/>
                  <w:color w:val="0000EE"/>
                </w:rPr>
                <w:t xml:space="preserve"> Q</w:t>
              </w:r>
              <w:r>
                <w:rPr>
                  <w:rFonts w:ascii="Arial" w:cs="Arial" w:eastAsia="Arial" w:hAnsi="Arial"/>
                  <w:sz w:val="13"/>
                  <w:szCs w:val="13"/>
                  <w:color w:val="0000EE"/>
                </w:rPr>
                <w:t>UALITATIVE</w:t>
              </w:r>
              <w:r>
                <w:rPr>
                  <w:rFonts w:ascii="Arial" w:cs="Arial" w:eastAsia="Arial" w:hAnsi="Arial"/>
                  <w:sz w:val="18"/>
                  <w:szCs w:val="18"/>
                  <w:color w:val="0000EE"/>
                </w:rPr>
                <w:t xml:space="preserve"> D</w:t>
              </w:r>
              <w:r>
                <w:rPr>
                  <w:rFonts w:ascii="Arial" w:cs="Arial" w:eastAsia="Arial" w:hAnsi="Arial"/>
                  <w:sz w:val="13"/>
                  <w:szCs w:val="13"/>
                  <w:color w:val="0000EE"/>
                </w:rPr>
                <w:t>ISCLOSURES</w:t>
              </w:r>
              <w:r>
                <w:rPr>
                  <w:rFonts w:ascii="Arial" w:cs="Arial" w:eastAsia="Arial" w:hAnsi="Arial"/>
                  <w:sz w:val="18"/>
                  <w:szCs w:val="18"/>
                  <w:color w:val="0000EE"/>
                </w:rPr>
                <w:t xml:space="preserve"> A</w:t>
              </w:r>
              <w:r>
                <w:rPr>
                  <w:rFonts w:ascii="Arial" w:cs="Arial" w:eastAsia="Arial" w:hAnsi="Arial"/>
                  <w:sz w:val="13"/>
                  <w:szCs w:val="13"/>
                  <w:color w:val="0000EE"/>
                </w:rPr>
                <w:t>BOUT</w:t>
              </w:r>
              <w:r>
                <w:rPr>
                  <w:rFonts w:ascii="Arial" w:cs="Arial" w:eastAsia="Arial" w:hAnsi="Arial"/>
                  <w:sz w:val="18"/>
                  <w:szCs w:val="18"/>
                  <w:color w:val="0000EE"/>
                </w:rPr>
                <w:t xml:space="preserve"> M</w:t>
              </w:r>
              <w:r>
                <w:rPr>
                  <w:rFonts w:ascii="Arial" w:cs="Arial" w:eastAsia="Arial" w:hAnsi="Arial"/>
                  <w:sz w:val="13"/>
                  <w:szCs w:val="13"/>
                  <w:color w:val="0000EE"/>
                </w:rPr>
                <w:t>ARKET</w:t>
              </w:r>
              <w:r>
                <w:rPr>
                  <w:rFonts w:ascii="Arial" w:cs="Arial" w:eastAsia="Arial" w:hAnsi="Arial"/>
                  <w:sz w:val="18"/>
                  <w:szCs w:val="18"/>
                  <w:color w:val="0000EE"/>
                </w:rPr>
                <w:t xml:space="preserve"> R</w:t>
              </w:r>
              <w:r>
                <w:rPr>
                  <w:rFonts w:ascii="Arial" w:cs="Arial" w:eastAsia="Arial" w:hAnsi="Arial"/>
                  <w:sz w:val="13"/>
                  <w:szCs w:val="13"/>
                  <w:color w:val="0000EE"/>
                </w:rPr>
                <w:t>ISK</w:t>
              </w:r>
            </w:hyperlink>
          </w:p>
        </w:tc>
        <w:tc>
          <w:tcPr>
            <w:tcW w:w="49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8.</w:t>
            </w:r>
          </w:p>
        </w:tc>
        <w:tc>
          <w:tcPr>
            <w:tcW w:w="9760" w:type="dxa"/>
            <w:vAlign w:val="bottom"/>
            <w:gridSpan w:val="1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F</w:t>
              </w:r>
              <w:r>
                <w:rPr>
                  <w:rFonts w:ascii="Arial" w:cs="Arial" w:eastAsia="Arial" w:hAnsi="Arial"/>
                  <w:sz w:val="13"/>
                  <w:szCs w:val="13"/>
                  <w:color w:val="0000EE"/>
                </w:rPr>
                <w:t>INANCIAL</w:t>
              </w:r>
              <w:r>
                <w:rPr>
                  <w:rFonts w:ascii="Arial" w:cs="Arial" w:eastAsia="Arial" w:hAnsi="Arial"/>
                  <w:sz w:val="18"/>
                  <w:szCs w:val="18"/>
                  <w:color w:val="0000EE"/>
                </w:rPr>
                <w:t xml:space="preserve"> S</w:t>
              </w:r>
              <w:r>
                <w:rPr>
                  <w:rFonts w:ascii="Arial" w:cs="Arial" w:eastAsia="Arial" w:hAnsi="Arial"/>
                  <w:sz w:val="13"/>
                  <w:szCs w:val="13"/>
                  <w:color w:val="0000EE"/>
                </w:rPr>
                <w:t>TATEMENTS AND</w:t>
              </w:r>
              <w:r>
                <w:rPr>
                  <w:rFonts w:ascii="Arial" w:cs="Arial" w:eastAsia="Arial" w:hAnsi="Arial"/>
                  <w:sz w:val="18"/>
                  <w:szCs w:val="18"/>
                  <w:color w:val="0000EE"/>
                </w:rPr>
                <w:t xml:space="preserve"> S</w:t>
              </w:r>
              <w:r>
                <w:rPr>
                  <w:rFonts w:ascii="Arial" w:cs="Arial" w:eastAsia="Arial" w:hAnsi="Arial"/>
                  <w:sz w:val="13"/>
                  <w:szCs w:val="13"/>
                  <w:color w:val="0000EE"/>
                </w:rPr>
                <w:t>UPPLEMENTARY</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w:t>
            </w:r>
          </w:p>
        </w:tc>
        <w:tc>
          <w:tcPr>
            <w:tcW w:w="710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w:t>
              </w:r>
              <w:r>
                <w:rPr>
                  <w:rFonts w:ascii="Arial" w:cs="Arial" w:eastAsia="Arial" w:hAnsi="Arial"/>
                  <w:sz w:val="13"/>
                  <w:szCs w:val="13"/>
                  <w:color w:val="0000EE"/>
                </w:rPr>
                <w:t>HANGES IN AND</w:t>
              </w:r>
              <w:r>
                <w:rPr>
                  <w:rFonts w:ascii="Arial" w:cs="Arial" w:eastAsia="Arial" w:hAnsi="Arial"/>
                  <w:sz w:val="18"/>
                  <w:szCs w:val="18"/>
                  <w:color w:val="0000EE"/>
                </w:rPr>
                <w:t xml:space="preserve"> D</w:t>
              </w:r>
              <w:r>
                <w:rPr>
                  <w:rFonts w:ascii="Arial" w:cs="Arial" w:eastAsia="Arial" w:hAnsi="Arial"/>
                  <w:sz w:val="13"/>
                  <w:szCs w:val="13"/>
                  <w:color w:val="0000EE"/>
                </w:rPr>
                <w:t>ISAGREEMENTS WITH</w:t>
              </w:r>
              <w:r>
                <w:rPr>
                  <w:rFonts w:ascii="Arial" w:cs="Arial" w:eastAsia="Arial" w:hAnsi="Arial"/>
                  <w:sz w:val="18"/>
                  <w:szCs w:val="18"/>
                  <w:color w:val="0000EE"/>
                </w:rPr>
                <w:t xml:space="preserve"> A</w:t>
              </w:r>
              <w:r>
                <w:rPr>
                  <w:rFonts w:ascii="Arial" w:cs="Arial" w:eastAsia="Arial" w:hAnsi="Arial"/>
                  <w:sz w:val="13"/>
                  <w:szCs w:val="13"/>
                  <w:color w:val="0000EE"/>
                </w:rPr>
                <w:t>CCOUNTANTS ON</w:t>
              </w:r>
              <w:r>
                <w:rPr>
                  <w:rFonts w:ascii="Arial" w:cs="Arial" w:eastAsia="Arial" w:hAnsi="Arial"/>
                  <w:sz w:val="18"/>
                  <w:szCs w:val="18"/>
                  <w:color w:val="0000EE"/>
                </w:rPr>
                <w:t xml:space="preserve"> A</w:t>
              </w:r>
              <w:r>
                <w:rPr>
                  <w:rFonts w:ascii="Arial" w:cs="Arial" w:eastAsia="Arial" w:hAnsi="Arial"/>
                  <w:sz w:val="13"/>
                  <w:szCs w:val="13"/>
                  <w:color w:val="0000EE"/>
                </w:rPr>
                <w:t>CCOUNTING AND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ISCLOSURE</w:t>
              </w:r>
            </w:hyperlink>
          </w:p>
        </w:tc>
        <w:tc>
          <w:tcPr>
            <w:tcW w:w="26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9A.</w:t>
            </w:r>
          </w:p>
        </w:tc>
        <w:tc>
          <w:tcPr>
            <w:tcW w:w="9760" w:type="dxa"/>
            <w:vAlign w:val="bottom"/>
            <w:gridSpan w:val="1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w:t>
              </w:r>
              <w:r>
                <w:rPr>
                  <w:rFonts w:ascii="Arial" w:cs="Arial" w:eastAsia="Arial" w:hAnsi="Arial"/>
                  <w:sz w:val="13"/>
                  <w:szCs w:val="13"/>
                  <w:color w:val="0000EE"/>
                </w:rPr>
                <w:t>ONTROLS AND</w:t>
              </w:r>
              <w:r>
                <w:rPr>
                  <w:rFonts w:ascii="Arial" w:cs="Arial" w:eastAsia="Arial" w:hAnsi="Arial"/>
                  <w:sz w:val="18"/>
                  <w:szCs w:val="18"/>
                  <w:color w:val="0000EE"/>
                </w:rPr>
                <w:t xml:space="preserve"> P</w:t>
              </w:r>
              <w:r>
                <w:rPr>
                  <w:rFonts w:ascii="Arial" w:cs="Arial" w:eastAsia="Arial" w:hAnsi="Arial"/>
                  <w:sz w:val="13"/>
                  <w:szCs w:val="13"/>
                  <w:color w:val="0000EE"/>
                </w:rPr>
                <w:t>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9B.</w:t>
            </w: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w:t>
              </w:r>
              <w:r>
                <w:rPr>
                  <w:rFonts w:ascii="Arial" w:cs="Arial" w:eastAsia="Arial" w:hAnsi="Arial"/>
                  <w:sz w:val="13"/>
                  <w:szCs w:val="13"/>
                  <w:color w:val="0000EE"/>
                </w:rPr>
                <w:t>THER</w:t>
              </w:r>
              <w:r>
                <w:rPr>
                  <w:rFonts w:ascii="Arial" w:cs="Arial" w:eastAsia="Arial" w:hAnsi="Arial"/>
                  <w:sz w:val="18"/>
                  <w:szCs w:val="18"/>
                  <w:color w:val="0000EE"/>
                </w:rPr>
                <w:t xml:space="preserve"> I</w:t>
              </w:r>
              <w:r>
                <w:rPr>
                  <w:rFonts w:ascii="Arial" w:cs="Arial" w:eastAsia="Arial" w:hAnsi="Arial"/>
                  <w:sz w:val="13"/>
                  <w:szCs w:val="13"/>
                  <w:color w:val="0000EE"/>
                </w:rPr>
                <w:t>NFORMATION</w:t>
              </w:r>
            </w:hyperlink>
          </w:p>
        </w:tc>
        <w:tc>
          <w:tcPr>
            <w:tcW w:w="77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10.</w:t>
            </w:r>
          </w:p>
        </w:tc>
        <w:tc>
          <w:tcPr>
            <w:tcW w:w="46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D</w:t>
              </w:r>
              <w:r>
                <w:rPr>
                  <w:rFonts w:ascii="Arial" w:cs="Arial" w:eastAsia="Arial" w:hAnsi="Arial"/>
                  <w:sz w:val="13"/>
                  <w:szCs w:val="13"/>
                  <w:color w:val="0000EE"/>
                  <w:w w:val="97"/>
                </w:rPr>
                <w:t>IRECTORS</w:t>
              </w:r>
              <w:r>
                <w:rPr>
                  <w:rFonts w:ascii="Arial" w:cs="Arial" w:eastAsia="Arial" w:hAnsi="Arial"/>
                  <w:sz w:val="18"/>
                  <w:szCs w:val="18"/>
                  <w:color w:val="0000EE"/>
                  <w:w w:val="97"/>
                </w:rPr>
                <w:t>, E</w:t>
              </w:r>
              <w:r>
                <w:rPr>
                  <w:rFonts w:ascii="Arial" w:cs="Arial" w:eastAsia="Arial" w:hAnsi="Arial"/>
                  <w:sz w:val="13"/>
                  <w:szCs w:val="13"/>
                  <w:color w:val="0000EE"/>
                  <w:w w:val="97"/>
                </w:rPr>
                <w:t>XECUTIVE</w:t>
              </w:r>
              <w:r>
                <w:rPr>
                  <w:rFonts w:ascii="Arial" w:cs="Arial" w:eastAsia="Arial" w:hAnsi="Arial"/>
                  <w:sz w:val="18"/>
                  <w:szCs w:val="18"/>
                  <w:color w:val="0000EE"/>
                  <w:w w:val="97"/>
                </w:rPr>
                <w:t xml:space="preserve"> O</w:t>
              </w:r>
              <w:r>
                <w:rPr>
                  <w:rFonts w:ascii="Arial" w:cs="Arial" w:eastAsia="Arial" w:hAnsi="Arial"/>
                  <w:sz w:val="13"/>
                  <w:szCs w:val="13"/>
                  <w:color w:val="0000EE"/>
                  <w:w w:val="97"/>
                </w:rPr>
                <w:t>FFICERS</w:t>
              </w:r>
              <w:r>
                <w:rPr>
                  <w:rFonts w:ascii="Arial" w:cs="Arial" w:eastAsia="Arial" w:hAnsi="Arial"/>
                  <w:sz w:val="18"/>
                  <w:szCs w:val="18"/>
                  <w:color w:val="0000EE"/>
                  <w:w w:val="97"/>
                </w:rPr>
                <w:t xml:space="preserve">, </w:t>
              </w:r>
              <w:r>
                <w:rPr>
                  <w:rFonts w:ascii="Arial" w:cs="Arial" w:eastAsia="Arial" w:hAnsi="Arial"/>
                  <w:sz w:val="13"/>
                  <w:szCs w:val="13"/>
                  <w:color w:val="0000EE"/>
                  <w:w w:val="97"/>
                </w:rPr>
                <w:t>AND</w:t>
              </w:r>
              <w:r>
                <w:rPr>
                  <w:rFonts w:ascii="Arial" w:cs="Arial" w:eastAsia="Arial" w:hAnsi="Arial"/>
                  <w:sz w:val="18"/>
                  <w:szCs w:val="18"/>
                  <w:color w:val="0000EE"/>
                  <w:w w:val="97"/>
                </w:rPr>
                <w:t xml:space="preserve"> C</w:t>
              </w:r>
              <w:r>
                <w:rPr>
                  <w:rFonts w:ascii="Arial" w:cs="Arial" w:eastAsia="Arial" w:hAnsi="Arial"/>
                  <w:sz w:val="13"/>
                  <w:szCs w:val="13"/>
                  <w:color w:val="0000EE"/>
                  <w:w w:val="97"/>
                </w:rPr>
                <w:t>ORPORATE</w:t>
              </w:r>
              <w:r>
                <w:rPr>
                  <w:rFonts w:ascii="Arial" w:cs="Arial" w:eastAsia="Arial" w:hAnsi="Arial"/>
                  <w:sz w:val="18"/>
                  <w:szCs w:val="18"/>
                  <w:color w:val="0000EE"/>
                  <w:w w:val="97"/>
                </w:rPr>
                <w:t xml:space="preserve"> G</w:t>
              </w:r>
              <w:r>
                <w:rPr>
                  <w:rFonts w:ascii="Arial" w:cs="Arial" w:eastAsia="Arial" w:hAnsi="Arial"/>
                  <w:sz w:val="13"/>
                  <w:szCs w:val="13"/>
                  <w:color w:val="0000EE"/>
                  <w:w w:val="97"/>
                </w:rPr>
                <w:t>OVERNANCE</w:t>
              </w:r>
            </w:hyperlink>
          </w:p>
        </w:tc>
        <w:tc>
          <w:tcPr>
            <w:tcW w:w="51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11.</w:t>
            </w:r>
          </w:p>
        </w:tc>
        <w:tc>
          <w:tcPr>
            <w:tcW w:w="9760" w:type="dxa"/>
            <w:vAlign w:val="bottom"/>
            <w:gridSpan w:val="1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w:t>
              </w:r>
              <w:r>
                <w:rPr>
                  <w:rFonts w:ascii="Arial" w:cs="Arial" w:eastAsia="Arial" w:hAnsi="Arial"/>
                  <w:sz w:val="13"/>
                  <w:szCs w:val="13"/>
                  <w:color w:val="0000EE"/>
                </w:rPr>
                <w:t>XECUTIVE</w:t>
              </w:r>
              <w:r>
                <w:rPr>
                  <w:rFonts w:ascii="Arial" w:cs="Arial" w:eastAsia="Arial" w:hAnsi="Arial"/>
                  <w:sz w:val="18"/>
                  <w:szCs w:val="18"/>
                  <w:color w:val="0000EE"/>
                </w:rPr>
                <w:t xml:space="preserve"> C</w:t>
              </w:r>
              <w:r>
                <w:rPr>
                  <w:rFonts w:ascii="Arial" w:cs="Arial" w:eastAsia="Arial" w:hAnsi="Arial"/>
                  <w:sz w:val="13"/>
                  <w:szCs w:val="13"/>
                  <w:color w:val="0000EE"/>
                </w:rPr>
                <w:t>OMPENSATION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12.</w:t>
            </w:r>
          </w:p>
        </w:tc>
        <w:tc>
          <w:tcPr>
            <w:tcW w:w="9760" w:type="dxa"/>
            <w:vAlign w:val="bottom"/>
            <w:gridSpan w:val="1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w:t>
              </w:r>
              <w:r>
                <w:rPr>
                  <w:rFonts w:ascii="Arial" w:cs="Arial" w:eastAsia="Arial" w:hAnsi="Arial"/>
                  <w:sz w:val="13"/>
                  <w:szCs w:val="13"/>
                  <w:color w:val="0000EE"/>
                </w:rPr>
                <w:t>ECURITY</w:t>
              </w:r>
              <w:r>
                <w:rPr>
                  <w:rFonts w:ascii="Arial" w:cs="Arial" w:eastAsia="Arial" w:hAnsi="Arial"/>
                  <w:sz w:val="18"/>
                  <w:szCs w:val="18"/>
                  <w:color w:val="0000EE"/>
                </w:rPr>
                <w:t xml:space="preserve"> O</w:t>
              </w:r>
              <w:r>
                <w:rPr>
                  <w:rFonts w:ascii="Arial" w:cs="Arial" w:eastAsia="Arial" w:hAnsi="Arial"/>
                  <w:sz w:val="13"/>
                  <w:szCs w:val="13"/>
                  <w:color w:val="0000EE"/>
                </w:rPr>
                <w:t>WNERSHIP OF</w:t>
              </w:r>
              <w:r>
                <w:rPr>
                  <w:rFonts w:ascii="Arial" w:cs="Arial" w:eastAsia="Arial" w:hAnsi="Arial"/>
                  <w:sz w:val="18"/>
                  <w:szCs w:val="18"/>
                  <w:color w:val="0000EE"/>
                </w:rPr>
                <w:t xml:space="preserve"> C</w:t>
              </w:r>
              <w:r>
                <w:rPr>
                  <w:rFonts w:ascii="Arial" w:cs="Arial" w:eastAsia="Arial" w:hAnsi="Arial"/>
                  <w:sz w:val="13"/>
                  <w:szCs w:val="13"/>
                  <w:color w:val="0000EE"/>
                </w:rPr>
                <w:t>ERTAIN</w:t>
              </w:r>
              <w:r>
                <w:rPr>
                  <w:rFonts w:ascii="Arial" w:cs="Arial" w:eastAsia="Arial" w:hAnsi="Arial"/>
                  <w:sz w:val="18"/>
                  <w:szCs w:val="18"/>
                  <w:color w:val="0000EE"/>
                </w:rPr>
                <w:t xml:space="preserve"> B</w:t>
              </w:r>
              <w:r>
                <w:rPr>
                  <w:rFonts w:ascii="Arial" w:cs="Arial" w:eastAsia="Arial" w:hAnsi="Arial"/>
                  <w:sz w:val="13"/>
                  <w:szCs w:val="13"/>
                  <w:color w:val="0000EE"/>
                </w:rPr>
                <w:t>ENEFICIAL</w:t>
              </w:r>
              <w:r>
                <w:rPr>
                  <w:rFonts w:ascii="Arial" w:cs="Arial" w:eastAsia="Arial" w:hAnsi="Arial"/>
                  <w:sz w:val="18"/>
                  <w:szCs w:val="18"/>
                  <w:color w:val="0000EE"/>
                </w:rPr>
                <w:t xml:space="preserve"> O</w:t>
              </w:r>
              <w:r>
                <w:rPr>
                  <w:rFonts w:ascii="Arial" w:cs="Arial" w:eastAsia="Arial" w:hAnsi="Arial"/>
                  <w:sz w:val="13"/>
                  <w:szCs w:val="13"/>
                  <w:color w:val="0000EE"/>
                </w:rPr>
                <w:t>WNERS AND</w:t>
              </w:r>
              <w:r>
                <w:rPr>
                  <w:rFonts w:ascii="Arial" w:cs="Arial" w:eastAsia="Arial" w:hAnsi="Arial"/>
                  <w:sz w:val="18"/>
                  <w:szCs w:val="18"/>
                  <w:color w:val="0000EE"/>
                </w:rPr>
                <w:t xml:space="preserve"> M</w:t>
              </w:r>
              <w:r>
                <w:rPr>
                  <w:rFonts w:ascii="Arial" w:cs="Arial" w:eastAsia="Arial" w:hAnsi="Arial"/>
                  <w:sz w:val="13"/>
                  <w:szCs w:val="13"/>
                  <w:color w:val="0000EE"/>
                </w:rPr>
                <w:t>ANAGEMENT AND</w:t>
              </w:r>
              <w:r>
                <w:rPr>
                  <w:rFonts w:ascii="Arial" w:cs="Arial" w:eastAsia="Arial" w:hAnsi="Arial"/>
                  <w:sz w:val="18"/>
                  <w:szCs w:val="18"/>
                  <w:color w:val="0000EE"/>
                </w:rPr>
                <w:t xml:space="preserve">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13.</w:t>
            </w:r>
          </w:p>
        </w:tc>
        <w:tc>
          <w:tcPr>
            <w:tcW w:w="7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w:t>
              </w:r>
              <w:r>
                <w:rPr>
                  <w:rFonts w:ascii="Arial" w:cs="Arial" w:eastAsia="Arial" w:hAnsi="Arial"/>
                  <w:sz w:val="13"/>
                  <w:szCs w:val="13"/>
                  <w:color w:val="0000EE"/>
                </w:rPr>
                <w:t>ERTAIN</w:t>
              </w:r>
              <w:r>
                <w:rPr>
                  <w:rFonts w:ascii="Arial" w:cs="Arial" w:eastAsia="Arial" w:hAnsi="Arial"/>
                  <w:sz w:val="18"/>
                  <w:szCs w:val="18"/>
                  <w:color w:val="0000EE"/>
                </w:rPr>
                <w:t xml:space="preserve"> R</w:t>
              </w:r>
              <w:r>
                <w:rPr>
                  <w:rFonts w:ascii="Arial" w:cs="Arial" w:eastAsia="Arial" w:hAnsi="Arial"/>
                  <w:sz w:val="13"/>
                  <w:szCs w:val="13"/>
                  <w:color w:val="0000EE"/>
                </w:rPr>
                <w:t>ELATIONSHIPS</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T</w:t>
              </w:r>
              <w:r>
                <w:rPr>
                  <w:rFonts w:ascii="Arial" w:cs="Arial" w:eastAsia="Arial" w:hAnsi="Arial"/>
                  <w:sz w:val="13"/>
                  <w:szCs w:val="13"/>
                  <w:color w:val="0000EE"/>
                </w:rPr>
                <w:t>RANSACTIONS AND</w:t>
              </w:r>
              <w:r>
                <w:rPr>
                  <w:rFonts w:ascii="Arial" w:cs="Arial" w:eastAsia="Arial" w:hAnsi="Arial"/>
                  <w:sz w:val="18"/>
                  <w:szCs w:val="18"/>
                  <w:color w:val="0000EE"/>
                </w:rPr>
                <w:t xml:space="preserve"> D</w:t>
              </w:r>
              <w:r>
                <w:rPr>
                  <w:rFonts w:ascii="Arial" w:cs="Arial" w:eastAsia="Arial" w:hAnsi="Arial"/>
                  <w:sz w:val="13"/>
                  <w:szCs w:val="13"/>
                  <w:color w:val="0000EE"/>
                </w:rPr>
                <w:t>IRECTORS</w:t>
              </w:r>
              <w:r>
                <w:rPr>
                  <w:rFonts w:ascii="Arial" w:cs="Arial" w:eastAsia="Arial" w:hAnsi="Arial"/>
                  <w:sz w:val="18"/>
                  <w:szCs w:val="18"/>
                  <w:color w:val="0000EE"/>
                </w:rPr>
                <w:t xml:space="preserve"> I</w:t>
              </w:r>
              <w:r>
                <w:rPr>
                  <w:rFonts w:ascii="Arial" w:cs="Arial" w:eastAsia="Arial" w:hAnsi="Arial"/>
                  <w:sz w:val="13"/>
                  <w:szCs w:val="13"/>
                  <w:color w:val="0000EE"/>
                </w:rPr>
                <w:t>NDEPENDENCE</w:t>
              </w:r>
            </w:hyperlink>
          </w:p>
        </w:tc>
        <w:tc>
          <w:tcPr>
            <w:tcW w:w="23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14.</w:t>
            </w:r>
          </w:p>
        </w:tc>
        <w:tc>
          <w:tcPr>
            <w:tcW w:w="5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w:t>
              </w:r>
              <w:r>
                <w:rPr>
                  <w:rFonts w:ascii="Arial" w:cs="Arial" w:eastAsia="Arial" w:hAnsi="Arial"/>
                  <w:sz w:val="13"/>
                  <w:szCs w:val="13"/>
                  <w:color w:val="0000EE"/>
                </w:rPr>
                <w:t>RINCIPAL</w:t>
              </w:r>
              <w:r>
                <w:rPr>
                  <w:rFonts w:ascii="Arial" w:cs="Arial" w:eastAsia="Arial" w:hAnsi="Arial"/>
                  <w:sz w:val="18"/>
                  <w:szCs w:val="18"/>
                  <w:color w:val="0000EE"/>
                </w:rPr>
                <w:t xml:space="preserve"> A</w:t>
              </w:r>
              <w:r>
                <w:rPr>
                  <w:rFonts w:ascii="Arial" w:cs="Arial" w:eastAsia="Arial" w:hAnsi="Arial"/>
                  <w:sz w:val="13"/>
                  <w:szCs w:val="13"/>
                  <w:color w:val="0000EE"/>
                </w:rPr>
                <w:t>CCOUNTANT</w:t>
              </w:r>
              <w:r>
                <w:rPr>
                  <w:rFonts w:ascii="Arial" w:cs="Arial" w:eastAsia="Arial" w:hAnsi="Arial"/>
                  <w:sz w:val="18"/>
                  <w:szCs w:val="18"/>
                  <w:color w:val="0000EE"/>
                </w:rPr>
                <w:t xml:space="preserve"> F</w:t>
              </w:r>
              <w:r>
                <w:rPr>
                  <w:rFonts w:ascii="Arial" w:cs="Arial" w:eastAsia="Arial" w:hAnsi="Arial"/>
                  <w:sz w:val="13"/>
                  <w:szCs w:val="13"/>
                  <w:color w:val="0000EE"/>
                </w:rPr>
                <w:t>EES AND</w:t>
              </w:r>
              <w:r>
                <w:rPr>
                  <w:rFonts w:ascii="Arial" w:cs="Arial" w:eastAsia="Arial" w:hAnsi="Arial"/>
                  <w:sz w:val="18"/>
                  <w:szCs w:val="18"/>
                  <w:color w:val="0000EE"/>
                </w:rPr>
                <w:t xml:space="preserve"> S</w:t>
              </w:r>
              <w:r>
                <w:rPr>
                  <w:rFonts w:ascii="Arial" w:cs="Arial" w:eastAsia="Arial" w:hAnsi="Arial"/>
                  <w:sz w:val="13"/>
                  <w:szCs w:val="13"/>
                  <w:color w:val="0000EE"/>
                </w:rPr>
                <w:t>ERVICES</w:t>
              </w:r>
            </w:hyperlink>
          </w:p>
        </w:tc>
        <w:tc>
          <w:tcPr>
            <w:tcW w:w="40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15.</w:t>
            </w:r>
          </w:p>
        </w:tc>
        <w:tc>
          <w:tcPr>
            <w:tcW w:w="34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E</w:t>
              </w:r>
              <w:r>
                <w:rPr>
                  <w:rFonts w:ascii="Arial" w:cs="Arial" w:eastAsia="Arial" w:hAnsi="Arial"/>
                  <w:sz w:val="13"/>
                  <w:szCs w:val="13"/>
                  <w:color w:val="0000EE"/>
                  <w:w w:val="99"/>
                </w:rPr>
                <w:t>XHIBITS AND</w:t>
              </w:r>
              <w:r>
                <w:rPr>
                  <w:rFonts w:ascii="Arial" w:cs="Arial" w:eastAsia="Arial" w:hAnsi="Arial"/>
                  <w:sz w:val="18"/>
                  <w:szCs w:val="18"/>
                  <w:color w:val="0000EE"/>
                  <w:w w:val="99"/>
                </w:rPr>
                <w:t xml:space="preserve"> F</w:t>
              </w:r>
              <w:r>
                <w:rPr>
                  <w:rFonts w:ascii="Arial" w:cs="Arial" w:eastAsia="Arial" w:hAnsi="Arial"/>
                  <w:sz w:val="13"/>
                  <w:szCs w:val="13"/>
                  <w:color w:val="0000EE"/>
                  <w:w w:val="99"/>
                </w:rPr>
                <w:t>INANCIAL</w:t>
              </w:r>
              <w:r>
                <w:rPr>
                  <w:rFonts w:ascii="Arial" w:cs="Arial" w:eastAsia="Arial" w:hAnsi="Arial"/>
                  <w:sz w:val="18"/>
                  <w:szCs w:val="18"/>
                  <w:color w:val="0000EE"/>
                  <w:w w:val="99"/>
                </w:rPr>
                <w:t xml:space="preserve"> S</w:t>
              </w:r>
              <w:r>
                <w:rPr>
                  <w:rFonts w:ascii="Arial" w:cs="Arial" w:eastAsia="Arial" w:hAnsi="Arial"/>
                  <w:sz w:val="13"/>
                  <w:szCs w:val="13"/>
                  <w:color w:val="0000EE"/>
                  <w:w w:val="99"/>
                </w:rPr>
                <w:t>TATEMENT</w:t>
              </w:r>
              <w:r>
                <w:rPr>
                  <w:rFonts w:ascii="Arial" w:cs="Arial" w:eastAsia="Arial" w:hAnsi="Arial"/>
                  <w:sz w:val="18"/>
                  <w:szCs w:val="18"/>
                  <w:color w:val="0000EE"/>
                  <w:w w:val="99"/>
                </w:rPr>
                <w:t xml:space="preserve"> S</w:t>
              </w:r>
              <w:r>
                <w:rPr>
                  <w:rFonts w:ascii="Arial" w:cs="Arial" w:eastAsia="Arial" w:hAnsi="Arial"/>
                  <w:sz w:val="13"/>
                  <w:szCs w:val="13"/>
                  <w:color w:val="0000EE"/>
                  <w:w w:val="99"/>
                </w:rPr>
                <w:t>CHEDULES</w:t>
              </w:r>
            </w:hyperlink>
          </w:p>
        </w:tc>
        <w:tc>
          <w:tcPr>
            <w:tcW w:w="6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1076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SIGNATURE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76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INDEX TO FINANCIAL STATEMENTS AND SCHEDULES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1473"/>
        </w:trPr>
        <w:tc>
          <w:tcPr>
            <w:tcW w:w="10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Unless otherwise noted, (1) the terms “Arrowhead” and “Arrowhead Research” refer to Arrowhead Research Corporation, a Delaware corporation,</w:t>
      </w:r>
    </w:p>
    <w:p>
      <w:pPr>
        <w:spacing w:after="0" w:line="35" w:lineRule="exact"/>
        <w:rPr>
          <w:sz w:val="20"/>
          <w:szCs w:val="20"/>
          <w:color w:val="auto"/>
        </w:rPr>
      </w:pPr>
    </w:p>
    <w:p>
      <w:pPr>
        <w:ind w:right="400" w:firstLine="8"/>
        <w:spacing w:after="0" w:line="253"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terms the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the term “Stockholder(s)” refers to the holders of Arrowhead Common Stock.</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60" w:firstLine="305"/>
        <w:spacing w:after="0" w:line="273" w:lineRule="auto"/>
        <w:rPr>
          <w:sz w:val="20"/>
          <w:szCs w:val="20"/>
          <w:color w:val="auto"/>
        </w:rPr>
      </w:pPr>
      <w:r>
        <w:rPr>
          <w:rFonts w:ascii="Arial" w:cs="Arial" w:eastAsia="Arial" w:hAnsi="Arial"/>
          <w:sz w:val="17"/>
          <w:szCs w:val="17"/>
          <w:color w:val="auto"/>
        </w:rPr>
        <w:t>Arrowhead Research develops novel drugs to treat intractable diseases by silencing the genes that cause them. Using the industry’s broadest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to target and shut down specific disease causing genes.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Delivery Technology</w:t>
      </w:r>
    </w:p>
    <w:p>
      <w:pPr>
        <w:spacing w:after="0" w:line="333" w:lineRule="exact"/>
        <w:rPr>
          <w:sz w:val="20"/>
          <w:szCs w:val="20"/>
          <w:color w:val="auto"/>
        </w:rPr>
      </w:pPr>
    </w:p>
    <w:p>
      <w:pPr>
        <w:ind w:right="100" w:firstLine="305"/>
        <w:spacing w:after="0" w:line="257" w:lineRule="auto"/>
        <w:rPr>
          <w:sz w:val="20"/>
          <w:szCs w:val="20"/>
          <w:color w:val="auto"/>
        </w:rPr>
      </w:pPr>
      <w:r>
        <w:rPr>
          <w:rFonts w:ascii="Arial" w:cs="Arial" w:eastAsia="Arial" w:hAnsi="Arial"/>
          <w:sz w:val="18"/>
          <w:szCs w:val="18"/>
          <w:color w:val="auto"/>
        </w:rPr>
        <w:t>The Dynamic Polyconjugate™ (DPC™) platform is an RNAi delivery system that promotes high levels of target gene knockdown. The DPC™ platform is engineered specifically to induce efficient endosomal escape, which is the most important differentiating feature of our proprietary technology. The liver targeted DPC™ delivery system has been used in multiple clinical trials and appears to be well tolerated using a variety of RNAi trigger molecules. The DPC™ platform is a modular system that can be optimized on a target-by-target basis, including the ability to target multiple organ systems and cell types outside of the liver.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Stage Drugs</w:t>
      </w:r>
    </w:p>
    <w:p>
      <w:pPr>
        <w:spacing w:after="0" w:line="117" w:lineRule="exact"/>
        <w:rPr>
          <w:sz w:val="20"/>
          <w:szCs w:val="20"/>
          <w:color w:val="auto"/>
        </w:rPr>
      </w:pPr>
    </w:p>
    <w:p>
      <w:pPr>
        <w:ind w:left="1040" w:right="160" w:hanging="384"/>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ARC-520 is an RNAi-based therapeutic designed to treat chronic hepatitis B virus (HBV) infection by reducing the expression and release of new viral particles and key viral proteins with the goal of achieving a functional cure for HBV. The Company is conducting multiple Phase 2b clinical efficacy studies.</w:t>
      </w:r>
    </w:p>
    <w:p>
      <w:pPr>
        <w:spacing w:after="0" w:line="73" w:lineRule="exact"/>
        <w:rPr>
          <w:rFonts w:ascii="Arial" w:cs="Arial" w:eastAsia="Arial" w:hAnsi="Arial"/>
          <w:sz w:val="18"/>
          <w:szCs w:val="18"/>
          <w:color w:val="auto"/>
        </w:rPr>
      </w:pPr>
    </w:p>
    <w:p>
      <w:pPr>
        <w:ind w:left="1040" w:hanging="384"/>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ARC-AAT is a novel unlocked nucleobase analog (UNA)-containing RNAi-based therapeutic for the treatment of liver disease associated with Alpha-1 Antitrypsin Deficiency (AATD), a rare genetic disease that can severely damage the liver and lungs of affected individuals. The goal of treatment with ARC-AAT is to reduce the production of the mutant Z-AAT protein to prevent and potentially reverse accumulation-related liver injury and fibrosis. The Company is conducting a Phase 1b clinical trial.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Stage Drug Candidates</w:t>
      </w:r>
    </w:p>
    <w:p>
      <w:pPr>
        <w:spacing w:after="0" w:line="117" w:lineRule="exact"/>
        <w:rPr>
          <w:sz w:val="20"/>
          <w:szCs w:val="20"/>
          <w:color w:val="auto"/>
        </w:rPr>
      </w:pPr>
    </w:p>
    <w:p>
      <w:pPr>
        <w:ind w:left="1040" w:right="200" w:hanging="384"/>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ARC-521 is a new RNAi-based therapeutic in Arrowhead’s HBV portfolio that was developed to target both cccDNA derived mRNA transcripts, like ARC-520, as well as those from HBV DNA that has integrated into the host DNA. It is intended to address specific patient populations that are predicted to have higher ratios of integrated DNA versus cccDNA. The Company plans to begin clinical studies of ARC-521 in mid-2016.</w:t>
      </w:r>
    </w:p>
    <w:p>
      <w:pPr>
        <w:spacing w:after="0" w:line="78" w:lineRule="exact"/>
        <w:rPr>
          <w:rFonts w:ascii="Arial" w:cs="Arial" w:eastAsia="Arial" w:hAnsi="Arial"/>
          <w:sz w:val="18"/>
          <w:szCs w:val="18"/>
          <w:color w:val="auto"/>
        </w:rPr>
      </w:pPr>
    </w:p>
    <w:p>
      <w:pPr>
        <w:ind w:left="1040" w:right="60" w:hanging="384"/>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ARC-F12 is an RNAi-based therapeutic designed to reduce the production of factor 12 with the goal of providing a prophylactic treatment for hereditary angioedema (HAE) and thromboembolic diseases. Arrowhead is studying relevant disease models, and is considering other potential studies to support advancement of ARC-F12 into clinical trials.</w:t>
      </w:r>
    </w:p>
    <w:p>
      <w:pPr>
        <w:spacing w:after="0" w:line="73" w:lineRule="exact"/>
        <w:rPr>
          <w:rFonts w:ascii="Arial" w:cs="Arial" w:eastAsia="Arial" w:hAnsi="Arial"/>
          <w:sz w:val="18"/>
          <w:szCs w:val="18"/>
          <w:color w:val="auto"/>
        </w:rPr>
      </w:pPr>
    </w:p>
    <w:p>
      <w:pPr>
        <w:ind w:left="1040" w:right="20" w:hanging="384"/>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ARC-HIF2 is an RNAi-based therapeutic designed to reduce the production of hypoxia-inducible factor 2α (HIF-2α) to treat clear cell renal cell carcinoma. It is the first drug candidate using a new DPC™ delivery vehicle designed to target tissues outside of the liver. Arrowhead is conducting studies in tumor models and is working on manufacturing scale up for the new delivery vehicle to support advancement of ARC-HIF2 into IND-enabling studies.</w:t>
      </w:r>
    </w:p>
    <w:p>
      <w:pPr>
        <w:spacing w:after="0" w:line="78" w:lineRule="exact"/>
        <w:rPr>
          <w:rFonts w:ascii="Arial" w:cs="Arial" w:eastAsia="Arial" w:hAnsi="Arial"/>
          <w:sz w:val="18"/>
          <w:szCs w:val="18"/>
          <w:color w:val="auto"/>
        </w:rPr>
      </w:pPr>
    </w:p>
    <w:p>
      <w:pPr>
        <w:ind w:left="1040" w:right="40" w:hanging="384"/>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ARC-LPA is an RNAi-based therapeutic designed to reduce production of apolipoprotein A (apo(a)), a key component of lipoprotein(a) (Lp(a)), which has been genetically linked with increased risk of cardiovascular diseases. ARC-LPA employs Arrowhead’s new hepatic delivery format being developed for subcutaneous administration. This program has not yet been designated by Arrowhead as entering pre-IND development.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Arrowhead made significant progress on product and platform development during fiscal year 2015 with an expanding pipeline of RNAi therapeutics based on the Dynamic Polyconjugate (DPC™) delivery system. The following are highlights of this progress:</w:t>
      </w:r>
    </w:p>
    <w:p>
      <w:pPr>
        <w:spacing w:after="0" w:line="170" w:lineRule="exact"/>
        <w:rPr>
          <w:sz w:val="20"/>
          <w:szCs w:val="20"/>
          <w:color w:val="auto"/>
        </w:rPr>
      </w:pPr>
    </w:p>
    <w:p>
      <w:pPr>
        <w:ind w:left="1140" w:right="30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Strengthened management team and R&amp;D staff with select key hires and expanded internal capabilities in manufacturing, RNA synthesis, toxicology, QA, program management, and clinical and regulatory operations</w:t>
      </w:r>
    </w:p>
    <w:p>
      <w:pPr>
        <w:spacing w:after="0" w:line="278"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Presented data on ARC-520 and ARC-AAT at AASLD Liver Meeting® 2014</w:t>
      </w:r>
    </w:p>
    <w:p>
      <w:pPr>
        <w:spacing w:after="0" w:line="333" w:lineRule="exact"/>
        <w:rPr>
          <w:rFonts w:ascii="Arial" w:cs="Arial" w:eastAsia="Arial" w:hAnsi="Arial"/>
          <w:sz w:val="18"/>
          <w:szCs w:val="18"/>
          <w:color w:val="auto"/>
        </w:rPr>
      </w:pPr>
    </w:p>
    <w:p>
      <w:pPr>
        <w:ind w:left="2200" w:hanging="679"/>
        <w:spacing w:after="0"/>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ARC-520 showed statistically significant reduction in HBsAg through day 43 after a single injection (p &lt; 0.05)</w:t>
      </w:r>
    </w:p>
    <w:p>
      <w:pPr>
        <w:spacing w:after="0" w:line="333" w:lineRule="exact"/>
        <w:rPr>
          <w:rFonts w:ascii="Arial" w:cs="Arial" w:eastAsia="Arial" w:hAnsi="Arial"/>
          <w:sz w:val="18"/>
          <w:szCs w:val="18"/>
          <w:color w:val="auto"/>
        </w:rPr>
      </w:pPr>
    </w:p>
    <w:p>
      <w:pPr>
        <w:ind w:left="2200" w:hanging="679"/>
        <w:spacing w:after="0" w:line="264" w:lineRule="auto"/>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Repeat dosing of ARC-AAT in primates showed reduction of approximately 90% of serum alpha 1 antitrypsin (AAT) with long duration of effect suggesting that monthly or less frequent dosing may be sufficient for sustained suppression of hepatic AAT production</w:t>
      </w:r>
    </w:p>
    <w:p>
      <w:pPr>
        <w:spacing w:after="0" w:line="289" w:lineRule="exact"/>
        <w:rPr>
          <w:rFonts w:ascii="Arial" w:cs="Arial" w:eastAsia="Arial" w:hAnsi="Arial"/>
          <w:sz w:val="18"/>
          <w:szCs w:val="18"/>
          <w:color w:val="auto"/>
        </w:rPr>
      </w:pPr>
    </w:p>
    <w:p>
      <w:pPr>
        <w:ind w:left="2200" w:hanging="679"/>
        <w:spacing w:after="0"/>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ARC-AAT abstract highlighted in the AASLD President's Press Conference as a promising new treatment</w:t>
      </w:r>
    </w:p>
    <w:p>
      <w:pPr>
        <w:spacing w:after="0" w:line="333" w:lineRule="exact"/>
        <w:rPr>
          <w:rFonts w:ascii="Arial" w:cs="Arial" w:eastAsia="Arial" w:hAnsi="Arial"/>
          <w:sz w:val="18"/>
          <w:szCs w:val="18"/>
          <w:color w:val="auto"/>
        </w:rPr>
      </w:pPr>
    </w:p>
    <w:p>
      <w:pPr>
        <w:ind w:left="1140" w:right="76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for regulatory approval to begin a Phase 1 clinical trial of ARC-AAT for the treatment of liver disease associated with alpha-1 antitrypsin deficiency</w:t>
      </w:r>
    </w:p>
    <w:p>
      <w:pPr>
        <w:spacing w:after="0" w:line="278" w:lineRule="exact"/>
        <w:rPr>
          <w:rFonts w:ascii="Arial" w:cs="Arial" w:eastAsia="Arial" w:hAnsi="Arial"/>
          <w:sz w:val="18"/>
          <w:szCs w:val="18"/>
          <w:color w:val="auto"/>
        </w:rPr>
      </w:pPr>
    </w:p>
    <w:p>
      <w:pPr>
        <w:ind w:left="1140" w:right="220" w:hanging="376"/>
        <w:spacing w:after="0" w:line="34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Submitted an Investigational New Drug (IND) application to the U.S. Food and Drug Administration and submitted additional clinical trial authorization applications with regulatory authorities in various jurisdictions in Europe, Asia, and Australia/New Zealand for ARC-520</w:t>
      </w:r>
    </w:p>
    <w:p>
      <w:pPr>
        <w:spacing w:after="0" w:line="231" w:lineRule="exact"/>
        <w:rPr>
          <w:rFonts w:ascii="Arial" w:cs="Arial" w:eastAsia="Arial" w:hAnsi="Arial"/>
          <w:sz w:val="16"/>
          <w:szCs w:val="16"/>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dosing in a Phase 1 clinical trial of ARC-AAT</w:t>
      </w:r>
    </w:p>
    <w:p>
      <w:pPr>
        <w:spacing w:after="0" w:line="333" w:lineRule="exact"/>
        <w:rPr>
          <w:rFonts w:ascii="Arial" w:cs="Arial" w:eastAsia="Arial" w:hAnsi="Arial"/>
          <w:sz w:val="18"/>
          <w:szCs w:val="18"/>
          <w:color w:val="auto"/>
        </w:rPr>
      </w:pPr>
    </w:p>
    <w:p>
      <w:pPr>
        <w:ind w:left="1140" w:right="46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Novartis Institutes for BioMedical Research, Inc (“Novartis”) entire RNAi research and development portfolio and associated assets, including:</w:t>
      </w:r>
    </w:p>
    <w:p>
      <w:pPr>
        <w:spacing w:after="0" w:line="278" w:lineRule="exact"/>
        <w:rPr>
          <w:rFonts w:ascii="Arial" w:cs="Arial" w:eastAsia="Arial" w:hAnsi="Arial"/>
          <w:sz w:val="18"/>
          <w:szCs w:val="18"/>
          <w:color w:val="auto"/>
        </w:rPr>
      </w:pPr>
    </w:p>
    <w:p>
      <w:pPr>
        <w:ind w:left="2200" w:right="280" w:hanging="679"/>
        <w:spacing w:after="0" w:line="308" w:lineRule="auto"/>
        <w:tabs>
          <w:tab w:leader="none" w:pos="2200" w:val="left"/>
        </w:tabs>
        <w:numPr>
          <w:ilvl w:val="1"/>
          <w:numId w:val="6"/>
        </w:numPr>
        <w:rPr>
          <w:rFonts w:ascii="Arial" w:cs="Arial" w:eastAsia="Arial" w:hAnsi="Arial"/>
          <w:sz w:val="17"/>
          <w:szCs w:val="17"/>
          <w:color w:val="auto"/>
        </w:rPr>
      </w:pPr>
      <w:r>
        <w:rPr>
          <w:rFonts w:ascii="Arial" w:cs="Arial" w:eastAsia="Arial" w:hAnsi="Arial"/>
          <w:sz w:val="17"/>
          <w:szCs w:val="17"/>
          <w:color w:val="auto"/>
        </w:rPr>
        <w:t>Multiple patent families covering RNAi-trigger design rules and modifications that fall outside of key patents controlled by competitors, which the Company believes provides freedom to operate for any target and indication</w:t>
      </w:r>
    </w:p>
    <w:p>
      <w:pPr>
        <w:spacing w:after="0" w:line="254" w:lineRule="exact"/>
        <w:rPr>
          <w:rFonts w:ascii="Arial" w:cs="Arial" w:eastAsia="Arial" w:hAnsi="Arial"/>
          <w:sz w:val="17"/>
          <w:szCs w:val="17"/>
          <w:color w:val="auto"/>
        </w:rPr>
      </w:pPr>
    </w:p>
    <w:p>
      <w:pPr>
        <w:ind w:left="2200" w:right="560" w:hanging="679"/>
        <w:spacing w:after="0" w:line="277" w:lineRule="auto"/>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Novel intracellular targeting ligands that enhance the activity of RNAi-triggers by targeting the RNA-induced silencing complex (RISC) more effectively and improving stability once RISC is loaded</w:t>
      </w:r>
    </w:p>
    <w:p>
      <w:pPr>
        <w:spacing w:after="0" w:line="278" w:lineRule="exact"/>
        <w:rPr>
          <w:rFonts w:ascii="Arial" w:cs="Arial" w:eastAsia="Arial" w:hAnsi="Arial"/>
          <w:sz w:val="18"/>
          <w:szCs w:val="18"/>
          <w:color w:val="auto"/>
        </w:rPr>
      </w:pPr>
    </w:p>
    <w:p>
      <w:pPr>
        <w:ind w:left="2200" w:right="180" w:hanging="679"/>
        <w:spacing w:after="0" w:line="277" w:lineRule="auto"/>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assignment of Novartis' license from Alnylam Pharmaceuticals, Inc. (“Alnylam”) granting Arrowhead access to Alnylam intellectual property, excluding delivery, for 30 gene targets chosen by Novartis</w:t>
      </w:r>
    </w:p>
    <w:p>
      <w:pPr>
        <w:spacing w:after="0" w:line="278" w:lineRule="exact"/>
        <w:rPr>
          <w:rFonts w:ascii="Arial" w:cs="Arial" w:eastAsia="Arial" w:hAnsi="Arial"/>
          <w:sz w:val="18"/>
          <w:szCs w:val="18"/>
          <w:color w:val="auto"/>
        </w:rPr>
      </w:pPr>
    </w:p>
    <w:p>
      <w:pPr>
        <w:ind w:left="2200" w:hanging="679"/>
        <w:spacing w:after="0"/>
        <w:tabs>
          <w:tab w:leader="none" w:pos="22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pipeline of three candidates initiated by Novartis and for which Novartis has developed varying amounts of preclinical data</w:t>
      </w:r>
    </w:p>
    <w:p>
      <w:pPr>
        <w:spacing w:after="0" w:line="356" w:lineRule="exact"/>
        <w:rPr>
          <w:rFonts w:ascii="Arial" w:cs="Arial" w:eastAsia="Arial" w:hAnsi="Arial"/>
          <w:sz w:val="16"/>
          <w:szCs w:val="16"/>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dosing in Heparc-2004, a multiple-dose Phase 2b clinical study of ARC-520 in the U.S.</w:t>
      </w:r>
    </w:p>
    <w:p>
      <w:pPr>
        <w:spacing w:after="0" w:line="333" w:lineRule="exact"/>
        <w:rPr>
          <w:rFonts w:ascii="Arial" w:cs="Arial" w:eastAsia="Arial" w:hAnsi="Arial"/>
          <w:sz w:val="18"/>
          <w:szCs w:val="18"/>
          <w:color w:val="auto"/>
        </w:rPr>
      </w:pPr>
    </w:p>
    <w:p>
      <w:pPr>
        <w:ind w:left="1140" w:right="44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Published new data in the Journal of Controlled Release, 209 (2015) 57-66, on a subcutaneously administered formulation of its DPC™ delivery system</w:t>
      </w:r>
    </w:p>
    <w:p>
      <w:pPr>
        <w:spacing w:after="0" w:line="278" w:lineRule="exact"/>
        <w:rPr>
          <w:rFonts w:ascii="Arial" w:cs="Arial" w:eastAsia="Arial" w:hAnsi="Arial"/>
          <w:sz w:val="18"/>
          <w:szCs w:val="18"/>
          <w:color w:val="auto"/>
        </w:rPr>
      </w:pPr>
    </w:p>
    <w:p>
      <w:pPr>
        <w:ind w:left="1140" w:right="2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dosing of Part A of the ARC-AAT phase 1 study in healthy volunteers, and transitioned the study into Part B in patients with PiZZ genotype alpha-1 antitrypsin deficiency</w:t>
      </w:r>
    </w:p>
    <w:p>
      <w:pPr>
        <w:spacing w:after="0" w:line="278" w:lineRule="exact"/>
        <w:rPr>
          <w:rFonts w:ascii="Arial" w:cs="Arial" w:eastAsia="Arial" w:hAnsi="Arial"/>
          <w:sz w:val="18"/>
          <w:szCs w:val="18"/>
          <w:color w:val="auto"/>
        </w:rPr>
      </w:pPr>
    </w:p>
    <w:p>
      <w:pPr>
        <w:ind w:left="1140" w:right="460" w:hanging="376"/>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Presented data at the TIDES Conference on the development of ARC-F12, an RNAi therapeutic for factor 12 (F12) mediated hereditary angioedema and thromboembolic diseases</w:t>
      </w:r>
    </w:p>
    <w:p>
      <w:pPr>
        <w:spacing w:after="0" w:line="278"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Orphan Drug Designation from the United States Food and Drug Administration</w:t>
      </w:r>
    </w:p>
    <w:p>
      <w:pPr>
        <w:spacing w:after="0" w:line="333" w:lineRule="exact"/>
        <w:rPr>
          <w:rFonts w:ascii="Arial" w:cs="Arial" w:eastAsia="Arial" w:hAnsi="Arial"/>
          <w:sz w:val="18"/>
          <w:szCs w:val="18"/>
          <w:color w:val="auto"/>
        </w:rPr>
      </w:pPr>
    </w:p>
    <w:p>
      <w:pPr>
        <w:ind w:left="1140" w:hanging="37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multiple-dose Heparc-2002 and Heparc-2003 Phase 2b studies of ARC-520 in Europe and Asia</w:t>
      </w:r>
    </w:p>
    <w:p>
      <w:pPr>
        <w:sectPr>
          <w:pgSz w:w="11900" w:h="16838" w:orient="portrait"/>
          <w:cols w:equalWidth="0" w:num="1">
            <w:col w:w="11380"/>
          </w:cols>
          <w:pgMar w:left="240" w:top="449" w:right="27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5" w:name="page6"/>
    <w:bookmarkEnd w:id="5"/>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Expanded Part B of the Phase 1 study of ARC-AAT to include additional treatment sites in Europe, Australia, and New Zealand</w:t>
      </w:r>
    </w:p>
    <w:p>
      <w:pPr>
        <w:spacing w:after="0" w:line="333" w:lineRule="exact"/>
        <w:rPr>
          <w:rFonts w:ascii="Arial" w:cs="Arial" w:eastAsia="Arial" w:hAnsi="Arial"/>
          <w:sz w:val="18"/>
          <w:szCs w:val="18"/>
          <w:color w:val="auto"/>
        </w:rPr>
      </w:pPr>
    </w:p>
    <w:p>
      <w:pPr>
        <w:ind w:left="1140" w:right="540" w:hanging="37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Nominated ARC-HIF2 against clear cell renal cell carcinoma as Arrowhead’s first therapeutic candidate delivered using a new DPC™ designed to target tissues outside of the liver</w:t>
      </w:r>
    </w:p>
    <w:p>
      <w:pPr>
        <w:spacing w:after="0" w:line="278" w:lineRule="exact"/>
        <w:rPr>
          <w:rFonts w:ascii="Arial" w:cs="Arial" w:eastAsia="Arial" w:hAnsi="Arial"/>
          <w:sz w:val="18"/>
          <w:szCs w:val="18"/>
          <w:color w:val="auto"/>
        </w:rPr>
      </w:pPr>
    </w:p>
    <w:p>
      <w:pPr>
        <w:ind w:left="1140" w:right="160" w:hanging="376"/>
        <w:spacing w:after="0" w:line="342"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Hosted an analyst day to discuss top-line findings from the Heparc-2001 Phase 2a clinical study of ARC-520 and findings from a study of 9 chimpanzees that have been treated monthly with ARC-520 for between 6 and 11 months. Key messages included the following:</w:t>
      </w:r>
    </w:p>
    <w:p>
      <w:pPr>
        <w:spacing w:after="0" w:line="231" w:lineRule="exact"/>
        <w:rPr>
          <w:rFonts w:ascii="Arial" w:cs="Arial" w:eastAsia="Arial" w:hAnsi="Arial"/>
          <w:sz w:val="16"/>
          <w:szCs w:val="16"/>
          <w:color w:val="auto"/>
        </w:rPr>
      </w:pPr>
    </w:p>
    <w:p>
      <w:pPr>
        <w:ind w:left="2200" w:hanging="679"/>
        <w:spacing w:after="0"/>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Arrowhead's proprietary DPC™ platform can effectively and consistently knock down target genes in humans</w:t>
      </w:r>
    </w:p>
    <w:p>
      <w:pPr>
        <w:spacing w:after="0" w:line="333" w:lineRule="exact"/>
        <w:rPr>
          <w:rFonts w:ascii="Arial" w:cs="Arial" w:eastAsia="Arial" w:hAnsi="Arial"/>
          <w:sz w:val="18"/>
          <w:szCs w:val="18"/>
          <w:color w:val="auto"/>
        </w:rPr>
      </w:pPr>
    </w:p>
    <w:p>
      <w:pPr>
        <w:ind w:left="2200" w:hanging="679"/>
        <w:spacing w:after="0" w:line="277" w:lineRule="auto"/>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ARC-520 achieves significant HBV s-Antigen (HBsAg) reductions in humans, particularly in treatment naïve, HBeAg-positive patients</w:t>
      </w:r>
    </w:p>
    <w:p>
      <w:pPr>
        <w:spacing w:after="0" w:line="278" w:lineRule="exact"/>
        <w:rPr>
          <w:rFonts w:ascii="Arial" w:cs="Arial" w:eastAsia="Arial" w:hAnsi="Arial"/>
          <w:sz w:val="18"/>
          <w:szCs w:val="18"/>
          <w:color w:val="auto"/>
        </w:rPr>
      </w:pPr>
    </w:p>
    <w:p>
      <w:pPr>
        <w:ind w:left="2200" w:hanging="679"/>
        <w:spacing w:after="0"/>
        <w:tabs>
          <w:tab w:leader="none" w:pos="22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Arrowhead identifies a large target HBV population for ARC-520 and describes a new paradigm for the HBV lifecycle</w:t>
      </w:r>
    </w:p>
    <w:p>
      <w:pPr>
        <w:spacing w:after="0" w:line="344" w:lineRule="exact"/>
        <w:rPr>
          <w:rFonts w:ascii="Arial" w:cs="Arial" w:eastAsia="Arial" w:hAnsi="Arial"/>
          <w:sz w:val="17"/>
          <w:szCs w:val="17"/>
          <w:color w:val="auto"/>
        </w:rPr>
      </w:pPr>
    </w:p>
    <w:p>
      <w:pPr>
        <w:ind w:left="2200" w:hanging="679"/>
        <w:spacing w:after="0"/>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ARC-520 induces deep HBsAg reduction in chronically HBV infected chimps</w:t>
      </w:r>
    </w:p>
    <w:p>
      <w:pPr>
        <w:spacing w:after="0" w:line="333" w:lineRule="exact"/>
        <w:rPr>
          <w:rFonts w:ascii="Arial" w:cs="Arial" w:eastAsia="Arial" w:hAnsi="Arial"/>
          <w:sz w:val="18"/>
          <w:szCs w:val="18"/>
          <w:color w:val="auto"/>
        </w:rPr>
      </w:pPr>
    </w:p>
    <w:p>
      <w:pPr>
        <w:ind w:left="2200" w:hanging="679"/>
        <w:spacing w:after="0"/>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ARC-520 has been well tolerated</w:t>
      </w:r>
    </w:p>
    <w:p>
      <w:pPr>
        <w:spacing w:after="0" w:line="333" w:lineRule="exact"/>
        <w:rPr>
          <w:rFonts w:ascii="Arial" w:cs="Arial" w:eastAsia="Arial" w:hAnsi="Arial"/>
          <w:sz w:val="18"/>
          <w:szCs w:val="18"/>
          <w:color w:val="auto"/>
        </w:rPr>
      </w:pPr>
    </w:p>
    <w:p>
      <w:pPr>
        <w:ind w:left="2200" w:hanging="679"/>
        <w:spacing w:after="0"/>
        <w:tabs>
          <w:tab w:leader="none" w:pos="22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Arrowhead expands its HBV portfolio by nominating an additional clinical candidate that is complementary to ARC-520</w:t>
      </w:r>
    </w:p>
    <w:p>
      <w:pPr>
        <w:spacing w:after="0" w:line="344" w:lineRule="exact"/>
        <w:rPr>
          <w:rFonts w:ascii="Arial" w:cs="Arial" w:eastAsia="Arial" w:hAnsi="Arial"/>
          <w:sz w:val="17"/>
          <w:szCs w:val="17"/>
          <w:color w:val="auto"/>
        </w:rPr>
      </w:pPr>
    </w:p>
    <w:p>
      <w:pPr>
        <w:ind w:left="1140" w:hanging="376"/>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Presented data on ARC-LPa against cardiovascular disease, which uses a new subcutaneous delivery construct that Arrowhead has developed</w:t>
      </w:r>
    </w:p>
    <w:p>
      <w:pPr>
        <w:spacing w:after="0" w:line="356" w:lineRule="exact"/>
        <w:rPr>
          <w:rFonts w:ascii="Arial" w:cs="Arial" w:eastAsia="Arial" w:hAnsi="Arial"/>
          <w:sz w:val="16"/>
          <w:szCs w:val="16"/>
          <w:color w:val="auto"/>
        </w:rPr>
      </w:pPr>
    </w:p>
    <w:p>
      <w:pPr>
        <w:ind w:left="1140" w:hanging="37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Presented data at the AASLD Liver Meeting 2015 including the following:</w:t>
      </w:r>
    </w:p>
    <w:p>
      <w:pPr>
        <w:spacing w:after="0" w:line="333" w:lineRule="exact"/>
        <w:rPr>
          <w:rFonts w:ascii="Arial" w:cs="Arial" w:eastAsia="Arial" w:hAnsi="Arial"/>
          <w:sz w:val="18"/>
          <w:szCs w:val="18"/>
          <w:color w:val="auto"/>
        </w:rPr>
      </w:pPr>
    </w:p>
    <w:p>
      <w:pPr>
        <w:ind w:left="2200" w:right="320" w:hanging="679"/>
        <w:spacing w:after="0" w:line="264" w:lineRule="auto"/>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ARC-520 led to robust, sustained anti-viral effects in chimpanzees with chronic HBV and also described an important new discovery that HBV DNA integrated into the host genome is likely an important source of HBV surface antigen (HBsAg) production</w:t>
      </w:r>
    </w:p>
    <w:p>
      <w:pPr>
        <w:spacing w:after="0" w:line="289" w:lineRule="exact"/>
        <w:rPr>
          <w:rFonts w:ascii="Arial" w:cs="Arial" w:eastAsia="Arial" w:hAnsi="Arial"/>
          <w:sz w:val="18"/>
          <w:szCs w:val="18"/>
          <w:color w:val="auto"/>
        </w:rPr>
      </w:pPr>
    </w:p>
    <w:p>
      <w:pPr>
        <w:ind w:left="2200" w:right="140" w:hanging="679"/>
        <w:spacing w:after="0" w:line="264" w:lineRule="auto"/>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 Phase 2a clinical study, ARC-520 effectively reduced HBV viral antigens derived from cccDNA. HBV surface antigen (HBsAg) was reduced substantially with a maximum reduction of 1.9 logs (99%) and a mean maximum reduction of 1.5 logs (96.8%) in treatment naïve e-antigen (HBeAg)-positive patients</w:t>
      </w:r>
    </w:p>
    <w:p>
      <w:pPr>
        <w:spacing w:after="0" w:line="289" w:lineRule="exact"/>
        <w:rPr>
          <w:rFonts w:ascii="Arial" w:cs="Arial" w:eastAsia="Arial" w:hAnsi="Arial"/>
          <w:sz w:val="18"/>
          <w:szCs w:val="18"/>
          <w:color w:val="auto"/>
        </w:rPr>
      </w:pPr>
    </w:p>
    <w:p>
      <w:pPr>
        <w:ind w:left="1140" w:hanging="376"/>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Presented data at Hep DART 2015 showing that ARC-520 led to immune reactivation in 7 of 9 chimps with chronic hepatitis B infection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Roche and Novartis RNAi business and assets</w:t>
      </w:r>
    </w:p>
    <w:p>
      <w:pPr>
        <w:spacing w:after="0" w:line="117"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The last four years have brought substantial change to Arrowhead’s research and development (R&amp;D) capabilities and strategy. We are now an integrated RNAi therapeutics company, developing novel drugs that silence disease causing genes based on our broad RNAi technology platform.</w:t>
      </w:r>
    </w:p>
    <w:p>
      <w:pPr>
        <w:spacing w:after="0" w:line="12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most significant step in this transition was our 2011 acquisition of the RNAi therapeutics business of Hoffmann-La Roche, Inc. and F. Hoffmann-La Roche Ltd. (collectively, “Roche”), which included the DPC™ delivery system that we have used for all our clinical drug candidates to date. Roche built this business unit in a manner that only a large pharmaceutical company is capable of: backed by expansive capital resources, Roche systematically acquired technologies, licensed expansive intellectual property rights, attracted leading scientists, developed new technologies internally, and built state-of-the-art facilities. At a time when the markets were questioning whether RNAi could become a viable therapeutic modality, we saw great promise in the technology broadly and the quality of what Roche built specifically. The acquisition provided us with three primary sources of value:</w:t>
      </w:r>
    </w:p>
    <w:p>
      <w:pPr>
        <w:spacing w:after="0" w:line="57" w:lineRule="exact"/>
        <w:rPr>
          <w:sz w:val="20"/>
          <w:szCs w:val="20"/>
          <w:color w:val="auto"/>
        </w:rPr>
      </w:pPr>
    </w:p>
    <w:p>
      <w:pPr>
        <w:ind w:left="900" w:right="4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 freedom to operate with respect to key patents directed to the primary RNAi-trigger formats: canonical, UNA, meroduplex, and dicer substrate structures;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best-in-class RNAi delivery system, which we believe to be the targetable DPC™ platform;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ind w:left="900" w:hanging="379"/>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state-of-the-art R&amp;D facility in Madison, Wisconsin, including a large team of scientists experienced in RNAi and oligonucleotide delivery.</w:t>
      </w:r>
    </w:p>
    <w:p>
      <w:pPr>
        <w:spacing w:after="0" w:line="237" w:lineRule="exact"/>
        <w:rPr>
          <w:sz w:val="20"/>
          <w:szCs w:val="20"/>
          <w:color w:val="auto"/>
        </w:rPr>
      </w:pPr>
    </w:p>
    <w:p>
      <w:pPr>
        <w:ind w:firstLine="305"/>
        <w:spacing w:after="0" w:line="264" w:lineRule="auto"/>
        <w:rPr>
          <w:sz w:val="20"/>
          <w:szCs w:val="20"/>
          <w:color w:val="auto"/>
        </w:rPr>
      </w:pPr>
      <w:r>
        <w:rPr>
          <w:rFonts w:ascii="Arial" w:cs="Arial" w:eastAsia="Arial" w:hAnsi="Arial"/>
          <w:sz w:val="18"/>
          <w:szCs w:val="18"/>
          <w:color w:val="auto"/>
        </w:rPr>
        <w:t>In addition, in March 2015 we acquired the entire RNAi research and development portfolio and associated assets of Novartis. Novartis had been working in the RNAi field for over a decade and made some very important advancements in their developments of proprietary oligonucleotide formatting and modifications. Key aspects of the acquisition include the following:</w:t>
      </w:r>
    </w:p>
    <w:p>
      <w:pPr>
        <w:spacing w:after="0" w:line="181" w:lineRule="exact"/>
        <w:rPr>
          <w:sz w:val="20"/>
          <w:szCs w:val="20"/>
          <w:color w:val="auto"/>
        </w:rPr>
      </w:pPr>
    </w:p>
    <w:p>
      <w:pPr>
        <w:ind w:left="760" w:right="8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patent families covering RNAi-trigger design rules and modifications that fall outside of key patents controlled by competitors, which we believe provides freedom to operate for any target and indication;</w:t>
      </w:r>
    </w:p>
    <w:p>
      <w:pPr>
        <w:spacing w:after="0" w:line="170" w:lineRule="exact"/>
        <w:rPr>
          <w:rFonts w:ascii="Arial" w:cs="Arial" w:eastAsia="Arial" w:hAnsi="Arial"/>
          <w:sz w:val="18"/>
          <w:szCs w:val="18"/>
          <w:color w:val="auto"/>
        </w:rPr>
      </w:pPr>
    </w:p>
    <w:p>
      <w:pPr>
        <w:ind w:left="760" w:right="40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Novel intracellular targeting ligands that enhance the activity of RNAi-triggers by targeting the RNA-induced silencing complex (RISC) more effectively and improving stability once RISC is loaded;</w:t>
      </w:r>
    </w:p>
    <w:p>
      <w:pPr>
        <w:spacing w:after="0" w:line="170"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assignment of Novartis' license from Alnylam Pharmaceuticals, Inc. (“Alnylam”) granting Arrowhead access to certain Alnylam intellectual property, excluding delivery, for 30 gene targets;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pipeline of three candidates initiated by Novartis for which Novartis has developed varying amounts of preclinical data.</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see the Roche and Novartis acquisitions as a powerful combination of intellectual property, R&amp;D infrastructure, and RNAi delivery experts. We believe we are the only company with access to all primary RNAi-trigger structures now including additional novel structures discovered by Novartis. This enables us to optimize our drug candidates on a target-by-target basis and use the structure and modifications that yield the most potent RNAi trigger. In addition, our DPC™ delivery system enables us to deliver our drug candidates efficiently to hepatocytes and to non-hepatic tissues in a highly specific manner. Our R&amp;D team and facility enable rapid innovation and drive to the clinic, as evidenced by the speed at which we have advanced our pipeline to now include six proprietary drug candidates in a very short period of time.</w:t>
      </w:r>
    </w:p>
    <w:p>
      <w:pPr>
        <w:spacing w:after="0" w:line="178"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We have focused our resources primarily on the DPC™ platform and on advancing our proprietary DPC™-enabled RNAi therapeutic candidates through clinical trials. Additionally, with our increased R&amp;D headcount, Arrowhead now has the infrastructure, expertise, IP portfolio, chemistry, manufacturing and control (CMC) capabilities, and management that we believe is necessary to support potential partnerships and research collaborations with large biopharma companies from discovery stage through commercialization.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117"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Our internal preclinical and clinical development programs are designed to create value directly through our proprietary candidates. These programs also drive value to the technology platform as proof of concept for the power of the programs to enable innovative new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119380</wp:posOffset>
            </wp:positionV>
            <wp:extent cx="5659755" cy="256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975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serves as a summary of our ongoing and completed clinical trials as of September 30, 2015:</w:t>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w:t>
            </w:r>
          </w:p>
        </w:tc>
        <w:tc>
          <w:tcPr>
            <w:tcW w:w="1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Study Name</w:t>
            </w:r>
          </w:p>
        </w:tc>
        <w:tc>
          <w:tcPr>
            <w:tcW w:w="1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Stage</w:t>
            </w:r>
          </w:p>
        </w:tc>
        <w:tc>
          <w:tcPr>
            <w:tcW w:w="2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Status</w:t>
            </w:r>
          </w:p>
        </w:tc>
        <w:tc>
          <w:tcPr>
            <w:tcW w:w="34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Description</w:t>
            </w:r>
          </w:p>
        </w:tc>
        <w:tc>
          <w:tcPr>
            <w:tcW w:w="24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ClinicalTrials.gov Identifier</w:t>
            </w:r>
          </w:p>
        </w:tc>
      </w:tr>
      <w:tr>
        <w:trPr>
          <w:trHeight w:val="195"/>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34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Single dose escalation study in healthy</w:t>
            </w:r>
          </w:p>
        </w:tc>
        <w:tc>
          <w:tcPr>
            <w:tcW w:w="10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volunteers to evaluate safety and tolerability of</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190"/>
        </w:trPr>
        <w:tc>
          <w:tcPr>
            <w:tcW w:w="98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ARC-520</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Heparc-1001</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1</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Enrollment Complete</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ARC-520</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NCT01872065</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Single dose study to evaluate tolerability of</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Heparc-1002</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1</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Enrolling</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increasing infusion rates of ARC-520</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NCT02535416</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344"/>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Single dose escalation study in HBV patients</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evaluate reduction in viral antigens in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Heparc-2001</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2a</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Enrollment Complete</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response to ARC-520</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NCT02065336</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90"/>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Heparc-2001</w:t>
            </w: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Open label multi-dose extension study in</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OLE</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2a</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Enrolling</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patients completing Heparc-2001</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NCT02065336</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34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Multi-dose study to determine the depth of</w:t>
            </w:r>
          </w:p>
        </w:tc>
        <w:tc>
          <w:tcPr>
            <w:tcW w:w="10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hepatitis B surface antigen (HBsAg) reduction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in response to ARC-520 in combination with</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entecavir or tenofovir in hepatitis B envelope</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30"/>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Heparc-2002</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Enrolling</w:t>
            </w:r>
          </w:p>
        </w:tc>
        <w:tc>
          <w:tcPr>
            <w:tcW w:w="3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antigen (HBeAg) negative patients</w:t>
            </w:r>
          </w:p>
        </w:tc>
        <w:tc>
          <w:tcPr>
            <w:tcW w:w="2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0000FF"/>
              </w:rPr>
              <w:t>NCT02604199</w:t>
            </w:r>
          </w:p>
        </w:tc>
      </w:tr>
      <w:tr>
        <w:trPr>
          <w:trHeight w:val="398"/>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Multi-dose study to determine the depth of</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HBsAg reduction in response to ARC-520 in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with entecavir or tenofovir in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30"/>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Heparc-2003</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Enrolling</w:t>
            </w:r>
          </w:p>
        </w:tc>
        <w:tc>
          <w:tcPr>
            <w:tcW w:w="3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HBeAg positive patients</w:t>
            </w:r>
          </w:p>
        </w:tc>
        <w:tc>
          <w:tcPr>
            <w:tcW w:w="2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0000FF"/>
              </w:rPr>
              <w:t>NCT02604212</w:t>
            </w:r>
          </w:p>
        </w:tc>
      </w:tr>
      <w:tr>
        <w:trPr>
          <w:trHeight w:val="398"/>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Multi-dose study to determine the depth of</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HBsAg reduction in response to ARC-520 in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combination with entecavir or tenofovir in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Heparc-2004</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2b</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Enrolling</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HBeAg positive patients</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NCT02452528</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344"/>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Open label multi-dose study to evaluate ARC-</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Heparc-2008</w:t>
            </w: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520 alone and in combination with other</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190"/>
        </w:trPr>
        <w:tc>
          <w:tcPr>
            <w:tcW w:w="98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(MONARCH)</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2b</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Not Yet Enrolling</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therapeutics in patients with chronic HBV</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NCT02577029</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398"/>
        </w:trPr>
        <w:tc>
          <w:tcPr>
            <w:tcW w:w="98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Single dose escalation study to determine the</w:t>
            </w:r>
          </w:p>
        </w:tc>
        <w:tc>
          <w:tcPr>
            <w:tcW w:w="10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safety, tolerability and effect on circulating</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alpha-1 antitrypsin levels of ARC-AAT in</w:t>
            </w:r>
          </w:p>
        </w:tc>
        <w:tc>
          <w:tcPr>
            <w:tcW w:w="10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190"/>
        </w:trPr>
        <w:tc>
          <w:tcPr>
            <w:tcW w:w="98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ARC-AAT</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ARCAAT-1001</w:t>
            </w:r>
          </w:p>
        </w:tc>
        <w:tc>
          <w:tcPr>
            <w:tcW w:w="126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Phase 1a/1b</w:t>
            </w:r>
          </w:p>
        </w:tc>
        <w:tc>
          <w:tcPr>
            <w:tcW w:w="202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Enrolling</w:t>
            </w:r>
          </w:p>
        </w:tc>
        <w:tc>
          <w:tcPr>
            <w:tcW w:w="34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healthy volunteers and patients</w:t>
            </w:r>
          </w:p>
        </w:tc>
        <w:tc>
          <w:tcPr>
            <w:tcW w:w="246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0000FF"/>
              </w:rPr>
              <w:t>NCT02363946</w:t>
            </w: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Clinical Programs – ARC-520</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ARC-520 – Hepatitis B Virus Infection</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ARC-520 is an RNAi therapeutic candidate for the treatment of chronic hepatitis B infection with the goal of achieving a functional cure. It is the first clinical candidate to use our proprietary DPC™ technology and includes two siRNA duplexes, each conjugated to a cholesterol derivative to enhance liver delivery and cellular uptake. We have designed ARC-520 to be co-administered with an active excipient, a masked, hepatocyte targeted polymeric amine (the DPC™ delivery system).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2907030" cy="2992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90703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 ARC-520 schematic</w:t>
      </w:r>
    </w:p>
    <w:p>
      <w:pPr>
        <w:spacing w:after="0" w:line="200" w:lineRule="exact"/>
        <w:rPr>
          <w:sz w:val="20"/>
          <w:szCs w:val="20"/>
          <w:color w:val="auto"/>
        </w:rPr>
      </w:pPr>
    </w:p>
    <w:p>
      <w:pPr>
        <w:spacing w:after="0" w:line="210"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see the need for a next generation HBV treatment with a finite treatment period and an attractive dosing regimen, and that can be used at earlier stages of disease. We believe a novel therapeutic approach such as this that can effectively treat or provide a functional cure (seroclearance of HBsAg and with or without development of excess patient antibodies against HBsAg) has the potential to take significant market share and may expand the available market to include patients that are currently untreated.</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Chronic Hepatitis B Virus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According to the World Health Organization, 360 million people worldwide are chronically infected with hepatitis B virus, of which 500,000 to 1,000,000 people die each year from HBV related liver disease. Chronic HBV infection is defined by the presence of hepatitis B surface antigen (HBsAg) for more than 6 months. In the immune tolerant phase of chronic infection, which can last for many years, the infected person typically produces very high levels of viral DNA and viral antigens. However, the infection is not cytotoxic and the carrier may have no symptoms of illness. Over time, the ongoing production of viral antigens causes inflammation and necrosis, leading to elevation of liver enzymes such as alanine and aspartate transaminases, hepatitis, fibrosis, and liver cancer (hepatocellular carcinoma, or HCC). If untreated, as many as 25% to 40% of chronic HBV carriers ultimately develop cirrhosis or HCC. Antiviral therapy is generally prescribed when liver enzymes become elevated.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current standard of care for treatment of chronic HBV infection is a daily oral dose of nucleotide/nucleoside analogs (NUCs) or a regimen of interferon injections for approximately one year. NUCs are generally well tolerated, but patients may need lifetime treatment because viral replication often rebounds upon cessation of treatment. Interferon therapeutics can result in a functional cure in 10-20% of some patient types, but treatment is often associated with significant side effects, including severe flu-like symptoms, marrow suppression, and autoimmune disorders.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ARC-520 Treatment</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ARC-520 is designed to silence the production of all HBV gene products with the goal of achieving a functional cure. The siRNAs in ARC-520 target multiple components of HBV production including the pregenomic RNA that would be reverse transcribed to generate the viral DNA. The siRNAs intervene at the mRNA level, upstream of where NUCs act, and target the mRNAs that produce HBsAg proteins, the viral polymerase, the core protein that forms the capsid, the pre-genomic RNA, the HBeAg, and the hepatitis B X antigen (HBxAg). NUCs are effective at reducing production of viral particles, but are ineffective at controlling production of HBsAg and other HBV gene products. Arrowhead believes that a reduction in the production of HBsAg and other proteins that NUCs are ineffective at controlling is necessary to effective HBV therapy, because those proteins are thought to be major contributors to repression of the immune system and the persistence of liver disease secondary to HBV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624455" cy="3009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2445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2: Chronic HBV mechanism untreated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478405" cy="2675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47840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3: Mechanism of action NUCs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158115</wp:posOffset>
            </wp:positionV>
            <wp:extent cx="2838450" cy="2872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845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4: Mechanism of action ARC-520</w:t>
      </w:r>
    </w:p>
    <w:p>
      <w:pPr>
        <w:spacing w:after="0" w:line="23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Nonclinical Data</w:t>
      </w:r>
    </w:p>
    <w:p>
      <w:pPr>
        <w:spacing w:after="0" w:line="121"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Efficacy data in mouse models of HBV infection show that ARC-520 is capable of reducing HBsAg by greater than 3 log (99.9%), HBV DNA by approximately 3 logs, and HBeAg to the limit of detection. Pharmacologic effects persist for approximately one month after a single dose of ARC-520 in mice models. Safety data in rodents and non-human primates indicate an acceptable safety margin. Preclinical data in a chimpanzee chronically infected with HBV demonstrate that intravenous administration of two doses (2 mg/kg on day 1, and 3 mg/kg on day 15) of ARC-520 resulted in substantial and sustained reductions in HBV DNA, HBeAg, and HBsAg, which did not return to baseline until study day 43, 43, and 71, respectively. In addition, an increase in serum alanine transaminase (ALT) occurred 4 weeks after the second dose, coincident with the nadir of circulating HBsAg. This is suggestive of a therapeutic immunological flare, which is thought to be part of a cascade that under chronic therapy may lead to HBsAg seroclearance and functional cure. Observed increases in key chemokine/cytokine mRNAs are also consistent with a T-cell mediated immunological event.</w:t>
      </w:r>
    </w:p>
    <w:p>
      <w:pPr>
        <w:spacing w:after="0" w:line="5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Additional nonclinical data from a multiple dose study in 9 chimpanzees were reported in 2015. At the start of the study, five chimpanzees were HBeAg-positive and four chimpanzees were HBeAg-negative. Deep sequencing and phylogenetic analyses indicated the HBV sequence was a chimpanzee variant of human HBV. To reduce viral replication prior to treatment with ARC-520, chimpanzees were treated for 8-24 weeks with entecavir (ETV) or ETV+ tenofovir (TDF) in one case. Following the lead-in period, animals were administered ARC-520 intravenously at 4-week intervals. Dose levels administered were 2, 3, or 4 mg/kg ARC-520, along with maintenance doses of ETV or ETV+TDF.</w:t>
      </w:r>
    </w:p>
    <w:p>
      <w:pPr>
        <w:spacing w:after="0" w:line="6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study showed a robust, sustained direct anti-viral effect on HBsAg production in all HBeAg-positive and -negative chimpanzees during ARC-520 treatment. One chimpanzee achieved sustained virologic response (SVR) off-therapy and two chimpanzees exhibited signs of immune reactivation. HBeAg-positive chimpanzees displayed the highest levels of HBsAg knockdown - up to 2.7 log. In HBeAg-negative chimpanzees, HBsAg knockdown was also substantial - up to 0.9 log. ARC-520 was well tolerated after multiple doses up to 4 mg/kg ARC-520 (highest dose tested). Evidence indicates integrated HBV DNA is a significant source of total HBsAg, especially in HBeAg-negative chimpanzees.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1 (Heparc-1001)</w:t>
      </w:r>
    </w:p>
    <w:p>
      <w:pPr>
        <w:spacing w:after="0" w:line="12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Arrowhead completed nine dose cohorts in the Heparc-1001 Phase 1 trial in 2014. The study was designed to characterize the safety profile of ARC-520 across a range of doses and evaluate pharmacokinetics. It was a single-center, randomized, double-blind, placebo-controlled, single dose-escalation, first-in-human study of ARC-520 administered intravenously to healthy adult volunteers. All subjects received either placebo or ARC-520 in doses ranging from 0.01 mg/kg to 4 mg/kg. The study successfully enrolled all 54 subjects (36 received ARC-520, 18 placebo) at a single center in Melbourne, Australia.</w:t>
      </w:r>
    </w:p>
    <w:p>
      <w:pPr>
        <w:spacing w:after="0" w:line="154" w:lineRule="exact"/>
        <w:rPr>
          <w:sz w:val="20"/>
          <w:szCs w:val="20"/>
          <w:color w:val="auto"/>
        </w:rPr>
      </w:pPr>
    </w:p>
    <w:p>
      <w:pPr>
        <w:ind w:right="420" w:firstLine="518"/>
        <w:spacing w:after="0" w:line="297" w:lineRule="auto"/>
        <w:rPr>
          <w:sz w:val="20"/>
          <w:szCs w:val="20"/>
          <w:color w:val="auto"/>
        </w:rPr>
      </w:pPr>
      <w:r>
        <w:rPr>
          <w:rFonts w:ascii="Arial" w:cs="Arial" w:eastAsia="Arial" w:hAnsi="Arial"/>
          <w:sz w:val="16"/>
          <w:szCs w:val="16"/>
          <w:color w:val="auto"/>
        </w:rPr>
        <w:t>There have been no reports of serious adverse events (SAEs), no dose limiting toxicities, no discontinuations due to adverse events (AEs), and a modest overall occurrence rate of AEs without a clear dose-related increase in frequency or severity. There has been a modest occurrence rate of non-clinically significant abnormal laboratory tests. There were no reported drug related or clinically significant differences for vital signs or ECGs between subjects receiving drug versus placebo. One arrhythmia noted on telemetry occurred in a subject with similar previously undiagnosed prior cardiac atrial rhythm abnormalities and one occurrence of hypotension that appears to have been artifact from a failing automated blood pressure machine.</w:t>
      </w:r>
    </w:p>
    <w:p>
      <w:pPr>
        <w:spacing w:after="0" w:line="15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One occurrence each of moderate flushing and urticarial rash seen at dose levels of 0.3 mg/kg and 2.0 mg/kg respectively led to the subsequent reduction, by half, in infusion rate of ARC-520 as well as the introduction of pretreatment with an oral over-the-counter antihistamine. Since the introduction of these mitigations, no additional signs of hypersensitivity or infusion reactions have been seen.</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There were mild creatinine elevations in 6% of subjects receiving ARC-520 and 6% receiving placebo, which were transient with rapid (&lt;24 hours) return to baseline. There were no signs of tubular damage on laboratory evaluation and these subjects had no additional clinical symptoms. Overall, the changes in creatinine are similar between ARC-520 and placebo groups and thought to be, at least primarily, due to dietary intake of protein. There were no changes in ALT, AST or CK considered to be clinically significant by the study investigator.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180" w:firstLine="518"/>
        <w:spacing w:after="0" w:line="277" w:lineRule="auto"/>
        <w:rPr>
          <w:sz w:val="20"/>
          <w:szCs w:val="20"/>
          <w:color w:val="auto"/>
        </w:rPr>
      </w:pPr>
      <w:r>
        <w:rPr>
          <w:rFonts w:ascii="Arial" w:cs="Arial" w:eastAsia="Arial" w:hAnsi="Arial"/>
          <w:sz w:val="18"/>
          <w:szCs w:val="18"/>
          <w:color w:val="auto"/>
        </w:rPr>
        <w:t>In summary, ARC-520, when administered as a single dose up to 4 mg/kg to healthy volunteers, appears to be well tolerated. The table below shows the incidence of treatment emergent adverse events observed in greater than 5% of subjects.</w:t>
      </w:r>
    </w:p>
    <w:p>
      <w:pPr>
        <w:spacing w:after="0" w:line="192" w:lineRule="exact"/>
        <w:rPr>
          <w:sz w:val="20"/>
          <w:szCs w:val="20"/>
          <w:color w:val="auto"/>
        </w:rPr>
      </w:pPr>
    </w:p>
    <w:tbl>
      <w:tblPr>
        <w:tblLayout w:type="fixed"/>
        <w:tblInd w:w="2310" w:type="dxa"/>
        <w:tblCellMar>
          <w:top w:w="0" w:type="dxa"/>
          <w:left w:w="0" w:type="dxa"/>
          <w:bottom w:w="0" w:type="dxa"/>
          <w:right w:w="0" w:type="dxa"/>
        </w:tblCellMar>
      </w:tblPr>
      <w:tr>
        <w:trPr>
          <w:trHeight w:val="225"/>
        </w:trPr>
        <w:tc>
          <w:tcPr>
            <w:tcW w:w="276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Adverse Events &gt;5%</w:t>
            </w:r>
          </w:p>
        </w:tc>
        <w:tc>
          <w:tcPr>
            <w:tcW w:w="2040" w:type="dxa"/>
            <w:vAlign w:val="bottom"/>
            <w:tcBorders>
              <w:top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Placebo (n=18)</w:t>
            </w:r>
          </w:p>
        </w:tc>
        <w:tc>
          <w:tcPr>
            <w:tcW w:w="206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ARC-520 (n=36)</w:t>
            </w: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vMerge w:val="restart"/>
          </w:tcPr>
          <w:p>
            <w:pPr>
              <w:ind w:left="760"/>
              <w:spacing w:after="0"/>
              <w:rPr>
                <w:sz w:val="20"/>
                <w:szCs w:val="20"/>
                <w:color w:val="auto"/>
              </w:rPr>
            </w:pPr>
            <w:r>
              <w:rPr>
                <w:rFonts w:ascii="Arial" w:cs="Arial" w:eastAsia="Arial" w:hAnsi="Arial"/>
                <w:sz w:val="18"/>
                <w:szCs w:val="18"/>
                <w:b w:val="1"/>
                <w:bCs w:val="1"/>
                <w:color w:val="auto"/>
              </w:rPr>
              <w:t>All Attributions</w:t>
            </w:r>
          </w:p>
        </w:tc>
        <w:tc>
          <w:tcPr>
            <w:tcW w:w="204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All AEs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67%</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Mild</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69%</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Moderate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28%</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31%</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Severe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Headache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URI</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28%</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Somnolence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Lethargy</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Creatinine increase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Myalgia</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Dizziness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5: Phase 1 AE reporting</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2a (Heparc-2001)</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2015 Arrowhead reported data from the Heparc-2001 Phase 2a multicenter, randomized, double-blind, placebo-controlled, dose-escalation study designed to determine the depth and duration of hepatitis B surface antigen (HBsAg) reduction after administration of ARC-520 in combination with entecavir in patients with chronic HBV infection. Secondary objectives included the assessment of safety and tolerability of escalating single doses of ARC-520 co-administered with a fixed dose of entecavir and multiple additional secondary and exploratory endpoints. Significant details about the seven cohorts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146050</wp:posOffset>
            </wp:positionV>
            <wp:extent cx="8890" cy="3095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3095625"/>
                    </a:xfrm>
                    <a:prstGeom prst="rect">
                      <a:avLst/>
                    </a:prstGeom>
                    <a:noFill/>
                  </pic:spPr>
                </pic:pic>
              </a:graphicData>
            </a:graphic>
          </wp:anchor>
        </w:drawing>
      </w:r>
    </w:p>
    <w:p>
      <w:pPr>
        <w:spacing w:after="0" w:line="190" w:lineRule="exact"/>
        <w:rPr>
          <w:sz w:val="20"/>
          <w:szCs w:val="20"/>
          <w:color w:val="auto"/>
        </w:rPr>
      </w:pPr>
    </w:p>
    <w:tbl>
      <w:tblPr>
        <w:tblLayout w:type="fixed"/>
        <w:tblInd w:w="1430" w:type="dxa"/>
        <w:tblCellMar>
          <w:top w:w="0" w:type="dxa"/>
          <w:left w:w="0" w:type="dxa"/>
          <w:bottom w:w="0" w:type="dxa"/>
          <w:right w:w="0" w:type="dxa"/>
        </w:tblCellMar>
      </w:tblPr>
      <w:tr>
        <w:trPr>
          <w:trHeight w:val="211"/>
        </w:trPr>
        <w:tc>
          <w:tcPr>
            <w:tcW w:w="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Cohort</w:t>
            </w: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Prior</w:t>
            </w:r>
          </w:p>
        </w:tc>
        <w:tc>
          <w:tcPr>
            <w:tcW w:w="12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Patient Type</w:t>
            </w:r>
          </w:p>
        </w:tc>
        <w:tc>
          <w:tcPr>
            <w:tcW w:w="15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ARC-520 dose</w:t>
            </w:r>
          </w:p>
        </w:tc>
        <w:tc>
          <w:tcPr>
            <w:tcW w:w="20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Active/PlaceboBaseline</w:t>
            </w:r>
          </w:p>
        </w:tc>
        <w:tc>
          <w:tcPr>
            <w:tcW w:w="19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Status</w:t>
            </w: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entecavir</w:t>
            </w:r>
          </w:p>
        </w:tc>
        <w:tc>
          <w:tcPr>
            <w:tcW w:w="1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HBsAg</w:t>
            </w:r>
          </w:p>
        </w:tc>
        <w:tc>
          <w:tcPr>
            <w:tcW w:w="19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(ETV)</w:t>
            </w:r>
          </w:p>
        </w:tc>
        <w:tc>
          <w:tcPr>
            <w:tcW w:w="1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Mean</w:t>
            </w:r>
          </w:p>
        </w:tc>
        <w:tc>
          <w:tcPr>
            <w:tcW w:w="19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(range)</w:t>
            </w:r>
          </w:p>
        </w:tc>
        <w:tc>
          <w:tcPr>
            <w:tcW w:w="19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Log</w:t>
            </w:r>
          </w:p>
        </w:tc>
        <w:tc>
          <w:tcPr>
            <w:tcW w:w="1900" w:type="dxa"/>
            <w:vAlign w:val="bottom"/>
            <w:tcBorders>
              <w:right w:val="single" w:sz="8" w:color="auto"/>
            </w:tcBorders>
          </w:tcPr>
          <w:p>
            <w:pPr>
              <w:spacing w:after="0"/>
              <w:rPr>
                <w:sz w:val="18"/>
                <w:szCs w:val="18"/>
                <w:color w:val="auto"/>
              </w:rPr>
            </w:pP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IU/mL</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1</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Yes</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HBeAg-neg</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1.0 mg/kg</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6/2</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3.4 (3.0-</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Complete/Unblinded</w:t>
            </w: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4.2)</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2</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Yes</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HBeAg-neg</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2.0 mg/kg</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6/2</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3.5 (3.2-</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Complete/Unblinded</w:t>
            </w: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4.3)</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Yes</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HBeAg-neg</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3.0 mg/kg</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6/2</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3.6(3.1-</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Complete/Unblinded</w:t>
            </w: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4.0)</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4</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Yes</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HBeAg-neg</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4.0 mg/kg</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6/2</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3.4 (3.2-</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Complete/Unblinded</w:t>
            </w: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4.0)</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5</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Yes</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HBeAg-pos</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4.0 mg/kg</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6/2</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3.6 (3.1-</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Complete/Unblinded</w:t>
            </w: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4.2)</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6*</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Yes</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HBeAg-pos</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96"/>
              </w:rPr>
              <w:t>2 x 2.0 mg/kg (two</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6/0</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3.3 (3.0-</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Complete/Open label</w:t>
            </w: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weeks apart)</w:t>
            </w: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3.6)</w:t>
            </w:r>
          </w:p>
        </w:tc>
        <w:tc>
          <w:tcPr>
            <w:tcW w:w="1900" w:type="dxa"/>
            <w:vAlign w:val="bottom"/>
            <w:tcBorders>
              <w:bottom w:val="single" w:sz="8" w:color="auto"/>
              <w:right w:val="single" w:sz="8" w:color="auto"/>
            </w:tcBorders>
          </w:tcPr>
          <w:p>
            <w:pPr>
              <w:spacing w:after="0"/>
              <w:rPr>
                <w:sz w:val="20"/>
                <w:szCs w:val="20"/>
                <w:color w:val="auto"/>
              </w:rPr>
            </w:pPr>
          </w:p>
        </w:tc>
      </w:tr>
      <w:tr>
        <w:trPr>
          <w:trHeight w:val="191"/>
        </w:trPr>
        <w:tc>
          <w:tcPr>
            <w:tcW w:w="8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7</w:t>
            </w:r>
          </w:p>
        </w:tc>
        <w:tc>
          <w:tcPr>
            <w:tcW w:w="108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No</w:t>
            </w:r>
          </w:p>
        </w:tc>
        <w:tc>
          <w:tcPr>
            <w:tcW w:w="12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HBeAg-pos</w:t>
            </w:r>
          </w:p>
        </w:tc>
        <w:tc>
          <w:tcPr>
            <w:tcW w:w="154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4.0mg/kg</w:t>
            </w:r>
          </w:p>
        </w:tc>
        <w:tc>
          <w:tcPr>
            <w:tcW w:w="1140" w:type="dxa"/>
            <w:vAlign w:val="bottom"/>
          </w:tcPr>
          <w:p>
            <w:pPr>
              <w:spacing w:after="0" w:line="191" w:lineRule="exact"/>
              <w:rPr>
                <w:sz w:val="20"/>
                <w:szCs w:val="20"/>
                <w:color w:val="auto"/>
              </w:rPr>
            </w:pPr>
            <w:r>
              <w:rPr>
                <w:rFonts w:ascii="Arial" w:cs="Arial" w:eastAsia="Arial" w:hAnsi="Arial"/>
                <w:sz w:val="18"/>
                <w:szCs w:val="18"/>
                <w:b w:val="1"/>
                <w:bCs w:val="1"/>
                <w:color w:val="auto"/>
              </w:rPr>
              <w:t>6/0</w:t>
            </w:r>
          </w:p>
        </w:tc>
        <w:tc>
          <w:tcPr>
            <w:tcW w:w="8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4.0 (0.8-</w:t>
            </w:r>
          </w:p>
        </w:tc>
        <w:tc>
          <w:tcPr>
            <w:tcW w:w="19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Ongoing / Openlabel</w:t>
            </w: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HBeAg-neg</w:t>
            </w:r>
          </w:p>
        </w:tc>
        <w:tc>
          <w:tcPr>
            <w:tcW w:w="1540" w:type="dxa"/>
            <w:vAlign w:val="bottom"/>
            <w:tcBorders>
              <w:right w:val="single" w:sz="8" w:color="auto"/>
            </w:tcBorders>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6/0</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4.9)</w:t>
            </w:r>
          </w:p>
        </w:tc>
        <w:tc>
          <w:tcPr>
            <w:tcW w:w="19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2.9 (1.0-</w:t>
            </w:r>
          </w:p>
        </w:tc>
        <w:tc>
          <w:tcPr>
            <w:tcW w:w="1900" w:type="dxa"/>
            <w:vAlign w:val="bottom"/>
            <w:tcBorders>
              <w:right w:val="single" w:sz="8" w:color="auto"/>
            </w:tcBorders>
          </w:tcPr>
          <w:p>
            <w:pPr>
              <w:spacing w:after="0"/>
              <w:rPr>
                <w:sz w:val="18"/>
                <w:szCs w:val="18"/>
                <w:color w:val="auto"/>
              </w:rPr>
            </w:pPr>
          </w:p>
        </w:tc>
      </w:tr>
      <w:tr>
        <w:trPr>
          <w:trHeight w:val="234"/>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3.6)</w:t>
            </w:r>
          </w:p>
        </w:tc>
        <w:tc>
          <w:tcPr>
            <w:tcW w:w="1900" w:type="dxa"/>
            <w:vAlign w:val="bottom"/>
            <w:tcBorders>
              <w:bottom w:val="single" w:sz="8" w:color="auto"/>
              <w:right w:val="single" w:sz="8" w:color="auto"/>
            </w:tcBorders>
          </w:tcPr>
          <w:p>
            <w:pPr>
              <w:spacing w:after="0"/>
              <w:rPr>
                <w:sz w:val="20"/>
                <w:szCs w:val="20"/>
                <w:color w:val="auto"/>
              </w:rPr>
            </w:pPr>
          </w:p>
        </w:tc>
      </w:tr>
    </w:tbl>
    <w:p>
      <w:pPr>
        <w:spacing w:after="0"/>
        <w:rPr>
          <w:sz w:val="20"/>
          <w:szCs w:val="20"/>
          <w:color w:val="auto"/>
        </w:rPr>
      </w:pPr>
      <w:r>
        <w:rPr>
          <w:rFonts w:ascii="Arial" w:cs="Arial" w:eastAsia="Arial" w:hAnsi="Arial"/>
          <w:sz w:val="16"/>
          <w:szCs w:val="16"/>
          <w:b w:val="1"/>
          <w:bCs w:val="1"/>
          <w:color w:val="4F81BD"/>
        </w:rPr>
        <w:t>Figure 6: Phase 2a dose cohorts</w:t>
      </w:r>
    </w:p>
    <w:p>
      <w:pPr>
        <w:spacing w:after="0" w:line="22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connection with Heparc-2001, fifty-eight patients were successfully dosed with 48 receiving the drug and 10 receiving a placebo. 20 females and 38 males were enrolled, all of Chinese ethnicity, with a mean age of 41 years (range of 23 to 59). Topline results were reported at an analyst and investor day hosted by the Company and additional details were presented at the 2015 AASLD Liver Meeting. To date there have been no serious AEs, no dose limiting toxicities, no discontinuations due to medication AEs, and a modest occurrence rate of AEs. All reported AEs were deemed unrelated to study drug by the principal investigator. Safety labs continue to lack indication of end organ toxicity, with a low occurrence rate of abnormal laboratory tests with no observed relationship to timing or dose.</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13" w:name="page14"/>
    <w:bookmarkEnd w:id="13"/>
    <w:tbl>
      <w:tblPr>
        <w:tblLayout w:type="fixed"/>
        <w:tblInd w:w="1210" w:type="dxa"/>
        <w:tblCellMar>
          <w:top w:w="0" w:type="dxa"/>
          <w:left w:w="0" w:type="dxa"/>
          <w:bottom w:w="0" w:type="dxa"/>
          <w:right w:w="0" w:type="dxa"/>
        </w:tblCellMar>
      </w:tblPr>
      <w:tr>
        <w:trPr>
          <w:trHeight w:val="297"/>
        </w:trPr>
        <w:tc>
          <w:tcPr>
            <w:tcW w:w="1940" w:type="dxa"/>
            <w:vAlign w:val="bottom"/>
            <w:tcBorders>
              <w:top w:val="single" w:sz="8" w:color="auto"/>
              <w:left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Adverse Events</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mg/kg (N=6)</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2mg/kg (N=6)</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 mg/kg (N=6)</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4 mg/kg</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 mg/kg x2</w:t>
            </w:r>
          </w:p>
        </w:tc>
        <w:tc>
          <w:tcPr>
            <w:tcW w:w="12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Placebo</w:t>
            </w:r>
          </w:p>
        </w:tc>
      </w:tr>
      <w:tr>
        <w:trPr>
          <w:trHeight w:val="176"/>
        </w:trPr>
        <w:tc>
          <w:tcPr>
            <w:tcW w:w="1940" w:type="dxa"/>
            <w:vAlign w:val="bottom"/>
            <w:tcBorders>
              <w:left w:val="single" w:sz="8" w:color="auto"/>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3"/>
              </w:rPr>
              <w:t>(N=24)</w:t>
            </w:r>
          </w:p>
        </w:tc>
        <w:tc>
          <w:tcPr>
            <w:tcW w:w="11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rPr>
              <w:t>(N=6)</w:t>
            </w:r>
          </w:p>
        </w:tc>
        <w:tc>
          <w:tcPr>
            <w:tcW w:w="1200" w:type="dxa"/>
            <w:vAlign w:val="bottom"/>
            <w:tcBorders>
              <w:bottom w:val="single" w:sz="8" w:color="auto"/>
              <w:right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(N=10)</w:t>
            </w:r>
          </w:p>
        </w:tc>
      </w:tr>
      <w:tr>
        <w:trPr>
          <w:trHeight w:val="210"/>
        </w:trPr>
        <w:tc>
          <w:tcPr>
            <w:tcW w:w="19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All AEs</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11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20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w:t>
            </w:r>
          </w:p>
        </w:tc>
        <w:tc>
          <w:tcPr>
            <w:tcW w:w="118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w:t>
            </w:r>
          </w:p>
        </w:tc>
        <w:tc>
          <w:tcPr>
            <w:tcW w:w="120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0</w:t>
            </w:r>
          </w:p>
        </w:tc>
      </w:tr>
      <w:tr>
        <w:trPr>
          <w:trHeight w:val="210"/>
        </w:trPr>
        <w:tc>
          <w:tcPr>
            <w:tcW w:w="1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Extravasation</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1 mild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Malaise</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1 mod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Influenza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mild</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Blood CK increase</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1 mild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Diabetes Mellitus</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1 mild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Pain in extremity</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 mild</w:t>
            </w: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Presyncope</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1 mod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Headache</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mild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Dizziness</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mild</w:t>
            </w: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10"/>
        </w:trPr>
        <w:tc>
          <w:tcPr>
            <w:tcW w:w="1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Fever</w:t>
            </w: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 mild</w:t>
            </w:r>
          </w:p>
        </w:tc>
        <w:tc>
          <w:tcPr>
            <w:tcW w:w="1200" w:type="dxa"/>
            <w:vAlign w:val="bottom"/>
            <w:tcBorders>
              <w:bottom w:val="single" w:sz="8" w:color="auto"/>
              <w:right w:val="single" w:sz="8" w:color="auto"/>
            </w:tcBorders>
          </w:tcPr>
          <w:p>
            <w:pPr>
              <w:spacing w:after="0"/>
              <w:rPr>
                <w:sz w:val="18"/>
                <w:szCs w:val="1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7: Phase 2a AE reporting</w:t>
      </w:r>
    </w:p>
    <w:p>
      <w:pPr>
        <w:spacing w:after="0" w:line="234"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Arrowhead measured the Log reduction of quantitative HBsAg, HBcrAg, and HBeAg from baseline as an assessment of ARC-520 activity. This is the first time that a reduction in HBsAg, HBcrAg, and HBeAg mediated through RNA interference has been reported in chronic HBV patients. In this study, ARC-520 effectively inhibited cccDNA-derived mRNA with reductions up to 1.9 logs (99%). ARC-520 had a direct antiviral effect that lasted up to 57 days after a single dose. In patients exhibiting a delayed response, duration of over 85 days was observed. The best qHBsAg reduction was seen in treatment naïve HBeAg-positive patients. HBeAg-negative patients showed a delayed response. HBeAg-negative, ETV experienced patients showed a dose response in HBcrAg but qHBsAg dose response was less pronounced. HBeAg positive, ETV experienced patients had a substantially higher reduction in HBeAg and HBcrAg compared to HBsAg. Variations in viral antigen reduction are consistent with lower levels of cccDNA derived mRNA transcripts in chronic ETV patients and HBeAg negative patients. These data are summarized in the figures below.</w:t>
      </w:r>
    </w:p>
    <w:p>
      <w:pPr>
        <w:spacing w:after="0" w:line="3" w:lineRule="exact"/>
        <w:rPr>
          <w:sz w:val="20"/>
          <w:szCs w:val="20"/>
          <w:color w:val="auto"/>
        </w:rPr>
      </w:pPr>
    </w:p>
    <w:tbl>
      <w:tblPr>
        <w:tblLayout w:type="fixed"/>
        <w:tblInd w:w="230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b w:val="1"/>
                <w:bCs w:val="1"/>
                <w:color w:val="auto"/>
              </w:rPr>
              <w:t>Log reduction from baseline</w:t>
            </w:r>
          </w:p>
        </w:tc>
      </w:tr>
      <w:tr>
        <w:trPr>
          <w:trHeight w:val="234"/>
        </w:trPr>
        <w:tc>
          <w:tcPr>
            <w:tcW w:w="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Mean (max)</w:t>
            </w:r>
          </w:p>
        </w:tc>
        <w:tc>
          <w:tcPr>
            <w:tcW w:w="1240" w:type="dxa"/>
            <w:vAlign w:val="bottom"/>
            <w:tcBorders>
              <w:bottom w:val="single" w:sz="8" w:color="auto"/>
            </w:tcBorders>
          </w:tcPr>
          <w:p>
            <w:pPr>
              <w:spacing w:after="0"/>
              <w:rPr>
                <w:sz w:val="20"/>
                <w:szCs w:val="20"/>
                <w:color w:val="auto"/>
              </w:rPr>
            </w:pPr>
          </w:p>
        </w:tc>
      </w:tr>
      <w:tr>
        <w:trPr>
          <w:trHeight w:val="191"/>
        </w:trPr>
        <w:tc>
          <w:tcPr>
            <w:tcW w:w="740" w:type="dxa"/>
            <w:vAlign w:val="bottom"/>
          </w:tcPr>
          <w:p>
            <w:pPr>
              <w:spacing w:after="0" w:line="191" w:lineRule="exact"/>
              <w:rPr>
                <w:sz w:val="20"/>
                <w:szCs w:val="20"/>
                <w:color w:val="auto"/>
              </w:rPr>
            </w:pPr>
            <w:r>
              <w:rPr>
                <w:rFonts w:ascii="Arial" w:cs="Arial" w:eastAsia="Arial" w:hAnsi="Arial"/>
                <w:sz w:val="18"/>
                <w:szCs w:val="18"/>
                <w:b w:val="1"/>
                <w:bCs w:val="1"/>
                <w:color w:val="auto"/>
              </w:rPr>
              <w:t>Cohort</w:t>
            </w:r>
          </w:p>
        </w:tc>
        <w:tc>
          <w:tcPr>
            <w:tcW w:w="98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Dose</w:t>
            </w:r>
          </w:p>
        </w:tc>
        <w:tc>
          <w:tcPr>
            <w:tcW w:w="92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HBeAg</w:t>
            </w:r>
          </w:p>
        </w:tc>
        <w:tc>
          <w:tcPr>
            <w:tcW w:w="74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Prior</w:t>
            </w:r>
          </w:p>
        </w:tc>
        <w:tc>
          <w:tcPr>
            <w:tcW w:w="10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HBsAg</w:t>
            </w:r>
          </w:p>
        </w:tc>
        <w:tc>
          <w:tcPr>
            <w:tcW w:w="118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HBcrAg</w:t>
            </w:r>
          </w:p>
        </w:tc>
        <w:tc>
          <w:tcPr>
            <w:tcW w:w="124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HBeAg</w:t>
            </w:r>
          </w:p>
        </w:tc>
      </w:tr>
      <w:tr>
        <w:trPr>
          <w:trHeight w:val="234"/>
        </w:trPr>
        <w:tc>
          <w:tcPr>
            <w:tcW w:w="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(mg/kg)</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status</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ETV</w:t>
            </w: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Neg</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-0.2 (-0.3)*</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-0.2 (-0.2)</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w:t>
            </w: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Neg</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-0.2 (-0.3)*</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-0.5 (-0.5)</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w:t>
            </w: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3</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Neg</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-0.3 (-0.4)*</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-0.4 (-0.7)</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w:t>
            </w: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4</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Neg</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w:t>
            </w: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-0.4 (-0.5)*</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-0.9 (-1.1)</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w:t>
            </w: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5</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4</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-0.3</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(-0.7)*</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-0.9 (-1.1)</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-1.2 (-1.7)</w:t>
            </w: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6‡</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2x2</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-0.5</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(-0.8)+</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-0.7 (-1.2)</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Pending</w:t>
            </w:r>
          </w:p>
        </w:tc>
      </w:tr>
      <w:tr>
        <w:trPr>
          <w:trHeight w:val="210"/>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7‡,†</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4</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-1.5</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(-1.9)+</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Pending</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Pending</w:t>
            </w:r>
          </w:p>
        </w:tc>
      </w:t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7‡</w:t>
            </w: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4</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Neg</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N</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w w:val="96"/>
              </w:rPr>
              <w:t>-0.2</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rPr>
              <w:t>(-0.8)+</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Pending</w:t>
            </w:r>
          </w:p>
        </w:tc>
        <w:tc>
          <w:tcPr>
            <w:tcW w:w="1240" w:type="dxa"/>
            <w:vAlign w:val="bottom"/>
          </w:tcPr>
          <w:p>
            <w:pPr>
              <w:ind w:left="160"/>
              <w:spacing w:after="0"/>
              <w:rPr>
                <w:sz w:val="20"/>
                <w:szCs w:val="20"/>
                <w:color w:val="auto"/>
              </w:rPr>
            </w:pPr>
            <w:r>
              <w:rPr>
                <w:rFonts w:ascii="Arial" w:cs="Arial" w:eastAsia="Arial" w:hAnsi="Arial"/>
                <w:sz w:val="18"/>
                <w:szCs w:val="18"/>
                <w:b w:val="1"/>
                <w:bCs w:val="1"/>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-1736090</wp:posOffset>
            </wp:positionV>
            <wp:extent cx="4356735" cy="174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56735" cy="174117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4"/>
          <w:szCs w:val="14"/>
          <w:color w:val="auto"/>
        </w:rPr>
        <w:t>*Roche Elecsys batch analyzed data set +Abbott Architect data ‡Preliminary data, analysis is ongoing †Excluding transitional patient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8: Max reduction in viral antigens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3"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528185" cy="2787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528185"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9: Mean reduction in HBsAg in treatment naive patients (cohort 7)</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2b</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Multiple dose and combination studies of ARC-520 aimed at producing functional cures are underway. These studies include Heparc-2001 open label extension, Heparc-2002, Heparc-2003, Heparc-2004, and the MONARCH study (Heparc-2008). There are clinical sites for these studies in the US, Europe, Asia, and Australia/New Zealand.</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Internal Clinical Programs – ARC-AAT</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ARC-AAT – Liver Disease Associated with Alpha-1 Antitrypsin Deficiency</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Arrowhead has developed a therapeutic candidate (ARC-AAT) for the treatment of liver disease associated with Alpha-1 Antitrypsin Deficiency (AATD), a rare genetic disease that severely damages the liver and lungs of affected individuals. ARC-AAT employs a novel unlocked nucleobase analog (UNA)-containing RNAi molecule designed for systemic delivery using the DPC™ delivery system. Pre-clinical studies have demonstrated that ARC-AAT is highly effective at knocking down the Alpha-1 antitrypsin (AAT) gene transcript and reducing the hepatic production of the mutant AAT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881630" cy="2400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16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10: ARC-AAT schematic</w:t>
      </w: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Alpha-1 Antitrypsin Deficiency</w:t>
      </w:r>
    </w:p>
    <w:p>
      <w:pPr>
        <w:spacing w:after="0" w:line="121"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Individuals with the homozygous PiZZ genotype have severe deficiency of functional AAT leading to pulmonary disease and hepatocyte injury and liver disease. Lung disease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ARC-AAT Treatment</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goal of treatment with ARC-AAT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Preclinical Data</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preclinical studies with PiZ mice, which are genetically modified to produce the mutant human AAT (Z-AAT), ARC-AAT induced a greater than 95 percent reduction in circulating AAT after a single dose. The addition of chemical modifications, including UNAs, slowed the rebound in production of AAT compared to canonical siRNAs, and produced a substantially improved duration of effect.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ind w:firstLine="518"/>
        <w:spacing w:after="0" w:line="259" w:lineRule="auto"/>
        <w:rPr>
          <w:sz w:val="20"/>
          <w:szCs w:val="20"/>
          <w:color w:val="auto"/>
        </w:rPr>
      </w:pPr>
      <w:r>
        <w:rPr>
          <w:rFonts w:ascii="Arial" w:cs="Arial" w:eastAsia="Arial" w:hAnsi="Arial"/>
          <w:sz w:val="18"/>
          <w:szCs w:val="18"/>
          <w:color w:val="auto"/>
        </w:rPr>
        <w:t>After eight weeks of treatment in multi-dose studies in PiZ mice, soluble (monomeric) and insoluble (polymeric) forms of Z-AAT were greatly reduced in the livers of PiZ mice treated with ARC-AAT. In addition, liver globule burden was substantially reduced from baseline levels and in comparison to treatment with saline, which showed progressive globule formation (shown in the figure below). These data were submitted as an abstract to the 2014 AASLD Liver Meeting and selected for presentation at this conference.</w:t>
      </w:r>
    </w:p>
    <w:p>
      <w:pPr>
        <w:sectPr>
          <w:pgSz w:w="11900" w:h="16838" w:orient="portrait"/>
          <w:cols w:equalWidth="0" w:num="1">
            <w:col w:w="11260"/>
          </w:cols>
          <w:pgMar w:left="240" w:top="341" w:right="399" w:bottom="1440" w:gutter="0" w:footer="0" w:header="0"/>
        </w:sect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Baseline</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weeks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612265" cy="2392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2265" cy="2392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AAT-UNA q2w</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135255</wp:posOffset>
            </wp:positionV>
            <wp:extent cx="1637665" cy="2392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665" cy="2392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Saline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weeks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142240</wp:posOffset>
            </wp:positionV>
            <wp:extent cx="1629410" cy="2392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9410" cy="239268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520" w:space="720"/>
            <w:col w:w="3100" w:space="720"/>
            <w:col w:w="3200"/>
          </w:cols>
          <w:pgMar w:left="240" w:top="34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11: Reduction in Z-AAT globules in livers of PiZ mice</w:t>
      </w:r>
    </w:p>
    <w:p>
      <w:pPr>
        <w:spacing w:after="0" w:line="23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primate studies, knockdown of AAT in serum persisted for over ten weeks with greater than 80 percent knockdown observed at the six-week time point. Multi-dose studies in primates showed a sustained reduction of AAT with once every six weeks dosing, suggesting that once monthly or less frequent dosing is sufficient to maintain ~80-90% knockdown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141605</wp:posOffset>
            </wp:positionV>
            <wp:extent cx="5462905" cy="258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290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520"/>
        <w:spacing w:after="0" w:line="282" w:lineRule="auto"/>
        <w:rPr>
          <w:sz w:val="20"/>
          <w:szCs w:val="20"/>
          <w:color w:val="auto"/>
        </w:rPr>
      </w:pPr>
      <w:r>
        <w:rPr>
          <w:rFonts w:ascii="Arial" w:cs="Arial" w:eastAsia="Arial" w:hAnsi="Arial"/>
          <w:sz w:val="16"/>
          <w:szCs w:val="16"/>
          <w:b w:val="1"/>
          <w:bCs w:val="1"/>
          <w:color w:val="4F81BD"/>
        </w:rPr>
        <w:t xml:space="preserve">Figure 12: </w:t>
      </w:r>
      <w:r>
        <w:rPr>
          <w:rFonts w:ascii="Arial" w:cs="Arial" w:eastAsia="Arial" w:hAnsi="Arial"/>
          <w:sz w:val="18"/>
          <w:szCs w:val="18"/>
          <w:b w:val="1"/>
          <w:bCs w:val="1"/>
          <w:color w:val="4F81BD"/>
        </w:rPr>
        <w:t>Long term reduction of AAT in NHPs following repeat dosing with ARC-AAT</w:t>
      </w:r>
      <w:r>
        <w:rPr>
          <w:rFonts w:ascii="Arial" w:cs="Arial" w:eastAsia="Arial" w:hAnsi="Arial"/>
          <w:sz w:val="16"/>
          <w:szCs w:val="16"/>
          <w:b w:val="1"/>
          <w:bCs w:val="1"/>
          <w:color w:val="4F81BD"/>
        </w:rPr>
        <w:t xml:space="preserve"> </w:t>
      </w:r>
      <w:r>
        <w:rPr>
          <w:rFonts w:ascii="Arial" w:cs="Arial" w:eastAsia="Arial" w:hAnsi="Arial"/>
          <w:sz w:val="18"/>
          <w:szCs w:val="18"/>
          <w:b w:val="1"/>
          <w:bCs w:val="1"/>
          <w:color w:val="4F81BD"/>
        </w:rPr>
        <w:t>(ARC-EX1 is a DPC™ delivery system)</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type w:val="continuous"/>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The Alpha-1 Project</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Arrowhead has an agreement with The Alpha-1 Project (TAP), the venture philanthropy subsidiary of the Alpha-1 Foundation. TAP’s mission is to support organizations in pursuit of cures and therapies for lung and liver disease caused by Alpha-1 Antitrypsin Deficiency. Under the terms of the agreement, TAP will partially fund the development of ARC-AAT. In addition to the funding, TAP will make its scientific advisors available to Arrowhead, assist with patient recruitment for clinical trials with its Alpha-1 Foundation Patient Research Registry, and engage in other collaborative efforts that support the development of ARC-AAT.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1</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Arrowhead is conducting a single dose Phase 1 clinical study of ARC-AAT. The study is a multi-center, randomized, placebo-controlled, double-blind, single dose-escalation, first-in-human study to evaluate the safety, tolerability and pharmacokinetics of ARC-AAT and the effect on circulating AAT levels. The study has been enrolling dose cohorts of six participants each, with participants randomized at a ratio of 2:1 (active:placebo) to receive a single intravenous injection of either ARC-AAT or placebo (normal saline). The study consists of two parts; Part A in healthy volunteers and part B currently being conducted in patients with PiZZ genotype AATD. Dosing in patients (part B) began at a dose level used in healthy volunteers that met pre-defined criteria for AAT knockdown and then continued dose escalation may proceed under the protocol. The study evaluates participants for 28 days following dosing, with additional follow-up if needed every 2 weeks until AAT levels return to baseline.</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June 2015, Arrowhead was granted the orphan drug designation for ARC-AAT by the U.S. Food and Drug Administration (FDA). Orphan drug designation provides incentives for sponsors to develop products for rare diseases. These incentives include increased engagement with FDA on drug development activities, exemption from all future product-specific regulatory fees, the opportunity to apply for R&amp;D funding, tax credits, an increased chance of priority review, and 7 years of orphan exclusivity at the time of New Drug Application (NDA).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addition to our clinical candidates, we are actively engaged in the discovery and development of additional pre-clinical stage products for intravenous and subcutaneous administered therapeutics targeting the liver, as well as programs targeting extra-hepatic tissues. We focus on disease targets that are well suited for intervention with targeted RNAi therapeutics using our DPC™ delivery platform.</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ARC-521</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ARC-521 is a new RNAi-based therapeutic in Arrowhead’s HBV portfolio that was developed to target both cccDNA derived mRNA transcripts, like ARC-520, as well as those from HBV DNA that has integrated into the host DNA. It is intended to address specific patient populations that are predicted to have higher ratios of integrated DNA versus cccDNA. The Company plans to begin clinical studies of ARC-521 in mid-2016.</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ARC-F12</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ARC-F12 is an RNAi-based therapeutic designed to reduce the production of factor 12 with the goal of providing a prophylactic treatment for hereditary angioedema (HAE) and thromboembolic diseases. Arrowhead is conducting relevant disease models, and is considering other potential studies to support advancement of ARC-F12 into clinical trials.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ARC-HIF2</w:t>
      </w:r>
    </w:p>
    <w:p>
      <w:pPr>
        <w:spacing w:after="0" w:line="121"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ARC-HIF2 is an RNAi-based therapeutic designed to reduce the production of hypoxia-inducible factor 2α (HIF-2α) to treat clear cell renal cell carcinoma. It is the first drug candidate using a new DPC™ delivery vehicle designed to target tissues outside of the liver. Arrowhead is conducting tumor models and is working on manufacturing scale up for the new delivery vehicle to support advancement of ARC-HIF2 into IND-enabling studies.</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ARC-LPA</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ARC-LPA is an RNAi-based therapeutic designed to reduce production of apolipoprotein A (apo(a)), a key component of lipoprotein(a) (Lp(a)), which has been genetically linked with increased risk of cardiovascular diseases. ARC-LPA employs Arrowhead’s new hepatic delivery format being developed for subcutaneous administration. This program has not yet been officially designated by Arrowhead as entering pre-IND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Partner-based Programs</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Alnylam Pharmaceuticals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jc w:val="both"/>
        <w:ind w:right="160" w:firstLine="518"/>
        <w:spacing w:after="0" w:line="286" w:lineRule="auto"/>
        <w:rPr>
          <w:sz w:val="20"/>
          <w:szCs w:val="20"/>
          <w:color w:val="auto"/>
        </w:rPr>
      </w:pPr>
      <w:r>
        <w:rPr>
          <w:rFonts w:ascii="Arial" w:cs="Arial" w:eastAsia="Arial" w:hAnsi="Arial"/>
          <w:sz w:val="17"/>
          <w:szCs w:val="17"/>
          <w:color w:val="auto"/>
        </w:rPr>
        <w:t>In January 2012, Arrowhead granted Alnylam a license to utilize the DPC™ delivery technology for a single RNAi therapeutic product. Alnylam is collaborating with Arrowhead to develop this technology for an undisclosed target. Alnylam has not publically disclosed what progress, if any, it may have made with respect to this target. Arrowhead is eligible to receive milestone payments and royalties on worldwide sales.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Shire</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December 2012, Arrowhead signed a research collaboration and license agreement with Shire AG (“Shire”) to develop and commercialize targeted peptide-drug conjugates (PDCs) utilizing Arrowhead’s human-derived Homing Peptide platform and Shire’s therapeutic payloads. Arrowhead may receive research funding and could be eligible for development, regulatory, and commercialization milestone payments of up to $32.8 million for each development candidate, plus additional milestone payments for a second indication, and royalties on worldwide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Interference &amp; the Benefits of RNAi Therapeutics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 causing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144780</wp:posOffset>
            </wp:positionV>
            <wp:extent cx="3018790" cy="3713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1879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13: Mechanism of RNA interference</w:t>
      </w:r>
    </w:p>
    <w:p>
      <w:pPr>
        <w:spacing w:after="0" w:line="23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Small molecule and antibody drugs have proven effective at inhibiting certain cell surface, intracellular, and extracellular targets. However, other drug targets such as intranuclear genes and some proteins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RNAi as a Therapeutic Modality</w:t>
      </w:r>
    </w:p>
    <w:p>
      <w:pPr>
        <w:spacing w:after="0" w:line="117"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Silences the expression of disease causing genes;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9" w:name="page20"/>
    <w:bookmarkEnd w:id="19"/>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to address any target in the transcriptome including previously "undruggable" targets;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Rapid lead identification;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specificity;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Opportunity to use multiple RNA sequences in one drug product for synergistic silencing of related targets;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RNAi therapeutics are uniquely suited for personalized medicine through target and cell specific delivery and gene knockdown.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Addressing the RNAi Delivery Challenge</w:t>
      </w:r>
    </w:p>
    <w:p>
      <w:pPr>
        <w:spacing w:after="0" w:line="117"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To date, the primary challenge to the development of RNAi therapeutics has been delivering the fragile, often immunogenic and otherwise rapidly cleared RNAi trigger molecules, into the cytoplasm of the cell, where RNAi activity occurs. This hurdle has prevented many RNAi therapeutics from reaching their full potential. Many companies have attempted to overcome the delivery challenge. Most early systems involved various carriers such as liposomes. However, development in humans has been limited due to toxicity and immunogenicity of these approaches when studied in clinical trials.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Dynamic Polyconjugate™ RNAi Delivery System</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DPC™ delivery system represents an innovative solution to the RNAi delivery problem, specifically designed to overcome barriers to systemic administration of RNAi trigger molecules. Developed by Arrowhead scientists, the inspiration for DPC™ technology came from the physical characteristics of viruses, nature’s own nanoparticles for nucleic acid delivery. Viruses are efficient at finding their target cells and delivering their nucleic acid payload to the proper cellular compartment. Key features of viruses are their small size, their overall negative surface charge, their specificity for particular cell types based on receptors unique to that cell, and their ability to disassemble and release their nucleic acid cargo to the proper cell compartment in response to cellular triggers. All of these features are incorporated into DPC™ technology.</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Prototypical DPC delivery systems are small, generally 5-20 nanometers (nm) in size, with an amphipathic polymer backbone. Arrowhead has a library of polymers, enabling optimization based on factors such as preferred mode of administration, pharmacokinetics, and target tissue. Shielding agents such as polyethylene glycol and targeting ligands may be reversibly attached to the polymer backbone. In some constructs, the RNAi trigger payload is attached to the DPC™ delivery system, while in other constructs, the RNAi trigger circulates attached to a different carrier. When attached, the DPC™ delivery system construct protects the RNAi trigger payload while allowing the polymer to circulate in the blood without creating undue toxicity. The targeting ligand guides it to the cell type of interest where, together with the RNAi trigger, it is taken up into a membrane-enclosed cellular compartment known as an endosome. The polymer is selected for its ability to disrupt the endosomal membrane, which allows the RNAi trigger to be released into the cytoplasm. There, it engages the cell’s RNAi machinery, ultimately resulting in knockdown of target gene expression. This membrane active chemistry of the DPC™ polymeric backbone is modified, or “masked”, using proprietary chemistry until it reaches the endosome where pH changes cause the masking chemistries to fall off. Masking of the polymer’s membrane active chemistry accomplishes two interrelated objectives that are critical to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RNAi delivery:</w:t>
      </w:r>
    </w:p>
    <w:p>
      <w:pPr>
        <w:spacing w:after="0" w:line="85"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of toxicity by controlling when the membrane disruptive property of the polymer is activated;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Inhibition of non-specific interactions with blood components and non-targeted cell types.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88900</wp:posOffset>
            </wp:positionV>
            <wp:extent cx="3173095" cy="385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173095"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 xml:space="preserve">Figure 14: Single molecule </w:t>
      </w:r>
      <w:r>
        <w:rPr>
          <w:rFonts w:ascii="Arial" w:cs="Arial" w:eastAsia="Arial" w:hAnsi="Arial"/>
          <w:sz w:val="18"/>
          <w:szCs w:val="18"/>
          <w:b w:val="1"/>
          <w:bCs w:val="1"/>
          <w:color w:val="4F81BD"/>
        </w:rPr>
        <w:t>DPCs™</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color w:val="auto"/>
        </w:rPr>
        <w:t>Co-injection of DPCs™ and RNAi Triggers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Arrowhead has developed multiple forms of the prototypical DPC™ delivery system. ARC-520 and ARC-AAT use a DPC™ formulation whereby the RNAi trigger is conjugated to cholesterol and is not attached to the DPC™. Pre-clinical studies have shown co-injection of the liver-targeted DPC™ polymer together with the RNAi trigger conjugated to a lipophilic moiety, such as cholesterol, results in a greater than 500-fold increase in the potency when compared to the RNAi trigger with cholesterol alone. This formulation retains the potent endosomal escape capabilities of Arrowhead's DPC™ platform, simplifies drug manufacturing, and creates new targeting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146050</wp:posOffset>
            </wp:positionV>
            <wp:extent cx="2049780" cy="5342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49780" cy="534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15: Mechanism of action for co-injected DPCs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color w:val="auto"/>
        </w:rPr>
        <w:t>Subcutaneous Administration of RNAi Therapeutics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Arrowhead has also developed multiple delivery formulations for subcutaneous administration of RNAi therapeutics where the RNAi triggers are conjugated to the delivery vehicle. Using these vehicles, high-level target gene knockdown has been observed in animal studies. Arrowhead intends to utilize a subcutaneous formulation in its ARC-LPA program and in additional programs where chronic dosing may be required.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Company controls approximately 306 issued patents (including 66 for DPCs; 25 for hydrodynamic gene delivery; 26 for pH labile molecules; 7 for polyampholyte; 5 for template polymerization; 12 for delivery polymers; 133 for RNAi trigger molecules; 1 for targeting molecules; 1 for liver expression vector; and 29 for Homing Peptides), including European validations, and 247 patent applications (108 applications in 13 families for DPCs; 140 applications in 23 families for RNAi trigger targets; and 8 for Homing Peptides). The pending applications have been filed throughout the world, including, in the United States, Argentina, ARIPO (Africa Regional Intellectual Property Organization), Australia, Brazil, Canada, Chile, China, Eurasian Patent Organization, Europe, Hong Kong, Israel, India, Indonesia, Iraq, Jordan, Japan, Republic of Korea, Mexico, New Zealand, OAPI (African Intellectual Property Organization), Peru, Philippines, Russian Federation, Saudi Arabia, Singapore, Thailand, Taiwan, Venezuela, Vietnam, and South Africa.</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RNAi Triggers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owns patents directed to RNAi triggers targeted to reduce expression of hepatitis B viral proteins as well the RRM2 gene.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520" w:type="dxa"/>
            <w:vAlign w:val="bottom"/>
            <w:tcBorders>
              <w:right w:val="single" w:sz="8" w:color="auto"/>
            </w:tcBorders>
          </w:tcPr>
          <w:p>
            <w:pPr>
              <w:spacing w:after="0"/>
              <w:rPr>
                <w:sz w:val="24"/>
                <w:szCs w:val="24"/>
                <w:color w:val="auto"/>
              </w:rPr>
            </w:pPr>
          </w:p>
        </w:tc>
        <w:tc>
          <w:tcPr>
            <w:tcW w:w="42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Patent Group</w:t>
            </w: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37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 of Expiration</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shd w:val="clear" w:color="auto" w:fill="EEECE1"/>
          </w:tcPr>
          <w:p>
            <w:pPr>
              <w:ind w:left="540"/>
              <w:spacing w:after="0"/>
              <w:rPr>
                <w:sz w:val="20"/>
                <w:szCs w:val="20"/>
                <w:color w:val="auto"/>
              </w:rPr>
            </w:pPr>
            <w:r>
              <w:rPr>
                <w:rFonts w:ascii="Arial" w:cs="Arial" w:eastAsia="Arial" w:hAnsi="Arial"/>
                <w:sz w:val="18"/>
                <w:szCs w:val="18"/>
                <w:b w:val="1"/>
                <w:bCs w:val="1"/>
                <w:color w:val="auto"/>
              </w:rPr>
              <w:t>RNAi Triggers</w:t>
            </w:r>
          </w:p>
        </w:tc>
        <w:tc>
          <w:tcPr>
            <w:tcW w:w="1140" w:type="dxa"/>
            <w:vAlign w:val="bottom"/>
            <w:tcBorders>
              <w:bottom w:val="single" w:sz="8" w:color="auto"/>
              <w:right w:val="single" w:sz="8" w:color="EEECE1"/>
            </w:tcBorders>
            <w:shd w:val="clear" w:color="auto" w:fill="EEECE1"/>
          </w:tcPr>
          <w:p>
            <w:pPr>
              <w:spacing w:after="0"/>
              <w:rPr>
                <w:sz w:val="24"/>
                <w:szCs w:val="24"/>
                <w:color w:val="auto"/>
              </w:rPr>
            </w:pPr>
          </w:p>
        </w:tc>
        <w:tc>
          <w:tcPr>
            <w:tcW w:w="3780" w:type="dxa"/>
            <w:vAlign w:val="bottom"/>
            <w:tcBorders>
              <w:bottom w:val="single" w:sz="8" w:color="auto"/>
              <w:right w:val="single" w:sz="8" w:color="auto"/>
            </w:tcBorders>
            <w:shd w:val="clear" w:color="auto" w:fill="EEECE1"/>
          </w:tcPr>
          <w:p>
            <w:pPr>
              <w:spacing w:after="0"/>
              <w:rPr>
                <w:sz w:val="24"/>
                <w:szCs w:val="24"/>
                <w:color w:val="auto"/>
              </w:rPr>
            </w:pP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Patent directed to HBV RNAi triggers</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Patent directed to RRM2 RNAi triggers</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α-ENaC</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β-ENaC</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β-Catenin</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KRAS</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HSF1</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2030, 2032</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APOC3</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2034</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Cx43</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2029</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HIF1A</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FRP-1</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HCV</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2023</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PDtype4</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PI4Kinase</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HRH1</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SYK</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1740" w:type="dxa"/>
            <w:vAlign w:val="bottom"/>
          </w:tcPr>
          <w:p>
            <w:pPr>
              <w:spacing w:after="0"/>
              <w:rPr>
                <w:sz w:val="24"/>
                <w:szCs w:val="24"/>
                <w:color w:val="auto"/>
              </w:rPr>
            </w:pPr>
          </w:p>
        </w:tc>
      </w:tr>
      <w:tr>
        <w:trPr>
          <w:trHeight w:val="318"/>
        </w:trPr>
        <w:tc>
          <w:tcPr>
            <w:tcW w:w="520" w:type="dxa"/>
            <w:vAlign w:val="bottom"/>
            <w:tcBorders>
              <w:right w:val="single" w:sz="8" w:color="auto"/>
            </w:tcBorders>
          </w:tcPr>
          <w:p>
            <w:pPr>
              <w:spacing w:after="0"/>
              <w:rPr>
                <w:sz w:val="24"/>
                <w:szCs w:val="24"/>
                <w:color w:val="auto"/>
              </w:rPr>
            </w:pPr>
          </w:p>
        </w:tc>
        <w:tc>
          <w:tcPr>
            <w:tcW w:w="4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TNF-α</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1740" w:type="dxa"/>
            <w:vAlign w:val="bottom"/>
          </w:tcPr>
          <w:p>
            <w:pPr>
              <w:spacing w:after="0"/>
              <w:rPr>
                <w:sz w:val="24"/>
                <w:szCs w:val="24"/>
                <w:color w:val="auto"/>
              </w:rPr>
            </w:pPr>
          </w:p>
        </w:tc>
      </w:tr>
      <w:tr>
        <w:trPr>
          <w:trHeight w:val="426"/>
        </w:trPr>
        <w:tc>
          <w:tcPr>
            <w:tcW w:w="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color w:val="auto"/>
        </w:rPr>
        <w:t>Dynamic Polyconjugates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DPC related patents have issued in the United States, Australia, Canada, Europe, France, Germany, Italy, Spain, Switzerland, United Kingdom, India, Japan, Mexico, New Zealand, Philippines, Russia, South Korea, Singapore,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210" w:lineRule="exact"/>
        <w:rPr>
          <w:sz w:val="20"/>
          <w:szCs w:val="20"/>
          <w:color w:val="auto"/>
        </w:rPr>
      </w:pPr>
    </w:p>
    <w:tbl>
      <w:tblPr>
        <w:tblLayout w:type="fixed"/>
        <w:tblInd w:w="510" w:type="dxa"/>
        <w:tblCellMar>
          <w:top w:w="0" w:type="dxa"/>
          <w:left w:w="0" w:type="dxa"/>
          <w:bottom w:w="0" w:type="dxa"/>
          <w:right w:w="0" w:type="dxa"/>
        </w:tblCellMar>
      </w:tblPr>
      <w:tr>
        <w:trPr>
          <w:trHeight w:val="248"/>
        </w:trPr>
        <w:tc>
          <w:tcPr>
            <w:tcW w:w="598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24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Estimated Year of Expiration</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Dynamic Polyconjugates</w:t>
            </w:r>
            <w:r>
              <w:rPr>
                <w:rFonts w:ascii="Arial" w:cs="Arial" w:eastAsia="Arial" w:hAnsi="Arial"/>
                <w:sz w:val="15"/>
                <w:szCs w:val="15"/>
                <w:color w:val="auto"/>
              </w:rPr>
              <w:t>TM</w:t>
            </w:r>
            <w:r>
              <w:rPr>
                <w:rFonts w:ascii="Arial" w:cs="Arial" w:eastAsia="Arial" w:hAnsi="Arial"/>
                <w:sz w:val="18"/>
                <w:szCs w:val="18"/>
                <w:b w:val="1"/>
                <w:bCs w:val="1"/>
                <w:color w:val="auto"/>
              </w:rPr>
              <w:t xml:space="preserve"> (DPC</w:t>
            </w:r>
            <w:r>
              <w:rPr>
                <w:rFonts w:ascii="Arial" w:cs="Arial" w:eastAsia="Arial" w:hAnsi="Arial"/>
                <w:sz w:val="15"/>
                <w:szCs w:val="15"/>
                <w:color w:val="auto"/>
              </w:rPr>
              <w:t>TM</w:t>
            </w:r>
            <w:r>
              <w:rPr>
                <w:rFonts w:ascii="Arial" w:cs="Arial" w:eastAsia="Arial" w:hAnsi="Arial"/>
                <w:sz w:val="18"/>
                <w:szCs w:val="18"/>
                <w:b w:val="1"/>
                <w:bCs w:val="1"/>
                <w:color w:val="auto"/>
              </w:rPr>
              <w:t>)</w:t>
            </w:r>
          </w:p>
        </w:tc>
        <w:tc>
          <w:tcPr>
            <w:tcW w:w="3240" w:type="dxa"/>
            <w:vAlign w:val="bottom"/>
            <w:tcBorders>
              <w:bottom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Dynamic Polyconjugates</w:t>
            </w:r>
          </w:p>
        </w:tc>
        <w:tc>
          <w:tcPr>
            <w:tcW w:w="32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Dynamic Polyconjugates – second iteration</w:t>
            </w:r>
          </w:p>
        </w:tc>
        <w:tc>
          <w:tcPr>
            <w:tcW w:w="32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Membrane Active Polymers</w:t>
            </w:r>
          </w:p>
        </w:tc>
        <w:tc>
          <w:tcPr>
            <w:tcW w:w="32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Membrane Active Polymers – Additional Iterations</w:t>
            </w:r>
          </w:p>
        </w:tc>
        <w:tc>
          <w:tcPr>
            <w:tcW w:w="32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Membrane Active Polymers – Additional Iterations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Copolymer Systems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Polynucleotide-Polymer Composition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ARC-520 Polymer</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ARC-521 Composition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Masking Chemistry</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Masking Chemistry</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Polyampholyte Delivery</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pH Labile Molecules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Endosomolytic Polymers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Hydrodynamic delivery</w:t>
            </w:r>
          </w:p>
        </w:tc>
        <w:tc>
          <w:tcPr>
            <w:tcW w:w="3240" w:type="dxa"/>
            <w:vAlign w:val="bottom"/>
            <w:tcBorders>
              <w:bottom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First iterations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Second iteration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Third iteration</w:t>
            </w:r>
          </w:p>
        </w:tc>
        <w:tc>
          <w:tcPr>
            <w:tcW w:w="32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Homing Peptides</w:t>
      </w:r>
    </w:p>
    <w:p>
      <w:pPr>
        <w:spacing w:after="0" w:line="121" w:lineRule="exact"/>
        <w:rPr>
          <w:sz w:val="20"/>
          <w:szCs w:val="20"/>
          <w:color w:val="auto"/>
        </w:rPr>
      </w:pPr>
    </w:p>
    <w:p>
      <w:pPr>
        <w:ind w:right="400" w:firstLine="518"/>
        <w:spacing w:after="0" w:line="286" w:lineRule="auto"/>
        <w:rPr>
          <w:sz w:val="20"/>
          <w:szCs w:val="20"/>
          <w:color w:val="auto"/>
        </w:rPr>
      </w:pPr>
      <w:r>
        <w:rPr>
          <w:rFonts w:ascii="Arial" w:cs="Arial" w:eastAsia="Arial" w:hAnsi="Arial"/>
          <w:sz w:val="17"/>
          <w:szCs w:val="17"/>
          <w:color w:val="auto"/>
        </w:rPr>
        <w:t>We also control patents related to our Homing Peptide platforms, related to Adipotide, our drug candidate for the treatment for obesity and related metabolic disorders. Approximately seven of these patents are United States patents and the remaining patents are validated in Belgium, Switzerland, Germany, Spain, France, Japan, the United Kingdom, Ireland, Greece, Italy, Netherlands, Portugal, Sweden and Turkey.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Borders>
              <w:right w:val="single" w:sz="8" w:color="auto"/>
            </w:tcBorders>
          </w:tcPr>
          <w:p>
            <w:pPr>
              <w:spacing w:after="0"/>
              <w:rPr>
                <w:sz w:val="19"/>
                <w:szCs w:val="19"/>
                <w:color w:val="auto"/>
              </w:rPr>
            </w:pPr>
          </w:p>
        </w:tc>
        <w:tc>
          <w:tcPr>
            <w:tcW w:w="42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Patent Group</w:t>
            </w:r>
          </w:p>
        </w:tc>
        <w:tc>
          <w:tcPr>
            <w:tcW w:w="1720" w:type="dxa"/>
            <w:vAlign w:val="bottom"/>
            <w:tcBorders>
              <w:top w:val="single" w:sz="8" w:color="auto"/>
              <w:bottom w:val="single" w:sz="8" w:color="auto"/>
              <w:right w:val="single" w:sz="8" w:color="auto"/>
            </w:tcBorders>
          </w:tcPr>
          <w:p>
            <w:pPr>
              <w:spacing w:after="0"/>
              <w:rPr>
                <w:sz w:val="19"/>
                <w:szCs w:val="19"/>
                <w:color w:val="auto"/>
              </w:rPr>
            </w:pPr>
          </w:p>
        </w:tc>
        <w:tc>
          <w:tcPr>
            <w:tcW w:w="32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 of Expiration</w:t>
            </w:r>
          </w:p>
        </w:tc>
        <w:tc>
          <w:tcPr>
            <w:tcW w:w="1720" w:type="dxa"/>
            <w:vAlign w:val="bottom"/>
          </w:tcPr>
          <w:p>
            <w:pPr>
              <w:spacing w:after="0"/>
              <w:rPr>
                <w:sz w:val="19"/>
                <w:szCs w:val="19"/>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shd w:val="clear" w:color="auto" w:fill="EEECE1"/>
          </w:tcPr>
          <w:p>
            <w:pPr>
              <w:ind w:left="540"/>
              <w:spacing w:after="0"/>
              <w:rPr>
                <w:sz w:val="20"/>
                <w:szCs w:val="20"/>
                <w:color w:val="auto"/>
              </w:rPr>
            </w:pPr>
            <w:r>
              <w:rPr>
                <w:rFonts w:ascii="Arial" w:cs="Arial" w:eastAsia="Arial" w:hAnsi="Arial"/>
                <w:sz w:val="18"/>
                <w:szCs w:val="18"/>
                <w:b w:val="1"/>
                <w:bCs w:val="1"/>
                <w:color w:val="auto"/>
              </w:rPr>
              <w:t>Adipotide</w:t>
            </w:r>
            <w:r>
              <w:rPr>
                <w:rFonts w:ascii="Arial" w:cs="Arial" w:eastAsia="Arial" w:hAnsi="Arial"/>
                <w:sz w:val="15"/>
                <w:szCs w:val="15"/>
                <w:color w:val="auto"/>
              </w:rPr>
              <w:t>®</w:t>
            </w:r>
          </w:p>
        </w:tc>
        <w:tc>
          <w:tcPr>
            <w:tcW w:w="1720" w:type="dxa"/>
            <w:vAlign w:val="bottom"/>
            <w:tcBorders>
              <w:bottom w:val="single" w:sz="8" w:color="auto"/>
              <w:right w:val="single" w:sz="8" w:color="EEECE1"/>
            </w:tcBorders>
            <w:shd w:val="clear" w:color="auto" w:fill="EEECE1"/>
          </w:tcPr>
          <w:p>
            <w:pPr>
              <w:spacing w:after="0"/>
              <w:rPr>
                <w:sz w:val="18"/>
                <w:szCs w:val="18"/>
                <w:color w:val="auto"/>
              </w:rPr>
            </w:pPr>
          </w:p>
        </w:tc>
        <w:tc>
          <w:tcPr>
            <w:tcW w:w="3240" w:type="dxa"/>
            <w:vAlign w:val="bottom"/>
            <w:tcBorders>
              <w:bottom w:val="single" w:sz="8" w:color="auto"/>
              <w:right w:val="single" w:sz="8" w:color="auto"/>
            </w:tcBorders>
            <w:shd w:val="clear" w:color="auto" w:fill="EEECE1"/>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Targeting moieties and conjugates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2021</w:t>
            </w: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Targeted Pharmaceutical Compositions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2021</w:t>
            </w: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shd w:val="clear" w:color="auto" w:fill="EEECE1"/>
          </w:tcPr>
          <w:p>
            <w:pPr>
              <w:ind w:left="540"/>
              <w:spacing w:after="0"/>
              <w:rPr>
                <w:sz w:val="20"/>
                <w:szCs w:val="20"/>
                <w:color w:val="auto"/>
              </w:rPr>
            </w:pPr>
            <w:r>
              <w:rPr>
                <w:rFonts w:ascii="Arial" w:cs="Arial" w:eastAsia="Arial" w:hAnsi="Arial"/>
                <w:sz w:val="18"/>
                <w:szCs w:val="18"/>
                <w:b w:val="1"/>
                <w:bCs w:val="1"/>
                <w:color w:val="auto"/>
              </w:rPr>
              <w:t>Homing Peptides</w:t>
            </w:r>
          </w:p>
        </w:tc>
        <w:tc>
          <w:tcPr>
            <w:tcW w:w="1720" w:type="dxa"/>
            <w:vAlign w:val="bottom"/>
            <w:tcBorders>
              <w:bottom w:val="single" w:sz="8" w:color="auto"/>
              <w:right w:val="single" w:sz="8" w:color="EEECE1"/>
            </w:tcBorders>
            <w:shd w:val="clear" w:color="auto" w:fill="EEECE1"/>
          </w:tcPr>
          <w:p>
            <w:pPr>
              <w:spacing w:after="0"/>
              <w:rPr>
                <w:sz w:val="18"/>
                <w:szCs w:val="18"/>
                <w:color w:val="auto"/>
              </w:rPr>
            </w:pPr>
          </w:p>
        </w:tc>
        <w:tc>
          <w:tcPr>
            <w:tcW w:w="3240" w:type="dxa"/>
            <w:vAlign w:val="bottom"/>
            <w:tcBorders>
              <w:bottom w:val="single" w:sz="8" w:color="auto"/>
              <w:right w:val="single" w:sz="8" w:color="auto"/>
            </w:tcBorders>
            <w:shd w:val="clear" w:color="auto" w:fill="EEECE1"/>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EphA5 Targeting Peptides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172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IL-11R Targeting Peptides</w:t>
            </w:r>
          </w:p>
        </w:tc>
        <w:tc>
          <w:tcPr>
            <w:tcW w:w="17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2022</w:t>
            </w:r>
          </w:p>
        </w:tc>
        <w:tc>
          <w:tcPr>
            <w:tcW w:w="1720" w:type="dxa"/>
            <w:vAlign w:val="bottom"/>
          </w:tcPr>
          <w:p>
            <w:pPr>
              <w:spacing w:after="0"/>
              <w:rPr>
                <w:sz w:val="18"/>
                <w:szCs w:val="18"/>
                <w:color w:val="auto"/>
              </w:rPr>
            </w:pPr>
          </w:p>
        </w:tc>
      </w:tr>
      <w:tr>
        <w:trPr>
          <w:trHeight w:val="426"/>
        </w:trPr>
        <w:tc>
          <w:tcPr>
            <w:tcW w:w="5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color w:val="auto"/>
              </w:rPr>
              <w:t>21</w:t>
            </w:r>
          </w:p>
        </w:tc>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Non-Exclusively Licensed Patent Rights obtained from Roche</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Roche and the Company entered into a Stock and Asset Purchase Agreement on October 21, 2011 pursuant to which Roche assigned to Arrowhead its entire rights under certain licenses including: the License and Collaboration Agreement between Roche and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provide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Alnylam License</w:t>
      </w:r>
    </w:p>
    <w:p>
      <w:pPr>
        <w:spacing w:after="0" w:line="11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Alnylam License provides us with a non-exclusive, worldwide, perpetual, irrevocable, royalty-bearing right and sublicensable license under Alnylam’s rights in certain intellectual property existing as of its effective date, to engage in discovery, development, commercialization and manufacturing activities, including to make, have made, use, offer for sale, sell and import certain licensed products in certain fields. The fields include the treatment or prophylaxis of indications comprising an RNAi compound complementary to, and function in mediating the RNAi of, a target known or believed to be primarily implicated in one or more primary therapeutic areas. The primary therapeutic areas are cancer, hepatic, metabolic disease and pulmonary disease. The hepatic therapeutic area specifically excludes targets of infectious pathogen.</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Alnylam license excludes access to intellectual property specifically related to “Blocked Targets.” “Blocked Targets” are those targets that are subject to a contractual obligation of a pre-existing agreement between Alnylam and its alliance partners.</w:t>
      </w:r>
    </w:p>
    <w:p>
      <w:pPr>
        <w:spacing w:after="0" w:line="170"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Under the Alnylam License, we may be obligated to pay development and sales milestone payments of up to the mid to upper double digit millions of dollars for each licensed product that progresses through clinical trials in a particular indication, receives marketing approval for that indication and is the subject of a first commercial sale. Additionally, we may be obligated to pay mid to high single digit percentage royalties on sales of such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Patents relating to RNAi</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RNAi Licenses include patents relating to the general structure, architecture, and design of double-stranded oligonucleotide molecules, which engage RNA interference mechanisms in a cell. These rights include the “Tuschl II” patents, including issued U.S. Patent Nos. 7,056,704; 7,078,196; 7,078,196; 8,329,463; 8,362,231; 8,372,968; and 8,445,327; “Tuschl I” patents, including U.S. Patent Nos. 8,394,628 and 8,420,391; and allowed “Tuschl I” patent application, U.S. Publication No. 2011024446; “City of Hope” patents, including U.S. Patent No. 8,084,599; and “Kreutzer-Limmer” patents assigned to Alnylam, including U.S. Patent Nos. 7,829,693; 8,101,594; 8,119,608; 8,202,980; and 8,168,776.</w:t>
      </w:r>
    </w:p>
    <w:p>
      <w:pPr>
        <w:spacing w:after="0" w:line="17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Thomas Tuschl is the first named inventor on “Tuschl I” and “Tuschl II.” “Tuschl I” refers to the patents arising from the patent application entitled “The Uses of 21-23 Sequence-Specific Mediators of Double-Stranded RNA Interference as a Tool to Study Gene Function and as a Gene-Specific Therapeutic.” “Tuschl II” patents refer to the patents and patent applications arising from the patent application entitled “RNA Interference Mediating Small RNA Molecules.” “City of Hope” is the first named assignee of certain core RNAi trigger patents. The second named assignee of these patents is Integrated DNA Technologies, Inc. Kreutzer-Limmer patents refer to the Alnylam patents and patent applications, relating to core siRNA IP, which includes inventors, Roland Kreutzer and Stefan Limmer.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Chemical modifications of double-stranded oligonucleotides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RNAi Licenses also include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in U.S. Publication No. 20100209487 assigned to Marina Biotech (f/k/a MDRNA, Inc.), and microRNAs described in U.S. Patent Nos. 7,582,744; 7,674,778, and 7,772,387 assigned to Alnylam as well as U.S. Patent No. 8,314,227 related to unlocked nucleic acids (UNA). The ‘227 patent was assigned by Marina Biotech to Arcturus Therapeutics, Inc. but remains part of the MDRNA License. The RNAi Licenses also include rights from INEX/Tekmira relating to lipid-nucleic acid particles, and oligonucleotide modifications to improve pharmacokinetic activity including resistance to degradation, increased stability, and more specific targeting of cells from Alnylam and ISIS Pharmaceuticals, Inc.</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Manufacturing techniques for the double-stranded oligonucleotide molecules or chemical modifications</w:t>
      </w:r>
    </w:p>
    <w:p>
      <w:pPr>
        <w:spacing w:after="0" w:line="117" w:lineRule="exact"/>
        <w:rPr>
          <w:sz w:val="20"/>
          <w:szCs w:val="20"/>
          <w:color w:val="auto"/>
        </w:rPr>
      </w:pPr>
    </w:p>
    <w:p>
      <w:pPr>
        <w:ind w:right="340" w:firstLine="518"/>
        <w:spacing w:after="0" w:line="293" w:lineRule="auto"/>
        <w:rPr>
          <w:sz w:val="20"/>
          <w:szCs w:val="20"/>
          <w:color w:val="auto"/>
        </w:rPr>
      </w:pPr>
      <w:r>
        <w:rPr>
          <w:rFonts w:ascii="Arial" w:cs="Arial" w:eastAsia="Arial" w:hAnsi="Arial"/>
          <w:sz w:val="16"/>
          <w:szCs w:val="16"/>
          <w:color w:val="auto"/>
        </w:rPr>
        <w:t>The RNAi Licenses also include patents relating to the synthesis and manufacture of double-stranded oligonucleotide molecules for use in RNA interference, as well as chemical modifications of such molecules, as described above. These include methods of synthesizing the double-stranded oligonucleotide molecules such as in the core “Tuschl I” allowed U.S. Application No. 12/897,749, the core “Tuschl II” U.S. Patent Nos. 7,056,704; 7,078,196; and 8,445,327; and Alnylam’s U.S. Patent Nos. 8,168,776, as well as methods of making chemical modifications of the double-stranded oligonucleotides such as described in Alnylam’s U.S. Patent No. 7,723,509 and INEX’s U.S. Patent Nos. 5,976,567; 6,858,224; and 8,484,282. Patent applications are currently pending that further cover manufacturing techniques for double-stranded oligonucleotide molecules or chemical modifications.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and Applications of Double-Stranded Oligonucleotide Molecules or Chemical modifications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RNAi Licenses also include patents related to uses of the double-stranded oligonucleotides that function through the mechanism of RNA interference. These include for example, the core “Tuschl I” U.S. Patent No. 8,394,628 and “Tuschl II” U.S. Patent No. 8,329,463; Alnylam’s U.S. Patent Nos. 7,763,590; 8,101,594, and 8,119,608, and City of Hope‘s U.S. Patent No. 8,084,599. Other more specific uses have been acquired and patent applications are currently pending that cover additional end uses and applications of double-stranded oligonucleotides functioning through RNA interference.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from Alnylam</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January 2012, we obtained a license from Alnylam under its rights in certain RNAi intellectual property to develop and commercialize RNAi-based products targeting RNAs encoded by the genome of HBV.</w:t>
      </w:r>
    </w:p>
    <w:p>
      <w:pPr>
        <w:spacing w:after="0" w:line="170"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Alnylam granted us a worldwide non-exclusive sublicensable royalty bearing license under Alnylam’s general RNAi intellectual property estate to research, develop and commercialize RNAi-based products targeting HBV RNAs in combination with DPC™ technology. Alnylam further granted us a worldwide sublicensable exclusive royalty bearing license under its target-specific RNAi patent rights to research, develop and commercialize RNAi-based products targeting HBV RNAs in combination with DPC™ technology. Alnylam further agreed to forego the development of any RNAi-based products targeting HBV RNAs in combination with DPC™ technology.</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Under the license from Alnylam, we may be obligated to pay development and sales milestone payments of up to the low double digit millions of dollars for each licensed product that progresses through clinical trials, receives marketing approval and is the subject of a first commercial sale. Additionally, we may be obligated to pay low single digit percentage royalties on sales of such 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to Alnylam</w:t>
      </w:r>
    </w:p>
    <w:p>
      <w:pPr>
        <w:spacing w:after="0" w:line="117"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In consideration for the licenses from Alnylam, in January 2012 we granted Alnylam a worldwide non-exclusive, sublicensable royalty 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 the low double digit millions of dollars for each licensed product that progresses through clinical trials, receives marketing approval and is the subject of a first commercial sale. Additionally, Alnylam may be obligated to pay us low single digit percentage royalties on sales of such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Texas MD Anderson Cancer Center License</w:t>
      </w:r>
    </w:p>
    <w:p>
      <w:pPr>
        <w:spacing w:after="0" w:line="12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December 2010, we obtained an exclusive worldwide license from the University of Texas MD Anderson Cancer Center in Houston, Texas (“UTMDACC”) related to Adipotide technology (the “UTMDACC License”). The UTMDACC License granted us a royalty-bearing, exclusive right (with the right to sublicense) under certain UTMDACC patents to develop and commercialize certain products in the fields of: 1) therapeutics, diagnostics and research services that both (i) incorporate peptides that specifically target adipose tissue, and (ii) are used to treat, diagnose or research solely either (a) obesity, overweight and/or (b) metabolic conditions related to, caused by and/or associated with obesity and overweight, e.g., diabetes; and 2) cancer therapies, diagnostics and research products associated with a specific targeting moiety. We also have rights to certain improvements to the technology.</w:t>
      </w:r>
    </w:p>
    <w:p>
      <w:pPr>
        <w:spacing w:after="0" w:line="16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consideration for the license, we paid UTMDACC an upfront fee of $2 million and are obligated to pay annual fees initially equal to $50,000 increasing up to a maximum of $100,000, with such annual fees creditable against milestone payments.</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may be obligated to pay development milestone payments of up to $8.3 million for each UTMDCC licensed product that progresses through clinical trials and receives U.S. marketing approval. Additional EU and Japanese approval milestone payments are in the low single digit million dollar range. If a commercial drug is developed and approved, royalty payments on net sales of UTMDACC licensed products are in the low single digit range. If we sublicense or partner a UTMDACC licensed product,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color w:val="auto"/>
        </w:rPr>
        <w:t>UTMDACC would receive partnering fee percentages in the range of single digits to the twenties, depending on the stage of development of the partnered UTMDACC licensed product.</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term of the UTMDACC License is linked to the last to expire patents licensed therein or 15 years if a licensed product contains only licensed know-how. We are obligated to actively and effectively attempt to commercialize the UTMDACC Technology and submit to UTMDACC a Phase 2 clinical trial protocol within two years of obtaining an approved IND. We are also obligated to commence a Phase 2 clinical trial within four years and a Phase 3 clinical trial within seven years of approval of an IND. However, we may obtain yearly extensions of time upon the payment of an increasing fee in the range of tens of thousands of dollars up to several hundred thousand dollars. We also have diligence obligations with respect to any UTMDACC Improvements later added to the license.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Assets from Novartis</w:t>
      </w:r>
    </w:p>
    <w:p>
      <w:pPr>
        <w:spacing w:after="0" w:line="229" w:lineRule="exact"/>
        <w:rPr>
          <w:sz w:val="20"/>
          <w:szCs w:val="20"/>
          <w:color w:val="auto"/>
        </w:rPr>
      </w:pPr>
    </w:p>
    <w:p>
      <w:pPr>
        <w:ind w:firstLine="295"/>
        <w:spacing w:after="0" w:line="288" w:lineRule="auto"/>
        <w:rPr>
          <w:sz w:val="20"/>
          <w:szCs w:val="20"/>
          <w:color w:val="auto"/>
        </w:rPr>
      </w:pPr>
      <w:r>
        <w:rPr>
          <w:rFonts w:ascii="Arial" w:cs="Arial" w:eastAsia="Arial" w:hAnsi="Arial"/>
          <w:sz w:val="16"/>
          <w:szCs w:val="16"/>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licensed certain patents and patent applications owned or controlled by Novartis related to RNAi therapeutics, assignment of Novartis’s rights under a license from Alnylam (the “Alnylam-Novartis License”), rights to three pre-clinical RNAi candidates, and a license to certain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has acquired a worldwide, royalty-bearing, exclusive license with limited sublicensing rights to existing and future Alnylam intellectual property (coming under Alnylam’s control on or before March 31, 2016), excluding intellectual property concerning delivery technology, to research, develop and commercialize 30 undisclosed gene targets.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Facility</w:t>
      </w:r>
    </w:p>
    <w:p>
      <w:pPr>
        <w:spacing w:after="0" w:line="12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Arrowhead’s research and development operations are located in Madison, Wisconsin and are housed in two facilities. The main facility was built and equipped by Roche and was part of our 2011 acquisition of Roche’s RNA therapeutics business. A second research and development facility, located in a nearby Madison suburb, was opened in 2015 as operations expanded. Substantially all of the Company’s assets are located either in these facilities or in our corporate headquarters in Pasadena. A summary of our research and development facilities is provided below:</w:t>
      </w:r>
    </w:p>
    <w:p>
      <w:pPr>
        <w:spacing w:after="0" w:line="63" w:lineRule="exact"/>
        <w:rPr>
          <w:sz w:val="20"/>
          <w:szCs w:val="20"/>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Approximately 87 scientists;</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State-of-the-art laboratories in two buildings: main building has 27,000 total sq. ft. (16,000 sq. ft. lab, 11,000 sq. ft. office); second building has 2,900 total sq. ft. (1,700 sq. ft. lab, 1,200 sq. ft. office);</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small animal facility;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Primate colony housed at the Wisconsin National Primate Research Center, an affiliate of the University of Wisconsin;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In-house histopathology capabilities;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Animal models for metabolic, viral, and oncologic diseases;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Animal efficacy and safety assessment;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Polymer, peptide, oligonucleotide and small molecule synthesis and analytics capabilities (HPLC, NMR, MS, etc.);</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Polymer, peptide and oligonucleotide PK, biodistribution, clearance methodologies;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Conventional and confocal microscopy, flow cytometry, Luminex platform, qRT-PCR, clinical chemistry analytics.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Research and development (R&amp;D) expenses consist of costs incurred in discovering, developing and testing our 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good laboratory practice (“GLP”) toxicology studies necessary to support clinical trials, both of which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outsourced to cGMP-compliant manufacturers and GLP-compliant laboratories. Total research and development expense for fiscal 2015 was $47.3 million, an increase from $23.1 million in 2014 and $8.7 million in 2013.</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employ approximately 87 employees in an R&amp;D function, primarily working from our facility in Madison, Wisconsin.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for our R&amp;D activities were $11.6 million in fiscal 2015, $7.8 million in fiscal 2014, and $4.1 million in fiscal 2013. Laboratory supplies including animal-related costs for in-vivo studies were $3.1 million, $2.3 million, and $1.3 million in fiscal 2015, 2014, and 2013, respectively.</w:t>
      </w:r>
    </w:p>
    <w:p>
      <w:pPr>
        <w:spacing w:after="0" w:line="8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Costs related to manufacture of clinical supplies, GLP toxicology studies and other outsourced lab studies, as well as clinical trial costs were $41.8 million, $18.8 million, and $6.1 million in fiscal 2015, 2014, and 2013 respectively.</w:t>
      </w:r>
    </w:p>
    <w:p>
      <w:pPr>
        <w:spacing w:after="0" w:line="6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Facility-related costs, primarily rental costs for our leased laboratory in Madison, Wisconsin were $1.0 million, $0.9 million, and $0.7 million in fiscal 2015, 2014, and 2013, respectively. Other research and development expenses were $1.4 million, $1.2 million, and $0.6 million in fiscal 2015, 2014 and 2013, respectively. These expenses are primarily related to milestone payments, which can vary from period to period depending on the nature of our various license agreements, and the timing of reaching various development milestones requiring payment.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U.S. and in foreign countries and jurisdictions, along with compliance with applicable statutes and regulations and other regulatory authorities both pre- and post-commercialization, are a significant factor in the production and marketing of our products and our R&amp;D activities and require the expenditure of substantial time and financial resources.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Drugs in the United States</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U.S.,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applicant seeking approval to market and distribute a new drug in the U.S. must typically undertake the following:</w:t>
      </w:r>
    </w:p>
    <w:p>
      <w:pPr>
        <w:spacing w:after="0" w:line="225" w:lineRule="exact"/>
        <w:rPr>
          <w:sz w:val="20"/>
          <w:szCs w:val="20"/>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25" w:lineRule="exact"/>
        <w:rPr>
          <w:rFonts w:ascii="Arial" w:cs="Arial" w:eastAsia="Arial" w:hAnsi="Arial"/>
          <w:sz w:val="18"/>
          <w:szCs w:val="18"/>
          <w:color w:val="auto"/>
        </w:rPr>
      </w:pPr>
    </w:p>
    <w:p>
      <w:pPr>
        <w:ind w:right="20" w:firstLine="526"/>
        <w:spacing w:after="0" w:line="277" w:lineRule="auto"/>
        <w:tabs>
          <w:tab w:leader="none" w:pos="7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without FDA objection before human clinical trials may begin;</w:t>
      </w:r>
    </w:p>
    <w:p>
      <w:pPr>
        <w:spacing w:after="0" w:line="170" w:lineRule="exact"/>
        <w:rPr>
          <w:rFonts w:ascii="Arial" w:cs="Arial" w:eastAsia="Arial" w:hAnsi="Arial"/>
          <w:sz w:val="18"/>
          <w:szCs w:val="18"/>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each clinical trial may be initiated;</w:t>
      </w:r>
    </w:p>
    <w:p>
      <w:pPr>
        <w:spacing w:after="0" w:line="225" w:lineRule="exact"/>
        <w:rPr>
          <w:rFonts w:ascii="Arial" w:cs="Arial" w:eastAsia="Arial" w:hAnsi="Arial"/>
          <w:sz w:val="18"/>
          <w:szCs w:val="18"/>
          <w:color w:val="auto"/>
        </w:rPr>
      </w:pPr>
    </w:p>
    <w:p>
      <w:pPr>
        <w:ind w:right="800" w:firstLine="526"/>
        <w:spacing w:after="0" w:line="308" w:lineRule="auto"/>
        <w:tabs>
          <w:tab w:leader="none" w:pos="7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46" w:lineRule="exact"/>
        <w:rPr>
          <w:rFonts w:ascii="Arial" w:cs="Arial" w:eastAsia="Arial" w:hAnsi="Arial"/>
          <w:sz w:val="17"/>
          <w:szCs w:val="17"/>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left="780" w:hanging="254"/>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review of the NDA by an FDA advisory committee, where appropriate or if applicable,</w:t>
      </w:r>
    </w:p>
    <w:p>
      <w:pPr>
        <w:spacing w:after="0" w:line="225" w:lineRule="exact"/>
        <w:rPr>
          <w:rFonts w:ascii="Arial" w:cs="Arial" w:eastAsia="Arial" w:hAnsi="Arial"/>
          <w:sz w:val="18"/>
          <w:szCs w:val="18"/>
          <w:color w:val="auto"/>
        </w:rPr>
      </w:pPr>
    </w:p>
    <w:p>
      <w:pPr>
        <w:ind w:right="160" w:firstLine="526"/>
        <w:spacing w:after="0" w:line="286" w:lineRule="auto"/>
        <w:tabs>
          <w:tab w:leader="none" w:pos="7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65" w:lineRule="exact"/>
        <w:rPr>
          <w:rFonts w:ascii="Arial" w:cs="Arial" w:eastAsia="Arial" w:hAnsi="Arial"/>
          <w:sz w:val="17"/>
          <w:szCs w:val="17"/>
          <w:color w:val="auto"/>
        </w:rPr>
      </w:pPr>
    </w:p>
    <w:p>
      <w:pPr>
        <w:ind w:left="780" w:hanging="254"/>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user fees, as applicable, and securing FDA approval of the NDA; and</w:t>
      </w:r>
    </w:p>
    <w:p>
      <w:pPr>
        <w:spacing w:after="0" w:line="225" w:lineRule="exact"/>
        <w:rPr>
          <w:rFonts w:ascii="Arial" w:cs="Arial" w:eastAsia="Arial" w:hAnsi="Arial"/>
          <w:sz w:val="18"/>
          <w:szCs w:val="18"/>
          <w:color w:val="auto"/>
        </w:rPr>
      </w:pPr>
    </w:p>
    <w:p>
      <w:pPr>
        <w:ind w:right="540" w:firstLine="526"/>
        <w:spacing w:after="0" w:line="277" w:lineRule="auto"/>
        <w:tabs>
          <w:tab w:leader="none" w:pos="7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any post-approval requirements, such as any Risk Evaluation and Mitigation Strategies (“REMS”) or post-approval studies required by the FDA.</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 and an IND</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Preclinical studies can include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approval, to establish the overall risk-benefit profile of the product, and to provide adequate information for the labeling of the product.</w:t>
      </w:r>
    </w:p>
    <w:p>
      <w:pPr>
        <w:spacing w:after="0" w:line="225"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exceeding $2.3 million for fiscal year 2016, and the sponsor of an approved NDA is also subject to annual product and establishment user fees, currently exceeding $114,450 per product and $585,200 per establishment for fiscal year 2016. These fees are typically increased annually.</w:t>
      </w:r>
    </w:p>
    <w:p>
      <w:pPr>
        <w:spacing w:after="0" w:line="193"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Under certain circumstances, the FDA will waive the application fee for the first human drug application that a small business, defined as a company with less than 500 employees, or its affiliate, submits for review. An affiliate is defined as a business entity that has a relationship with a second business entity if one business entity controls, or has the power to control, the other business entity, or a third 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7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7" w:lineRule="exact"/>
        <w:rPr>
          <w:sz w:val="20"/>
          <w:szCs w:val="20"/>
          <w:color w:val="auto"/>
        </w:rPr>
      </w:pPr>
    </w:p>
    <w:p>
      <w:pPr>
        <w:ind w:right="640" w:firstLine="518"/>
        <w:spacing w:after="0" w:line="264" w:lineRule="auto"/>
        <w:rPr>
          <w:sz w:val="20"/>
          <w:szCs w:val="20"/>
          <w:color w:val="auto"/>
        </w:rPr>
      </w:pPr>
      <w:r>
        <w:rPr>
          <w:rFonts w:ascii="Arial" w:cs="Arial" w:eastAsia="Arial" w:hAnsi="Arial"/>
          <w:sz w:val="18"/>
          <w:szCs w:val="18"/>
          <w:color w:val="auto"/>
        </w:rPr>
        <w:t>The FDA also may require submission of an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20" w:firstLine="518"/>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9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6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Hatch-Waxman Patent Certification and the 30 Month Stay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 Products in the European Union</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our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9"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applications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93"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To obtain marketing approval of a drug under European Union regulatory systems, an applicant must submit a marketing authorization application (MAA) either under a centralized or decentralized procedure.</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7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the centralized procedure, the Committee for Medicinal Products for Human Use (CHMP) established at the European Medicines Agency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7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decentralized procedure is available to applicants who wish to market a product in various European Union member states where such product has not received marketing approval in any European Union member states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180" w:firstLine="518"/>
        <w:spacing w:after="0" w:line="264" w:lineRule="auto"/>
        <w:rPr>
          <w:sz w:val="20"/>
          <w:szCs w:val="20"/>
          <w:color w:val="auto"/>
        </w:rPr>
      </w:pPr>
      <w:r>
        <w:rPr>
          <w:rFonts w:ascii="Arial" w:cs="Arial" w:eastAsia="Arial" w:hAnsi="Arial"/>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firstLine="518"/>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Healthcare Laws and Regulation</w:t>
      </w:r>
    </w:p>
    <w:p>
      <w:pPr>
        <w:spacing w:after="0" w:line="12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Healthcare providers, physicians and third-party payors will play a primary role in the recommendation and prescription of drug products that are granted marketing approval. Arrangements with third-party payors and customers are subject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1040" w:right="40" w:hanging="384"/>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040" w:right="20" w:hanging="384"/>
        <w:spacing w:after="0" w:line="286"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Foreign Corrupt Practices Act (FCPA) prohibits, among other things, U.S. corporations and their persons acting on their behalf from offering, promising, authorizing or making payments to any foreign government official, including certain healthcare professionals in many countries, in an attempt to obtain or retain business or otherwise seek preferential treatment abroad;</w:t>
      </w:r>
    </w:p>
    <w:p>
      <w:pPr>
        <w:spacing w:after="0" w:line="57" w:lineRule="exact"/>
        <w:rPr>
          <w:rFonts w:ascii="Arial" w:cs="Arial" w:eastAsia="Arial" w:hAnsi="Arial"/>
          <w:sz w:val="17"/>
          <w:szCs w:val="17"/>
          <w:color w:val="auto"/>
        </w:rPr>
      </w:pPr>
    </w:p>
    <w:p>
      <w:pPr>
        <w:ind w:left="1040" w:right="140" w:hanging="384"/>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78"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right="60" w:hanging="384"/>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right="560" w:hanging="384"/>
        <w:spacing w:after="0" w:line="308"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260" w:hanging="384"/>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Physician Payment Sunshine Act requires manufacturers of drugs, devices, biologics and medical supplies to report to the Department of Health and Human Services information related to payments and other transfers of value to physicians and teaching hospitals and physician ownership and investment interests; and</w:t>
      </w:r>
    </w:p>
    <w:p>
      <w:pPr>
        <w:spacing w:after="0" w:line="73" w:lineRule="exact"/>
        <w:rPr>
          <w:rFonts w:ascii="Arial" w:cs="Arial" w:eastAsia="Arial" w:hAnsi="Arial"/>
          <w:sz w:val="18"/>
          <w:szCs w:val="18"/>
          <w:color w:val="auto"/>
        </w:rPr>
      </w:pPr>
    </w:p>
    <w:p>
      <w:pPr>
        <w:ind w:left="1040" w:right="100" w:hanging="384"/>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Financial Information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information required in this Item 1 is included in Part II, Item 6 and Part IV, Item 15 of this Annual Report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Arrowhead was originally incorporated in South Dakota in 1989, and was reincorporated in Delaware in 2000. The Company’s principal executive offices are located at 225 South Lake Avenue, Suite 1050, Pasadena, California 91101, and its telephone number is (626) 304-3400. We also operate a research and development facility in Madison, Wisconsin. As of September 30, 2015, Arrowhead had 104 full-time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Information</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 xml:space="preserve">Our internet website address is </w:t>
      </w:r>
      <w:r>
        <w:rPr>
          <w:rFonts w:ascii="Arial" w:cs="Arial" w:eastAsia="Arial" w:hAnsi="Arial"/>
          <w:sz w:val="16"/>
          <w:szCs w:val="16"/>
          <w:u w:val="single" w:color="auto"/>
          <w:color w:val="auto"/>
        </w:rPr>
        <w:t>http://www.arrowheadresearch.com</w:t>
      </w:r>
      <w:r>
        <w:rPr>
          <w:rFonts w:ascii="Arial" w:cs="Arial" w:eastAsia="Arial" w:hAnsi="Arial"/>
          <w:sz w:val="16"/>
          <w:szCs w:val="16"/>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5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Arrowhead and other issuers that file electronically with the SEC. The SEC’s Internet website address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88"/>
        <w:spacing w:after="0" w:line="257" w:lineRule="auto"/>
        <w:rPr>
          <w:sz w:val="20"/>
          <w:szCs w:val="20"/>
          <w:color w:val="auto"/>
        </w:rPr>
      </w:pPr>
      <w:r>
        <w:rPr>
          <w:rFonts w:ascii="Arial" w:cs="Arial" w:eastAsia="Arial" w:hAnsi="Arial"/>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117" w:lineRule="exact"/>
        <w:rPr>
          <w:sz w:val="20"/>
          <w:szCs w:val="20"/>
          <w:color w:val="auto"/>
        </w:rPr>
      </w:pPr>
    </w:p>
    <w:p>
      <w:pPr>
        <w:ind w:right="140" w:firstLine="588"/>
        <w:spacing w:after="0" w:line="308" w:lineRule="auto"/>
        <w:rPr>
          <w:sz w:val="20"/>
          <w:szCs w:val="20"/>
          <w:color w:val="auto"/>
        </w:rPr>
      </w:pPr>
      <w:r>
        <w:rPr>
          <w:rFonts w:ascii="Arial" w:cs="Arial" w:eastAsia="Arial" w:hAnsi="Arial"/>
          <w:sz w:val="17"/>
          <w:szCs w:val="17"/>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38"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373" w:lineRule="exact"/>
        <w:rPr>
          <w:rFonts w:ascii="Arial" w:cs="Arial" w:eastAsia="Arial" w:hAnsi="Arial"/>
          <w:sz w:val="18"/>
          <w:szCs w:val="18"/>
          <w:color w:val="auto"/>
        </w:rPr>
      </w:pPr>
    </w:p>
    <w:p>
      <w:pPr>
        <w:ind w:left="380" w:right="180" w:hanging="372"/>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necessary regulatory bodies, such as the U.S. Food and Drug Administration, may not approve our potential product for the intended use, or at all; and</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pacing w:after="0" w:line="225" w:lineRule="exact"/>
        <w:rPr>
          <w:sz w:val="20"/>
          <w:szCs w:val="20"/>
          <w:color w:val="auto"/>
        </w:rPr>
      </w:pPr>
    </w:p>
    <w:p>
      <w:pPr>
        <w:jc w:val="both"/>
        <w:ind w:right="300" w:firstLine="588"/>
        <w:spacing w:after="0" w:line="288" w:lineRule="auto"/>
        <w:rPr>
          <w:sz w:val="20"/>
          <w:szCs w:val="20"/>
          <w:color w:val="auto"/>
        </w:rPr>
      </w:pPr>
      <w:r>
        <w:rPr>
          <w:rFonts w:ascii="Arial" w:cs="Arial" w:eastAsia="Arial" w:hAnsi="Arial"/>
          <w:sz w:val="16"/>
          <w:szCs w:val="16"/>
          <w:color w:val="auto"/>
        </w:rPr>
        <w:t>For example, the positive pre-clinical results in animals for ARC-520, ARC-AAT, and our other programs may not be replicated in human clinical studies. These programs may be also found to be unsafe in humans, particularly at higher doses needed to achieve the desired levels of efficacy. Also, the positive safety results for ARC-520 from single dose human clinical studies may not be replicated in other human studies, including multiple dose studies.</w:t>
      </w:r>
    </w:p>
    <w:p>
      <w:pPr>
        <w:ind w:right="20"/>
        <w:spacing w:after="0" w:line="252" w:lineRule="auto"/>
        <w:rPr>
          <w:sz w:val="20"/>
          <w:szCs w:val="20"/>
          <w:color w:val="auto"/>
        </w:rPr>
      </w:pPr>
      <w:r>
        <w:rPr>
          <w:rFonts w:ascii="Arial" w:cs="Arial" w:eastAsia="Arial" w:hAnsi="Arial"/>
          <w:sz w:val="18"/>
          <w:szCs w:val="18"/>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as a result, we may not be able to successfully develop products for commercial use.</w:t>
      </w:r>
    </w:p>
    <w:p>
      <w:pPr>
        <w:spacing w:after="0" w:line="62" w:lineRule="exact"/>
        <w:rPr>
          <w:sz w:val="20"/>
          <w:szCs w:val="20"/>
          <w:color w:val="auto"/>
        </w:rPr>
      </w:pPr>
    </w:p>
    <w:p>
      <w:pPr>
        <w:ind w:right="60" w:firstLine="588"/>
        <w:spacing w:after="0" w:line="287" w:lineRule="auto"/>
        <w:rPr>
          <w:sz w:val="20"/>
          <w:szCs w:val="20"/>
          <w:color w:val="auto"/>
        </w:rPr>
      </w:pPr>
      <w:r>
        <w:rPr>
          <w:rFonts w:ascii="Arial" w:cs="Arial" w:eastAsia="Arial" w:hAnsi="Arial"/>
          <w:sz w:val="16"/>
          <w:szCs w:val="16"/>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including ARC-520, are not proven. For instance, the theory that knockdown of S-antigen in chronic hepatitis B patients will result in a functional cure is unproven. Thus, even if ARC-520 is successful at reducing S-antigen levels in patients, it may not be a commercially viable drug if there is not a corresponding medical benefit related to the underlying Hepatitis B infection. Similarly, if ARC-AAT successfully reduces the production of mutant alpha-1 antitrypsin in the liver, it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drug candidates are in the early stages of development and because we have a short development history with both RNA interference and our delivery technologies, there is a limited amount of information about us upon which you can evaluate our business and prospects.</w:t>
      </w:r>
    </w:p>
    <w:p>
      <w:pPr>
        <w:spacing w:after="0" w:line="38" w:lineRule="exact"/>
        <w:rPr>
          <w:sz w:val="20"/>
          <w:szCs w:val="20"/>
          <w:color w:val="auto"/>
        </w:rPr>
      </w:pPr>
    </w:p>
    <w:p>
      <w:pPr>
        <w:ind w:right="220" w:firstLine="588"/>
        <w:spacing w:after="0" w:line="264" w:lineRule="auto"/>
        <w:rPr>
          <w:sz w:val="20"/>
          <w:szCs w:val="20"/>
          <w:color w:val="auto"/>
        </w:rPr>
      </w:pPr>
      <w:r>
        <w:rPr>
          <w:rFonts w:ascii="Arial" w:cs="Arial" w:eastAsia="Arial" w:hAnsi="Arial"/>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 at an early stage of development. Thus, we have limited experience and have not yet demonstrated an ability to successfully overcome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many of the risks and uncertainties frequently encountered by companies in new and rapidly evolving fields, particularly in the biopharmaceutical area. For example, to execute our business plan, we will need to successfully:</w:t>
      </w:r>
    </w:p>
    <w:p>
      <w:pPr>
        <w:spacing w:after="0" w:line="6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Execute product development activities using unproven technologies;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safety and efficacy of our drug candidates in multiple human clinical studies;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FDA approval and approval from similar foreign regulatory bodies;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 market acceptance for the development and commercialization of any drugs we develop;</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our products are reimbursed by commercial and/or government payors at a rate that permits commercial viability;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with suppliers, distributors, and commercial licensing partners; and</w:t>
      </w:r>
    </w:p>
    <w:p>
      <w:pPr>
        <w:spacing w:after="0" w:line="360" w:lineRule="exact"/>
        <w:rPr>
          <w:rFonts w:ascii="Arial" w:cs="Arial" w:eastAsia="Arial" w:hAnsi="Arial"/>
          <w:sz w:val="18"/>
          <w:szCs w:val="18"/>
          <w:color w:val="auto"/>
        </w:rPr>
      </w:pPr>
    </w:p>
    <w:p>
      <w:pPr>
        <w:ind w:left="380" w:right="260" w:hanging="372"/>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will increase in the near term if we add programs and additional preclinical and clinical trials.</w:t>
      </w:r>
    </w:p>
    <w:p>
      <w:pPr>
        <w:spacing w:after="0" w:line="170" w:lineRule="exact"/>
        <w:rPr>
          <w:sz w:val="20"/>
          <w:szCs w:val="20"/>
          <w:color w:val="auto"/>
        </w:rPr>
      </w:pPr>
    </w:p>
    <w:p>
      <w:pPr>
        <w:ind w:right="80" w:firstLine="58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products, raise capital, expand our business or continue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revenue-generating collaborations with other pharmaceutical and biotech companies to advance our drug candidates.</w:t>
      </w:r>
    </w:p>
    <w:p>
      <w:pPr>
        <w:spacing w:after="0" w:line="140" w:lineRule="exact"/>
        <w:rPr>
          <w:sz w:val="20"/>
          <w:szCs w:val="20"/>
          <w:color w:val="auto"/>
        </w:rPr>
      </w:pPr>
    </w:p>
    <w:p>
      <w:pPr>
        <w:ind w:right="60" w:firstLine="588"/>
        <w:spacing w:after="0" w:line="297" w:lineRule="auto"/>
        <w:rPr>
          <w:sz w:val="20"/>
          <w:szCs w:val="20"/>
          <w:color w:val="auto"/>
        </w:rPr>
      </w:pPr>
      <w:r>
        <w:rPr>
          <w:rFonts w:ascii="Arial" w:cs="Arial" w:eastAsia="Arial" w:hAnsi="Arial"/>
          <w:sz w:val="16"/>
          <w:szCs w:val="16"/>
          <w:color w:val="auto"/>
        </w:rPr>
        <w:t>Our business strategy includes obtaining collaborations with other pharmaceutical and biotech companies to support the development of our therapeutic siRNA and other drug candidates.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are unable to enter into any of these agreements on commercially attractive terms, we may be unable to develop certain programs due to a limited availability of resources, and we may need to raise additional capital, which could be dilutive to our existing investors.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drug candidates to generate revenues and achieve profitability.</w:t>
      </w:r>
    </w:p>
    <w:p>
      <w:pPr>
        <w:spacing w:after="0" w:line="117" w:lineRule="exact"/>
        <w:rPr>
          <w:sz w:val="20"/>
          <w:szCs w:val="20"/>
          <w:color w:val="auto"/>
        </w:rPr>
      </w:pPr>
    </w:p>
    <w:p>
      <w:pPr>
        <w:ind w:firstLine="588"/>
        <w:spacing w:after="0" w:line="270" w:lineRule="auto"/>
        <w:rPr>
          <w:sz w:val="20"/>
          <w:szCs w:val="20"/>
          <w:color w:val="auto"/>
        </w:rPr>
      </w:pPr>
      <w:r>
        <w:rPr>
          <w:rFonts w:ascii="Arial" w:cs="Arial" w:eastAsia="Arial" w:hAnsi="Arial"/>
          <w:sz w:val="17"/>
          <w:szCs w:val="17"/>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178" w:lineRule="exact"/>
        <w:rPr>
          <w:sz w:val="20"/>
          <w:szCs w:val="20"/>
          <w:color w:val="auto"/>
        </w:rPr>
      </w:pPr>
    </w:p>
    <w:p>
      <w:pPr>
        <w:ind w:right="360" w:firstLine="588"/>
        <w:spacing w:after="0" w:line="257" w:lineRule="auto"/>
        <w:rPr>
          <w:sz w:val="20"/>
          <w:szCs w:val="20"/>
          <w:color w:val="auto"/>
        </w:rPr>
      </w:pPr>
      <w:r>
        <w:rPr>
          <w:rFonts w:ascii="Arial" w:cs="Arial" w:eastAsia="Arial" w:hAnsi="Arial"/>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expect to continue to incur net losses and may not achieve or maintain profitability.</w:t>
      </w:r>
    </w:p>
    <w:p>
      <w:pPr>
        <w:spacing w:after="0" w:line="117" w:lineRule="exact"/>
        <w:rPr>
          <w:sz w:val="20"/>
          <w:szCs w:val="20"/>
          <w:color w:val="auto"/>
        </w:rPr>
      </w:pPr>
    </w:p>
    <w:p>
      <w:pPr>
        <w:ind w:right="20" w:firstLine="588"/>
        <w:spacing w:after="0" w:line="297" w:lineRule="auto"/>
        <w:rPr>
          <w:sz w:val="20"/>
          <w:szCs w:val="20"/>
          <w:color w:val="auto"/>
        </w:rPr>
      </w:pPr>
      <w:r>
        <w:rPr>
          <w:rFonts w:ascii="Arial" w:cs="Arial" w:eastAsia="Arial" w:hAnsi="Arial"/>
          <w:sz w:val="16"/>
          <w:szCs w:val="16"/>
          <w:color w:val="auto"/>
        </w:rPr>
        <w:t>We have incurred net losses since our inception, including net losses of $91.9 million for the year ended September 30, 2015.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w:t>
      </w:r>
    </w:p>
    <w:p>
      <w:pPr>
        <w:sectPr>
          <w:pgSz w:w="11900" w:h="16838" w:orient="portrait"/>
          <w:cols w:equalWidth="0" w:num="1">
            <w:col w:w="11360"/>
          </w:cols>
          <w:pgMar w:left="240" w:top="233" w:right="2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39" w:name="page40"/>
    <w:bookmarkEnd w:id="39"/>
    <w:p>
      <w:pPr>
        <w:ind w:left="600"/>
        <w:spacing w:after="0"/>
        <w:rPr>
          <w:sz w:val="20"/>
          <w:szCs w:val="20"/>
          <w:color w:val="auto"/>
        </w:rPr>
      </w:pPr>
      <w:r>
        <w:rPr>
          <w:rFonts w:ascii="Arial" w:cs="Arial" w:eastAsia="Arial" w:hAnsi="Arial"/>
          <w:sz w:val="17"/>
          <w:szCs w:val="17"/>
          <w:color w:val="auto"/>
        </w:rPr>
        <w:t>Accordingly, we may never generate significant revenue and, even if we do generate significant revenue, we may never achieve profitability.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funds to complete our research and development activities.</w:t>
      </w:r>
    </w:p>
    <w:p>
      <w:pPr>
        <w:spacing w:after="0" w:line="117" w:lineRule="exact"/>
        <w:rPr>
          <w:sz w:val="20"/>
          <w:szCs w:val="20"/>
          <w:color w:val="auto"/>
        </w:rPr>
      </w:pPr>
    </w:p>
    <w:p>
      <w:pPr>
        <w:ind w:right="120" w:firstLine="588"/>
        <w:spacing w:after="0" w:line="342" w:lineRule="auto"/>
        <w:rPr>
          <w:sz w:val="20"/>
          <w:szCs w:val="20"/>
          <w:color w:val="auto"/>
        </w:rPr>
      </w:pPr>
      <w:r>
        <w:rPr>
          <w:rFonts w:ascii="Arial" w:cs="Arial" w:eastAsia="Arial" w:hAnsi="Arial"/>
          <w:sz w:val="16"/>
          <w:szCs w:val="16"/>
          <w:color w:val="auto"/>
        </w:rPr>
        <w:t>Our business currently does not generate the cash that is necessary to finance our operations. Subject to the success of the research and development programs of our company and our partners, and potential licensing or partnering transactions, we will likely need to raise additional capital to:</w:t>
      </w:r>
    </w:p>
    <w:p>
      <w:pPr>
        <w:spacing w:after="0" w:line="16" w:lineRule="exact"/>
        <w:rPr>
          <w:sz w:val="20"/>
          <w:szCs w:val="20"/>
          <w:color w:val="auto"/>
        </w:rPr>
      </w:pPr>
    </w:p>
    <w:p>
      <w:pPr>
        <w:ind w:left="380" w:right="10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our general and administrative infrastructure and activities;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Pursue business development opportunities for our technologies;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to and protect our intellectual property;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our management and technical staff.</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needs depend on many factors, including:</w:t>
      </w:r>
    </w:p>
    <w:p>
      <w:pPr>
        <w:spacing w:after="0" w:line="117"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duration and expenditures associated with our research and development;</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requirements for our clinical trials;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our R&amp;D and clinical efforts are successful;</w:t>
      </w:r>
    </w:p>
    <w:p>
      <w:pPr>
        <w:spacing w:after="0" w:line="36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potential partnering or licensing transactions, if any, and the extent to which our business development efforts result in the acquisition of new programs or technologies;</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Competing technological developments;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intellectual property positions, if any, in our products;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regulatory approval process and regulatory standards for our drug candidates.</w:t>
      </w:r>
    </w:p>
    <w:p>
      <w:pPr>
        <w:spacing w:after="0" w:line="225" w:lineRule="exact"/>
        <w:rPr>
          <w:sz w:val="20"/>
          <w:szCs w:val="20"/>
          <w:color w:val="auto"/>
        </w:rPr>
      </w:pPr>
    </w:p>
    <w:p>
      <w:pPr>
        <w:ind w:right="60" w:firstLine="588"/>
        <w:spacing w:after="0" w:line="288" w:lineRule="auto"/>
        <w:rPr>
          <w:sz w:val="20"/>
          <w:szCs w:val="20"/>
          <w:color w:val="auto"/>
        </w:rPr>
      </w:pPr>
      <w:r>
        <w:rPr>
          <w:rFonts w:ascii="Arial" w:cs="Arial" w:eastAsia="Arial" w:hAnsi="Arial"/>
          <w:sz w:val="16"/>
          <w:szCs w:val="16"/>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62" w:lineRule="exact"/>
        <w:rPr>
          <w:sz w:val="20"/>
          <w:szCs w:val="20"/>
          <w:color w:val="auto"/>
        </w:rPr>
      </w:pPr>
    </w:p>
    <w:p>
      <w:pPr>
        <w:ind w:right="40" w:firstLine="588"/>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62" w:lineRule="exact"/>
        <w:rPr>
          <w:sz w:val="20"/>
          <w:szCs w:val="20"/>
          <w:color w:val="auto"/>
        </w:rPr>
      </w:pPr>
    </w:p>
    <w:p>
      <w:pPr>
        <w:ind w:right="140" w:firstLine="588"/>
        <w:spacing w:after="0" w:line="264" w:lineRule="auto"/>
        <w:rPr>
          <w:sz w:val="20"/>
          <w:szCs w:val="20"/>
          <w:color w:val="auto"/>
        </w:rPr>
      </w:pPr>
      <w:r>
        <w:rPr>
          <w:rFonts w:ascii="Arial" w:cs="Arial" w:eastAsia="Arial" w:hAnsi="Arial"/>
          <w:sz w:val="18"/>
          <w:szCs w:val="18"/>
          <w:color w:val="auto"/>
        </w:rPr>
        <w:t>At September 30, 2015, we had $17.5 million in fixed income marketable securities. These investments are in corporate bonds nearing maturity, but our investments may also include commercial paper, securities issued by the U.S. government obligations, certificates of deposit and money market funds meeting the criteria of our investment policy, which is focused on the preservation of</w:t>
      </w:r>
    </w:p>
    <w:p>
      <w:pPr>
        <w:sectPr>
          <w:pgSz w:w="11900" w:h="16838" w:orient="portrait"/>
          <w:cols w:equalWidth="0" w:num="1">
            <w:col w:w="11400"/>
          </w:cols>
          <w:pgMar w:left="240" w:top="125"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40" w:name="page41"/>
    <w:bookmarkEnd w:id="40"/>
    <w:p>
      <w:pPr>
        <w:ind w:right="80"/>
        <w:spacing w:after="0" w:line="302" w:lineRule="auto"/>
        <w:rPr>
          <w:sz w:val="20"/>
          <w:szCs w:val="20"/>
          <w:color w:val="auto"/>
        </w:rPr>
      </w:pPr>
      <w:r>
        <w:rPr>
          <w:rFonts w:ascii="Arial" w:cs="Arial" w:eastAsia="Arial" w:hAnsi="Arial"/>
          <w:sz w:val="16"/>
          <w:szCs w:val="16"/>
          <w:color w:val="auto"/>
        </w:rPr>
        <w:t>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companies or investors.</w:t>
      </w:r>
    </w:p>
    <w:p>
      <w:pPr>
        <w:spacing w:after="0" w:line="117"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our drug candidates and market any approved products.</w:t>
      </w:r>
    </w:p>
    <w:p>
      <w:pPr>
        <w:spacing w:after="0" w:line="62" w:lineRule="exact"/>
        <w:rPr>
          <w:sz w:val="20"/>
          <w:szCs w:val="20"/>
          <w:color w:val="auto"/>
        </w:rPr>
      </w:pPr>
    </w:p>
    <w:p>
      <w:pPr>
        <w:ind w:right="40" w:firstLine="588"/>
        <w:spacing w:after="0" w:line="272" w:lineRule="auto"/>
        <w:rPr>
          <w:sz w:val="20"/>
          <w:szCs w:val="20"/>
          <w:color w:val="auto"/>
        </w:rPr>
      </w:pPr>
      <w:r>
        <w:rPr>
          <w:rFonts w:ascii="Arial" w:cs="Arial" w:eastAsia="Arial" w:hAnsi="Arial"/>
          <w:sz w:val="17"/>
          <w:szCs w:val="17"/>
          <w:color w:val="auto"/>
        </w:rPr>
        <w:t>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 the event we pursue our commercialization strategy through collaboration or licenses to third parties, there are a variety of technical, business and legal risks, including:</w:t>
      </w:r>
    </w:p>
    <w:p>
      <w:pPr>
        <w:spacing w:after="0" w:line="110" w:lineRule="exact"/>
        <w:rPr>
          <w:sz w:val="20"/>
          <w:szCs w:val="20"/>
          <w:color w:val="auto"/>
        </w:rPr>
      </w:pPr>
    </w:p>
    <w:p>
      <w:pPr>
        <w:ind w:left="380" w:right="70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305" w:lineRule="exact"/>
        <w:rPr>
          <w:rFonts w:ascii="Arial" w:cs="Arial" w:eastAsia="Arial" w:hAnsi="Arial"/>
          <w:sz w:val="18"/>
          <w:szCs w:val="18"/>
          <w:color w:val="auto"/>
        </w:rPr>
      </w:pPr>
    </w:p>
    <w:p>
      <w:pPr>
        <w:ind w:left="380" w:right="34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70" w:lineRule="exact"/>
        <w:rPr>
          <w:sz w:val="20"/>
          <w:szCs w:val="20"/>
          <w:color w:val="auto"/>
        </w:rPr>
      </w:pPr>
    </w:p>
    <w:p>
      <w:pPr>
        <w:ind w:right="200" w:firstLine="588"/>
        <w:spacing w:after="0" w:line="277" w:lineRule="auto"/>
        <w:rPr>
          <w:sz w:val="20"/>
          <w:szCs w:val="20"/>
          <w:color w:val="auto"/>
        </w:rPr>
      </w:pPr>
      <w:r>
        <w:rPr>
          <w:rFonts w:ascii="Arial" w:cs="Arial" w:eastAsia="Arial" w:hAnsi="Arial"/>
          <w:sz w:val="18"/>
          <w:szCs w:val="18"/>
          <w:color w:val="auto"/>
        </w:rPr>
        <w:t>The occurrence of any of the above events or other related events could impair our ability to generate revenues and harm our business and financial condition.</w:t>
      </w:r>
    </w:p>
    <w:p>
      <w:pPr>
        <w:spacing w:after="0" w:line="279"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38" w:lineRule="exact"/>
        <w:rPr>
          <w:sz w:val="20"/>
          <w:szCs w:val="20"/>
          <w:color w:val="auto"/>
        </w:rPr>
      </w:pPr>
    </w:p>
    <w:p>
      <w:pPr>
        <w:jc w:val="both"/>
        <w:ind w:right="520" w:firstLine="588"/>
        <w:spacing w:after="0" w:line="264" w:lineRule="auto"/>
        <w:rPr>
          <w:sz w:val="20"/>
          <w:szCs w:val="20"/>
          <w:color w:val="auto"/>
        </w:rPr>
      </w:pPr>
      <w:r>
        <w:rPr>
          <w:rFonts w:ascii="Arial" w:cs="Arial" w:eastAsia="Arial" w:hAnsi="Arial"/>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17" w:lineRule="exact"/>
        <w:rPr>
          <w:sz w:val="20"/>
          <w:szCs w:val="20"/>
          <w:color w:val="auto"/>
        </w:rPr>
      </w:pPr>
    </w:p>
    <w:p>
      <w:pPr>
        <w:ind w:right="20" w:firstLine="588"/>
        <w:spacing w:after="0" w:line="293" w:lineRule="auto"/>
        <w:rPr>
          <w:sz w:val="20"/>
          <w:szCs w:val="20"/>
          <w:color w:val="auto"/>
        </w:rPr>
      </w:pPr>
      <w:r>
        <w:rPr>
          <w:rFonts w:ascii="Arial" w:cs="Arial" w:eastAsia="Arial" w:hAnsi="Arial"/>
          <w:sz w:val="16"/>
          <w:szCs w:val="16"/>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35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16" w:lineRule="exact"/>
        <w:rPr>
          <w:sz w:val="20"/>
          <w:szCs w:val="20"/>
          <w:color w:val="auto"/>
        </w:rPr>
      </w:pPr>
    </w:p>
    <w:p>
      <w:pPr>
        <w:ind w:right="480" w:firstLine="588"/>
        <w:spacing w:after="0" w:line="277" w:lineRule="auto"/>
        <w:rPr>
          <w:sz w:val="20"/>
          <w:szCs w:val="20"/>
          <w:color w:val="auto"/>
        </w:rPr>
      </w:pPr>
      <w:r>
        <w:rPr>
          <w:rFonts w:ascii="Arial" w:cs="Arial" w:eastAsia="Arial" w:hAnsi="Arial"/>
          <w:sz w:val="18"/>
          <w:szCs w:val="18"/>
          <w:color w:val="auto"/>
        </w:rPr>
        <w:t>We have limited manufacturing capabilities and experience. ARC-520 and our other drug candidates are composed of multiple components and require specialized formulations for which scale-up and manufacturing could be difficult. We have limited experience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jc w:val="both"/>
        <w:ind w:right="120"/>
        <w:spacing w:after="0" w:line="286" w:lineRule="auto"/>
        <w:rPr>
          <w:sz w:val="20"/>
          <w:szCs w:val="20"/>
          <w:color w:val="auto"/>
        </w:rPr>
      </w:pPr>
      <w:r>
        <w:rPr>
          <w:rFonts w:ascii="Arial" w:cs="Arial" w:eastAsia="Arial" w:hAnsi="Arial"/>
          <w:sz w:val="16"/>
          <w:szCs w:val="16"/>
          <w:color w:val="auto"/>
        </w:rPr>
        <w:t xml:space="preserve">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manufacturing capabilities are limited to small-scale production of material for use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experiments that is not required to be produced under cGMP standards. There are a limited number of manufacturers that supply synthetic siRNAs.</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55" w:lineRule="exact"/>
        <w:rPr>
          <w:sz w:val="20"/>
          <w:szCs w:val="20"/>
          <w:color w:val="auto"/>
        </w:rPr>
      </w:pPr>
    </w:p>
    <w:p>
      <w:pPr>
        <w:ind w:firstLine="588"/>
        <w:spacing w:after="0" w:line="270" w:lineRule="auto"/>
        <w:rPr>
          <w:sz w:val="20"/>
          <w:szCs w:val="20"/>
          <w:color w:val="auto"/>
        </w:rPr>
      </w:pPr>
      <w:r>
        <w:rPr>
          <w:rFonts w:ascii="Arial" w:cs="Arial" w:eastAsia="Arial" w:hAnsi="Arial"/>
          <w:sz w:val="17"/>
          <w:szCs w:val="17"/>
          <w:color w:val="auto"/>
        </w:rPr>
        <w:t>Additionally, our product candidates have not yet been manufactured for commercial use. If any of our product candidates become approved for commercial sale, we will need to establish third-party manufacturing capacity. A third-party manufacturing partner may require us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78" w:lineRule="exact"/>
        <w:rPr>
          <w:sz w:val="20"/>
          <w:szCs w:val="20"/>
          <w:color w:val="auto"/>
        </w:rPr>
      </w:pPr>
    </w:p>
    <w:p>
      <w:pPr>
        <w:ind w:right="80" w:firstLine="588"/>
        <w:spacing w:after="0" w:line="291" w:lineRule="auto"/>
        <w:rPr>
          <w:sz w:val="20"/>
          <w:szCs w:val="20"/>
          <w:color w:val="auto"/>
        </w:rPr>
      </w:pPr>
      <w:r>
        <w:rPr>
          <w:rFonts w:ascii="Arial" w:cs="Arial" w:eastAsia="Arial" w:hAnsi="Arial"/>
          <w:sz w:val="16"/>
          <w:szCs w:val="16"/>
          <w:color w:val="auto"/>
        </w:rPr>
        <w:t>Manufacturers of our approved products, if any, must comply with cGMP requirements enforced by the FDA and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to conduct our clinical trials, and if they fail to fulfill their obligations, our development plans may be adversely affected.</w:t>
      </w:r>
    </w:p>
    <w:p>
      <w:pPr>
        <w:spacing w:after="0" w:line="140" w:lineRule="exact"/>
        <w:rPr>
          <w:sz w:val="20"/>
          <w:szCs w:val="20"/>
          <w:color w:val="auto"/>
        </w:rPr>
      </w:pPr>
    </w:p>
    <w:p>
      <w:pPr>
        <w:ind w:right="60" w:firstLine="588"/>
        <w:spacing w:after="0" w:line="254" w:lineRule="auto"/>
        <w:rPr>
          <w:sz w:val="20"/>
          <w:szCs w:val="20"/>
          <w:color w:val="auto"/>
        </w:rPr>
      </w:pPr>
      <w:r>
        <w:rPr>
          <w:rFonts w:ascii="Arial" w:cs="Arial" w:eastAsia="Arial" w:hAnsi="Arial"/>
          <w:sz w:val="18"/>
          <w:szCs w:val="18"/>
          <w:color w:val="auto"/>
        </w:rPr>
        <w:t>We rely on independent clinical investigators, contract research organizations and other third-party service providers to assist us in managing, monitoring and otherwise carrying out our clinical trials. We have contracted with, and we plan to continue to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third-party service providers cannot adequately and timely fulfill their obligations to us, or if the quality and accuracy of our clinical trial data is compromised due to failure by such third-parties to adhere to our protocols or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17" w:lineRule="exact"/>
        <w:rPr>
          <w:sz w:val="20"/>
          <w:szCs w:val="20"/>
          <w:color w:val="auto"/>
        </w:rPr>
      </w:pPr>
    </w:p>
    <w:p>
      <w:pPr>
        <w:ind w:firstLine="588"/>
        <w:spacing w:after="0" w:line="257" w:lineRule="auto"/>
        <w:rPr>
          <w:sz w:val="20"/>
          <w:szCs w:val="20"/>
          <w:color w:val="auto"/>
        </w:rPr>
      </w:pPr>
      <w:r>
        <w:rPr>
          <w:rFonts w:ascii="Arial" w:cs="Arial" w:eastAsia="Arial" w:hAnsi="Arial"/>
          <w:sz w:val="18"/>
          <w:szCs w:val="18"/>
          <w:color w:val="auto"/>
        </w:rPr>
        <w:t>Our future success depends to a significant extent on the continued services of our key employees, including our senior scientific, technical and managerial personnel. We do not maintain key man life insurance for any of our executives and we do not maintain employment agreements with most senior officers or employees. Competition for qualified employees in the pharmaceutical industry is high, and our ability to execute our strategy also will depend on our ability to continue to attract and retain qualified scientists and management. If we are unable to find, hire and retain qualified individuals, we will have difficulty implementing our business plan in a timely manner, or at all.</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42" w:name="page43"/>
    <w:bookmarkEnd w:id="42"/>
    <w:p>
      <w:pPr>
        <w:ind w:firstLine="588"/>
        <w:spacing w:after="0" w:line="291" w:lineRule="auto"/>
        <w:rPr>
          <w:sz w:val="20"/>
          <w:szCs w:val="20"/>
          <w:color w:val="auto"/>
        </w:rPr>
      </w:pPr>
      <w:r>
        <w:rPr>
          <w:rFonts w:ascii="Arial" w:cs="Arial" w:eastAsia="Arial" w:hAnsi="Arial"/>
          <w:sz w:val="16"/>
          <w:szCs w:val="16"/>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information technology system failures.</w:t>
      </w:r>
    </w:p>
    <w:p>
      <w:pPr>
        <w:spacing w:after="0" w:line="117" w:lineRule="exact"/>
        <w:rPr>
          <w:sz w:val="20"/>
          <w:szCs w:val="20"/>
          <w:color w:val="auto"/>
        </w:rPr>
      </w:pPr>
    </w:p>
    <w:p>
      <w:pPr>
        <w:ind w:right="80" w:firstLine="588"/>
        <w:spacing w:after="0" w:line="273" w:lineRule="auto"/>
        <w:rPr>
          <w:sz w:val="20"/>
          <w:szCs w:val="20"/>
          <w:color w:val="auto"/>
        </w:rPr>
      </w:pPr>
      <w:r>
        <w:rPr>
          <w:rFonts w:ascii="Arial" w:cs="Arial" w:eastAsia="Arial" w:hAnsi="Arial"/>
          <w:sz w:val="17"/>
          <w:szCs w:val="17"/>
          <w:color w:val="auto"/>
        </w:rPr>
        <w:t>Our internal computer systems and those of our contractors and consultants are vulnerable to damage from computer viruses, unauthorized access,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proprietary or private information, we could incur liability, we could lose valuable trade secret rights, and the development of our product candidates could be delayed.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our product candidates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manufacture and sale of human therapeutic products are governed by a variety of statutes and regulations. There can be no assurance that our product candidates will obtain regulatory approval.</w:t>
      </w:r>
    </w:p>
    <w:p>
      <w:pPr>
        <w:spacing w:after="0" w:line="62" w:lineRule="exact"/>
        <w:rPr>
          <w:sz w:val="20"/>
          <w:szCs w:val="20"/>
          <w:color w:val="auto"/>
        </w:rPr>
      </w:pPr>
    </w:p>
    <w:p>
      <w:pPr>
        <w:ind w:right="260" w:firstLine="588"/>
        <w:spacing w:after="0" w:line="277" w:lineRule="auto"/>
        <w:rPr>
          <w:sz w:val="20"/>
          <w:szCs w:val="20"/>
          <w:color w:val="auto"/>
        </w:rPr>
      </w:pPr>
      <w:r>
        <w:rPr>
          <w:rFonts w:ascii="Arial" w:cs="Arial" w:eastAsia="Arial" w:hAnsi="Arial"/>
          <w:sz w:val="18"/>
          <w:szCs w:val="18"/>
          <w:color w:val="auto"/>
        </w:rPr>
        <w:t>The sale of human therapeutic products in the U.S. and foreign jurisdictions is subject to extensive and time consuming regulatory approval which requires:</w:t>
      </w:r>
    </w:p>
    <w:p>
      <w:pPr>
        <w:spacing w:after="0" w:line="6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adherence to cGMP regulations during production and storage.</w:t>
      </w:r>
    </w:p>
    <w:p>
      <w:pPr>
        <w:spacing w:after="0" w:line="200" w:lineRule="exact"/>
        <w:rPr>
          <w:sz w:val="20"/>
          <w:szCs w:val="20"/>
          <w:color w:val="auto"/>
        </w:rPr>
      </w:pPr>
    </w:p>
    <w:p>
      <w:pPr>
        <w:spacing w:after="0" w:line="268" w:lineRule="exact"/>
        <w:rPr>
          <w:sz w:val="20"/>
          <w:szCs w:val="20"/>
          <w:color w:val="auto"/>
        </w:rPr>
      </w:pPr>
    </w:p>
    <w:p>
      <w:pPr>
        <w:ind w:right="60" w:firstLine="588"/>
        <w:spacing w:after="0" w:line="273" w:lineRule="auto"/>
        <w:rPr>
          <w:sz w:val="20"/>
          <w:szCs w:val="20"/>
          <w:color w:val="auto"/>
        </w:rPr>
      </w:pPr>
      <w:r>
        <w:rPr>
          <w:rFonts w:ascii="Arial" w:cs="Arial" w:eastAsia="Arial" w:hAnsi="Arial"/>
          <w:sz w:val="17"/>
          <w:szCs w:val="17"/>
          <w:color w:val="auto"/>
        </w:rPr>
        <w:t>The product candidates we currently have under development will require significant development, pre-clinical and clinical testing and investment of significant funds before their commercialization.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testing of a particular product candidate does not yield successful results, then we will be unable to commercialize that product candidate.</w:t>
      </w:r>
    </w:p>
    <w:p>
      <w:pPr>
        <w:spacing w:after="0" w:line="129" w:lineRule="exact"/>
        <w:rPr>
          <w:sz w:val="20"/>
          <w:szCs w:val="20"/>
          <w:color w:val="auto"/>
        </w:rPr>
      </w:pPr>
    </w:p>
    <w:p>
      <w:pPr>
        <w:ind w:right="140" w:firstLine="58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73"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pre-clinical studies may be inconclusive, or they may not be indicative of results that will be obtained in human clinical trials;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and efficacy results attained in early human clinical trials may not be indicative of results that are obtained in later clinical trials;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reviewing test results, we may abandon projects that we might previously have believed to be promising;</w:t>
      </w:r>
    </w:p>
    <w:p>
      <w:pPr>
        <w:spacing w:after="0" w:line="360" w:lineRule="exact"/>
        <w:rPr>
          <w:rFonts w:ascii="Arial" w:cs="Arial" w:eastAsia="Arial" w:hAnsi="Arial"/>
          <w:sz w:val="18"/>
          <w:szCs w:val="18"/>
          <w:color w:val="auto"/>
        </w:rPr>
      </w:pPr>
    </w:p>
    <w:p>
      <w:pPr>
        <w:ind w:left="380" w:right="38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regulators, may suspend or terminate clinical trials because the participating subjects or patients are being exposed to unacceptable health risks; and</w:t>
      </w:r>
    </w:p>
    <w:p>
      <w:pPr>
        <w:spacing w:after="0" w:line="305"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may not have the desired effects or may include undesirable side effects or other characteristics that preclude regulatory approval or limit their commercial use if approved.</w:t>
      </w:r>
    </w:p>
    <w:p>
      <w:pPr>
        <w:sectPr>
          <w:pgSz w:w="11900" w:h="16838" w:orient="portrait"/>
          <w:cols w:equalWidth="0" w:num="1">
            <w:col w:w="11400"/>
          </w:cols>
          <w:pgMar w:left="240" w:top="233"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43" w:name="page44"/>
    <w:bookmarkEnd w:id="43"/>
    <w:p>
      <w:pPr>
        <w:ind w:right="120" w:firstLine="588"/>
        <w:spacing w:after="0" w:line="302" w:lineRule="auto"/>
        <w:rPr>
          <w:sz w:val="20"/>
          <w:szCs w:val="20"/>
          <w:color w:val="auto"/>
        </w:rPr>
      </w:pPr>
      <w:r>
        <w:rPr>
          <w:rFonts w:ascii="Arial" w:cs="Arial" w:eastAsia="Arial" w:hAnsi="Arial"/>
          <w:sz w:val="16"/>
          <w:szCs w:val="16"/>
          <w:color w:val="auto"/>
        </w:rPr>
        <w:t>Clinical testing is very expensive, takes many years, and the outcomes are uncertain. The data collected from our clinical trials may not be sufficient to support approval of our product candidates by the regulatory authorities. The clinical trials of our product candidates may not be completed on schedule, and the regulatory authorities may not ultimately approve any of our product candidates for commercial sale. If we fail to adequately demonstrate the safety and efficacy of a product candidate, it would prevent regulatory approval of the product candidate, which could prevent us from achieving profitability.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us longer than we are currently projecting to complete our clinical trials, and we may not be able to complete them at all.</w:t>
      </w:r>
    </w:p>
    <w:p>
      <w:pPr>
        <w:spacing w:after="0" w:line="117"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We may not commence or complete clinical trials involving any of our product candidates as projected or may not conduct them successfully.</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our clinical studies are successful and we achieve regulatory approval, the approved product label may be more limited than we or analysts anticipate, which could limit the commercial opportunity for our product candidates.</w:t>
      </w:r>
    </w:p>
    <w:p>
      <w:pPr>
        <w:spacing w:after="0" w:line="62" w:lineRule="exact"/>
        <w:rPr>
          <w:sz w:val="20"/>
          <w:szCs w:val="20"/>
          <w:color w:val="auto"/>
        </w:rPr>
      </w:pPr>
    </w:p>
    <w:p>
      <w:pPr>
        <w:ind w:right="40" w:firstLine="588"/>
        <w:spacing w:after="0" w:line="271" w:lineRule="auto"/>
        <w:rPr>
          <w:sz w:val="20"/>
          <w:szCs w:val="20"/>
          <w:color w:val="auto"/>
        </w:rPr>
      </w:pPr>
      <w:r>
        <w:rPr>
          <w:rFonts w:ascii="Arial" w:cs="Arial" w:eastAsia="Arial" w:hAnsi="Arial"/>
          <w:sz w:val="17"/>
          <w:szCs w:val="17"/>
          <w:color w:val="auto"/>
        </w:rPr>
        <w:t>At the time drugs are approved for commercialization, they are given a “product label” from the FDA or other regulatory body. In most countries this label sets forth the approved indication for marketing, and identifies potential safety concerns for prescribing physicians and patients. While we intend to seek as broad a product label as possible for our product candidates, we may receive a narrower label than is expected by either us or third parties, such as stockholders and securities analysts. For example, any approved products may only be indicated to treat refractory patients (i.e., those who have failed some other first-line therapy). Similarly, it is possible that only a specific sub-set of patients safely responds to our drug candidates. As a result, our product candidates, even if successful in clinical trials, could be approved only for a subset of patients. Additionally, safety considerations may result in contraindications that could further limit the scope of an approved product label. Any of these or other safety and efficacy considerations could limit the commercial opportunity for our product candidates.</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62" w:lineRule="exact"/>
        <w:rPr>
          <w:sz w:val="20"/>
          <w:szCs w:val="20"/>
          <w:color w:val="auto"/>
        </w:rPr>
      </w:pPr>
    </w:p>
    <w:p>
      <w:pPr>
        <w:ind w:right="20" w:firstLine="588"/>
        <w:spacing w:after="0" w:line="279" w:lineRule="auto"/>
        <w:rPr>
          <w:sz w:val="20"/>
          <w:szCs w:val="20"/>
          <w:color w:val="auto"/>
        </w:rPr>
      </w:pPr>
      <w:r>
        <w:rPr>
          <w:rFonts w:ascii="Arial" w:cs="Arial" w:eastAsia="Arial" w:hAnsi="Arial"/>
          <w:sz w:val="17"/>
          <w:szCs w:val="17"/>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62" w:lineRule="exact"/>
        <w:rPr>
          <w:sz w:val="20"/>
          <w:szCs w:val="20"/>
          <w:color w:val="auto"/>
        </w:rPr>
      </w:pPr>
    </w:p>
    <w:p>
      <w:pPr>
        <w:ind w:right="80" w:firstLine="588"/>
        <w:spacing w:after="0" w:line="259"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9"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litigation;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80" w:firstLine="588"/>
        <w:spacing w:after="0" w:line="264" w:lineRule="auto"/>
        <w:rPr>
          <w:sz w:val="20"/>
          <w:szCs w:val="20"/>
          <w:color w:val="auto"/>
        </w:rPr>
      </w:pPr>
      <w:r>
        <w:rPr>
          <w:rFonts w:ascii="Arial" w:cs="Arial" w:eastAsia="Arial" w:hAnsi="Arial"/>
          <w:sz w:val="18"/>
          <w:szCs w:val="18"/>
          <w:color w:val="auto"/>
        </w:rPr>
        <w:t>Although we currently have liability insurance for our clinical trials, 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ectPr>
          <w:pgSz w:w="11900" w:h="16838" w:orient="portrait"/>
          <w:cols w:equalWidth="0" w:num="1">
            <w:col w:w="11400"/>
          </w:cols>
          <w:pgMar w:left="240" w:top="341" w:right="2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44" w:name="page45"/>
    <w:bookmarkEnd w:id="44"/>
    <w:p>
      <w:pPr>
        <w:ind w:right="140"/>
        <w:spacing w:after="0" w:line="277" w:lineRule="auto"/>
        <w:rPr>
          <w:sz w:val="20"/>
          <w:szCs w:val="20"/>
          <w:color w:val="auto"/>
        </w:rPr>
      </w:pPr>
      <w:r>
        <w:rPr>
          <w:rFonts w:ascii="Arial" w:cs="Arial" w:eastAsia="Arial" w:hAnsi="Arial"/>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62" w:lineRule="exact"/>
        <w:rPr>
          <w:sz w:val="20"/>
          <w:szCs w:val="20"/>
          <w:color w:val="auto"/>
        </w:rPr>
      </w:pPr>
    </w:p>
    <w:p>
      <w:pPr>
        <w:ind w:right="20" w:firstLine="588"/>
        <w:spacing w:after="0" w:line="293" w:lineRule="auto"/>
        <w:rPr>
          <w:sz w:val="20"/>
          <w:szCs w:val="20"/>
          <w:color w:val="auto"/>
        </w:rPr>
      </w:pPr>
      <w:r>
        <w:rPr>
          <w:rFonts w:ascii="Arial" w:cs="Arial" w:eastAsia="Arial" w:hAnsi="Arial"/>
          <w:sz w:val="16"/>
          <w:szCs w:val="16"/>
          <w:color w:val="auto"/>
        </w:rPr>
        <w:t>We conduct research and development in a facility in Madison, Wisconsin.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our development efforts would be delayed.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62" w:lineRule="exact"/>
        <w:rPr>
          <w:sz w:val="20"/>
          <w:szCs w:val="20"/>
          <w:color w:val="auto"/>
        </w:rPr>
      </w:pPr>
    </w:p>
    <w:p>
      <w:pPr>
        <w:ind w:right="20" w:firstLine="588"/>
        <w:spacing w:after="0" w:line="270" w:lineRule="auto"/>
        <w:rPr>
          <w:sz w:val="20"/>
          <w:szCs w:val="20"/>
          <w:color w:val="auto"/>
        </w:rPr>
      </w:pPr>
      <w:r>
        <w:rPr>
          <w:rFonts w:ascii="Arial" w:cs="Arial" w:eastAsia="Arial" w:hAnsi="Arial"/>
          <w:sz w:val="17"/>
          <w:szCs w:val="17"/>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178"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193" w:lineRule="exact"/>
        <w:rPr>
          <w:sz w:val="20"/>
          <w:szCs w:val="20"/>
          <w:color w:val="auto"/>
        </w:rPr>
      </w:pPr>
    </w:p>
    <w:p>
      <w:pPr>
        <w:ind w:right="220" w:firstLine="588"/>
        <w:spacing w:after="0" w:line="277"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greater than we expect, our net revenue and profitability could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enjoy the market exclusivity benefits of our orphan drug designation.</w:t>
      </w:r>
    </w:p>
    <w:p>
      <w:pPr>
        <w:spacing w:after="0" w:line="225" w:lineRule="exact"/>
        <w:rPr>
          <w:sz w:val="20"/>
          <w:szCs w:val="20"/>
          <w:color w:val="auto"/>
        </w:rPr>
      </w:pPr>
    </w:p>
    <w:p>
      <w:pPr>
        <w:ind w:right="60" w:firstLine="593"/>
        <w:spacing w:after="0" w:line="289" w:lineRule="auto"/>
        <w:rPr>
          <w:sz w:val="20"/>
          <w:szCs w:val="20"/>
          <w:color w:val="auto"/>
        </w:rPr>
      </w:pPr>
      <w:r>
        <w:rPr>
          <w:rFonts w:ascii="Arial" w:cs="Arial" w:eastAsia="Arial" w:hAnsi="Arial"/>
          <w:sz w:val="16"/>
          <w:szCs w:val="16"/>
          <w:color w:val="auto"/>
        </w:rPr>
        <w:t>Although we have obtained an orphan designation for ARC-AAT in the treatment of alpha-1 antitrypsin deficiency, ARC-AAT may not be the first product to receive approval for that indication. Under the Orphan Drug Act, the first product with an orphan designation receives market exclusivity, which prohibits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alpha-1 antitrypsin deficiency before ARC-AAT, which means that we may not obtain orphan drug exclusivity and could also potentially be blocked from approval until the first product’s orphan drug exclusivity period expires or we demonstrate, if we can, that ARC-AAT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jc w:val="both"/>
        <w:ind w:firstLine="588"/>
        <w:spacing w:after="0" w:line="291" w:lineRule="auto"/>
        <w:rPr>
          <w:sz w:val="20"/>
          <w:szCs w:val="20"/>
          <w:color w:val="auto"/>
        </w:rPr>
      </w:pPr>
      <w:r>
        <w:rPr>
          <w:rFonts w:ascii="Arial" w:cs="Arial" w:eastAsia="Arial" w:hAnsi="Arial"/>
          <w:sz w:val="16"/>
          <w:szCs w:val="16"/>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w:t>
      </w:r>
    </w:p>
    <w:p>
      <w:pPr>
        <w:jc w:val="both"/>
        <w:spacing w:after="0" w:line="255" w:lineRule="auto"/>
        <w:rPr>
          <w:sz w:val="20"/>
          <w:szCs w:val="20"/>
          <w:color w:val="auto"/>
        </w:rPr>
      </w:pPr>
      <w:r>
        <w:rPr>
          <w:rFonts w:ascii="Arial" w:cs="Arial" w:eastAsia="Arial" w:hAnsi="Arial"/>
          <w:sz w:val="18"/>
          <w:szCs w:val="18"/>
          <w:color w:val="auto"/>
        </w:rPr>
        <w:t>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right="40"/>
        <w:spacing w:after="0" w:line="255" w:lineRule="auto"/>
        <w:rPr>
          <w:sz w:val="20"/>
          <w:szCs w:val="20"/>
          <w:color w:val="auto"/>
        </w:rPr>
      </w:pPr>
      <w:r>
        <w:rPr>
          <w:rFonts w:ascii="Arial" w:cs="Arial" w:eastAsia="Arial" w:hAnsi="Arial"/>
          <w:sz w:val="18"/>
          <w:szCs w:val="18"/>
          <w:color w:val="auto"/>
        </w:rPr>
        <w:t>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3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62" w:lineRule="exact"/>
        <w:rPr>
          <w:sz w:val="20"/>
          <w:szCs w:val="20"/>
          <w:color w:val="auto"/>
        </w:rPr>
      </w:pPr>
    </w:p>
    <w:p>
      <w:pPr>
        <w:ind w:right="40" w:firstLine="588"/>
        <w:spacing w:after="0" w:line="255" w:lineRule="auto"/>
        <w:rPr>
          <w:sz w:val="20"/>
          <w:szCs w:val="20"/>
          <w:color w:val="auto"/>
        </w:rPr>
      </w:pPr>
      <w:r>
        <w:rPr>
          <w:rFonts w:ascii="Arial" w:cs="Arial" w:eastAsia="Arial" w:hAnsi="Arial"/>
          <w:sz w:val="18"/>
          <w:szCs w:val="18"/>
          <w:color w:val="auto"/>
        </w:rPr>
        <w:t>We are party to license agreements with Novartis, Alnylam, City of Hope, and other entities to incorporate their proprietary technologies into our drug products under development. These license agreements require us to pay royalties and satisfy other conditions, including conditions in some cases related to the commercialization of the licensed technology. We may not be able to successfully incorporate these technologies into marketable products or, if we do, sales may not be sufficient to recover the amounts that we are obligated to pay to the licensors. If we fail to satisfy our obligations under these agreements, the terms of the licenses may be materially modified, such as by rendering currently exclusive licenses non-exclusive, or it may give our licensors the right to terminate their respective agreement with us, which would limit our ability to implement our current business plan and harm our business and financial condition.</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62" w:lineRule="exact"/>
        <w:rPr>
          <w:sz w:val="20"/>
          <w:szCs w:val="20"/>
          <w:color w:val="auto"/>
        </w:rPr>
      </w:pPr>
    </w:p>
    <w:p>
      <w:pPr>
        <w:ind w:firstLine="588"/>
        <w:spacing w:after="0" w:line="272" w:lineRule="auto"/>
        <w:rPr>
          <w:sz w:val="20"/>
          <w:szCs w:val="20"/>
          <w:color w:val="auto"/>
        </w:rPr>
      </w:pPr>
      <w:r>
        <w:rPr>
          <w:rFonts w:ascii="Arial" w:cs="Arial" w:eastAsia="Arial" w:hAnsi="Arial"/>
          <w:sz w:val="17"/>
          <w:szCs w:val="17"/>
          <w:color w:val="auto"/>
        </w:rPr>
        <w:t>Because the intellectual property landscape in the fields in which we participate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78"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In addition, if our product candidates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patent rights from third-party owners and we rely on such owners to obtain, maintain and enforce the patents underlying such licenses.</w:t>
      </w:r>
    </w:p>
    <w:p>
      <w:pPr>
        <w:spacing w:after="0" w:line="140" w:lineRule="exact"/>
        <w:rPr>
          <w:sz w:val="20"/>
          <w:szCs w:val="20"/>
          <w:color w:val="auto"/>
        </w:rPr>
      </w:pPr>
    </w:p>
    <w:p>
      <w:pPr>
        <w:ind w:right="80" w:firstLine="588"/>
        <w:spacing w:after="0" w:line="264" w:lineRule="auto"/>
        <w:rPr>
          <w:sz w:val="20"/>
          <w:szCs w:val="20"/>
          <w:color w:val="auto"/>
        </w:rPr>
      </w:pPr>
      <w:r>
        <w:rPr>
          <w:rFonts w:ascii="Arial" w:cs="Arial" w:eastAsia="Arial" w:hAnsi="Arial"/>
          <w:sz w:val="18"/>
          <w:szCs w:val="18"/>
          <w:color w:val="auto"/>
        </w:rPr>
        <w:t>We are a party to a number of licenses that give us rights to third-party intellectual property that is necessary or useful for our business. In particular, we have obtained licenses from, among others, Novartis and Alnylam. We also expect to enter into additional licenses to third-party intellectual property in the future.</w:t>
      </w:r>
    </w:p>
    <w:p>
      <w:pPr>
        <w:spacing w:after="0" w:line="181" w:lineRule="exact"/>
        <w:rPr>
          <w:sz w:val="20"/>
          <w:szCs w:val="20"/>
          <w:color w:val="auto"/>
        </w:rPr>
      </w:pPr>
    </w:p>
    <w:p>
      <w:pPr>
        <w:ind w:right="40" w:firstLine="588"/>
        <w:spacing w:after="0" w:line="255" w:lineRule="auto"/>
        <w:rPr>
          <w:sz w:val="20"/>
          <w:szCs w:val="20"/>
          <w:color w:val="auto"/>
        </w:rPr>
      </w:pPr>
      <w:r>
        <w:rPr>
          <w:rFonts w:ascii="Arial" w:cs="Arial" w:eastAsia="Arial" w:hAnsi="Arial"/>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licensed from various third parties may be subject to retained rights.</w:t>
      </w:r>
    </w:p>
    <w:p>
      <w:pPr>
        <w:spacing w:after="0" w:line="117" w:lineRule="exact"/>
        <w:rPr>
          <w:sz w:val="20"/>
          <w:szCs w:val="20"/>
          <w:color w:val="auto"/>
        </w:rPr>
      </w:pPr>
    </w:p>
    <w:p>
      <w:pPr>
        <w:jc w:val="both"/>
        <w:ind w:right="400" w:firstLine="588"/>
        <w:spacing w:after="0" w:line="264" w:lineRule="auto"/>
        <w:rPr>
          <w:sz w:val="20"/>
          <w:szCs w:val="20"/>
          <w:color w:val="auto"/>
        </w:rPr>
      </w:pPr>
      <w:r>
        <w:rPr>
          <w:rFonts w:ascii="Arial" w:cs="Arial" w:eastAsia="Arial" w:hAnsi="Arial"/>
          <w:sz w:val="18"/>
          <w:szCs w:val="18"/>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limit their use of the technology to these uses, and we could incur substantial expenses to enforce our rights to our licensed technology in the event of misuse.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40" w:firstLine="588"/>
        <w:spacing w:after="0" w:line="255" w:lineRule="auto"/>
        <w:rPr>
          <w:sz w:val="20"/>
          <w:szCs w:val="20"/>
          <w:color w:val="auto"/>
        </w:rPr>
      </w:pPr>
      <w:r>
        <w:rPr>
          <w:rFonts w:ascii="Arial" w:cs="Arial" w:eastAsia="Arial" w:hAnsi="Arial"/>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11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certificate of incorporation authorizes the issuance of 145,000,000 shares of Common Stock and 5,000,000 shares of Preferred Stock, on such terms and at such prices as our Board of Directors may determine. The following serves as a summary of share issuance activity during the fiscal year ended September 30, 2015:</w:t>
      </w:r>
    </w:p>
    <w:p>
      <w:pPr>
        <w:ind w:left="1400" w:right="540" w:hanging="379"/>
        <w:spacing w:after="0" w:line="261"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250,143 shares of Common Stock pursuant to the exercise of stock options, warrants and exchange rights and the vesting of restricted stock units;</w:t>
      </w:r>
    </w:p>
    <w:p>
      <w:pPr>
        <w:spacing w:after="0" w:line="291" w:lineRule="exact"/>
        <w:rPr>
          <w:rFonts w:ascii="Arial" w:cs="Arial" w:eastAsia="Arial" w:hAnsi="Arial"/>
          <w:sz w:val="18"/>
          <w:szCs w:val="18"/>
          <w:color w:val="auto"/>
        </w:rPr>
      </w:pPr>
    </w:p>
    <w:p>
      <w:pPr>
        <w:ind w:left="1400" w:right="40" w:hanging="379"/>
        <w:spacing w:after="0" w:line="277"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3,321,383 shares of Common Stock in consideration for the assets acquired as part of the Novartis asset acquisition in March 2015; and</w:t>
      </w:r>
    </w:p>
    <w:p>
      <w:pPr>
        <w:spacing w:after="0" w:line="170" w:lineRule="exact"/>
        <w:rPr>
          <w:rFonts w:ascii="Arial" w:cs="Arial" w:eastAsia="Arial" w:hAnsi="Arial"/>
          <w:sz w:val="18"/>
          <w:szCs w:val="18"/>
          <w:color w:val="auto"/>
        </w:rPr>
      </w:pPr>
    </w:p>
    <w:p>
      <w:pPr>
        <w:ind w:left="1400" w:hanging="379"/>
        <w:spacing w:after="0"/>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Issued 1,316,215 shares of Common Stock pursuant to the conversion of certain Preferred Stock held by the Company’s shareholders.</w:t>
      </w:r>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2015, we had 59,544,677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62"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Because we are early in the stage of our drug development, there are few objective metrics by which our progress may be measured. Consequently, we expect that the market price of our Common Stock will likely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9"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360" w:lineRule="exact"/>
        <w:rPr>
          <w:rFonts w:ascii="Arial" w:cs="Arial" w:eastAsia="Arial" w:hAnsi="Arial"/>
          <w:sz w:val="18"/>
          <w:szCs w:val="18"/>
          <w:color w:val="auto"/>
        </w:rPr>
      </w:pPr>
    </w:p>
    <w:p>
      <w:pPr>
        <w:ind w:left="380" w:right="400" w:hanging="372"/>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 including clinical trial results;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our technology;</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actions taken by regulatory authorities; such as the U.S. Food and Drug Administration;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regarding developments in the RNA interference or biotechnology fields in general;</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regarding clinical trial results with our products or competitors’ products;</w:t>
      </w:r>
    </w:p>
    <w:p>
      <w:pPr>
        <w:spacing w:after="0" w:line="360" w:lineRule="exact"/>
        <w:rPr>
          <w:rFonts w:ascii="Arial" w:cs="Arial" w:eastAsia="Arial" w:hAnsi="Arial"/>
          <w:sz w:val="18"/>
          <w:szCs w:val="18"/>
          <w:color w:val="auto"/>
        </w:rPr>
      </w:pPr>
    </w:p>
    <w:p>
      <w:pPr>
        <w:ind w:left="400" w:right="220" w:hanging="392"/>
        <w:spacing w:after="0" w:line="277"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perception and/or announcements regarding other companies developing products in the field of biotechnology generally or specifically RNA interference;</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w:t>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47" w:name="page48"/>
    <w:bookmarkEnd w:id="47"/>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addition or departure of key executives;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225" w:lineRule="exact"/>
        <w:rPr>
          <w:sz w:val="20"/>
          <w:szCs w:val="20"/>
          <w:color w:val="auto"/>
        </w:rPr>
      </w:pPr>
    </w:p>
    <w:p>
      <w:pPr>
        <w:ind w:right="280" w:firstLine="588"/>
        <w:spacing w:after="0" w:line="277"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may result in financial losses or harm our reputation and may divert management resources.</w:t>
      </w:r>
    </w:p>
    <w:p>
      <w:pPr>
        <w:spacing w:after="0" w:line="117" w:lineRule="exact"/>
        <w:rPr>
          <w:sz w:val="20"/>
          <w:szCs w:val="20"/>
          <w:color w:val="auto"/>
        </w:rPr>
      </w:pPr>
    </w:p>
    <w:p>
      <w:pPr>
        <w:ind w:right="60" w:firstLine="588"/>
        <w:spacing w:after="0" w:line="271" w:lineRule="auto"/>
        <w:rPr>
          <w:sz w:val="20"/>
          <w:szCs w:val="20"/>
          <w:color w:val="auto"/>
        </w:rPr>
      </w:pPr>
      <w:r>
        <w:rPr>
          <w:rFonts w:ascii="Arial" w:cs="Arial" w:eastAsia="Arial" w:hAnsi="Arial"/>
          <w:sz w:val="17"/>
          <w:szCs w:val="17"/>
          <w:color w:val="auto"/>
        </w:rPr>
        <w:t>When the market price of a stock is volatile, holders of that stock have often initiated securities class action litigation against the company that issued the stock. Certain of our stockholders have recently brought such lawsuits against us, pursuant to which we could incur substantial costs. We cannot predict with certainty the eventual outcome of this or any other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purchases and sales of our Common Stock may be limited, and the sale of a limited number of shares could cause the price to fall sharply.</w:t>
      </w:r>
    </w:p>
    <w:p>
      <w:pPr>
        <w:spacing w:after="0" w:line="152" w:lineRule="exact"/>
        <w:rPr>
          <w:sz w:val="20"/>
          <w:szCs w:val="20"/>
          <w:color w:val="auto"/>
        </w:rPr>
      </w:pPr>
    </w:p>
    <w:p>
      <w:pPr>
        <w:ind w:firstLine="588"/>
        <w:spacing w:after="0" w:line="276" w:lineRule="auto"/>
        <w:rPr>
          <w:sz w:val="20"/>
          <w:szCs w:val="20"/>
          <w:color w:val="auto"/>
        </w:rPr>
      </w:pPr>
      <w:r>
        <w:rPr>
          <w:rFonts w:ascii="Arial" w:cs="Arial" w:eastAsia="Arial" w:hAnsi="Arial"/>
          <w:sz w:val="17"/>
          <w:szCs w:val="17"/>
          <w:color w:val="auto"/>
        </w:rPr>
        <w:t>Although our Common Stock is listed for trading on the NASDAQ Global Select Market, at various times our securities have been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62" w:lineRule="exact"/>
        <w:rPr>
          <w:sz w:val="20"/>
          <w:szCs w:val="20"/>
          <w:color w:val="auto"/>
        </w:rPr>
      </w:pPr>
    </w:p>
    <w:p>
      <w:pPr>
        <w:ind w:firstLine="588"/>
        <w:spacing w:after="0" w:line="270" w:lineRule="auto"/>
        <w:rPr>
          <w:sz w:val="20"/>
          <w:szCs w:val="20"/>
          <w:color w:val="auto"/>
        </w:rPr>
      </w:pPr>
      <w:r>
        <w:rPr>
          <w:rFonts w:ascii="Arial" w:cs="Arial" w:eastAsia="Arial" w:hAnsi="Arial"/>
          <w:sz w:val="17"/>
          <w:szCs w:val="17"/>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17" w:lineRule="exact"/>
        <w:rPr>
          <w:sz w:val="20"/>
          <w:szCs w:val="20"/>
          <w:color w:val="auto"/>
        </w:rPr>
      </w:pPr>
    </w:p>
    <w:p>
      <w:pPr>
        <w:ind w:right="520" w:firstLine="588"/>
        <w:spacing w:after="0" w:line="34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62" w:lineRule="exact"/>
        <w:rPr>
          <w:sz w:val="20"/>
          <w:szCs w:val="20"/>
          <w:color w:val="auto"/>
        </w:rPr>
      </w:pPr>
    </w:p>
    <w:p>
      <w:pPr>
        <w:ind w:right="60" w:firstLine="588"/>
        <w:spacing w:after="0" w:line="257" w:lineRule="auto"/>
        <w:rPr>
          <w:sz w:val="20"/>
          <w:szCs w:val="20"/>
          <w:color w:val="auto"/>
        </w:rPr>
      </w:pPr>
      <w:r>
        <w:rPr>
          <w:rFonts w:ascii="Arial" w:cs="Arial" w:eastAsia="Arial" w:hAnsi="Arial"/>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Company does not own any real property. The following table summarizes the company’s leased facilities as of September 30, 2015. The Company does not own any real property.</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Monthly</w:t>
            </w: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Lease</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Space</w:t>
            </w: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Rent</w:t>
            </w: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Commencement</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Pasadena, California</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 sq. ft.</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August, 16, 2012</w:t>
            </w: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Madison, Wisconsin</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27,000 sq. ft.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79,000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February, 16, 2009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Middleton, Wisconsin</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2,900 sq. ft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6,000</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May, 18, 2015</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Legal Proceedings are set forth in our financial statement schedules in Part IV, Item 15 of this Annual Report and are incorporated herein by reference. See Note 7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of Part IV, Item 15. </w:t>
      </w:r>
      <w:r>
        <w:rPr>
          <w:rFonts w:ascii="Arial" w:cs="Arial" w:eastAsia="Arial" w:hAnsi="Arial"/>
          <w:sz w:val="18"/>
          <w:szCs w:val="18"/>
          <w:i w:val="1"/>
          <w:iCs w:val="1"/>
          <w:color w:val="auto"/>
        </w:rPr>
        <w:t>Exhibits and Financial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Schedules</w:t>
      </w:r>
      <w:r>
        <w:rPr>
          <w:rFonts w:ascii="Arial" w:cs="Arial" w:eastAsia="Arial" w:hAnsi="Arial"/>
          <w:sz w:val="18"/>
          <w:szCs w:val="18"/>
          <w:color w:val="auto"/>
        </w:rPr>
        <w:t>.</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ind w:left="1040" w:right="2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“ARWR”. The following table sets forth the high and low sales prices for a share of the Company’s Common Stock during each period indicated.</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4"/>
              </w:rPr>
              <w:t>Fiscal Year Ended September 30,</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1st Quarter</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2nd Quarter</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26.57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3rd Quarter</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18.28</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4th Quarter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16.96</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r>
    </w:tbl>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Shares Outstanding</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At December 11, 2015, 59,554,677 shares of the Company’s Common Stock were issued and outstanding, and were owned by 135 stockholders of record, based on information provided by the Company’s transfer agent.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11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of Part III of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years ended September 30, 2015, 2014 and 2013.</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Performance Graph</w:t>
      </w:r>
    </w:p>
    <w:p>
      <w:pPr>
        <w:spacing w:after="0" w:line="13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2010, in each of our Common Stock, the NASDAQ Composite Index and the NASDAQ Biotechnology Index, with investment weighted on the basis of market capitalization.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comparisons in the following graph are based on historical data and are not intended to forecast the possible future performance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142875</wp:posOffset>
            </wp:positionV>
            <wp:extent cx="5222875" cy="3181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2287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0" w:name="page51"/>
    <w:bookmarkEnd w:id="50"/>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35" w:lineRule="exact"/>
        <w:rPr>
          <w:sz w:val="20"/>
          <w:szCs w:val="20"/>
          <w:color w:val="auto"/>
        </w:rPr>
      </w:pPr>
    </w:p>
    <w:p>
      <w:pPr>
        <w:jc w:val="both"/>
        <w:ind w:left="120" w:right="1780" w:firstLine="397"/>
        <w:spacing w:after="0" w:line="288"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w:t>
      </w:r>
    </w:p>
    <w:p>
      <w:pPr>
        <w:spacing w:after="0"/>
        <w:rPr>
          <w:sz w:val="20"/>
          <w:szCs w:val="20"/>
          <w:color w:val="auto"/>
        </w:rPr>
      </w:pPr>
      <w:r>
        <w:rPr>
          <w:rFonts w:ascii="Arial" w:cs="Arial" w:eastAsia="Arial" w:hAnsi="Arial"/>
          <w:sz w:val="18"/>
          <w:szCs w:val="18"/>
          <w:color w:val="auto"/>
        </w:rPr>
        <w:t>Form 10-K and in previously filed annual reports on Form 10-K of Arrowhead Research Corporation.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Year Ended September</w:t>
            </w: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OPERATING SUMMARY</w:t>
            </w:r>
          </w:p>
        </w:tc>
        <w:tc>
          <w:tcPr>
            <w:tcW w:w="3820" w:type="dxa"/>
            <w:vAlign w:val="bottom"/>
            <w:tcBorders>
              <w:bottom w:val="single" w:sz="8" w:color="CFF0FC"/>
            </w:tcBorders>
            <w:gridSpan w:val="2"/>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382,000</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175,000</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290,266</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146,875</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296,139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47,267,361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23,138,050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8,705,627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5,391,463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3,277,760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Acquired in-process research and development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10,142,786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Salaries and payroll-related costs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16,554,008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12,829,355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6,667,669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6,414,921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1,408,366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7,931,184</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5,894,008</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3,488,864</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6,439,323</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3,821,550</w:t>
            </w:r>
          </w:p>
        </w:tc>
        <w:tc>
          <w:tcPr>
            <w:tcW w:w="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10,232,897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5,696,173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1,536,271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1,241,404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1,376,921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2,336,207</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1,345,655</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1,751,412</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1,748,975</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241,808</w:t>
            </w:r>
          </w:p>
        </w:tc>
        <w:tc>
          <w:tcPr>
            <w:tcW w:w="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Impairment expense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2,172,387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1,308,047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Contingent consideration - fair value adjustments</w:t>
            </w:r>
          </w:p>
        </w:tc>
        <w:tc>
          <w:tcPr>
            <w:tcW w:w="100" w:type="dxa"/>
            <w:vAlign w:val="bottom"/>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1,891,533</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2,375,658</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1,421,652</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80" w:type="dxa"/>
            <w:vAlign w:val="bottom"/>
            <w:tcBorders>
              <w:bottom w:val="single" w:sz="8" w:color="CCECFF"/>
            </w:tcBorders>
            <w:gridSpan w:val="3"/>
          </w:tcPr>
          <w:p>
            <w:pPr>
              <w:ind w:left="480"/>
              <w:spacing w:after="0"/>
              <w:rPr>
                <w:sz w:val="20"/>
                <w:szCs w:val="20"/>
                <w:color w:val="auto"/>
              </w:rPr>
            </w:pPr>
            <w:r>
              <w:rPr>
                <w:rFonts w:ascii="Arial" w:cs="Arial" w:eastAsia="Arial" w:hAnsi="Arial"/>
                <w:sz w:val="16"/>
                <w:szCs w:val="16"/>
                <w:color w:val="auto"/>
              </w:rPr>
              <w:t>TOTAL OPERATING EXPENSES (a)</w:t>
            </w:r>
          </w:p>
        </w:tc>
        <w:tc>
          <w:tcPr>
            <w:tcW w:w="100" w:type="dxa"/>
            <w:vAlign w:val="bottom"/>
            <w:tcBorders>
              <w:bottom w:val="single" w:sz="8" w:color="CCEC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96,355,976</w:t>
            </w:r>
          </w:p>
        </w:tc>
        <w:tc>
          <w:tcPr>
            <w:tcW w:w="10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53,451,286</w:t>
            </w:r>
          </w:p>
        </w:tc>
        <w:tc>
          <w:tcPr>
            <w:tcW w:w="1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24,879,542</w:t>
            </w:r>
          </w:p>
        </w:tc>
        <w:tc>
          <w:tcPr>
            <w:tcW w:w="8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21,236,086</w:t>
            </w:r>
          </w:p>
        </w:tc>
        <w:tc>
          <w:tcPr>
            <w:tcW w:w="8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10,126,405</w:t>
            </w:r>
          </w:p>
        </w:tc>
        <w:tc>
          <w:tcPr>
            <w:tcW w:w="6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shd w:val="clear" w:color="auto" w:fill="CCECFF"/>
          </w:tcPr>
          <w:p>
            <w:pPr>
              <w:spacing w:after="0"/>
              <w:rPr>
                <w:sz w:val="20"/>
                <w:szCs w:val="20"/>
                <w:color w:val="auto"/>
              </w:rPr>
            </w:pPr>
            <w:r>
              <w:rPr>
                <w:rFonts w:ascii="Arial" w:cs="Arial" w:eastAsia="Arial" w:hAnsi="Arial"/>
                <w:sz w:val="16"/>
                <w:szCs w:val="16"/>
                <w:b w:val="1"/>
                <w:bCs w:val="1"/>
                <w:color w:val="auto"/>
              </w:rPr>
              <w:t>OPERATING LOSS</w:t>
            </w: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(95,973,976)</w:t>
            </w:r>
          </w:p>
        </w:tc>
        <w:tc>
          <w:tcPr>
            <w:tcW w:w="1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(53,276,286)</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(24,589,276)</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(21,089,211)</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(9,830,266)</w:t>
            </w:r>
          </w:p>
        </w:tc>
        <w:tc>
          <w:tcPr>
            <w:tcW w:w="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6"/>
                <w:szCs w:val="16"/>
                <w:b w:val="1"/>
                <w:bCs w:val="1"/>
                <w:color w:val="auto"/>
              </w:rPr>
              <w:t>LOSS FROM CONTINUING OPERATIONS</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(91,940,882)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(58,725,412)</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(31,703,079)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(22,110,643)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(8,785,008)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Income (loss) from discontinued operations</w:t>
            </w: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(354)</w:t>
            </w: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(80)</w:t>
            </w: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1,373,396</w:t>
            </w:r>
          </w:p>
        </w:tc>
        <w:tc>
          <w:tcPr>
            <w:tcW w:w="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Borders>
              <w:bottom w:val="single" w:sz="8" w:color="CCECFF"/>
            </w:tcBorders>
            <w:gridSpan w:val="3"/>
          </w:tcPr>
          <w:p>
            <w:pPr>
              <w:ind w:left="240"/>
              <w:spacing w:after="0"/>
              <w:rPr>
                <w:sz w:val="20"/>
                <w:szCs w:val="20"/>
                <w:color w:val="auto"/>
              </w:rPr>
            </w:pPr>
            <w:r>
              <w:rPr>
                <w:rFonts w:ascii="Arial" w:cs="Arial" w:eastAsia="Arial" w:hAnsi="Arial"/>
                <w:sz w:val="16"/>
                <w:szCs w:val="16"/>
                <w:color w:val="auto"/>
              </w:rPr>
              <w:t>Gain on disposal of discontinued operations</w:t>
            </w: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CFF"/>
            </w:tcBorders>
          </w:tcPr>
          <w:p>
            <w:pPr>
              <w:spacing w:after="0"/>
              <w:rPr>
                <w:sz w:val="18"/>
                <w:szCs w:val="18"/>
                <w:color w:val="auto"/>
              </w:rPr>
            </w:pPr>
          </w:p>
        </w:tc>
        <w:tc>
          <w:tcPr>
            <w:tcW w:w="2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3,919,213</w:t>
            </w:r>
          </w:p>
        </w:tc>
        <w:tc>
          <w:tcPr>
            <w:tcW w:w="6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shd w:val="clear" w:color="auto" w:fill="CCECFF"/>
          </w:tcPr>
          <w:p>
            <w:pPr>
              <w:spacing w:after="0"/>
              <w:rPr>
                <w:sz w:val="20"/>
                <w:szCs w:val="20"/>
                <w:color w:val="auto"/>
              </w:rPr>
            </w:pPr>
            <w:r>
              <w:rPr>
                <w:rFonts w:ascii="Arial" w:cs="Arial" w:eastAsia="Arial" w:hAnsi="Arial"/>
                <w:sz w:val="16"/>
                <w:szCs w:val="16"/>
                <w:b w:val="1"/>
                <w:bCs w:val="1"/>
                <w:color w:val="auto"/>
              </w:rPr>
              <w:t>NET LOSS</w:t>
            </w: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(91,940,882)</w:t>
            </w:r>
          </w:p>
        </w:tc>
        <w:tc>
          <w:tcPr>
            <w:tcW w:w="1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(58,725,412)</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(31,703,433)</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(22,110,723)</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(3,492,399)</w:t>
            </w:r>
          </w:p>
        </w:tc>
        <w:tc>
          <w:tcPr>
            <w:tcW w:w="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Borders>
              <w:bottom w:val="single" w:sz="8" w:color="CCECFF"/>
            </w:tcBorders>
            <w:gridSpan w:val="3"/>
          </w:tcPr>
          <w:p>
            <w:pPr>
              <w:ind w:left="240"/>
              <w:spacing w:after="0"/>
              <w:rPr>
                <w:sz w:val="20"/>
                <w:szCs w:val="20"/>
                <w:color w:val="auto"/>
              </w:rPr>
            </w:pPr>
            <w:r>
              <w:rPr>
                <w:rFonts w:ascii="Arial" w:cs="Arial" w:eastAsia="Arial" w:hAnsi="Arial"/>
                <w:sz w:val="16"/>
                <w:szCs w:val="16"/>
                <w:color w:val="auto"/>
              </w:rPr>
              <w:t>Net (gain) loss attributable to non-controlling interests</w:t>
            </w: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CFF"/>
            </w:tcBorders>
          </w:tcPr>
          <w:p>
            <w:pPr>
              <w:spacing w:after="0"/>
              <w:rPr>
                <w:sz w:val="18"/>
                <w:szCs w:val="18"/>
                <w:color w:val="auto"/>
              </w:rPr>
            </w:pPr>
          </w:p>
        </w:tc>
        <w:tc>
          <w:tcPr>
            <w:tcW w:w="2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95,222</w:t>
            </w: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560,144</w:t>
            </w:r>
          </w:p>
        </w:tc>
        <w:tc>
          <w:tcPr>
            <w:tcW w:w="8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984,795</w:t>
            </w:r>
          </w:p>
        </w:tc>
        <w:tc>
          <w:tcPr>
            <w:tcW w:w="8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363,514</w:t>
            </w:r>
          </w:p>
        </w:tc>
        <w:tc>
          <w:tcPr>
            <w:tcW w:w="6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shd w:val="clear" w:color="auto" w:fill="CCECFF"/>
          </w:tcPr>
          <w:p>
            <w:pPr>
              <w:spacing w:after="0"/>
              <w:rPr>
                <w:sz w:val="20"/>
                <w:szCs w:val="20"/>
                <w:color w:val="auto"/>
              </w:rPr>
            </w:pPr>
            <w:r>
              <w:rPr>
                <w:rFonts w:ascii="Arial" w:cs="Arial" w:eastAsia="Arial" w:hAnsi="Arial"/>
                <w:sz w:val="16"/>
                <w:szCs w:val="16"/>
                <w:b w:val="1"/>
                <w:bCs w:val="1"/>
                <w:color w:val="auto"/>
              </w:rPr>
              <w:t>NET LOSS ATTRIBUTABLE TO ARROWHEAD</w:t>
            </w:r>
          </w:p>
        </w:tc>
        <w:tc>
          <w:tcPr>
            <w:tcW w:w="100" w:type="dxa"/>
            <w:vAlign w:val="bottom"/>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(91,940,882)</w:t>
            </w:r>
          </w:p>
        </w:tc>
        <w:tc>
          <w:tcPr>
            <w:tcW w:w="100" w:type="dxa"/>
            <w:vAlign w:val="bottom"/>
            <w:shd w:val="clear" w:color="auto" w:fill="CCECFF"/>
          </w:tcPr>
          <w:p>
            <w:pPr>
              <w:spacing w:after="0"/>
              <w:rPr>
                <w:sz w:val="18"/>
                <w:szCs w:val="18"/>
                <w:color w:val="auto"/>
              </w:rPr>
            </w:pPr>
          </w:p>
        </w:tc>
        <w:tc>
          <w:tcPr>
            <w:tcW w:w="14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(58,630,190)</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(31,143,289)</w:t>
            </w:r>
          </w:p>
        </w:tc>
        <w:tc>
          <w:tcPr>
            <w:tcW w:w="80" w:type="dxa"/>
            <w:vAlign w:val="bottom"/>
            <w:shd w:val="clear" w:color="auto" w:fill="CCECFF"/>
          </w:tcPr>
          <w:p>
            <w:pPr>
              <w:spacing w:after="0"/>
              <w:rPr>
                <w:sz w:val="18"/>
                <w:szCs w:val="18"/>
                <w:color w:val="auto"/>
              </w:rPr>
            </w:pPr>
          </w:p>
        </w:tc>
        <w:tc>
          <w:tcPr>
            <w:tcW w:w="140" w:type="dxa"/>
            <w:vAlign w:val="bottom"/>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(21,125,928)</w:t>
            </w:r>
          </w:p>
        </w:tc>
        <w:tc>
          <w:tcPr>
            <w:tcW w:w="80" w:type="dxa"/>
            <w:vAlign w:val="bottom"/>
            <w:shd w:val="clear" w:color="auto" w:fill="CCECFF"/>
          </w:tcPr>
          <w:p>
            <w:pPr>
              <w:spacing w:after="0"/>
              <w:rPr>
                <w:sz w:val="18"/>
                <w:szCs w:val="18"/>
                <w:color w:val="auto"/>
              </w:rPr>
            </w:pPr>
          </w:p>
        </w:tc>
        <w:tc>
          <w:tcPr>
            <w:tcW w:w="140" w:type="dxa"/>
            <w:vAlign w:val="bottom"/>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(3,128,885)</w:t>
            </w:r>
          </w:p>
        </w:tc>
        <w:tc>
          <w:tcPr>
            <w:tcW w:w="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6"/>
                <w:szCs w:val="16"/>
                <w:b w:val="1"/>
                <w:bCs w:val="1"/>
                <w:color w:val="auto"/>
              </w:rPr>
              <w:t>EARNINGS PER SHARE (BASIC):</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Income (loss) from continuing operations attributable to Arrowhead</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6"/>
                <w:szCs w:val="16"/>
                <w:b w:val="1"/>
                <w:bCs w:val="1"/>
                <w:color w:val="auto"/>
              </w:rPr>
              <w:t>(1.60)</w:t>
            </w:r>
          </w:p>
        </w:tc>
        <w:tc>
          <w:tcPr>
            <w:tcW w:w="1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080" w:type="dxa"/>
            <w:vAlign w:val="bottom"/>
            <w:gridSpan w:val="2"/>
            <w:vMerge w:val="restart"/>
            <w:shd w:val="clear" w:color="auto" w:fill="CCECFF"/>
          </w:tcPr>
          <w:p>
            <w:pPr>
              <w:jc w:val="right"/>
              <w:ind w:right="80"/>
              <w:spacing w:after="0"/>
              <w:rPr>
                <w:sz w:val="20"/>
                <w:szCs w:val="20"/>
                <w:color w:val="auto"/>
              </w:rPr>
            </w:pPr>
            <w:r>
              <w:rPr>
                <w:rFonts w:ascii="Arial" w:cs="Arial" w:eastAsia="Arial" w:hAnsi="Arial"/>
                <w:sz w:val="16"/>
                <w:szCs w:val="16"/>
                <w:b w:val="1"/>
                <w:bCs w:val="1"/>
                <w:color w:val="auto"/>
              </w:rPr>
              <w:t>(1.25)</w:t>
            </w:r>
          </w:p>
        </w:tc>
        <w:tc>
          <w:tcPr>
            <w:tcW w:w="100" w:type="dxa"/>
            <w:vAlign w:val="bottom"/>
            <w:vMerge w:val="restart"/>
            <w:shd w:val="clear" w:color="auto" w:fill="CCECFF"/>
          </w:tcPr>
          <w:p>
            <w:pPr>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(1.30)</w:t>
            </w:r>
          </w:p>
        </w:tc>
        <w:tc>
          <w:tcPr>
            <w:tcW w:w="1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(1.90)</w:t>
            </w:r>
          </w:p>
        </w:tc>
        <w:tc>
          <w:tcPr>
            <w:tcW w:w="1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3"/>
            <w:shd w:val="clear" w:color="auto" w:fill="CCECFF"/>
          </w:tcPr>
          <w:p>
            <w:pPr>
              <w:ind w:left="360"/>
              <w:spacing w:after="0"/>
              <w:rPr>
                <w:sz w:val="20"/>
                <w:szCs w:val="20"/>
                <w:color w:val="auto"/>
              </w:rPr>
            </w:pPr>
            <w:r>
              <w:rPr>
                <w:rFonts w:ascii="Arial" w:cs="Arial" w:eastAsia="Arial" w:hAnsi="Arial"/>
                <w:sz w:val="16"/>
                <w:szCs w:val="16"/>
                <w:color w:val="auto"/>
              </w:rPr>
              <w:t>common shareholders</w:t>
            </w:r>
          </w:p>
        </w:tc>
        <w:tc>
          <w:tcPr>
            <w:tcW w:w="100" w:type="dxa"/>
            <w:vAlign w:val="bottom"/>
            <w:vMerge w:val="continue"/>
            <w:shd w:val="clear" w:color="auto" w:fill="CCECFF"/>
          </w:tcPr>
          <w:p>
            <w:pPr>
              <w:spacing w:after="0"/>
              <w:rPr>
                <w:sz w:val="18"/>
                <w:szCs w:val="18"/>
                <w:color w:val="auto"/>
              </w:rPr>
            </w:pPr>
          </w:p>
        </w:tc>
        <w:tc>
          <w:tcPr>
            <w:tcW w:w="1040" w:type="dxa"/>
            <w:vAlign w:val="bottom"/>
            <w:gridSpan w:val="2"/>
            <w:vMerge w:val="continue"/>
            <w:shd w:val="clear" w:color="auto" w:fill="CCECFF"/>
          </w:tcPr>
          <w:p>
            <w:pPr>
              <w:spacing w:after="0"/>
              <w:rPr>
                <w:sz w:val="18"/>
                <w:szCs w:val="18"/>
                <w:color w:val="auto"/>
              </w:rPr>
            </w:pPr>
          </w:p>
        </w:tc>
        <w:tc>
          <w:tcPr>
            <w:tcW w:w="140" w:type="dxa"/>
            <w:vAlign w:val="bottom"/>
            <w:gridSpan w:val="2"/>
            <w:vMerge w:val="continue"/>
            <w:shd w:val="clear" w:color="auto" w:fill="CCECFF"/>
          </w:tcPr>
          <w:p>
            <w:pPr>
              <w:spacing w:after="0"/>
              <w:rPr>
                <w:sz w:val="18"/>
                <w:szCs w:val="18"/>
                <w:color w:val="auto"/>
              </w:rPr>
            </w:pPr>
          </w:p>
        </w:tc>
        <w:tc>
          <w:tcPr>
            <w:tcW w:w="1080" w:type="dxa"/>
            <w:vAlign w:val="bottom"/>
            <w:gridSpan w:val="2"/>
            <w:vMerge w:val="continue"/>
            <w:shd w:val="clear" w:color="auto" w:fill="CCECFF"/>
          </w:tcPr>
          <w:p>
            <w:pPr>
              <w:spacing w:after="0"/>
              <w:rPr>
                <w:sz w:val="18"/>
                <w:szCs w:val="18"/>
                <w:color w:val="auto"/>
              </w:rPr>
            </w:pPr>
          </w:p>
        </w:tc>
        <w:tc>
          <w:tcPr>
            <w:tcW w:w="100" w:type="dxa"/>
            <w:vAlign w:val="bottom"/>
            <w:vMerge w:val="continue"/>
            <w:shd w:val="clear" w:color="auto" w:fill="CCECFF"/>
          </w:tcPr>
          <w:p>
            <w:pPr>
              <w:spacing w:after="0"/>
              <w:rPr>
                <w:sz w:val="18"/>
                <w:szCs w:val="18"/>
                <w:color w:val="auto"/>
              </w:rPr>
            </w:pPr>
          </w:p>
        </w:tc>
        <w:tc>
          <w:tcPr>
            <w:tcW w:w="1020" w:type="dxa"/>
            <w:vAlign w:val="bottom"/>
            <w:gridSpan w:val="2"/>
            <w:vMerge w:val="continue"/>
            <w:shd w:val="clear" w:color="auto" w:fill="CCECFF"/>
          </w:tcPr>
          <w:p>
            <w:pPr>
              <w:spacing w:after="0"/>
              <w:rPr>
                <w:sz w:val="18"/>
                <w:szCs w:val="18"/>
                <w:color w:val="auto"/>
              </w:rPr>
            </w:pPr>
          </w:p>
        </w:tc>
        <w:tc>
          <w:tcPr>
            <w:tcW w:w="140" w:type="dxa"/>
            <w:vAlign w:val="bottom"/>
            <w:gridSpan w:val="2"/>
            <w:vMerge w:val="continue"/>
            <w:shd w:val="clear" w:color="auto" w:fill="CCECFF"/>
          </w:tcPr>
          <w:p>
            <w:pPr>
              <w:spacing w:after="0"/>
              <w:rPr>
                <w:sz w:val="18"/>
                <w:szCs w:val="18"/>
                <w:color w:val="auto"/>
              </w:rPr>
            </w:pPr>
          </w:p>
        </w:tc>
        <w:tc>
          <w:tcPr>
            <w:tcW w:w="1020" w:type="dxa"/>
            <w:vAlign w:val="bottom"/>
            <w:gridSpan w:val="2"/>
            <w:vMerge w:val="continue"/>
            <w:shd w:val="clear" w:color="auto" w:fill="CCECFF"/>
          </w:tcPr>
          <w:p>
            <w:pPr>
              <w:spacing w:after="0"/>
              <w:rPr>
                <w:sz w:val="18"/>
                <w:szCs w:val="18"/>
                <w:color w:val="auto"/>
              </w:rPr>
            </w:pPr>
          </w:p>
        </w:tc>
        <w:tc>
          <w:tcPr>
            <w:tcW w:w="140" w:type="dxa"/>
            <w:vAlign w:val="bottom"/>
            <w:gridSpan w:val="2"/>
            <w:vMerge w:val="continue"/>
            <w:shd w:val="clear" w:color="auto" w:fill="CCECFF"/>
          </w:tcPr>
          <w:p>
            <w:pPr>
              <w:spacing w:after="0"/>
              <w:rPr>
                <w:sz w:val="18"/>
                <w:szCs w:val="18"/>
                <w:color w:val="auto"/>
              </w:rPr>
            </w:pPr>
          </w:p>
        </w:tc>
        <w:tc>
          <w:tcPr>
            <w:tcW w:w="94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Income (loss) from discontinued operations attributable to Arrowhead</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CFF"/>
            </w:tcBorders>
            <w:gridSpan w:val="3"/>
          </w:tcPr>
          <w:p>
            <w:pPr>
              <w:ind w:left="360"/>
              <w:spacing w:after="0"/>
              <w:rPr>
                <w:sz w:val="20"/>
                <w:szCs w:val="20"/>
                <w:color w:val="auto"/>
              </w:rPr>
            </w:pPr>
            <w:r>
              <w:rPr>
                <w:rFonts w:ascii="Arial" w:cs="Arial" w:eastAsia="Arial" w:hAnsi="Arial"/>
                <w:sz w:val="16"/>
                <w:szCs w:val="16"/>
                <w:color w:val="auto"/>
              </w:rPr>
              <w:t>common shareholders</w:t>
            </w:r>
          </w:p>
        </w:tc>
        <w:tc>
          <w:tcPr>
            <w:tcW w:w="100" w:type="dxa"/>
            <w:vAlign w:val="bottom"/>
            <w:tcBorders>
              <w:bottom w:val="single" w:sz="8" w:color="CCEC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140" w:type="dxa"/>
            <w:vAlign w:val="bottom"/>
            <w:tcBorders>
              <w:bottom w:val="single" w:sz="8" w:color="CCECFF"/>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140" w:type="dxa"/>
            <w:vAlign w:val="bottom"/>
            <w:tcBorders>
              <w:bottom w:val="single" w:sz="8" w:color="CCECFF"/>
            </w:tcBorders>
            <w:gridSpan w:val="2"/>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140" w:type="dxa"/>
            <w:vAlign w:val="bottom"/>
            <w:tcBorders>
              <w:bottom w:val="single" w:sz="8" w:color="CCECFF"/>
            </w:tcBorders>
            <w:gridSpan w:val="2"/>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CFF"/>
            </w:tcBorders>
            <w:gridSpan w:val="3"/>
            <w:shd w:val="clear" w:color="auto" w:fill="CCECFF"/>
          </w:tcPr>
          <w:p>
            <w:pPr>
              <w:ind w:left="240"/>
              <w:spacing w:after="0"/>
              <w:rPr>
                <w:sz w:val="20"/>
                <w:szCs w:val="20"/>
                <w:color w:val="auto"/>
              </w:rPr>
            </w:pPr>
            <w:r>
              <w:rPr>
                <w:rFonts w:ascii="Arial" w:cs="Arial" w:eastAsia="Arial" w:hAnsi="Arial"/>
                <w:sz w:val="16"/>
                <w:szCs w:val="16"/>
                <w:color w:val="auto"/>
              </w:rPr>
              <w:t>Net Income (Loss) attributable to Arrowhead common shareholders</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(1.25)</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(1.30)</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(1.90)</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(0.44)</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EARNINGS PER SHARE (DILUTED):</w:t>
            </w: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7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Income (loss) from continuing operations attributable to Arrowhead</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6"/>
                <w:szCs w:val="16"/>
                <w:b w:val="1"/>
                <w:bCs w:val="1"/>
                <w:color w:val="auto"/>
              </w:rPr>
              <w:t>(1.60)</w:t>
            </w:r>
          </w:p>
        </w:tc>
        <w:tc>
          <w:tcPr>
            <w:tcW w:w="1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080" w:type="dxa"/>
            <w:vAlign w:val="bottom"/>
            <w:gridSpan w:val="2"/>
            <w:vMerge w:val="restart"/>
            <w:shd w:val="clear" w:color="auto" w:fill="CCECFF"/>
          </w:tcPr>
          <w:p>
            <w:pPr>
              <w:jc w:val="right"/>
              <w:ind w:right="80"/>
              <w:spacing w:after="0"/>
              <w:rPr>
                <w:sz w:val="20"/>
                <w:szCs w:val="20"/>
                <w:color w:val="auto"/>
              </w:rPr>
            </w:pPr>
            <w:r>
              <w:rPr>
                <w:rFonts w:ascii="Arial" w:cs="Arial" w:eastAsia="Arial" w:hAnsi="Arial"/>
                <w:sz w:val="16"/>
                <w:szCs w:val="16"/>
                <w:b w:val="1"/>
                <w:bCs w:val="1"/>
                <w:color w:val="auto"/>
              </w:rPr>
              <w:t>(1.25)</w:t>
            </w:r>
          </w:p>
        </w:tc>
        <w:tc>
          <w:tcPr>
            <w:tcW w:w="100" w:type="dxa"/>
            <w:vAlign w:val="bottom"/>
            <w:vMerge w:val="restart"/>
            <w:shd w:val="clear" w:color="auto" w:fill="CCECFF"/>
          </w:tcPr>
          <w:p>
            <w:pPr>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(1.30)</w:t>
            </w:r>
          </w:p>
        </w:tc>
        <w:tc>
          <w:tcPr>
            <w:tcW w:w="1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(1.90)</w:t>
            </w:r>
          </w:p>
        </w:tc>
        <w:tc>
          <w:tcPr>
            <w:tcW w:w="1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80" w:type="dxa"/>
            <w:vAlign w:val="bottom"/>
            <w:gridSpan w:val="3"/>
            <w:shd w:val="clear" w:color="auto" w:fill="CCECFF"/>
          </w:tcPr>
          <w:p>
            <w:pPr>
              <w:ind w:left="360"/>
              <w:spacing w:after="0"/>
              <w:rPr>
                <w:sz w:val="20"/>
                <w:szCs w:val="20"/>
                <w:color w:val="auto"/>
              </w:rPr>
            </w:pPr>
            <w:r>
              <w:rPr>
                <w:rFonts w:ascii="Arial" w:cs="Arial" w:eastAsia="Arial" w:hAnsi="Arial"/>
                <w:sz w:val="16"/>
                <w:szCs w:val="16"/>
                <w:color w:val="auto"/>
              </w:rPr>
              <w:t>common shareholders</w:t>
            </w:r>
          </w:p>
        </w:tc>
        <w:tc>
          <w:tcPr>
            <w:tcW w:w="100" w:type="dxa"/>
            <w:vAlign w:val="bottom"/>
            <w:vMerge w:val="continue"/>
            <w:shd w:val="clear" w:color="auto" w:fill="CCECFF"/>
          </w:tcPr>
          <w:p>
            <w:pPr>
              <w:spacing w:after="0"/>
              <w:rPr>
                <w:sz w:val="18"/>
                <w:szCs w:val="18"/>
                <w:color w:val="auto"/>
              </w:rPr>
            </w:pPr>
          </w:p>
        </w:tc>
        <w:tc>
          <w:tcPr>
            <w:tcW w:w="1040" w:type="dxa"/>
            <w:vAlign w:val="bottom"/>
            <w:gridSpan w:val="2"/>
            <w:vMerge w:val="continue"/>
            <w:shd w:val="clear" w:color="auto" w:fill="CCECFF"/>
          </w:tcPr>
          <w:p>
            <w:pPr>
              <w:spacing w:after="0"/>
              <w:rPr>
                <w:sz w:val="18"/>
                <w:szCs w:val="18"/>
                <w:color w:val="auto"/>
              </w:rPr>
            </w:pPr>
          </w:p>
        </w:tc>
        <w:tc>
          <w:tcPr>
            <w:tcW w:w="140" w:type="dxa"/>
            <w:vAlign w:val="bottom"/>
            <w:gridSpan w:val="2"/>
            <w:vMerge w:val="continue"/>
            <w:shd w:val="clear" w:color="auto" w:fill="CCECFF"/>
          </w:tcPr>
          <w:p>
            <w:pPr>
              <w:spacing w:after="0"/>
              <w:rPr>
                <w:sz w:val="18"/>
                <w:szCs w:val="18"/>
                <w:color w:val="auto"/>
              </w:rPr>
            </w:pPr>
          </w:p>
        </w:tc>
        <w:tc>
          <w:tcPr>
            <w:tcW w:w="1080" w:type="dxa"/>
            <w:vAlign w:val="bottom"/>
            <w:gridSpan w:val="2"/>
            <w:vMerge w:val="continue"/>
            <w:shd w:val="clear" w:color="auto" w:fill="CCECFF"/>
          </w:tcPr>
          <w:p>
            <w:pPr>
              <w:spacing w:after="0"/>
              <w:rPr>
                <w:sz w:val="18"/>
                <w:szCs w:val="18"/>
                <w:color w:val="auto"/>
              </w:rPr>
            </w:pPr>
          </w:p>
        </w:tc>
        <w:tc>
          <w:tcPr>
            <w:tcW w:w="100" w:type="dxa"/>
            <w:vAlign w:val="bottom"/>
            <w:vMerge w:val="continue"/>
            <w:shd w:val="clear" w:color="auto" w:fill="CCECFF"/>
          </w:tcPr>
          <w:p>
            <w:pPr>
              <w:spacing w:after="0"/>
              <w:rPr>
                <w:sz w:val="18"/>
                <w:szCs w:val="18"/>
                <w:color w:val="auto"/>
              </w:rPr>
            </w:pPr>
          </w:p>
        </w:tc>
        <w:tc>
          <w:tcPr>
            <w:tcW w:w="1020" w:type="dxa"/>
            <w:vAlign w:val="bottom"/>
            <w:gridSpan w:val="2"/>
            <w:vMerge w:val="continue"/>
            <w:shd w:val="clear" w:color="auto" w:fill="CCECFF"/>
          </w:tcPr>
          <w:p>
            <w:pPr>
              <w:spacing w:after="0"/>
              <w:rPr>
                <w:sz w:val="18"/>
                <w:szCs w:val="18"/>
                <w:color w:val="auto"/>
              </w:rPr>
            </w:pPr>
          </w:p>
        </w:tc>
        <w:tc>
          <w:tcPr>
            <w:tcW w:w="140" w:type="dxa"/>
            <w:vAlign w:val="bottom"/>
            <w:gridSpan w:val="2"/>
            <w:vMerge w:val="continue"/>
            <w:shd w:val="clear" w:color="auto" w:fill="CCECFF"/>
          </w:tcPr>
          <w:p>
            <w:pPr>
              <w:spacing w:after="0"/>
              <w:rPr>
                <w:sz w:val="18"/>
                <w:szCs w:val="18"/>
                <w:color w:val="auto"/>
              </w:rPr>
            </w:pPr>
          </w:p>
        </w:tc>
        <w:tc>
          <w:tcPr>
            <w:tcW w:w="1020" w:type="dxa"/>
            <w:vAlign w:val="bottom"/>
            <w:gridSpan w:val="2"/>
            <w:vMerge w:val="continue"/>
            <w:shd w:val="clear" w:color="auto" w:fill="CCECFF"/>
          </w:tcPr>
          <w:p>
            <w:pPr>
              <w:spacing w:after="0"/>
              <w:rPr>
                <w:sz w:val="18"/>
                <w:szCs w:val="18"/>
                <w:color w:val="auto"/>
              </w:rPr>
            </w:pPr>
          </w:p>
        </w:tc>
        <w:tc>
          <w:tcPr>
            <w:tcW w:w="140" w:type="dxa"/>
            <w:vAlign w:val="bottom"/>
            <w:gridSpan w:val="2"/>
            <w:vMerge w:val="continue"/>
            <w:shd w:val="clear" w:color="auto" w:fill="CCECFF"/>
          </w:tcPr>
          <w:p>
            <w:pPr>
              <w:spacing w:after="0"/>
              <w:rPr>
                <w:sz w:val="18"/>
                <w:szCs w:val="18"/>
                <w:color w:val="auto"/>
              </w:rPr>
            </w:pPr>
          </w:p>
        </w:tc>
        <w:tc>
          <w:tcPr>
            <w:tcW w:w="940" w:type="dxa"/>
            <w:vAlign w:val="bottom"/>
            <w:gridSpan w:val="2"/>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Income (loss) from discontinued operations attributable to Arrowhead</w:t>
            </w: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CFF"/>
            </w:tcBorders>
            <w:gridSpan w:val="3"/>
          </w:tcPr>
          <w:p>
            <w:pPr>
              <w:ind w:left="360"/>
              <w:spacing w:after="0"/>
              <w:rPr>
                <w:sz w:val="20"/>
                <w:szCs w:val="20"/>
                <w:color w:val="auto"/>
              </w:rPr>
            </w:pPr>
            <w:r>
              <w:rPr>
                <w:rFonts w:ascii="Arial" w:cs="Arial" w:eastAsia="Arial" w:hAnsi="Arial"/>
                <w:sz w:val="16"/>
                <w:szCs w:val="16"/>
                <w:color w:val="auto"/>
              </w:rPr>
              <w:t>common shareholders</w:t>
            </w:r>
          </w:p>
        </w:tc>
        <w:tc>
          <w:tcPr>
            <w:tcW w:w="100" w:type="dxa"/>
            <w:vAlign w:val="bottom"/>
            <w:tcBorders>
              <w:bottom w:val="single" w:sz="8" w:color="CCEC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140" w:type="dxa"/>
            <w:vAlign w:val="bottom"/>
            <w:tcBorders>
              <w:bottom w:val="single" w:sz="8" w:color="CCECFF"/>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140" w:type="dxa"/>
            <w:vAlign w:val="bottom"/>
            <w:tcBorders>
              <w:bottom w:val="single" w:sz="8" w:color="CCECFF"/>
            </w:tcBorders>
            <w:gridSpan w:val="2"/>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140" w:type="dxa"/>
            <w:vAlign w:val="bottom"/>
            <w:tcBorders>
              <w:bottom w:val="single" w:sz="8" w:color="CCECFF"/>
            </w:tcBorders>
            <w:gridSpan w:val="2"/>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CFF"/>
            </w:tcBorders>
            <w:gridSpan w:val="3"/>
            <w:shd w:val="clear" w:color="auto" w:fill="CCECFF"/>
          </w:tcPr>
          <w:p>
            <w:pPr>
              <w:ind w:left="240"/>
              <w:spacing w:after="0"/>
              <w:rPr>
                <w:sz w:val="20"/>
                <w:szCs w:val="20"/>
                <w:color w:val="auto"/>
              </w:rPr>
            </w:pPr>
            <w:r>
              <w:rPr>
                <w:rFonts w:ascii="Arial" w:cs="Arial" w:eastAsia="Arial" w:hAnsi="Arial"/>
                <w:sz w:val="16"/>
                <w:szCs w:val="16"/>
                <w:color w:val="auto"/>
              </w:rPr>
              <w:t>Net Income (Loss) attributable to Arrowhead common shareholders</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(1.25)</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(1.30)</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(1.90)</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(0.40)</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Weighted average shares outstanding - basic</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57,358,442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46,933,030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24,002,224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11,129,766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7,181,121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Weighted average shares outstanding - diluted</w:t>
            </w: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57,358,442</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46,933,030</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24,002,224</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11,129,766</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7,830,407</w:t>
            </w:r>
          </w:p>
        </w:tc>
        <w:tc>
          <w:tcPr>
            <w:tcW w:w="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700" w:type="dxa"/>
            <w:vAlign w:val="bottom"/>
            <w:gridSpan w:val="4"/>
          </w:tcPr>
          <w:p>
            <w:pPr>
              <w:spacing w:after="0"/>
              <w:rPr>
                <w:sz w:val="20"/>
                <w:szCs w:val="20"/>
                <w:color w:val="auto"/>
              </w:rPr>
            </w:pPr>
            <w:r>
              <w:rPr>
                <w:rFonts w:ascii="Arial" w:cs="Arial" w:eastAsia="Arial" w:hAnsi="Arial"/>
                <w:sz w:val="16"/>
                <w:szCs w:val="16"/>
                <w:b w:val="1"/>
                <w:bCs w:val="1"/>
                <w:color w:val="auto"/>
              </w:rPr>
              <w:t>CASH DIVDEND PAID PER COMMON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FINANCIAL POSITION SUMMARY</w:t>
            </w:r>
          </w:p>
        </w:tc>
        <w:tc>
          <w:tcPr>
            <w:tcW w:w="30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6"/>
                <w:szCs w:val="16"/>
                <w:b w:val="1"/>
                <w:bCs w:val="1"/>
                <w:color w:val="auto"/>
              </w:rPr>
              <w:t>CASH AND CASH EQUIVALENTS (b)</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81,214,354</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132,510,610</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19,114,444</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3,377,288</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7,507,389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SHORT- AND LONG-TERM INVESTMENTS (b)</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17,539,902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44,741,378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10,732,414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106,500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634,585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6"/>
                <w:szCs w:val="16"/>
                <w:b w:val="1"/>
                <w:bCs w:val="1"/>
                <w:color w:val="auto"/>
              </w:rPr>
              <w:t>TOTAL ASSETS (b)</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132,267,914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182,816,756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37,329,631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16,527,818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15,888,563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CAPITAL LEASE OBLIGATIONS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758,340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972,331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1,282,458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1,497,259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6"/>
                <w:szCs w:val="16"/>
                <w:b w:val="1"/>
                <w:bCs w:val="1"/>
                <w:color w:val="auto"/>
              </w:rPr>
              <w:t>OTHER LONG-TERM OBLIGATIONS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6,204,917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4,226,137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1,808,709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1,108,563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742,446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right="80" w:hanging="374"/>
        <w:spacing w:after="0" w:line="253"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our Total Operating Expenses during the year ended September 30, 2015 is primarily due to the progress achieved on our lead clinical candidate for HBV, ARC-520. The primary costs incurred during fiscal year 2015 related to manufacturing of clinical supplies for the ARC-520 phase 2b clinical trial, toxicology studies, and the cost associated with the administration of the clinical trials. Additionally, the Company incurred a $10.1 million expense related to the acquisition of in-process research and development from the Novartis asset acquisition in March 2015.</w:t>
      </w:r>
    </w:p>
    <w:p>
      <w:pPr>
        <w:spacing w:after="0" w:line="3" w:lineRule="exact"/>
        <w:rPr>
          <w:rFonts w:ascii="Arial" w:cs="Arial" w:eastAsia="Arial" w:hAnsi="Arial"/>
          <w:sz w:val="18"/>
          <w:szCs w:val="18"/>
          <w:color w:val="auto"/>
        </w:rPr>
      </w:pPr>
    </w:p>
    <w:p>
      <w:pPr>
        <w:ind w:left="760" w:right="600" w:hanging="374"/>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decrease in Cash and Cash Equivalents, Short- and Long-Term Investments, and Total Assets as of September 30, 2015 as compared to September 30, 2014, primarily relates to expenditures discussed above.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1" w:name="page52"/>
    <w:bookmarkEnd w:id="51"/>
    <w:p>
      <w:pPr>
        <w:ind w:right="10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Description of Business</w:t>
      </w:r>
    </w:p>
    <w:p>
      <w:pPr>
        <w:ind w:firstLine="518"/>
        <w:spacing w:after="0" w:line="276" w:lineRule="auto"/>
        <w:rPr>
          <w:sz w:val="20"/>
          <w:szCs w:val="20"/>
          <w:color w:val="auto"/>
        </w:rPr>
      </w:pPr>
      <w:r>
        <w:rPr>
          <w:rFonts w:ascii="Arial" w:cs="Arial" w:eastAsia="Arial" w:hAnsi="Arial"/>
          <w:sz w:val="17"/>
          <w:szCs w:val="17"/>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the term “Stockholder(s)” refers to the holders of Arrowhead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Arrowhead Research develops novel drugs to treat intractable diseases by silencing the genes that cause them. Using the industry’s broadest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to target and shut down specific disease causing genes.</w:t>
      </w:r>
    </w:p>
    <w:p>
      <w:pPr>
        <w:spacing w:after="0" w:line="178"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Arrowhead operates lab facilities in Madison and Middleton, Wisconsin, where the Company’s research and development activities, including the development of RNAi therapeutics, are based. The Company’s principal executive offices are located in Pasadena, California.</w:t>
      </w:r>
    </w:p>
    <w:p>
      <w:pPr>
        <w:spacing w:after="0" w:line="14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During fiscal year 2015, the Company continued to develop its lead clinical candidate, ARC-520, for the treatment of chronic hepatitis B as well as its second clinical candidate, ARC-AAT, an RNAi therapeutic designed to treat liver disease associated with Alpha-1 antitrypsin deficiency (AATD). The Company continued its Phase 2 studies in ARC-520, with no dose-limiting toxicities or serious adverse events having been observed to date. The Company submitted an Investigational New Drug application to the FDA in December 2014 for ARC-520 to initiate phase 2b multi-dose studies to determine the depth of hepatitis B surface antigen (HBsAg) reduction following ARC-520 injection. The Company received feedback from the FDA, and based on that feedback the Company adjusted the protocol in order to begin the trial. In April 2015, the application was approved by the FDA. In June 2015, the Company received regulatory clearance in Germany for two additional Phase 2b multiple-dose studies of ARC-520 to be conducted in parallel, and also expects to file with additional Australian, Asian and European agencies to begin additional phase 2 studies.</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May 2015, the Company completed protocol-required dosing of healthy volunteers in an on-going phase 1 study of ARC-AAT, and in July 2015, initiated dosing of patients in Part B of that same study. The study recently received regulatory clearance in the United Kingdom, Germany and New Zealand, and is currently recruiting patients at several sites in those countries. In June 2015, ARC-AAT was granted orphan drug designation by the FDA.</w:t>
      </w:r>
    </w:p>
    <w:p>
      <w:pPr>
        <w:spacing w:after="0" w:line="3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fiscal year 2015, the Company expanded its candidate pipeline by nominating several additional pre-clinical candidates including: ARC-F12, a treatment for factor 12 (F12) mediated angioedemic and thromboembolic diseases, ARC-HIF2, a treatment for clear cell renal cell carcinoma (ccRCC), and ARC-521, a complementary candidate to ARC-520 for the treatment of chronic hepatitis B infection.</w:t>
      </w:r>
    </w:p>
    <w:p>
      <w:pPr>
        <w:spacing w:after="0" w:line="18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In March 2015, the Company completed the acquisition of Novartis’ entire RNAi research and development portfolio and associated assets. The acquisition included assignment of certain patents and patent applications owned or controlled by Novartis related to RNAi therapeutics, an exclusive license in the RNAi field to other patents and patent applications owned or controlled by Novartis, assignment of a third party license, three pre-clinical RNAi candidates, and other related assets. This acquisition is expected to significantly expand the Company’s RNAi capabilities as the assets are integrated.</w:t>
      </w:r>
    </w:p>
    <w:p>
      <w:pPr>
        <w:spacing w:after="0" w:line="4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including intravenously-administered therapeutics targeting gene knockdown in the liver, as well as formulations for administering RNAi-based therapeutics by subcutaneous administration. Clinical candidates are tested internally and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if the clinical candidates progress through human testing, program costs will increase.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right="420" w:firstLine="518"/>
        <w:spacing w:after="0" w:line="308" w:lineRule="auto"/>
        <w:rPr>
          <w:sz w:val="20"/>
          <w:szCs w:val="20"/>
          <w:color w:val="auto"/>
        </w:rPr>
      </w:pPr>
      <w:r>
        <w:rPr>
          <w:rFonts w:ascii="Arial" w:cs="Arial" w:eastAsia="Arial" w:hAnsi="Arial"/>
          <w:sz w:val="17"/>
          <w:szCs w:val="17"/>
          <w:color w:val="auto"/>
        </w:rPr>
        <w:t>Net losses were $91.9 million, $58.7 million and $31.7 million during the years ended September 30, 2015, 2014 and 2013, respectively. Diluted losses per share were $1.60, $1.25 and $1.30 during the years ended September 30, 2015, 2014 and 2013, respectively.</w:t>
      </w:r>
    </w:p>
    <w:p>
      <w:pPr>
        <w:spacing w:after="0" w:line="14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strengthened its liquidity and financial position through two securities offerings completed in October 2013 and February 2014 which generated approximately $172.6 million of cash proceeds for the Company. These cash proceeds secured the funding needed to advance both ARC-520 and ARC-AAT into clinical trials and will also assist as the Company expands its pipeline of other clinical candidates. The Company had $81.2 million of cash and cash equivalents and $132.3 million of total assets as of September 30, 2015 as compared to $132.5 million and $182.8 million as of September 30, 2014, respectively.</w:t>
      </w:r>
    </w:p>
    <w:p>
      <w:pPr>
        <w:spacing w:after="0" w:line="188" w:lineRule="exact"/>
        <w:rPr>
          <w:sz w:val="20"/>
          <w:szCs w:val="20"/>
          <w:color w:val="auto"/>
        </w:rPr>
      </w:pPr>
    </w:p>
    <w:p>
      <w:pPr>
        <w:ind w:right="100" w:firstLine="518"/>
        <w:spacing w:after="0" w:line="270" w:lineRule="auto"/>
        <w:rPr>
          <w:sz w:val="20"/>
          <w:szCs w:val="20"/>
          <w:color w:val="auto"/>
        </w:rPr>
      </w:pPr>
      <w:r>
        <w:rPr>
          <w:rFonts w:ascii="Arial" w:cs="Arial" w:eastAsia="Arial" w:hAnsi="Arial"/>
          <w:sz w:val="18"/>
          <w:szCs w:val="18"/>
          <w:color w:val="auto"/>
        </w:rPr>
        <w:t>The increased operating expenses and net losses and decrease in cash and cash equivalents and total assets reflects expenditures associated with the Company’s research and development efforts for its clinical candidates and pipeline, as well as cash paid for the Novartis RNAi assets acquired. Based upon the Company’s current cash resources and operating plan, the Company expects to have sufficient liquidity to fund operations for at least the next twelve months.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 Acquisition</w:t>
      </w:r>
    </w:p>
    <w:p>
      <w:pPr>
        <w:spacing w:after="0" w:line="225"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On March 3, 2015, the Company entered into an Asset Purchase and Exclusive License Agreement (the “RNAi Purchase Agreement”) with Novartis Institutes for BioMedical Research, Inc., a Delaware corporation (“Novartis”), pursuant to which the Company acquired Novartis’ RNAi assets and rights thereunder. Pursuant to the Agreement, the Company acquired or licensed certain patents and patent applications owned or controlled by Novartis related to RNAi therapeutics, assignment of a third-party license, rights to three pre-clinical RNAi candidates, and other related assets (collectively, the “Purchased Assets”). The acquisition of the Purchased Assets closed on March 3, 2015, concurrent with execution of the Agreement (the “Closing”). The Company accounted for this transaction as an acquisition of RNAi assets, including patents, a third-party license and in process research and development for the pre-clinical candidates. The allocation of the purchase price to each asset was determined by estimating the relative fair value of each asset acquired and applying that to the total cost of the acquisition for the Company. The Company capitalized the patents and license acquired as Intangible Assets as they require no future development and will have alternative future uses as the Company expands its RNAi capabilities. The Company expensed the portion of the purchase consideration allocated to the pre-clinical candidates as they will require future development in order to be commercialized. This expense is recorded in the “Acquired in-process research and development” line item of the Consolidated Statements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For performance-based stock awards, the value of the award is measured at the grant date.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Year ended September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3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35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290,266</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(95,973,976)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(53,276,286)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(24,589,276)</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(91,940,882)</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(58,725,412)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(31,703,079)</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(91,940,882)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(58,725,412)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(31,703,433)</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(Basic and Diluted)</w:t>
            </w:r>
          </w:p>
        </w:tc>
        <w:tc>
          <w:tcPr>
            <w:tcW w:w="11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w:t>
            </w:r>
          </w:p>
        </w:tc>
        <w:tc>
          <w:tcPr>
            <w:tcW w:w="5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r>
    </w:tbl>
    <w:p>
      <w:pPr>
        <w:spacing w:after="0" w:line="20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increase in our Total Operating Expenses during the year ended September 30, 2015 is primarily due to the progress achieved on our lead clinical candidate for HBV, ARC-520. The primary costs incurred during fiscal year 2015 related to manufacturing of clinical supplies for the ARC-520 phase 2b clinical trial, toxicology studies, and the cost associated with the administration of the clinical trials. Additionally, the Company incurred a $10.1 million expense related to the acquisition of in-process research and development from Novartis in March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Comparison for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Total revenue was $382,000 for the year ended September 30, 2015 and $175,000 for the year ended September 30, 2014. Revenue is primarily related to licensed technology. In addition, the Company had collaboration revenue of $160,000 during the year ended September 30,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2015 and 2014 are shown in the tables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and development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Twelve</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Twelve</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Months Ended</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of Total</w:t>
            </w:r>
          </w:p>
        </w:tc>
        <w:tc>
          <w:tcPr>
            <w:tcW w:w="280" w:type="dxa"/>
            <w:vAlign w:val="bottom"/>
            <w:tcBorders>
              <w:bottom w:val="single" w:sz="8" w:color="B6EAFC"/>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2014</w:t>
            </w:r>
          </w:p>
        </w:tc>
        <w:tc>
          <w:tcPr>
            <w:tcW w:w="22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Increase (Decrease)</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2,071</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(202)</w:t>
            </w: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6,306</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21,431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9,142</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12,289</w:t>
            </w:r>
          </w:p>
        </w:tc>
        <w:tc>
          <w:tcPr>
            <w:tcW w:w="22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2,627</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10,702</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(31)</w:t>
            </w: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2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23,138</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24,129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Laboratory supplies and services expense increased $460,000 from $2,071,000 during the year ended September 30, 2014 to $2,531,000 during the current period. The increase in laboratory supplies and services is a result of additional supplies necessary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support increased efforts in pre-clinical research as the Company supports ongoing clinical efforts and accelerates efforts to identify new clinical candidates.</w:t>
      </w:r>
    </w:p>
    <w:p>
      <w:pPr>
        <w:spacing w:after="0" w:line="248"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In vivo studies expense increased $332,000 from $224,000 during the year ended September 30, 2014 to $556,000 during the current period. In vivo expense can vary depending on the stage of preclinical candidates, the nature and amount of testing required and the varying costs of different in vivo testing models. The expense in both periods relates to studies in connection with the development of new clinical candidates. During fiscal year 2015, the Company expanded its candidate pipeline which resulted in additional studies conducted.</w:t>
      </w:r>
    </w:p>
    <w:p>
      <w:pPr>
        <w:spacing w:after="0" w:line="187"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Outside labs and contract services expense decreased $202,000 from $691,000 during the year ended September 30, 2014 to $489,000 during the current period. The decrease in the current period primarily relates to a one-time fee paid in the prior year related to access to a certain animal study.</w:t>
      </w:r>
    </w:p>
    <w:p>
      <w:pPr>
        <w:spacing w:after="0" w:line="12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Toxicity/efficacy studies expense increased $266,000 from $6,306,000 during the year ended September 30, 2014 to $6,572,000 during the current period. This category includes IND-enabling toxicology studies, post-IND toxicology studies, such as long-term toxicology studies, and other efficacy studies. The full-year expense primarily relates to IND-enabling toxicology studies related to ARC-AAT, on-going long-term toxicology studies to support later clinical trials, and studies related to ARC-520 to support our anticipated phase 2b clinical trial. These amounts can vary quarter to quarter based on stage of development.</w:t>
      </w:r>
    </w:p>
    <w:p>
      <w:pPr>
        <w:spacing w:after="0" w:line="18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Drug manufacturing expense increased $12,289,000 from $9,142,000 during the year ended September 30, 2014 to $21,431,000 during the current period. The current period expense primarily relates to drug manufacturing to supply toxicology studies for our ARC-520 Phase 2b clinical trials and clinical supplies for the ARC-520 Phase 2b clinical trial. The manufacturing campaign for the Phase 2b clinical trial for ARC-520 is largely complete, however, as other clinical candidates are nominated, and as other clinical trials advance, further expenditures will be incurred.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Clinical trials expense increased $10,702,000 from $2,627,000 during the year ended September 30, 2014 to $13,329,000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The increase is primarily driven by costs incurred in preparation for our anticipated phase 2b clinical trial for ARC-520. We are also incurring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fiscal 2015 related to our clinical trial for our second clinical candidate ARC-AAT. We expect clinical trial expenses to increase further in fiscal year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enrollment in our clinical trials increases.</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License, royalty and milestones expense was consistent at $1,096,000 during the year ended September 30, 2014 and $1,065,000 during the current period. This category can include milestone payments which can vary from period to period depending on the nature of our various license agreements, and the timing of reaching various development milestones requiring payment. We reached milestones related to our clinical candidates that required a $1 million payment in each period.</w:t>
      </w:r>
    </w:p>
    <w:p>
      <w:pPr>
        <w:spacing w:after="0" w:line="187"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Facilities expense increased $96,000 from $881,000 during the year ended September 30, 2014 to $977,000 during the current period. The increase relates to higher rent in our Madison facility somewhat offset by lower repairs and maintenance costs on our lab equipment.</w:t>
      </w:r>
    </w:p>
    <w:p>
      <w:pPr>
        <w:spacing w:after="0" w:line="147"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Other research expense increased $217,000 from $100,000 during the year ended September 30, 2014 to $317,000 during the current period. The increase in the current period primarily relates to costs associated with a collaboration agreement to identify muscle targeting peptide molecules in fiscal 2015, for which the Company has been reimbursed from its collaboration partner.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Salary and Payroll-Related Expenses</w:t>
      </w:r>
    </w:p>
    <w:p>
      <w:pPr>
        <w:spacing w:after="0" w:line="117" w:lineRule="exact"/>
        <w:rPr>
          <w:sz w:val="20"/>
          <w:szCs w:val="20"/>
          <w:color w:val="auto"/>
        </w:rPr>
      </w:pPr>
    </w:p>
    <w:p>
      <w:pPr>
        <w:ind w:right="48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facilities.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Twelve months</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Twelve months</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Ended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Ended</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B6EAFC"/>
            </w:tcBorders>
          </w:tcPr>
          <w:p>
            <w:pPr>
              <w:spacing w:after="0"/>
              <w:rPr>
                <w:sz w:val="16"/>
                <w:szCs w:val="16"/>
                <w:color w:val="auto"/>
              </w:rPr>
            </w:pPr>
          </w:p>
        </w:tc>
        <w:tc>
          <w:tcPr>
            <w:tcW w:w="30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1"/>
              </w:rPr>
              <w:t>September 30, 2015</w:t>
            </w:r>
          </w:p>
        </w:tc>
        <w:tc>
          <w:tcPr>
            <w:tcW w:w="180" w:type="dxa"/>
            <w:vAlign w:val="bottom"/>
            <w:tcBorders>
              <w:bottom w:val="single" w:sz="8" w:color="B6EAFC"/>
            </w:tcBorders>
          </w:tcPr>
          <w:p>
            <w:pPr>
              <w:spacing w:after="0"/>
              <w:rPr>
                <w:sz w:val="16"/>
                <w:szCs w:val="16"/>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95"/>
              </w:rPr>
              <w:t>% of Total</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1"/>
              </w:rPr>
              <w:t>September 30, 2014</w:t>
            </w:r>
          </w:p>
        </w:tc>
        <w:tc>
          <w:tcPr>
            <w:tcW w:w="180" w:type="dxa"/>
            <w:vAlign w:val="bottom"/>
            <w:tcBorders>
              <w:bottom w:val="single" w:sz="8" w:color="B6EAFC"/>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 of Total</w:t>
            </w:r>
          </w:p>
        </w:tc>
        <w:tc>
          <w:tcPr>
            <w:tcW w:w="260" w:type="dxa"/>
            <w:vAlign w:val="bottom"/>
            <w:tcBorders>
              <w:bottom w:val="single" w:sz="8" w:color="B6EA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Increase (Decrease)</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4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11,605</w:t>
            </w:r>
          </w:p>
        </w:tc>
        <w:tc>
          <w:tcPr>
            <w:tcW w:w="180" w:type="dxa"/>
            <w:vAlign w:val="bottom"/>
            <w:shd w:val="clear" w:color="auto" w:fill="B6EAFC"/>
          </w:tcPr>
          <w:p>
            <w:pPr>
              <w:spacing w:after="0"/>
              <w:rPr>
                <w:sz w:val="18"/>
                <w:szCs w:val="18"/>
                <w:color w:val="auto"/>
              </w:rPr>
            </w:pPr>
          </w:p>
        </w:tc>
        <w:tc>
          <w:tcPr>
            <w:tcW w:w="94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7,828</w:t>
            </w:r>
          </w:p>
        </w:tc>
        <w:tc>
          <w:tcPr>
            <w:tcW w:w="180" w:type="dxa"/>
            <w:vAlign w:val="bottom"/>
            <w:shd w:val="clear" w:color="auto" w:fill="B6EAFC"/>
          </w:tcPr>
          <w:p>
            <w:pPr>
              <w:spacing w:after="0"/>
              <w:rPr>
                <w:sz w:val="18"/>
                <w:szCs w:val="18"/>
                <w:color w:val="auto"/>
              </w:rPr>
            </w:pPr>
          </w:p>
        </w:tc>
        <w:tc>
          <w:tcPr>
            <w:tcW w:w="14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61%</w:t>
            </w:r>
          </w:p>
        </w:tc>
        <w:tc>
          <w:tcPr>
            <w:tcW w:w="400" w:type="dxa"/>
            <w:vAlign w:val="bottom"/>
            <w:shd w:val="clear" w:color="auto" w:fill="B6EAFC"/>
          </w:tcPr>
          <w:p>
            <w:pPr>
              <w:jc w:val="right"/>
              <w:ind w:right="2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3,777</w:t>
            </w:r>
          </w:p>
        </w:tc>
        <w:tc>
          <w:tcPr>
            <w:tcW w:w="200" w:type="dxa"/>
            <w:vAlign w:val="bottom"/>
            <w:shd w:val="clear" w:color="auto" w:fill="B6EAFC"/>
          </w:tcPr>
          <w:p>
            <w:pPr>
              <w:spacing w:after="0"/>
              <w:rPr>
                <w:sz w:val="18"/>
                <w:szCs w:val="18"/>
                <w:color w:val="auto"/>
              </w:rPr>
            </w:pPr>
          </w:p>
        </w:tc>
        <w:tc>
          <w:tcPr>
            <w:tcW w:w="80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5,001</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(52)</w:t>
            </w: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18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B6EAFC"/>
            </w:tcBorders>
            <w:shd w:val="clear" w:color="auto" w:fill="B6EA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vMerge w:val="continue"/>
            <w:shd w:val="clear" w:color="auto" w:fill="B6EAFC"/>
          </w:tcPr>
          <w:p>
            <w:pPr>
              <w:spacing w:after="0"/>
              <w:rPr>
                <w:sz w:val="18"/>
                <w:szCs w:val="18"/>
                <w:color w:val="auto"/>
              </w:rPr>
            </w:pPr>
          </w:p>
        </w:tc>
        <w:tc>
          <w:tcPr>
            <w:tcW w:w="4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16,554</w:t>
            </w:r>
          </w:p>
        </w:tc>
        <w:tc>
          <w:tcPr>
            <w:tcW w:w="180" w:type="dxa"/>
            <w:vAlign w:val="bottom"/>
            <w:shd w:val="clear" w:color="auto" w:fill="B6EAFC"/>
          </w:tcPr>
          <w:p>
            <w:pPr>
              <w:spacing w:after="0"/>
              <w:rPr>
                <w:sz w:val="18"/>
                <w:szCs w:val="18"/>
                <w:color w:val="auto"/>
              </w:rPr>
            </w:pPr>
          </w:p>
        </w:tc>
        <w:tc>
          <w:tcPr>
            <w:tcW w:w="94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12,829</w:t>
            </w:r>
          </w:p>
        </w:tc>
        <w:tc>
          <w:tcPr>
            <w:tcW w:w="180" w:type="dxa"/>
            <w:vAlign w:val="bottom"/>
            <w:shd w:val="clear" w:color="auto" w:fill="B6EAFC"/>
          </w:tcPr>
          <w:p>
            <w:pPr>
              <w:spacing w:after="0"/>
              <w:rPr>
                <w:sz w:val="18"/>
                <w:szCs w:val="18"/>
                <w:color w:val="auto"/>
              </w:rPr>
            </w:pPr>
          </w:p>
        </w:tc>
        <w:tc>
          <w:tcPr>
            <w:tcW w:w="148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B6EAFC"/>
          </w:tcPr>
          <w:p>
            <w:pPr>
              <w:jc w:val="right"/>
              <w:ind w:right="2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3,725</w:t>
            </w:r>
          </w:p>
        </w:tc>
        <w:tc>
          <w:tcPr>
            <w:tcW w:w="200" w:type="dxa"/>
            <w:vAlign w:val="bottom"/>
            <w:shd w:val="clear" w:color="auto" w:fill="B6EAFC"/>
          </w:tcPr>
          <w:p>
            <w:pPr>
              <w:spacing w:after="0"/>
              <w:rPr>
                <w:sz w:val="18"/>
                <w:szCs w:val="18"/>
                <w:color w:val="auto"/>
              </w:rPr>
            </w:pPr>
          </w:p>
        </w:tc>
        <w:tc>
          <w:tcPr>
            <w:tcW w:w="80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440" w:firstLine="518"/>
        <w:spacing w:after="0" w:line="277" w:lineRule="auto"/>
        <w:rPr>
          <w:sz w:val="20"/>
          <w:szCs w:val="20"/>
          <w:color w:val="auto"/>
        </w:rPr>
      </w:pPr>
      <w:r>
        <w:rPr>
          <w:rFonts w:ascii="Arial" w:cs="Arial" w:eastAsia="Arial" w:hAnsi="Arial"/>
          <w:sz w:val="18"/>
          <w:szCs w:val="18"/>
          <w:color w:val="auto"/>
        </w:rPr>
        <w:t>R&amp;D compensation expense increased $3,777,000 from $7,828,000 during the year ended September 30, 2014 to $11,605,000 during the current period. An increase in headcount accounted for the majority of the change in compensation-related expense.</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G&amp;A compensation expense was consistent at $5,001,000 during the year ended September 30, 2014 and $4,949,000 during the current period. G&amp;A headcount has remained consistent during the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Twelve</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Twelve</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Months Ended</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22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of Total</w:t>
            </w:r>
          </w:p>
        </w:tc>
        <w:tc>
          <w:tcPr>
            <w:tcW w:w="280" w:type="dxa"/>
            <w:vAlign w:val="bottom"/>
            <w:tcBorders>
              <w:bottom w:val="single" w:sz="8" w:color="B6EAFC"/>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2014</w:t>
            </w:r>
          </w:p>
        </w:tc>
        <w:tc>
          <w:tcPr>
            <w:tcW w:w="22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Increase (Decrease)</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3,989</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2,465</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Patent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28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320" w:type="dxa"/>
            <w:vAlign w:val="bottom"/>
            <w:shd w:val="clear" w:color="auto" w:fill="B6EAFC"/>
          </w:tcPr>
          <w:p>
            <w:pPr>
              <w:spacing w:after="0"/>
              <w:rPr>
                <w:sz w:val="19"/>
                <w:szCs w:val="19"/>
                <w:color w:val="auto"/>
              </w:rPr>
            </w:pPr>
          </w:p>
        </w:tc>
        <w:tc>
          <w:tcPr>
            <w:tcW w:w="94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7,931</w:t>
            </w:r>
          </w:p>
        </w:tc>
        <w:tc>
          <w:tcPr>
            <w:tcW w:w="22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5,894</w:t>
            </w:r>
          </w:p>
        </w:tc>
        <w:tc>
          <w:tcPr>
            <w:tcW w:w="22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320" w:type="dxa"/>
            <w:vAlign w:val="bottom"/>
            <w:shd w:val="clear" w:color="auto" w:fill="B6EA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2,037</w:t>
            </w:r>
          </w:p>
        </w:tc>
        <w:tc>
          <w:tcPr>
            <w:tcW w:w="22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$1,524,000 from $2,465,000 during the year ended September 30, 2014 to $3,989,000 during the current period. The increase in professional fees primarily related to higher legal fees related to recent litigation events. See Note 7 – Commitments and Contingencies for further discussion. Additionally, the Company incurred higher recruiting fees to fill new positions.</w:t>
      </w:r>
    </w:p>
    <w:p>
      <w:pPr>
        <w:spacing w:after="0" w:line="188"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Patent expense increased $318,000 from $632,000 during the year ended September 30, 2014 to $950,000 during the current period. Patent expense costs increase due to additional prosecution requirements associated with new patents acquired through the Novartis asset acquisition.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5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Facilities-related expense increased $115,000 from $193,000 during the year ended September 30, 2014 to $308,000 in the current period. Facilities expense increased due to the expansion of our corporate headquarters in Pasadena.</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Travel expense increased $187,000 from $654,000 during the year ended September 30, 2014 to $841,000 during the current period. Travel expense increased due to travel in support of our R&amp;D function, primarily our GMP manufacturing campaign and our clinical trials, as well as other corporate and business development related travel.</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Business insurance expense increased $221,000 from $302,000 during the year ended September 30, 2014 to $523,000 during the current period. Business insurance costs increased primarily due to added coverage related to the Company’s clinical trials, as well as increases in other corporate liability insurance.</w:t>
      </w:r>
    </w:p>
    <w:p>
      <w:pPr>
        <w:spacing w:after="0" w:line="18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Communication and technology expense increased $303,000 from $388,000 during the year ended September 30, 2014 to $691,000 during the current period. The increase was related to equipment purchases to replace outdated equipment and new equipment purchases related to new employees.</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Office expense decreased $110,000 from $380,000 during the year ended September 30, 2014 to $270,000 during the current period. These expenses relate to conferences/training, office supplies, miscellaneous administrative expenses, and expenses related to office expansions at our R&amp;D facility in Madison and our corporate headquarters in Pasadena. During fiscal year 2014, the Company incurred certain charges related to its Madison office expansion which was not repeated in the current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ind w:right="40" w:firstLine="518"/>
        <w:spacing w:after="0" w:line="312" w:lineRule="auto"/>
        <w:rPr>
          <w:sz w:val="20"/>
          <w:szCs w:val="20"/>
          <w:color w:val="auto"/>
        </w:rPr>
      </w:pPr>
      <w:r>
        <w:rPr>
          <w:rFonts w:ascii="Arial" w:cs="Arial" w:eastAsia="Arial" w:hAnsi="Arial"/>
          <w:sz w:val="16"/>
          <w:szCs w:val="16"/>
          <w:color w:val="auto"/>
        </w:rPr>
        <w:t>Other expense decreased $521,000 from $880,000 during the year ended September 30, 2014 to $359,000 during the current period. This category consists primarily of conference attendance fees, franchise and property tax expenses and marketing expenses. The decrease was related to a reduction in the provision for franchise taxes as well as an allowance recorded for certain other receivables during fiscal year 2014 that was not repeated in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 Novartis pre-clinical candidates</w:t>
      </w:r>
    </w:p>
    <w:p>
      <w:pPr>
        <w:spacing w:after="0" w:line="117" w:lineRule="exact"/>
        <w:rPr>
          <w:sz w:val="20"/>
          <w:szCs w:val="20"/>
          <w:color w:val="auto"/>
        </w:rPr>
      </w:pPr>
    </w:p>
    <w:p>
      <w:pPr>
        <w:ind w:right="20" w:firstLine="588"/>
        <w:spacing w:after="0" w:line="264" w:lineRule="auto"/>
        <w:rPr>
          <w:sz w:val="20"/>
          <w:szCs w:val="20"/>
          <w:color w:val="auto"/>
        </w:rPr>
      </w:pPr>
      <w:r>
        <w:rPr>
          <w:rFonts w:ascii="Arial" w:cs="Arial" w:eastAsia="Arial" w:hAnsi="Arial"/>
          <w:sz w:val="18"/>
          <w:szCs w:val="18"/>
          <w:color w:val="auto"/>
        </w:rPr>
        <w:t>Acquired in-process research and development expense for the Novartis pre-clinical candidates was $10,142,786 for fiscal year 2015 and zero for the previous periods. This expense pertains to the acquisition of the Novartis RNAi assets discussed above. The pre-clinical candidates were expensed during the period, while certain other patents and a third-party license were capitalized as intangible assets.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a noncash expense, increased $4,536,724 from $5,696,173 during the year ended September 30, 2014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$10,232,897 during the current period. Stock-based compensation expense is based upon the valuation of stock options and restricted stock units granted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directors, and certain consultants. Many variables affect the amount expensed, including the Company’s stock price on the date of the grant,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other assumptions. Based on the additional options and restricted stock units granted to new and existing employees in fiscal 2015,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has increased from the prior year.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 noncash expense, increased $990,552 from $1,345,655 during the year ended September 30, 2014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$2,336,207 during the current period. The majority of depreciation and amortization expense relates to depreciation on lab equipment obtained as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Roche’s RNAi business in 2011. In addition, the Company records depreciation on leasehold improvements at its Madison research facility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Pasadena corporate headquarters. The increase in depreciation and amortization expense is primarily due to the amortization of the intangible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acquired in the Novartis asset acquisition.</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117" w:lineRule="exact"/>
        <w:rPr>
          <w:sz w:val="20"/>
          <w:szCs w:val="20"/>
          <w:color w:val="auto"/>
        </w:rPr>
      </w:pPr>
    </w:p>
    <w:p>
      <w:pPr>
        <w:ind w:right="20" w:firstLine="588"/>
        <w:spacing w:after="0" w:line="259" w:lineRule="auto"/>
        <w:rPr>
          <w:sz w:val="20"/>
          <w:szCs w:val="20"/>
          <w:color w:val="auto"/>
        </w:rPr>
      </w:pPr>
      <w:r>
        <w:rPr>
          <w:rFonts w:ascii="Arial" w:cs="Arial" w:eastAsia="Arial" w:hAnsi="Arial"/>
          <w:sz w:val="18"/>
          <w:szCs w:val="18"/>
          <w:color w:val="auto"/>
        </w:rPr>
        <w:t>Impairment expense, a noncash expense, decreased $2,172,387 from $2,172,387 during the year ended September 30, 2014 to $0 during the current period. During the year ended September 30, 2014, the Company determined that the carrying value of the Alvos in-process research and development (IPR&amp;D) may not be recoverable and should be fully impaired. During the current period, the Company did not find any of its intangible or long-lived assets to be impaired.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 – Fair Value Adjustments</w:t>
      </w:r>
    </w:p>
    <w:p>
      <w:pPr>
        <w:spacing w:after="0" w:line="117" w:lineRule="exact"/>
        <w:rPr>
          <w:sz w:val="20"/>
          <w:szCs w:val="20"/>
          <w:color w:val="auto"/>
        </w:rPr>
      </w:pPr>
    </w:p>
    <w:p>
      <w:pPr>
        <w:ind w:right="20" w:firstLine="588"/>
        <w:spacing w:after="0" w:line="291" w:lineRule="auto"/>
        <w:rPr>
          <w:sz w:val="20"/>
          <w:szCs w:val="20"/>
          <w:color w:val="auto"/>
        </w:rPr>
      </w:pPr>
      <w:r>
        <w:rPr>
          <w:rFonts w:ascii="Arial" w:cs="Arial" w:eastAsia="Arial" w:hAnsi="Arial"/>
          <w:sz w:val="16"/>
          <w:szCs w:val="16"/>
          <w:color w:val="auto"/>
        </w:rPr>
        <w:t>Contingent Consideration – Fair Value Adjustments increased $484,125 from $2,375,658 during the year ended September 30, 2014 to $1,891,533 during the current period. Contingent consideration resulting from the acquisition of Roche’s RNAi business is calculated by modeling research and development activities for clinical candidates, forecasting timelines to market, and using “peak sales” estimate modeling, cash flows and potential milestone and royalty payments. The modeling assumes certain success rates, and discount factors related to riskiness of projects and the time value of money to calculate a net present value of future consideration payments to Roche. Each reporting period, the Company re-evaluates its contingent consideration, and if material, makes adjustments to the recorded liability. The Company increased this liability by $1.9 million and $2.4 million during the years ended September 30, 2015 and 2014, respectively, for a total liability of $5.9 million, which is recorded on the Company’s Consolidated Balance Sheets.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income / expense was expense of $5,443,826 during the year ended September 30, 2014 as compared to income of $4,035,494 during the current period. The largest component of this line item is related to the change in the value of derivative liabilities related to certain warrants with a price adjustment feature, which requires derivative accounting. The change in value of derivative liabilities was a reduction of approximately $2.9 million in 2015 and an increase of approximately $6.0 million in 2014. The fluctuations in each period were primarily driven by changes in the Company’s stock price, which had a corresponding impact to the valuation of the underlying warrants.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 Comparison for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Total revenue was $175,000 for the year ended September 30, 2014 and $290,000 for the year ended September 30, 2013. Revenue is primarily related to licensed technology. In addition, the Company had collaboration revenue of $115,000 during the year ended September 30,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years ended September 30, 2014 and 2013 are shown in the tables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color w:val="auto"/>
                <w:w w:val="94"/>
              </w:rPr>
              <w:t>Twelve</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color w:val="auto"/>
                <w:w w:val="94"/>
              </w:rPr>
              <w:t>Twelve</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Months Ended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color w:val="auto"/>
                <w:w w:val="92"/>
              </w:rPr>
              <w:t>Months Ended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40" w:type="dxa"/>
            <w:vAlign w:val="bottom"/>
            <w:tcBorders>
              <w:bottom w:val="single" w:sz="8" w:color="B6EAFC"/>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September 30, 2014</w:t>
            </w:r>
          </w:p>
        </w:tc>
        <w:tc>
          <w:tcPr>
            <w:tcW w:w="80" w:type="dxa"/>
            <w:vAlign w:val="bottom"/>
            <w:tcBorders>
              <w:bottom w:val="single" w:sz="8" w:color="B6EA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95"/>
              </w:rPr>
              <w:t>% of Total</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September 30, 2013</w:t>
            </w:r>
          </w:p>
        </w:tc>
        <w:tc>
          <w:tcPr>
            <w:tcW w:w="160" w:type="dxa"/>
            <w:vAlign w:val="bottom"/>
            <w:tcBorders>
              <w:bottom w:val="single" w:sz="8" w:color="B6EA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of Total</w:t>
            </w:r>
          </w:p>
        </w:tc>
        <w:tc>
          <w:tcPr>
            <w:tcW w:w="280" w:type="dxa"/>
            <w:vAlign w:val="bottom"/>
            <w:tcBorders>
              <w:bottom w:val="single" w:sz="8" w:color="B6EA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Increase (Decrease)</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2,071</w:t>
            </w:r>
          </w:p>
        </w:tc>
        <w:tc>
          <w:tcPr>
            <w:tcW w:w="8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B6EAFC"/>
          </w:tcPr>
          <w:p>
            <w:pPr>
              <w:spacing w:after="0"/>
              <w:rPr>
                <w:sz w:val="19"/>
                <w:szCs w:val="19"/>
                <w:color w:val="auto"/>
              </w:rPr>
            </w:pPr>
          </w:p>
        </w:tc>
        <w:tc>
          <w:tcPr>
            <w:tcW w:w="8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B6EA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In vivo studies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9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4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B6EAFC"/>
          </w:tcPr>
          <w:p>
            <w:pPr>
              <w:spacing w:after="0"/>
              <w:rPr>
                <w:sz w:val="19"/>
                <w:szCs w:val="19"/>
                <w:color w:val="auto"/>
              </w:rPr>
            </w:pPr>
          </w:p>
        </w:tc>
        <w:tc>
          <w:tcPr>
            <w:tcW w:w="8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B6EAFC"/>
          </w:tcPr>
          <w:p>
            <w:pPr>
              <w:spacing w:after="0"/>
              <w:rPr>
                <w:sz w:val="19"/>
                <w:szCs w:val="19"/>
                <w:color w:val="auto"/>
              </w:rPr>
            </w:pPr>
          </w:p>
        </w:tc>
        <w:tc>
          <w:tcPr>
            <w:tcW w:w="8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9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4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9,142</w:t>
            </w:r>
          </w:p>
        </w:tc>
        <w:tc>
          <w:tcPr>
            <w:tcW w:w="8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2,625</w:t>
            </w:r>
          </w:p>
        </w:tc>
        <w:tc>
          <w:tcPr>
            <w:tcW w:w="160" w:type="dxa"/>
            <w:vAlign w:val="bottom"/>
            <w:shd w:val="clear" w:color="auto" w:fill="B6EAFC"/>
          </w:tcPr>
          <w:p>
            <w:pPr>
              <w:spacing w:after="0"/>
              <w:rPr>
                <w:sz w:val="19"/>
                <w:szCs w:val="19"/>
                <w:color w:val="auto"/>
              </w:rPr>
            </w:pPr>
          </w:p>
        </w:tc>
        <w:tc>
          <w:tcPr>
            <w:tcW w:w="8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B6EAFC"/>
          </w:tcPr>
          <w:p>
            <w:pPr>
              <w:spacing w:after="0"/>
              <w:rPr>
                <w:sz w:val="19"/>
                <w:szCs w:val="19"/>
                <w:color w:val="auto"/>
              </w:rPr>
            </w:pPr>
          </w:p>
        </w:tc>
        <w:tc>
          <w:tcPr>
            <w:tcW w:w="8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6,517</w:t>
            </w:r>
          </w:p>
        </w:tc>
        <w:tc>
          <w:tcPr>
            <w:tcW w:w="28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Clinical trials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9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4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B6EAFC"/>
          </w:tcPr>
          <w:p>
            <w:pPr>
              <w:spacing w:after="0"/>
              <w:rPr>
                <w:sz w:val="19"/>
                <w:szCs w:val="19"/>
                <w:color w:val="auto"/>
              </w:rPr>
            </w:pPr>
          </w:p>
        </w:tc>
        <w:tc>
          <w:tcPr>
            <w:tcW w:w="8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B6EAFC"/>
          </w:tcPr>
          <w:p>
            <w:pPr>
              <w:spacing w:after="0"/>
              <w:rPr>
                <w:sz w:val="19"/>
                <w:szCs w:val="19"/>
                <w:color w:val="auto"/>
              </w:rPr>
            </w:pPr>
          </w:p>
        </w:tc>
        <w:tc>
          <w:tcPr>
            <w:tcW w:w="8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B6EAFC"/>
          </w:tcPr>
          <w:p>
            <w:pPr>
              <w:spacing w:after="0"/>
              <w:rPr>
                <w:sz w:val="19"/>
                <w:szCs w:val="19"/>
                <w:color w:val="auto"/>
              </w:rPr>
            </w:pPr>
          </w:p>
        </w:tc>
        <w:tc>
          <w:tcPr>
            <w:tcW w:w="46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9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4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84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B6EAFC"/>
          </w:tcPr>
          <w:p>
            <w:pPr>
              <w:spacing w:after="0"/>
              <w:rPr>
                <w:sz w:val="19"/>
                <w:szCs w:val="19"/>
                <w:color w:val="auto"/>
              </w:rPr>
            </w:pPr>
          </w:p>
        </w:tc>
        <w:tc>
          <w:tcPr>
            <w:tcW w:w="80" w:type="dxa"/>
            <w:vAlign w:val="bottom"/>
            <w:shd w:val="clear" w:color="auto" w:fill="B6EAFC"/>
          </w:tcPr>
          <w:p>
            <w:pPr>
              <w:spacing w:after="0"/>
              <w:rPr>
                <w:sz w:val="19"/>
                <w:szCs w:val="19"/>
                <w:color w:val="auto"/>
              </w:rPr>
            </w:pPr>
          </w:p>
        </w:tc>
        <w:tc>
          <w:tcPr>
            <w:tcW w:w="142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B6EAFC"/>
          </w:tcPr>
          <w:p>
            <w:pPr>
              <w:spacing w:after="0"/>
              <w:rPr>
                <w:sz w:val="19"/>
                <w:szCs w:val="19"/>
                <w:color w:val="auto"/>
              </w:rPr>
            </w:pPr>
          </w:p>
        </w:tc>
        <w:tc>
          <w:tcPr>
            <w:tcW w:w="1160" w:type="dxa"/>
            <w:vAlign w:val="bottom"/>
            <w:gridSpan w:val="2"/>
            <w:shd w:val="clear" w:color="auto" w:fill="B6EAFC"/>
          </w:tcPr>
          <w:p>
            <w:pPr>
              <w:jc w:val="right"/>
              <w:ind w:right="220"/>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14,432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Laboratory supplies and services expense increased $1,013,000 from $1,058,000 during the year ended September 30, 2013 to $2,071,000 during the year ended September 30, 2014. The Company expanded its laboratory facility and increased its R&amp;D headcount during 2014. The increase in laboratory supplies and services is a result of additional supplies necessary to support increased efforts in pre-clinical research as the Company supports ongoing clinical efforts and accelerates efforts to identify new clinical candidates.</w:t>
      </w:r>
    </w:p>
    <w:p>
      <w:pPr>
        <w:spacing w:after="0" w:line="18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In vivo studies expense decreased $8,000 from $232,000 during the year ended September 30, 2013 to $224,000 during the year ended September 30, 2014. In vivo expense can vary depending on the stage of preclinical candidates, the nature and amount of testing required and based on the varying costs of different in vivo testing models. The expense in both periods relates to studies related to development of new clinical candidates, including ARC-AAT.</w:t>
      </w:r>
    </w:p>
    <w:p>
      <w:pPr>
        <w:spacing w:after="0" w:line="14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Outside labs and contract services expense increased $158,000 from $533,000 during the year ended September 30, 2013 to $691,000 during the year ended September 30, 2014. The increase was primarily related to oligonucleotide synthesis related to development of new clinical candidates.</w:t>
      </w:r>
    </w:p>
    <w:p>
      <w:pPr>
        <w:spacing w:after="0" w:line="124"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Toxicity/efficacy studies expense increased $4,648,000 from $1,658,000 during the year ended September 30, 2013 to $6,306,000 during the year ended September 30, 2014. This category includes IND-enabling toxicology studies as well as post-clinical toxicology studies, such as long-term toxicology studies, and other efficacy studies. The expense during the year ended September 30, 2014 primarily relates to toxicology studies related to ARC-520, our clinical candidate for HBV, specifically toxicology studies to support our anticipated phase 2b clinical trial. Additionally, during 2014 we began incurring costs related to IND-enabling toxicology studies related to ARC-AAT.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both"/>
        <w:ind w:right="160" w:firstLine="518"/>
        <w:spacing w:after="0" w:line="286" w:lineRule="auto"/>
        <w:rPr>
          <w:sz w:val="20"/>
          <w:szCs w:val="20"/>
          <w:color w:val="auto"/>
        </w:rPr>
      </w:pPr>
      <w:r>
        <w:rPr>
          <w:rFonts w:ascii="Arial" w:cs="Arial" w:eastAsia="Arial" w:hAnsi="Arial"/>
          <w:sz w:val="17"/>
          <w:szCs w:val="17"/>
          <w:color w:val="auto"/>
        </w:rPr>
        <w:t>Drug manufacturing expense increased $6,517,000 from $2,625,000 during the year ended September 30, 2013 to $9,142,000 during the year ended September 30, 2014. The expense during the year ended September 30, 2014 relates to drug manufacturing to supply toxicology studies for our HBV Phase 2b clinical trial, clinical supplies for the HBV Phase 2b clinical trial, as well as clinical supplies for our clinical trial for ARC-AAT.</w:t>
      </w:r>
    </w:p>
    <w:p>
      <w:pPr>
        <w:spacing w:after="0" w:line="166"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Clinical trials expense increased $1,321,000 from $1,306,000 during the year ended September 30, 2013 to $2,627,000 during the year ended September 30, 2014. Clinical trial expenses increased as the Company advanced ARC-520 into its Phase 1 and Phase 2a clinical trial during 2014.</w:t>
      </w:r>
    </w:p>
    <w:p>
      <w:pPr>
        <w:spacing w:after="0" w:line="124"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License, royalty and milestones expense increased $774,000 from $322,000 during year ended September 30, 2013 to $1,096,000 during the year ended September 30, 2014. The increase during the year ended September 30, 2014 relates to a $1 million milestone payment due pursuant to a license agreement based upon a milestone reached on one of its clinical candidates. Milestone payments can vary from period to period depending on the nature of our various license agreements, and the timing of reaching various development milestones requiring payment.</w:t>
      </w:r>
    </w:p>
    <w:p>
      <w:pPr>
        <w:spacing w:after="0" w:line="171"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Facilities expense increased $149,000 from $732,000 during the year ended September 30, 2013 to $881,000 during the year ended September 30, 2014. Facilities expenses were higher during the year ended September 30, 2014 primarily due to repairs and maintenance costs on lab equipment.</w:t>
      </w:r>
    </w:p>
    <w:p>
      <w:pPr>
        <w:spacing w:after="0" w:line="124"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Other research expense decreased $140,000 from $240,000 during the year ended September 30, 2013 to $100,000 during the year ended September 30, 2014. Other research expense in the prior period relates to work at the University of Cincinnati related to our obesity program, which studies have been completed, and no further studies are planned. The expenses during the year ended September 30, 2014 primarily relate to medical and hazardous waste removal costs.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Salary and Payroll-Related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 of salary and payroll-related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Twelve months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Twelve months</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Ended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Ended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40" w:type="dxa"/>
            <w:vAlign w:val="bottom"/>
            <w:tcBorders>
              <w:bottom w:val="single" w:sz="8" w:color="B6EA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1"/>
              </w:rPr>
              <w:t>September 30, 2014</w:t>
            </w:r>
          </w:p>
        </w:tc>
        <w:tc>
          <w:tcPr>
            <w:tcW w:w="160" w:type="dxa"/>
            <w:vAlign w:val="bottom"/>
            <w:tcBorders>
              <w:bottom w:val="single" w:sz="8" w:color="B6EAFC"/>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of Total</w:t>
            </w:r>
          </w:p>
        </w:tc>
        <w:tc>
          <w:tcPr>
            <w:tcW w:w="240" w:type="dxa"/>
            <w:vAlign w:val="bottom"/>
            <w:tcBorders>
              <w:bottom w:val="single" w:sz="8" w:color="B6EA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89"/>
              </w:rPr>
              <w:t>September 30, 2013</w:t>
            </w:r>
          </w:p>
        </w:tc>
        <w:tc>
          <w:tcPr>
            <w:tcW w:w="140" w:type="dxa"/>
            <w:vAlign w:val="bottom"/>
            <w:tcBorders>
              <w:bottom w:val="single" w:sz="8" w:color="B6EAFC"/>
            </w:tcBorders>
          </w:tcPr>
          <w:p>
            <w:pPr>
              <w:spacing w:after="0"/>
              <w:rPr>
                <w:sz w:val="17"/>
                <w:szCs w:val="17"/>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of Total</w:t>
            </w:r>
          </w:p>
        </w:tc>
        <w:tc>
          <w:tcPr>
            <w:tcW w:w="220" w:type="dxa"/>
            <w:vAlign w:val="bottom"/>
            <w:tcBorders>
              <w:bottom w:val="single" w:sz="8" w:color="B6EA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Increase (Decrease)</w:t>
            </w: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B6EA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7,828</w:t>
            </w:r>
          </w:p>
        </w:tc>
        <w:tc>
          <w:tcPr>
            <w:tcW w:w="160" w:type="dxa"/>
            <w:vAlign w:val="bottom"/>
            <w:shd w:val="clear" w:color="auto" w:fill="B6EAFC"/>
          </w:tcPr>
          <w:p>
            <w:pPr>
              <w:spacing w:after="0"/>
              <w:rPr>
                <w:sz w:val="18"/>
                <w:szCs w:val="18"/>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4,127</w:t>
            </w:r>
          </w:p>
        </w:tc>
        <w:tc>
          <w:tcPr>
            <w:tcW w:w="140" w:type="dxa"/>
            <w:vAlign w:val="bottom"/>
            <w:shd w:val="clear" w:color="auto" w:fill="B6EAFC"/>
          </w:tcPr>
          <w:p>
            <w:pPr>
              <w:spacing w:after="0"/>
              <w:rPr>
                <w:sz w:val="18"/>
                <w:szCs w:val="18"/>
                <w:color w:val="auto"/>
              </w:rPr>
            </w:pPr>
          </w:p>
        </w:tc>
        <w:tc>
          <w:tcPr>
            <w:tcW w:w="1260" w:type="dxa"/>
            <w:vAlign w:val="bottom"/>
            <w:tcBorders>
              <w:right w:val="single" w:sz="8" w:color="B6EAFC"/>
            </w:tcBorders>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62%</w:t>
            </w:r>
          </w:p>
        </w:tc>
        <w:tc>
          <w:tcPr>
            <w:tcW w:w="320" w:type="dxa"/>
            <w:vAlign w:val="bottom"/>
            <w:shd w:val="clear" w:color="auto" w:fill="B6EAFC"/>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3,701</w:t>
            </w:r>
          </w:p>
        </w:tc>
        <w:tc>
          <w:tcPr>
            <w:tcW w:w="140" w:type="dxa"/>
            <w:vAlign w:val="bottom"/>
            <w:shd w:val="clear" w:color="auto" w:fill="B6EAFC"/>
          </w:tcPr>
          <w:p>
            <w:pPr>
              <w:spacing w:after="0"/>
              <w:rPr>
                <w:sz w:val="18"/>
                <w:szCs w:val="18"/>
                <w:color w:val="auto"/>
              </w:rPr>
            </w:pPr>
          </w:p>
        </w:tc>
        <w:tc>
          <w:tcPr>
            <w:tcW w:w="680" w:type="dxa"/>
            <w:vAlign w:val="bottom"/>
            <w:shd w:val="clear" w:color="auto" w:fill="B6EAFC"/>
          </w:tcPr>
          <w:p>
            <w:pPr>
              <w:spacing w:after="0"/>
              <w:rPr>
                <w:sz w:val="18"/>
                <w:szCs w:val="18"/>
                <w:color w:val="auto"/>
              </w:rPr>
            </w:pPr>
          </w:p>
        </w:tc>
        <w:tc>
          <w:tcPr>
            <w:tcW w:w="58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5,001</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B6EAFC"/>
            </w:tcBorders>
            <w:shd w:val="clear" w:color="auto" w:fill="B6EA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B6EAFC"/>
          </w:tcPr>
          <w:p>
            <w:pPr>
              <w:spacing w:after="0"/>
              <w:rPr>
                <w:sz w:val="18"/>
                <w:szCs w:val="18"/>
                <w:color w:val="auto"/>
              </w:rPr>
            </w:pPr>
          </w:p>
        </w:tc>
        <w:tc>
          <w:tcPr>
            <w:tcW w:w="8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12,829</w:t>
            </w:r>
          </w:p>
        </w:tc>
        <w:tc>
          <w:tcPr>
            <w:tcW w:w="160" w:type="dxa"/>
            <w:vAlign w:val="bottom"/>
            <w:shd w:val="clear" w:color="auto" w:fill="B6EAFC"/>
          </w:tcPr>
          <w:p>
            <w:pPr>
              <w:spacing w:after="0"/>
              <w:rPr>
                <w:sz w:val="18"/>
                <w:szCs w:val="18"/>
                <w:color w:val="auto"/>
              </w:rPr>
            </w:pPr>
          </w:p>
        </w:tc>
        <w:tc>
          <w:tcPr>
            <w:tcW w:w="13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6,668</w:t>
            </w:r>
          </w:p>
        </w:tc>
        <w:tc>
          <w:tcPr>
            <w:tcW w:w="140" w:type="dxa"/>
            <w:vAlign w:val="bottom"/>
            <w:shd w:val="clear" w:color="auto" w:fill="B6EAFC"/>
          </w:tcPr>
          <w:p>
            <w:pPr>
              <w:spacing w:after="0"/>
              <w:rPr>
                <w:sz w:val="18"/>
                <w:szCs w:val="18"/>
                <w:color w:val="auto"/>
              </w:rPr>
            </w:pPr>
          </w:p>
        </w:tc>
        <w:tc>
          <w:tcPr>
            <w:tcW w:w="1260" w:type="dxa"/>
            <w:vAlign w:val="bottom"/>
            <w:tcBorders>
              <w:right w:val="single" w:sz="8" w:color="B6EAFC"/>
            </w:tcBorders>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B6EAFC"/>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6,161</w:t>
            </w:r>
          </w:p>
        </w:tc>
        <w:tc>
          <w:tcPr>
            <w:tcW w:w="140" w:type="dxa"/>
            <w:vAlign w:val="bottom"/>
            <w:shd w:val="clear" w:color="auto" w:fill="B6EAFC"/>
          </w:tcPr>
          <w:p>
            <w:pPr>
              <w:spacing w:after="0"/>
              <w:rPr>
                <w:sz w:val="18"/>
                <w:szCs w:val="18"/>
                <w:color w:val="auto"/>
              </w:rPr>
            </w:pPr>
          </w:p>
        </w:tc>
        <w:tc>
          <w:tcPr>
            <w:tcW w:w="680" w:type="dxa"/>
            <w:vAlign w:val="bottom"/>
            <w:shd w:val="clear" w:color="auto" w:fill="B6EAFC"/>
          </w:tcPr>
          <w:p>
            <w:pPr>
              <w:spacing w:after="0"/>
              <w:rPr>
                <w:sz w:val="18"/>
                <w:szCs w:val="18"/>
                <w:color w:val="auto"/>
              </w:rPr>
            </w:pPr>
          </w:p>
        </w:tc>
        <w:tc>
          <w:tcPr>
            <w:tcW w:w="58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R&amp;D compensation expense increased $3,701,000 from $4,127,000 during the year ended September 30, 2013 to $7,828,000 during the year ended September 30, 2014. Increased headcount and salary increases accounted for the majority of the change in compensation-related expense. Additionally, expenses related to annual performance bonuses were accrued during the year ended September 30, 2014 totaling $1,602,000 in expense; no performance bonuses were paid in the prior period.</w:t>
      </w:r>
    </w:p>
    <w:p>
      <w:pPr>
        <w:spacing w:after="0" w:line="187"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G&amp;A compensation expense increased $2,460,000 from $2,541,000 during the year ended September 30, 2013 to $5,001,000 during the year ended September 30, 2014. The majority of this change relates to expense recorded for annual performance bonuses in the year ended September 30, 2014. Additionally, a portion of the increase is due to salary increases. G&amp;A headcount remained fairly consistent during the past twelve months.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Twelve</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Twelve</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Months Ended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Months Ended</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September 30,</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September 30,</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89"/>
              </w:rPr>
              <w:t>2014</w:t>
            </w:r>
          </w:p>
        </w:tc>
        <w:tc>
          <w:tcPr>
            <w:tcW w:w="200" w:type="dxa"/>
            <w:vAlign w:val="bottom"/>
            <w:tcBorders>
              <w:bottom w:val="single" w:sz="8" w:color="B6EAFC"/>
            </w:tcBorders>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of Total</w:t>
            </w:r>
          </w:p>
        </w:tc>
        <w:tc>
          <w:tcPr>
            <w:tcW w:w="3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B6EAFC"/>
            </w:tcBorders>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 of Total</w:t>
            </w:r>
          </w:p>
        </w:tc>
        <w:tc>
          <w:tcPr>
            <w:tcW w:w="280" w:type="dxa"/>
            <w:vAlign w:val="bottom"/>
            <w:tcBorders>
              <w:bottom w:val="single" w:sz="8" w:color="B6EA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Increase (Decrease)</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2,465</w:t>
            </w:r>
          </w:p>
        </w:tc>
        <w:tc>
          <w:tcPr>
            <w:tcW w:w="200" w:type="dxa"/>
            <w:vAlign w:val="bottom"/>
            <w:shd w:val="clear" w:color="auto" w:fill="B6EAFC"/>
          </w:tcPr>
          <w:p>
            <w:pPr>
              <w:spacing w:after="0"/>
              <w:rPr>
                <w:sz w:val="19"/>
                <w:szCs w:val="19"/>
                <w:color w:val="auto"/>
              </w:rPr>
            </w:pPr>
          </w:p>
        </w:tc>
        <w:tc>
          <w:tcPr>
            <w:tcW w:w="142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1,319</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B6EA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1,146</w:t>
            </w:r>
          </w:p>
        </w:tc>
        <w:tc>
          <w:tcPr>
            <w:tcW w:w="20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Patent expense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B6EAFC"/>
          </w:tcPr>
          <w:p>
            <w:pPr>
              <w:spacing w:after="0"/>
              <w:rPr>
                <w:sz w:val="19"/>
                <w:szCs w:val="19"/>
                <w:color w:val="auto"/>
              </w:rPr>
            </w:pPr>
          </w:p>
        </w:tc>
        <w:tc>
          <w:tcPr>
            <w:tcW w:w="142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B6EAFC"/>
          </w:tcPr>
          <w:p>
            <w:pPr>
              <w:spacing w:after="0"/>
              <w:rPr>
                <w:sz w:val="19"/>
                <w:szCs w:val="19"/>
                <w:color w:val="auto"/>
              </w:rPr>
            </w:pPr>
          </w:p>
        </w:tc>
        <w:tc>
          <w:tcPr>
            <w:tcW w:w="142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B6EAFC"/>
          </w:tcPr>
          <w:p>
            <w:pPr>
              <w:spacing w:after="0"/>
              <w:rPr>
                <w:sz w:val="19"/>
                <w:szCs w:val="19"/>
                <w:color w:val="auto"/>
              </w:rPr>
            </w:pPr>
          </w:p>
        </w:tc>
        <w:tc>
          <w:tcPr>
            <w:tcW w:w="142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Borders>
              <w:right w:val="single" w:sz="8" w:color="B6EAFC"/>
            </w:tcBorders>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5,894</w:t>
            </w:r>
          </w:p>
        </w:tc>
        <w:tc>
          <w:tcPr>
            <w:tcW w:w="200" w:type="dxa"/>
            <w:vAlign w:val="bottom"/>
            <w:shd w:val="clear" w:color="auto" w:fill="B6EAFC"/>
          </w:tcPr>
          <w:p>
            <w:pPr>
              <w:spacing w:after="0"/>
              <w:rPr>
                <w:sz w:val="19"/>
                <w:szCs w:val="19"/>
                <w:color w:val="auto"/>
              </w:rPr>
            </w:pPr>
          </w:p>
        </w:tc>
        <w:tc>
          <w:tcPr>
            <w:tcW w:w="1420" w:type="dxa"/>
            <w:vAlign w:val="bottom"/>
            <w:tcBorders>
              <w:right w:val="single" w:sz="8" w:color="B6EAFC"/>
            </w:tcBorders>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3,489</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B6EA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2,406</w:t>
            </w:r>
          </w:p>
        </w:tc>
        <w:tc>
          <w:tcPr>
            <w:tcW w:w="20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6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$1,146,000 from $1,319,000 during the year ended September 30, 2013 to $2,465,000 during the year ended September 30, 2014. The increase in professional fees primarily related to professional recruiting fees for the hiring of additional R&amp;D personnel to support and expand its clinical pipeline. Additionally, the Company incurred higher SEC filing fees associated with financing in February 2014 and higher NASDAQ fees based on a higher number of shares outstanding.</w:t>
      </w:r>
    </w:p>
    <w:p>
      <w:pPr>
        <w:spacing w:after="0" w:line="15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Patent expense decreased $309,000 from $941,000 during the year ended September 30, 2013 to $632,000 during the year ended September 30, 2014. Patent expenses related to Calando declined by $215,000 in the current period as Calando terminated its license agreement with Caltech in August 2013, which had obligated Calando to pay certain related patent costs, and by curtailing prosecution of other non-strategic patents. During the year ended September 30, 2014, Arrowhead deconsolidated Calando, thus no further Calando patent expense will be incurred.</w:t>
      </w:r>
    </w:p>
    <w:p>
      <w:pPr>
        <w:spacing w:after="0" w:line="17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Facilities-related expense increased $23,000 from $170,000 during the year ended September 30, 2013 to $193,000 in the year ended September 30, 2014. Facilities expense increased due to the expansion of our corporate headquarters in Pasadena as well as routine increases in ancillary lease charges.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Travel expense increased $214,000 from $440,000 during the year ended September 30, 2013 to $654,000 during the year ended September 30,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Travel expense increased due to travel in support of our R&amp;D function, primarily our GMP manufacturing campaign and our clinical trials.</w:t>
      </w:r>
    </w:p>
    <w:p>
      <w:pPr>
        <w:spacing w:after="0" w:line="21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Business insurance expense increased $86,000 from $216,000 during the year ended September 30, 2013 to $302,000 during the year ended September 30, 2014. Business insurance costs increased primarily related to added coverage related to the Company’s clinical trials.</w:t>
      </w:r>
    </w:p>
    <w:p>
      <w:pPr>
        <w:spacing w:after="0" w:line="1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Communication and technology expense increased $204,000 from $184,000 during the year ended September 30, 2013 to $388,000 during the year ended September 30, 2014. The increase was related to equipment purchases to replace outdated equipment and to cost associated with new equipment related to new employees.</w:t>
      </w:r>
    </w:p>
    <w:p>
      <w:pPr>
        <w:spacing w:after="0" w:line="18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Office expense increased $270,000 from $110,000 during the year ended September 30, 2013 to $380,000 during the year ended September 30, 2014. The increase was related to conferences/training, office supplies, miscellaneous administrative expenses, and expenses related to an office expansions at our R&amp;D facility in Madison and our corporate headquarters in Pasadena.</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increased $771,000 from $109,000 during the year ended September 30, 2013 to $880,000 during the year ended September 30,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related to an increase in estimated franchise taxes accrued as well as an allowance recorded for certain other receivables.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a noncash expense, increased $4,160,000 from $1,536,000 during the year ended September 30, 2013 to</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$5,696,000 during the year ended September 30, 2014. Based on the additional options and restricted stock units granted to new and existing employees in fiscal 2014, compensation expense increased from the prior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Depreciation and amortization expense, a noncash expense, decreased $405,000 from $1,751,000 during the year ended September 30, 2013, to $1,346,000 during the year ended September 30, 2014. The majority of depreciation and amortization expense relates to depreciation on lab equipment obtained as part of the acquisition of the Roche RNAi business n in 2011. In addition, the Company records depreciation on leasehold improvements at its Madison research facility. Amortization expense decreased in 2014 as compared to 2013 as capitalized patents related to Calando were fully written off in 2013, accordingly there was no expense recorded in 2014.</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117" w:lineRule="exact"/>
        <w:rPr>
          <w:sz w:val="20"/>
          <w:szCs w:val="20"/>
          <w:color w:val="auto"/>
        </w:rPr>
      </w:pPr>
    </w:p>
    <w:p>
      <w:pPr>
        <w:ind w:right="140" w:firstLine="588"/>
        <w:spacing w:after="0" w:line="302" w:lineRule="auto"/>
        <w:rPr>
          <w:sz w:val="20"/>
          <w:szCs w:val="20"/>
          <w:color w:val="auto"/>
        </w:rPr>
      </w:pPr>
      <w:r>
        <w:rPr>
          <w:rFonts w:ascii="Arial" w:cs="Arial" w:eastAsia="Arial" w:hAnsi="Arial"/>
          <w:sz w:val="16"/>
          <w:szCs w:val="16"/>
          <w:color w:val="auto"/>
        </w:rPr>
        <w:t>Impairment expense, a noncash expense, increased $864,000 from $1,308,000 during the year ended September 30, 2013 to $2,172,000 during the year ended September 30, 2014. During the year ended September 30, 2014, the Company determined that the carrying value of the Alvos IPR&amp;D may not be recoverable and should be fully impaired. The Company recorded an impairment charge of $2.2 million. During the year ended September 30, 2013, management determined that the value of the Calando patents was impaired, and the Company recorded a $1.3 million impairment charge.</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 – Fair Value Adjustments</w:t>
      </w:r>
    </w:p>
    <w:p>
      <w:pPr>
        <w:spacing w:after="0" w:line="117" w:lineRule="exact"/>
        <w:rPr>
          <w:sz w:val="20"/>
          <w:szCs w:val="20"/>
          <w:color w:val="auto"/>
        </w:rPr>
      </w:pPr>
    </w:p>
    <w:p>
      <w:pPr>
        <w:ind w:firstLine="588"/>
        <w:spacing w:after="0" w:line="254" w:lineRule="auto"/>
        <w:rPr>
          <w:sz w:val="20"/>
          <w:szCs w:val="20"/>
          <w:color w:val="auto"/>
        </w:rPr>
      </w:pPr>
      <w:r>
        <w:rPr>
          <w:rFonts w:ascii="Arial" w:cs="Arial" w:eastAsia="Arial" w:hAnsi="Arial"/>
          <w:sz w:val="18"/>
          <w:szCs w:val="18"/>
          <w:color w:val="auto"/>
        </w:rPr>
        <w:t>Contingent Consideration – Fair Value Adjustments increased $954,000 from $1,422,000 during the year ended September 30, 2013 to $2,376,000 during the year ended September 30, 2014. Contingent consideration resulting from the acquisition of Roche’s RNAi business is calculated by modeling research and development activities for clinical candidates, forecasting timelines to market, and using “peak sales” estimate modeling, cash flows and potential milestone and royalty payments. The modeling assumes certain success rates, and discount factors related to riskiness of projects and the time value of money to calculate a net present value of future consideration payments to Roche. Each reporting period, the Company re-evaluates its contingent consideration, and if material, makes adjustments to the recorded liability. The Company increased this liability by $2.5 million and $1.4 million during the years ended September 30, 2014 and 2013, respectively, for a total liability of $4.0 million, which is recorded on the Company’s Consolidated Balance Sheets.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Other income / expense decreased $1,670,000 from expense of $7,114,000 during the year ended September 30, 2013 to expense of $5,444,000 during the year ended September 30, 2014. The decrease in expense is primarily due to a $1.0 million write down of a note receivable related to the sale of our former subsidiary, Unidym, in 2013, which was not repeated in the current year. Additionally, the Company received increased interest income during 2014 as it has invested its excess cash balances in short and long-term corporate bonds. The largest component of this line item is related to the change in the value of derivative liabilities related to certain warrants with a price adjustment feature, which requires derivative accounting. The change in value of derivative liabilities was approximately $6.0 million in 2014 and $5.3 million in 2013.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expenditure in fiscal year 2016, and beyond.</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At September 30, 2015, the Company had cash on hand of approximately $81.2 million as compared to $132.5 million at September 30, 2014. Excess cash invested in fixed income securities was $17.5 million at September 30, 2015, compared to $44.7 million at September 30, 2014. The Company believes its current financial resources are sufficient to fund its operations through at least the next twelve months.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color w:val="auto"/>
        </w:rPr>
        <w:t>A summary of cash flows for the years ended September 30, 2015, 2014, and 2013 is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Year ended September 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(65,707,615)</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(35,416,373)</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(19,032,826)</w:t>
            </w: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14,120,838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(36,481,770)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(9,520,867)</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Financing Activities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290,521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185,294,309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44,291,203</w:t>
            </w:r>
          </w:p>
        </w:tc>
        <w:tc>
          <w:tcPr>
            <w:tcW w:w="10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Discontinued Operations:</w:t>
            </w: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Operating Activities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5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(51,296,256)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113,396,166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15,737,156</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5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132,510,610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19,114,444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3,377,288</w:t>
            </w:r>
          </w:p>
        </w:tc>
        <w:tc>
          <w:tcPr>
            <w:tcW w:w="10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5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132,510,610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During the year ended September 30, 2015, the Company used $65.7 million in cash from operating activities, which represents the on-going expenses of its research and development programs and corporate overhead. Cash outlays were primarily composed of the following: research and development costs were $41.2 million, salary and payroll-related expenses were $16.6 million, and general and administrative costs were $7.9 million. Cash provided by investing activities was $14.1 million, primarily related to the maturity of certain marketable securities partially offset by $10.0 million of cash used to acquire the Novartis assets discussed above. Capital expenditures were $2.0 million. Cash provided by financing activities of $0.3 million primarily includes the exercise of warrants and stock options during the year ended September 30, 2015.</w:t>
      </w:r>
    </w:p>
    <w:p>
      <w:pPr>
        <w:spacing w:after="0" w:line="178"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During the year ended September 30, 2014, the Company used $35.4 million in cash from operating activities, which represents the on-going expenses of its research and development programs and corporate overhead. Cash outlays were primarily composed of the following: research and development costs were $21.7 million, salary and payroll-related expenses were $9.1 million, and general and administrative costs were $4.6 million. Cash used by investing activities was $36.5 million, primarily related to net cash investments in fixed income securities of $34.8 million. Capital expenditures were $1.7 million. Cash provided by financing activities of $185.3 million includes $172.6 million of cash received from equity financings by the Company in October 2013 and February 2014. The exercise of warrants and stock options during fiscal 2014 resulted in additional cash inflow of $12.9 million.</w:t>
      </w:r>
    </w:p>
    <w:p>
      <w:pPr>
        <w:spacing w:after="0" w:line="16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During the year ended September 30, 2013, the Company used $19.0 million in cash from operating activities, which represents the on-going expenses of its research and development programs and corporate overhead. Cash outlays were primarily composed of the following: research and development costs were $8.7 million, salary and payroll-related expenses were $6.7 million, and general and administrative costs were $3.5 million. Cash used by investing activities was $9.5 million, primarily related to net cash investments in fixed income securities of $9.3 million. Capital expenditures were $0.3 million. Cash provided by financing activities of $44.3 million includes $42.4 million of cash received from equity financings by the Company during 2013. The exercise of warrants and stock options during fiscal 2013 resulted in additional cash inflow of $2.1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In the table below, we set forth our enforceable and legally binding obligations and future commitments at September 30, 2015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 table does not include any future obligations that may be owed under existing license agreements, as the certainty of achieving the relevant milestones that would trigger these payments is currently unknown.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More than 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1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Less than 1 Year</w:t>
            </w:r>
          </w:p>
        </w:tc>
        <w:tc>
          <w:tcPr>
            <w:tcW w:w="200" w:type="dxa"/>
            <w:vAlign w:val="bottom"/>
          </w:tcPr>
          <w:p>
            <w:pPr>
              <w:spacing w:after="0"/>
              <w:rPr>
                <w:sz w:val="10"/>
                <w:szCs w:val="1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1-3 Years</w:t>
            </w: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7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Capital Leases</w:t>
            </w:r>
          </w:p>
        </w:tc>
        <w:tc>
          <w:tcPr>
            <w:tcW w:w="1140" w:type="dxa"/>
            <w:vAlign w:val="bottom"/>
          </w:tcPr>
          <w:p>
            <w:pPr>
              <w:jc w:val="right"/>
              <w:spacing w:after="0"/>
              <w:rPr>
                <w:sz w:val="20"/>
                <w:szCs w:val="20"/>
                <w:color w:val="auto"/>
              </w:rPr>
            </w:pPr>
            <w:r>
              <w:rPr>
                <w:rFonts w:ascii="Arial" w:cs="Arial" w:eastAsia="Arial" w:hAnsi="Arial"/>
                <w:sz w:val="18"/>
                <w:szCs w:val="18"/>
                <w:color w:val="auto"/>
              </w:rPr>
              <w:t>758,340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217,548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446,007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2,343,075</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631,881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1,251,561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Purchase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49,300,000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35,500,000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13,800,000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6,204,917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58,606,332</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36,349,429</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15,497,568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896,871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5,862,464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2015, we did not have any off-balance sheet arrangements, as defined in Item 303(a)(4)(ii) of SEC Regulation S-K.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See Note 1 to our Consolidated Financial Statements of this annual report on Form 10-K for a description of recent accounting pronouncements applicable to our business.</w:t>
      </w:r>
    </w:p>
    <w:p>
      <w:pPr>
        <w:spacing w:after="0" w:line="38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486" w:right="779" w:bottom="1440" w:gutter="0" w:footer="0" w:header="0"/>
        </w:sectPr>
      </w:pPr>
    </w:p>
    <w:bookmarkStart w:id="64" w:name="page65"/>
    <w:bookmarkEnd w:id="64"/>
    <w:p>
      <w:pPr>
        <w:spacing w:after="0"/>
        <w:tabs>
          <w:tab w:leader="none" w:pos="102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4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2015 and 2014, we had cash and cash equivalents of $81.2 million and $132.5 million, respectively. We invest our cash reserves in corporate bonds typically with maturities of less than 2 years, and we classify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 Our liability instrument sensitive to changes in interest rates is our derivative liability with its fair value determined using an option pricing model, which uses interest rate as an input. However, any change associated with this valuation would result in a noncash expense and would not significantly impact our operations.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included in Item 15 of this Annual Report Form 10-K.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6"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5" w:name="page66"/>
    <w:bookmarkEnd w:id="65"/>
    <w:p>
      <w:pPr>
        <w:ind w:right="20"/>
        <w:spacing w:after="0" w:line="302" w:lineRule="auto"/>
        <w:rPr>
          <w:sz w:val="20"/>
          <w:szCs w:val="20"/>
          <w:color w:val="auto"/>
        </w:rPr>
      </w:pPr>
      <w:r>
        <w:rPr>
          <w:rFonts w:ascii="Arial" w:cs="Arial" w:eastAsia="Arial" w:hAnsi="Arial"/>
          <w:sz w:val="16"/>
          <w:szCs w:val="16"/>
          <w:color w:val="auto"/>
        </w:rPr>
        <w:t>Committee of Sponsoring Organizations of the Treadway Commission (2013 framework). Based on the Company’s assessment, management has concluded that its internal control over financial reporting was effective as of September 30, 2015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2015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2016 Annual Meeting of Stockholders, which proxy statement will be filed no later than January 28,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2016 Annual Meeting of Stockholders, which proxy statement will be filed no later than January 28, 2016.</w:t>
      </w:r>
    </w:p>
    <w:p>
      <w:pPr>
        <w:spacing w:after="0" w:line="315" w:lineRule="exact"/>
        <w:rPr>
          <w:sz w:val="20"/>
          <w:szCs w:val="20"/>
          <w:color w:val="auto"/>
        </w:rPr>
      </w:pPr>
    </w:p>
    <w:p>
      <w:pPr>
        <w:ind w:left="1040" w:right="4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2016 Annual Meeting of Stockholders, which proxy statement will be filed no later than January 28, 2016.</w:t>
      </w: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2016 Annual Meeting of Stockholders, which proxy statement will be filed no later than January 28, 2016.</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2016 Annual Meeting of Stockholders, which proxy statement will be filed no later than January 28, 2016.</w:t>
      </w:r>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See Index to Financial Statements and Schedule on page F-1.</w:t>
      </w:r>
    </w:p>
    <w:p>
      <w:pPr>
        <w:spacing w:after="0" w:line="113" w:lineRule="exact"/>
        <w:rPr>
          <w:rFonts w:ascii="Arial" w:cs="Arial" w:eastAsia="Arial" w:hAnsi="Arial"/>
          <w:sz w:val="18"/>
          <w:szCs w:val="18"/>
          <w:b w:val="1"/>
          <w:bCs w:val="1"/>
          <w:color w:val="auto"/>
        </w:rPr>
      </w:pPr>
    </w:p>
    <w:p>
      <w:pPr>
        <w:ind w:left="1040" w:hanging="519"/>
        <w:spacing w:after="0"/>
        <w:tabs>
          <w:tab w:leader="none" w:pos="10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520" w:firstLine="495"/>
        <w:spacing w:after="0" w:line="264"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66" w:name="page67"/>
    <w:bookmarkEnd w:id="66"/>
    <w:p>
      <w:pPr>
        <w:ind w:left="1040" w:hanging="519"/>
        <w:spacing w:after="0"/>
        <w:tabs>
          <w:tab w:leader="none" w:pos="10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The following exhibits are filed (or incorporated by reference herein) as part of this Annual Report on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1"/>
              </w:rPr>
              <w:t>Stock and Asset Purchase Agreement between Arrowhead Research Corporation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Roche entities, dated October 21, 2011†</w:t>
            </w:r>
          </w:p>
        </w:tc>
        <w:tc>
          <w:tcPr>
            <w:tcW w:w="0" w:type="dxa"/>
            <w:vAlign w:val="bottom"/>
          </w:tcPr>
          <w:p>
            <w:pPr>
              <w:spacing w:after="0"/>
              <w:rPr>
                <w:sz w:val="1"/>
                <w:szCs w:val="1"/>
                <w:color w:val="auto"/>
              </w:rPr>
            </w:pPr>
          </w:p>
        </w:tc>
      </w:tr>
      <w:tr>
        <w:trPr>
          <w:trHeight w:val="539"/>
        </w:trPr>
        <w:tc>
          <w:tcPr>
            <w:tcW w:w="820" w:type="dxa"/>
            <w:vAlign w:val="bottom"/>
          </w:tcPr>
          <w:p>
            <w:pPr>
              <w:spacing w:after="0"/>
              <w:rPr>
                <w:sz w:val="20"/>
                <w:szCs w:val="20"/>
                <w:color w:val="auto"/>
              </w:rPr>
            </w:pPr>
            <w:r>
              <w:rPr>
                <w:rFonts w:ascii="Arial" w:cs="Arial" w:eastAsia="Arial" w:hAnsi="Arial"/>
                <w:sz w:val="18"/>
                <w:szCs w:val="18"/>
                <w:color w:val="auto"/>
              </w:rPr>
              <w:t>2.2</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6"/>
              </w:rPr>
              <w:t>Asset Purchase and Exclusive License Agreement between Arrowhead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6"/>
              </w:rPr>
              <w:t>Corporation and Novartis Institutes for BioMedical Research, Inc., dated March 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5"/>
              </w:rPr>
              <w:t>Certificate of Incorporation of InterActive Group, Inc., a Delaware corporation, filed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with the Secretary of State of the State of Delaware on February 13, 2001</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6"/>
              </w:rPr>
              <w:t>Certificate of Amendment to Certificate of Incorporation of InterActive Group, Inc.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7"/>
              </w:rPr>
              <w:t>(effecting, among other things a change in the corporation’s name to “Arrowhead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3"/>
              </w:rPr>
              <w:t>Research Corporation”), filed with the Secretary of State of the State of Delaware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January 12, 2004</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8"/>
              </w:rPr>
              <w:t>Certificate of Amendment to Certificate of Incorporation of Arrowhead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2"/>
              </w:rPr>
              <w:t>Corporation, filed with the Secretary of State of the State of Delaware on January 26,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8"/>
              </w:rPr>
              <w:t>Certificate of Amendment to Certificate of Incorporation of Arrowhead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9"/>
              </w:rPr>
              <w:t>Corporation, filed with the Secretary of State of the State of Delaware on 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October 14, 2009</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3.5</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4"/>
              </w:rPr>
              <w:t>Series A Certificate of Designations, filed with the Secretary of State of the State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Delaware on October 25, 2011</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3.6</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8"/>
              </w:rPr>
              <w:t>Certificate of Amendment to Certificate of Incorporation of Arrowhead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3"/>
              </w:rPr>
              <w:t>Corporation, filed with the Secretary of State of the State of Delaware on November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15, 2011</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3.7</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Bylaws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3.8</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Amendment No. 1 to the Bylaws of Arrowhead Research Corporation</w:t>
            </w:r>
          </w:p>
        </w:tc>
        <w:tc>
          <w:tcPr>
            <w:tcW w:w="0" w:type="dxa"/>
            <w:vAlign w:val="bottom"/>
          </w:tcPr>
          <w:p>
            <w:pPr>
              <w:spacing w:after="0"/>
              <w:rPr>
                <w:sz w:val="1"/>
                <w:szCs w:val="1"/>
                <w:color w:val="auto"/>
              </w:rPr>
            </w:pPr>
          </w:p>
        </w:tc>
      </w:tr>
      <w:tr>
        <w:trPr>
          <w:trHeight w:val="539"/>
        </w:trPr>
        <w:tc>
          <w:tcPr>
            <w:tcW w:w="820" w:type="dxa"/>
            <w:vAlign w:val="bottom"/>
          </w:tcPr>
          <w:p>
            <w:pPr>
              <w:spacing w:after="0"/>
              <w:rPr>
                <w:sz w:val="20"/>
                <w:szCs w:val="20"/>
                <w:color w:val="auto"/>
              </w:rPr>
            </w:pPr>
            <w:r>
              <w:rPr>
                <w:rFonts w:ascii="Arial" w:cs="Arial" w:eastAsia="Arial" w:hAnsi="Arial"/>
                <w:sz w:val="18"/>
                <w:szCs w:val="18"/>
                <w:color w:val="auto"/>
              </w:rPr>
              <w:t>3.9</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4"/>
              </w:rPr>
              <w:t>Series B Certificate of Designations, filed with the Secretary of State of the State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Delaware on May 1, 2013</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3.10</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4"/>
              </w:rPr>
              <w:t>Series C Certificate of Designations, filed with the Secretary of State of the State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Delaware on October 10, 2013</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Capital Stock expiring June 2014</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Capital Stock expiring December 2014</w:t>
            </w:r>
          </w:p>
        </w:tc>
        <w:tc>
          <w:tcPr>
            <w:tcW w:w="0" w:type="dxa"/>
            <w:vAlign w:val="bottom"/>
          </w:tcPr>
          <w:p>
            <w:pPr>
              <w:spacing w:after="0"/>
              <w:rPr>
                <w:sz w:val="1"/>
                <w:szCs w:val="1"/>
                <w:color w:val="auto"/>
              </w:rPr>
            </w:pPr>
          </w:p>
        </w:tc>
      </w:tr>
      <w:tr>
        <w:trPr>
          <w:trHeight w:val="770"/>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Common Stock expiring May 2017</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Common Stock expiring December 2015</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6360" w:type="dxa"/>
            <w:vAlign w:val="bottom"/>
            <w:gridSpan w:val="2"/>
          </w:tcPr>
          <w:p>
            <w:pPr>
              <w:ind w:left="48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632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Date</w:t>
            </w:r>
          </w:p>
        </w:tc>
      </w:tr>
      <w:tr>
        <w:trPr>
          <w:trHeight w:val="317"/>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2011, as Exhibit 2.1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6"/>
              </w:rPr>
              <w:t>Quarterly Report on Form 10-Q,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May 11, 2015</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2.1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39"/>
        </w:trPr>
        <w:tc>
          <w:tcPr>
            <w:tcW w:w="2700" w:type="dxa"/>
            <w:vAlign w:val="bottom"/>
          </w:tcPr>
          <w:p>
            <w:pPr>
              <w:spacing w:after="0"/>
              <w:rPr>
                <w:sz w:val="20"/>
                <w:szCs w:val="20"/>
                <w:color w:val="auto"/>
              </w:rPr>
            </w:pPr>
            <w:r>
              <w:rPr>
                <w:rFonts w:ascii="Arial" w:cs="Arial" w:eastAsia="Arial" w:hAnsi="Arial"/>
                <w:sz w:val="18"/>
                <w:szCs w:val="18"/>
                <w:color w:val="auto"/>
              </w:rPr>
              <w:t>Schedule 14C, as Exhibit A</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30"/>
        </w:trPr>
        <w:tc>
          <w:tcPr>
            <w:tcW w:w="27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2000</w:t>
            </w: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Schedule 14C, as Exhibit 1</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30"/>
        </w:trPr>
        <w:tc>
          <w:tcPr>
            <w:tcW w:w="27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2003</w:t>
            </w:r>
          </w:p>
        </w:tc>
      </w:tr>
      <w:tr>
        <w:trPr>
          <w:trHeight w:val="755"/>
        </w:trPr>
        <w:tc>
          <w:tcPr>
            <w:tcW w:w="2700" w:type="dxa"/>
            <w:vAlign w:val="bottom"/>
          </w:tcPr>
          <w:p>
            <w:pPr>
              <w:spacing w:after="0"/>
              <w:rPr>
                <w:sz w:val="20"/>
                <w:szCs w:val="20"/>
                <w:color w:val="auto"/>
              </w:rPr>
            </w:pPr>
            <w:r>
              <w:rPr>
                <w:rFonts w:ascii="Arial" w:cs="Arial" w:eastAsia="Arial" w:hAnsi="Arial"/>
                <w:sz w:val="18"/>
                <w:szCs w:val="18"/>
                <w:color w:val="auto"/>
                <w:w w:val="94"/>
              </w:rPr>
              <w:t>Form 10-QSB for the quarter ended</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1"/>
              </w:rPr>
              <w:t>February 11, 2005</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w w:val="97"/>
              </w:rPr>
              <w:t>December 31, 2004, as Exhibit 3.4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39"/>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2009</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2009, as Exhibit 3.4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6"/>
              </w:rPr>
              <w:t>October 26, 2011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3.1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November 17,</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3.1</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2011</w:t>
            </w:r>
          </w:p>
        </w:tc>
      </w:tr>
      <w:tr>
        <w:trPr>
          <w:trHeight w:val="539"/>
        </w:trPr>
        <w:tc>
          <w:tcPr>
            <w:tcW w:w="2700" w:type="dxa"/>
            <w:vAlign w:val="bottom"/>
          </w:tcPr>
          <w:p>
            <w:pPr>
              <w:spacing w:after="0"/>
              <w:rPr>
                <w:sz w:val="20"/>
                <w:szCs w:val="20"/>
                <w:color w:val="auto"/>
              </w:rPr>
            </w:pPr>
            <w:r>
              <w:rPr>
                <w:rFonts w:ascii="Arial" w:cs="Arial" w:eastAsia="Arial" w:hAnsi="Arial"/>
                <w:sz w:val="18"/>
                <w:szCs w:val="18"/>
                <w:color w:val="auto"/>
              </w:rPr>
              <w:t>Schedule 14C, as Exhibit B</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30"/>
        </w:trPr>
        <w:tc>
          <w:tcPr>
            <w:tcW w:w="27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2000</w:t>
            </w: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April 27, 2010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3.1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May 1, 2013</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3.1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6"/>
              </w:rPr>
              <w:t>October 10, 2013</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3.1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July 17, 2009</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2009</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2009, as Exhibit 4.7</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May 30, 2007</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18, 2010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ectPr>
          <w:pgSz w:w="11900" w:h="16838" w:orient="portrait"/>
          <w:cols w:equalWidth="0" w:num="2">
            <w:col w:w="7180" w:space="100"/>
            <w:col w:w="4140"/>
          </w:cols>
          <w:pgMar w:left="240" w:top="121" w:right="239" w:bottom="1440" w:gutter="0" w:footer="0" w:header="0"/>
          <w:type w:val="continuous"/>
        </w:sectPr>
      </w:pPr>
    </w:p>
    <w:bookmarkStart w:id="67" w:name="page68"/>
    <w:bookmarkEnd w:id="67"/>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Warrant to Purchase Shares of Capital Stock of Arrowhead Research</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Corporation expiring September 16, 2015</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6"/>
              </w:rPr>
              <w:t>Form of Warrant to Purchase Shares of Common Stock Expiring August 13, 2016</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770"/>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Series B Preferred Stock Certificate</w:t>
            </w:r>
          </w:p>
        </w:tc>
        <w:tc>
          <w:tcPr>
            <w:tcW w:w="0" w:type="dxa"/>
            <w:vAlign w:val="bottom"/>
          </w:tcPr>
          <w:p>
            <w:pPr>
              <w:spacing w:after="0"/>
              <w:rPr>
                <w:sz w:val="1"/>
                <w:szCs w:val="1"/>
                <w:color w:val="auto"/>
              </w:rPr>
            </w:pPr>
          </w:p>
        </w:tc>
      </w:tr>
      <w:tr>
        <w:trPr>
          <w:trHeight w:val="770"/>
        </w:trPr>
        <w:tc>
          <w:tcPr>
            <w:tcW w:w="820" w:type="dxa"/>
            <w:vAlign w:val="bottom"/>
          </w:tcPr>
          <w:p>
            <w:pPr>
              <w:spacing w:after="0"/>
              <w:rPr>
                <w:sz w:val="20"/>
                <w:szCs w:val="20"/>
                <w:color w:val="auto"/>
              </w:rPr>
            </w:pPr>
            <w:r>
              <w:rPr>
                <w:rFonts w:ascii="Arial" w:cs="Arial" w:eastAsia="Arial" w:hAnsi="Arial"/>
                <w:sz w:val="18"/>
                <w:szCs w:val="18"/>
                <w:color w:val="auto"/>
              </w:rPr>
              <w:t>4.9</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6"/>
              </w:rPr>
              <w:t>Form of Warrant to Purchase Shares of Common Stock expiring August 17, 2016</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4.10</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2"/>
              </w:rPr>
              <w:t>Form of Warrant to Purchase Shares of Common Stock expiring December 12, 2017</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4.11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5"/>
              </w:rPr>
              <w:t>Form of Warrant to Purchase Shares of Common Stock expiring January 30, 2018</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4.12</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Series C Preferred Stock Certificate</w:t>
            </w:r>
          </w:p>
        </w:tc>
        <w:tc>
          <w:tcPr>
            <w:tcW w:w="0" w:type="dxa"/>
            <w:vAlign w:val="bottom"/>
          </w:tcPr>
          <w:p>
            <w:pPr>
              <w:spacing w:after="0"/>
              <w:rPr>
                <w:sz w:val="1"/>
                <w:szCs w:val="1"/>
                <w:color w:val="auto"/>
              </w:rPr>
            </w:pPr>
          </w:p>
        </w:tc>
      </w:tr>
      <w:tr>
        <w:trPr>
          <w:trHeight w:val="770"/>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8"/>
              </w:rPr>
              <w:t>Arrowhead Research Corporation (fka InterActive, Inc.) 2000 Stock Option Plan</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Arrowhead Research Corporation 2004 Equity Incentive Plan, as amended</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Arrowhead Research Corporation 2013 Incentive Plan</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for use with the 2013 Incentive Plan</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Restricted Stock Unit Agreement for use with the 2013 Incentive Plan</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Executive Incentive Plan, adopted December 12, 2006</w:t>
            </w:r>
          </w:p>
        </w:tc>
        <w:tc>
          <w:tcPr>
            <w:tcW w:w="0" w:type="dxa"/>
            <w:vAlign w:val="bottom"/>
          </w:tcPr>
          <w:p>
            <w:pPr>
              <w:spacing w:after="0"/>
              <w:rPr>
                <w:sz w:val="1"/>
                <w:szCs w:val="1"/>
                <w:color w:val="auto"/>
              </w:rPr>
            </w:pPr>
          </w:p>
        </w:tc>
      </w:tr>
      <w:tr>
        <w:trPr>
          <w:trHeight w:val="755"/>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between Arrowhead and Dr. Christopher Anzalone, dated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June 11, 2008</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7"/>
              </w:rPr>
              <w:t>Amendment to Employment Agreement between Arrowhead and Dr. Christopher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Anzalone, effective May 12, 2009</w:t>
            </w:r>
          </w:p>
        </w:tc>
        <w:tc>
          <w:tcPr>
            <w:tcW w:w="0" w:type="dxa"/>
            <w:vAlign w:val="bottom"/>
          </w:tcPr>
          <w:p>
            <w:pPr>
              <w:spacing w:after="0"/>
              <w:rPr>
                <w:sz w:val="1"/>
                <w:szCs w:val="1"/>
                <w:color w:val="auto"/>
              </w:rPr>
            </w:pPr>
          </w:p>
        </w:tc>
      </w:tr>
      <w:tr>
        <w:trPr>
          <w:trHeight w:val="539"/>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5"/>
              </w:rPr>
              <w:t>Non-Exclusive License Agreement between Arrowhead Research Corporation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Roche entities, dated October 21, 2011†</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6360" w:type="dxa"/>
            <w:vAlign w:val="bottom"/>
            <w:gridSpan w:val="2"/>
          </w:tcPr>
          <w:p>
            <w:pPr>
              <w:ind w:left="48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6327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Date</w:t>
            </w:r>
          </w:p>
        </w:tc>
      </w:tr>
      <w:tr>
        <w:trPr>
          <w:trHeight w:val="317"/>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September 22,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4.1</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2010</w:t>
            </w: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August 13, 2012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Amendment No. 2 to Registration</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September 11,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7"/>
              </w:rPr>
              <w:t>Statement on Form S-1, as Exhibit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2009</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18,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2013</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2013, as Exhibit 4.15</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August 13, 2012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4.2</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12,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4.2</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2012</w:t>
            </w: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6"/>
              </w:rPr>
              <w:t>January 30, 2013</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4.2</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18, 2013</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2013, as Exhibit 4.15</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Schedule 14C, as Exhibit D</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30"/>
        </w:trPr>
        <w:tc>
          <w:tcPr>
            <w:tcW w:w="27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2000</w:t>
            </w:r>
          </w:p>
        </w:tc>
      </w:tr>
      <w:tr>
        <w:trPr>
          <w:trHeight w:val="338"/>
        </w:trPr>
        <w:tc>
          <w:tcPr>
            <w:tcW w:w="2700" w:type="dxa"/>
            <w:vAlign w:val="bottom"/>
          </w:tcPr>
          <w:p>
            <w:pPr>
              <w:spacing w:after="0"/>
              <w:rPr>
                <w:sz w:val="20"/>
                <w:szCs w:val="20"/>
                <w:color w:val="auto"/>
              </w:rPr>
            </w:pPr>
            <w:r>
              <w:rPr>
                <w:rFonts w:ascii="Arial" w:cs="Arial" w:eastAsia="Arial" w:hAnsi="Arial"/>
                <w:sz w:val="18"/>
                <w:szCs w:val="18"/>
                <w:color w:val="auto"/>
              </w:rPr>
              <w:t>Schedule 14C, as Annex A</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6"/>
              </w:rPr>
              <w:t>January 12, 2012</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Schedule 14C, as Annex A</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r>
      <w:tr>
        <w:trPr>
          <w:trHeight w:val="230"/>
        </w:trPr>
        <w:tc>
          <w:tcPr>
            <w:tcW w:w="27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2013</w:t>
            </w: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1"/>
              </w:rPr>
              <w:t>February 12, 2014</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10.1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w w:val="91"/>
              </w:rPr>
              <w:t>February 12, 2014</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10.2</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14,</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2006</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2006, as Exhibit 10.11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rPr>
              <w:t>Current Report on Form 8-K, as</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13, 2008</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Exhibit 10.1</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2009</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2009, as Exhibit 10.8</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700" w:type="dxa"/>
            <w:vAlign w:val="bottom"/>
          </w:tcPr>
          <w:p>
            <w:pPr>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2011</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2011, as Exhibit 10.33</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ectPr>
          <w:pgSz w:w="11900" w:h="16838" w:orient="portrait"/>
          <w:cols w:equalWidth="0" w:num="2">
            <w:col w:w="7180" w:space="100"/>
            <w:col w:w="4140"/>
          </w:cols>
          <w:pgMar w:left="240" w:top="184"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8"/>
        </w:trPr>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3"/>
                <w:szCs w:val="3"/>
                <w:color w:val="auto"/>
              </w:rPr>
            </w:pPr>
          </w:p>
        </w:tc>
        <w:tc>
          <w:tcPr>
            <w:tcW w:w="270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3"/>
                <w:szCs w:val="3"/>
                <w:color w:val="auto"/>
              </w:rPr>
            </w:pPr>
          </w:p>
        </w:tc>
        <w:tc>
          <w:tcPr>
            <w:tcW w:w="1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line="20" w:lineRule="exact"/>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License and Collaboration Agreement, dated July 8, 2007 †</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2011, as Exhibit 10.35</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Collaboration Agreement by and among Alnylam Pharmaceuticals, Inc. and F.</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w w:val="93"/>
              </w:rPr>
              <w:t>Annual Report on Form 10-K for the</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w w:val="98"/>
              </w:rPr>
              <w:t>Hoffmann-La Roche Ltd and Hoffman-La Roche Inc., dated October 29, 2009 †</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fiscal year ended September 30,</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2011, as Exhibit 10.36</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18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6520" w:type="dxa"/>
            <w:vAlign w:val="bottom"/>
          </w:tcPr>
          <w:p>
            <w:pPr>
              <w:ind w:left="260"/>
              <w:spacing w:after="0"/>
              <w:rPr>
                <w:sz w:val="20"/>
                <w:szCs w:val="20"/>
                <w:color w:val="auto"/>
              </w:rPr>
            </w:pPr>
            <w:r>
              <w:rPr>
                <w:rFonts w:ascii="Arial" w:cs="Arial" w:eastAsia="Arial" w:hAnsi="Arial"/>
                <w:sz w:val="18"/>
                <w:szCs w:val="18"/>
                <w:color w:val="auto"/>
              </w:rPr>
              <w:t>Office Lease Agreement between South Lake Avenue Investors LLC and the</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Company, dated April 12, 2012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6520" w:type="dxa"/>
            <w:vAlign w:val="bottom"/>
          </w:tcPr>
          <w:p>
            <w:pPr>
              <w:ind w:left="260"/>
              <w:spacing w:after="0"/>
              <w:rPr>
                <w:sz w:val="20"/>
                <w:szCs w:val="20"/>
                <w:color w:val="auto"/>
              </w:rPr>
            </w:pPr>
            <w:r>
              <w:rPr>
                <w:rFonts w:ascii="Arial" w:cs="Arial" w:eastAsia="Arial" w:hAnsi="Arial"/>
                <w:sz w:val="18"/>
                <w:szCs w:val="18"/>
                <w:color w:val="auto"/>
                <w:w w:val="97"/>
              </w:rPr>
              <w:t>Form of Subscription Agreement between Arrowhead Research Corporation and</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certain Investors</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6520" w:type="dxa"/>
            <w:vAlign w:val="bottom"/>
          </w:tcPr>
          <w:p>
            <w:pPr>
              <w:ind w:left="260"/>
              <w:spacing w:after="0"/>
              <w:rPr>
                <w:sz w:val="20"/>
                <w:szCs w:val="20"/>
                <w:color w:val="auto"/>
              </w:rPr>
            </w:pPr>
            <w:r>
              <w:rPr>
                <w:rFonts w:ascii="Arial" w:cs="Arial" w:eastAsia="Arial" w:hAnsi="Arial"/>
                <w:sz w:val="18"/>
                <w:szCs w:val="18"/>
                <w:color w:val="auto"/>
                <w:w w:val="97"/>
              </w:rPr>
              <w:t>Form of Subscription Agreement between Arrowhead Research Corporation and</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certain Investors</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6520" w:type="dxa"/>
            <w:vAlign w:val="bottom"/>
          </w:tcPr>
          <w:p>
            <w:pPr>
              <w:ind w:left="260"/>
              <w:spacing w:after="0"/>
              <w:rPr>
                <w:sz w:val="20"/>
                <w:szCs w:val="20"/>
                <w:color w:val="auto"/>
              </w:rPr>
            </w:pPr>
            <w:r>
              <w:rPr>
                <w:rFonts w:ascii="Arial" w:cs="Arial" w:eastAsia="Arial" w:hAnsi="Arial"/>
                <w:sz w:val="18"/>
                <w:szCs w:val="18"/>
                <w:color w:val="auto"/>
                <w:w w:val="93"/>
              </w:rPr>
              <w:t>Form of Securities Purchase Agreement between Arrowhead Research Corporation</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and certain Investors</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6520" w:type="dxa"/>
            <w:vAlign w:val="bottom"/>
          </w:tcPr>
          <w:p>
            <w:pPr>
              <w:ind w:left="260"/>
              <w:spacing w:after="0"/>
              <w:rPr>
                <w:sz w:val="20"/>
                <w:szCs w:val="20"/>
                <w:color w:val="auto"/>
              </w:rPr>
            </w:pPr>
            <w:r>
              <w:rPr>
                <w:rFonts w:ascii="Arial" w:cs="Arial" w:eastAsia="Arial" w:hAnsi="Arial"/>
                <w:sz w:val="18"/>
                <w:szCs w:val="18"/>
                <w:color w:val="auto"/>
                <w:w w:val="96"/>
              </w:rPr>
              <w:t>Securities Purchase Agreement between the Company and the purchasers listed</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thereon.</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6520" w:type="dxa"/>
            <w:vAlign w:val="bottom"/>
          </w:tcPr>
          <w:p>
            <w:pPr>
              <w:ind w:left="260"/>
              <w:spacing w:after="0"/>
              <w:rPr>
                <w:sz w:val="20"/>
                <w:szCs w:val="20"/>
                <w:color w:val="auto"/>
              </w:rPr>
            </w:pPr>
            <w:r>
              <w:rPr>
                <w:rFonts w:ascii="Arial" w:cs="Arial" w:eastAsia="Arial" w:hAnsi="Arial"/>
                <w:sz w:val="18"/>
                <w:szCs w:val="18"/>
                <w:color w:val="auto"/>
                <w:w w:val="98"/>
              </w:rPr>
              <w:t>License Agreement by and between Alnylam Pharmaceuticals, Inc., Arrowhead</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Research Corporation and Arrowhead Madison, Inc.†</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6520" w:type="dxa"/>
            <w:vAlign w:val="bottom"/>
          </w:tcPr>
          <w:p>
            <w:pPr>
              <w:ind w:left="260"/>
              <w:spacing w:after="0"/>
              <w:rPr>
                <w:sz w:val="20"/>
                <w:szCs w:val="20"/>
                <w:color w:val="auto"/>
              </w:rPr>
            </w:pPr>
            <w:r>
              <w:rPr>
                <w:rFonts w:ascii="Arial" w:cs="Arial" w:eastAsia="Arial" w:hAnsi="Arial"/>
                <w:sz w:val="18"/>
                <w:szCs w:val="18"/>
                <w:color w:val="auto"/>
              </w:rPr>
              <w:t>List of Subsidiaries*</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6520" w:type="dxa"/>
            <w:vAlign w:val="bottom"/>
          </w:tcPr>
          <w:p>
            <w:pPr>
              <w:ind w:left="260"/>
              <w:spacing w:after="0"/>
              <w:rPr>
                <w:sz w:val="20"/>
                <w:szCs w:val="20"/>
                <w:color w:val="auto"/>
              </w:rPr>
            </w:pPr>
            <w:r>
              <w:rPr>
                <w:rFonts w:ascii="Arial" w:cs="Arial" w:eastAsia="Arial" w:hAnsi="Arial"/>
                <w:sz w:val="18"/>
                <w:szCs w:val="18"/>
                <w:color w:val="auto"/>
              </w:rPr>
              <w:t>Consent of Independent Public Registered Accounting Firm*</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6520" w:type="dxa"/>
            <w:vAlign w:val="bottom"/>
          </w:tcPr>
          <w:p>
            <w:pPr>
              <w:ind w:left="260"/>
              <w:spacing w:after="0"/>
              <w:rPr>
                <w:sz w:val="20"/>
                <w:szCs w:val="20"/>
                <w:color w:val="auto"/>
              </w:rPr>
            </w:pPr>
            <w:r>
              <w:rPr>
                <w:rFonts w:ascii="Arial" w:cs="Arial" w:eastAsia="Arial" w:hAnsi="Arial"/>
                <w:sz w:val="18"/>
                <w:szCs w:val="18"/>
                <w:color w:val="auto"/>
              </w:rPr>
              <w:t>Power of Attorney (contained on signature page)</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6520" w:type="dxa"/>
            <w:vAlign w:val="bottom"/>
          </w:tcPr>
          <w:p>
            <w:pPr>
              <w:ind w:left="260"/>
              <w:spacing w:after="0"/>
              <w:rPr>
                <w:sz w:val="20"/>
                <w:szCs w:val="20"/>
                <w:color w:val="auto"/>
              </w:rPr>
            </w:pPr>
            <w:r>
              <w:rPr>
                <w:rFonts w:ascii="Arial" w:cs="Arial" w:eastAsia="Arial" w:hAnsi="Arial"/>
                <w:sz w:val="18"/>
                <w:szCs w:val="18"/>
                <w:color w:val="auto"/>
                <w:w w:val="98"/>
              </w:rPr>
              <w:t>Certification of Chief Executive Officer pursuant to Section 302 of the Sarbanes-</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Oxley 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6520" w:type="dxa"/>
            <w:vAlign w:val="bottom"/>
          </w:tcPr>
          <w:p>
            <w:pPr>
              <w:ind w:left="26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6520" w:type="dxa"/>
            <w:vAlign w:val="bottom"/>
          </w:tcPr>
          <w:p>
            <w:pPr>
              <w:ind w:left="260"/>
              <w:spacing w:after="0"/>
              <w:rPr>
                <w:sz w:val="20"/>
                <w:szCs w:val="20"/>
                <w:color w:val="auto"/>
              </w:rPr>
            </w:pPr>
            <w:r>
              <w:rPr>
                <w:rFonts w:ascii="Arial" w:cs="Arial" w:eastAsia="Arial" w:hAnsi="Arial"/>
                <w:sz w:val="18"/>
                <w:szCs w:val="18"/>
                <w:color w:val="auto"/>
                <w:w w:val="97"/>
              </w:rPr>
              <w:t>Certification by Chief Executive Officer pursuant to Section 906 of the Sarbanes-</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Oxley Act of 2002***</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6520" w:type="dxa"/>
            <w:vAlign w:val="bottom"/>
          </w:tcPr>
          <w:p>
            <w:pPr>
              <w:ind w:left="260"/>
              <w:spacing w:after="0"/>
              <w:rPr>
                <w:sz w:val="20"/>
                <w:szCs w:val="20"/>
                <w:color w:val="auto"/>
              </w:rPr>
            </w:pPr>
            <w:r>
              <w:rPr>
                <w:rFonts w:ascii="Arial" w:cs="Arial" w:eastAsia="Arial" w:hAnsi="Arial"/>
                <w:sz w:val="18"/>
                <w:szCs w:val="18"/>
                <w:color w:val="auto"/>
                <w:w w:val="91"/>
              </w:rPr>
              <w:t>Certification by Chief Financial Officer pursuant to Section 906 of the Sarbanes-Oxley</w:t>
            </w:r>
          </w:p>
        </w:tc>
      </w:tr>
      <w:tr>
        <w:trPr>
          <w:trHeight w:val="230"/>
        </w:trPr>
        <w:tc>
          <w:tcPr>
            <w:tcW w:w="660" w:type="dxa"/>
            <w:vAlign w:val="bottom"/>
          </w:tcPr>
          <w:p>
            <w:pPr>
              <w:spacing w:after="0"/>
              <w:rPr>
                <w:sz w:val="20"/>
                <w:szCs w:val="20"/>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Act of 2002***</w:t>
            </w:r>
          </w:p>
        </w:tc>
      </w:tr>
    </w:tbl>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Quarterly Report on Form 10-Q, as May 8, 2012 Exhibit 10.1</w:t>
      </w:r>
    </w:p>
    <w:p>
      <w:pPr>
        <w:spacing w:after="0" w:line="76"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December 12,</w:t>
      </w:r>
    </w:p>
    <w:p>
      <w:pPr>
        <w:spacing w:after="0" w:line="23"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2012</w:t>
      </w:r>
    </w:p>
    <w:p>
      <w:pPr>
        <w:spacing w:after="0" w:line="116"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January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116"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7"/>
          <w:szCs w:val="17"/>
          <w:color w:val="auto"/>
        </w:rPr>
        <w:t>April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11"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October 10,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116"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Quarterly Report on Form 10-Q, as</w:t>
      </w:r>
      <w:r>
        <w:rPr>
          <w:sz w:val="20"/>
          <w:szCs w:val="20"/>
          <w:color w:val="auto"/>
        </w:rPr>
        <w:tab/>
      </w:r>
      <w:r>
        <w:rPr>
          <w:rFonts w:ascii="Arial" w:cs="Arial" w:eastAsia="Arial" w:hAnsi="Arial"/>
          <w:sz w:val="16"/>
          <w:szCs w:val="16"/>
          <w:color w:val="auto"/>
        </w:rPr>
        <w:t>August 12,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3343" w:lineRule="exact"/>
        <w:rPr>
          <w:sz w:val="20"/>
          <w:szCs w:val="20"/>
          <w:color w:val="auto"/>
        </w:rPr>
      </w:pPr>
    </w:p>
    <w:p>
      <w:pPr>
        <w:sectPr>
          <w:pgSz w:w="11900" w:h="16838" w:orient="portrait"/>
          <w:cols w:equalWidth="0" w:num="2">
            <w:col w:w="7180" w:space="100"/>
            <w:col w:w="4140"/>
          </w:cols>
          <w:pgMar w:left="240" w:top="18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312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3120" w:type="dxa"/>
            <w:vAlign w:val="bottom"/>
          </w:tcPr>
          <w:p>
            <w:pPr>
              <w:ind w:left="120"/>
              <w:spacing w:after="0"/>
              <w:rPr>
                <w:sz w:val="20"/>
                <w:szCs w:val="20"/>
                <w:color w:val="auto"/>
              </w:rPr>
            </w:pPr>
            <w:r>
              <w:rPr>
                <w:rFonts w:ascii="Arial" w:cs="Arial" w:eastAsia="Arial" w:hAnsi="Arial"/>
                <w:sz w:val="18"/>
                <w:szCs w:val="18"/>
                <w:color w:val="auto"/>
              </w:rPr>
              <w:t>XBRL Schema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3120" w:type="dxa"/>
            <w:vAlign w:val="bottom"/>
          </w:tcPr>
          <w:p>
            <w:pPr>
              <w:ind w:left="120"/>
              <w:spacing w:after="0"/>
              <w:rPr>
                <w:sz w:val="20"/>
                <w:szCs w:val="20"/>
                <w:color w:val="auto"/>
              </w:rPr>
            </w:pPr>
            <w:r>
              <w:rPr>
                <w:rFonts w:ascii="Arial" w:cs="Arial" w:eastAsia="Arial" w:hAnsi="Arial"/>
                <w:sz w:val="18"/>
                <w:szCs w:val="18"/>
                <w:color w:val="auto"/>
                <w:w w:val="95"/>
              </w:rPr>
              <w:t>XBRL Calculation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3120" w:type="dxa"/>
            <w:vAlign w:val="bottom"/>
          </w:tcPr>
          <w:p>
            <w:pPr>
              <w:ind w:left="120"/>
              <w:spacing w:after="0"/>
              <w:rPr>
                <w:sz w:val="20"/>
                <w:szCs w:val="20"/>
                <w:color w:val="auto"/>
              </w:rPr>
            </w:pPr>
            <w:r>
              <w:rPr>
                <w:rFonts w:ascii="Arial" w:cs="Arial" w:eastAsia="Arial" w:hAnsi="Arial"/>
                <w:sz w:val="18"/>
                <w:szCs w:val="18"/>
                <w:color w:val="auto"/>
              </w:rPr>
              <w:t>XBRL Label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3120" w:type="dxa"/>
            <w:vAlign w:val="bottom"/>
          </w:tcPr>
          <w:p>
            <w:pPr>
              <w:ind w:left="120"/>
              <w:spacing w:after="0"/>
              <w:rPr>
                <w:sz w:val="20"/>
                <w:szCs w:val="20"/>
                <w:color w:val="auto"/>
              </w:rPr>
            </w:pPr>
            <w:r>
              <w:rPr>
                <w:rFonts w:ascii="Arial" w:cs="Arial" w:eastAsia="Arial" w:hAnsi="Arial"/>
                <w:sz w:val="18"/>
                <w:szCs w:val="18"/>
                <w:color w:val="auto"/>
                <w:w w:val="91"/>
              </w:rPr>
              <w:t>XBRL Presentation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3120" w:type="dxa"/>
            <w:vAlign w:val="bottom"/>
          </w:tcPr>
          <w:p>
            <w:pPr>
              <w:ind w:left="120"/>
              <w:spacing w:after="0"/>
              <w:rPr>
                <w:sz w:val="20"/>
                <w:szCs w:val="20"/>
                <w:color w:val="auto"/>
              </w:rPr>
            </w:pPr>
            <w:r>
              <w:rPr>
                <w:rFonts w:ascii="Arial" w:cs="Arial" w:eastAsia="Arial" w:hAnsi="Arial"/>
                <w:sz w:val="18"/>
                <w:szCs w:val="18"/>
                <w:color w:val="auto"/>
                <w:w w:val="99"/>
              </w:rPr>
              <w:t>XBRL Definition Linkbase Document*</w:t>
            </w:r>
          </w:p>
        </w:tc>
      </w:tr>
    </w:tbl>
    <w:p>
      <w:pPr>
        <w:spacing w:after="0" w:line="229"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35"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380" w:right="60" w:hanging="372"/>
        <w:spacing w:after="0" w:line="276"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type w:val="continuous"/>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firstLine="3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14th day of December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2015</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RESEARCH CORPORATION</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Anzalone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540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33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Anzalone</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14, 2015</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Christopher Anzalone</w:t>
            </w:r>
          </w:p>
        </w:tc>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Kenneth A. Myszkowski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14, 2015</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Kenneth A. Myszkowski</w:t>
            </w:r>
          </w:p>
        </w:tc>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Douglass Given</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14, 2015</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Douglass Given</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Mauro Ferrari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14, 2015</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8"/>
              </w:rPr>
              <w:t>Mauro Ferrari</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W. Frykman</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14, 2015</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5"/>
              </w:rPr>
              <w:t>Edward W. Frykman</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S. Perry</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14, 2015</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S. Perry</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0"/>
        </w:trPr>
        <w:tc>
          <w:tcPr>
            <w:tcW w:w="3340" w:type="dxa"/>
            <w:vAlign w:val="bottom"/>
          </w:tcPr>
          <w:p>
            <w:pPr>
              <w:spacing w:after="0"/>
              <w:rPr>
                <w:sz w:val="24"/>
                <w:szCs w:val="24"/>
                <w:color w:val="auto"/>
              </w:rPr>
            </w:pPr>
          </w:p>
        </w:tc>
        <w:tc>
          <w:tcPr>
            <w:tcW w:w="5560" w:type="dxa"/>
            <w:vAlign w:val="bottom"/>
            <w:gridSpan w:val="2"/>
          </w:tcPr>
          <w:p>
            <w:pPr>
              <w:jc w:val="right"/>
              <w:ind w:right="3012"/>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10660" w:type="dxa"/>
            <w:vAlign w:val="bottom"/>
            <w:gridSpan w:val="7"/>
          </w:tcPr>
          <w:p>
            <w:pPr>
              <w:ind w:left="3380"/>
              <w:spacing w:after="0"/>
              <w:rPr>
                <w:sz w:val="20"/>
                <w:szCs w:val="20"/>
                <w:color w:val="auto"/>
              </w:rPr>
            </w:pPr>
            <w:r>
              <w:rPr>
                <w:rFonts w:ascii="Arial" w:cs="Arial" w:eastAsia="Arial" w:hAnsi="Arial"/>
                <w:sz w:val="18"/>
                <w:szCs w:val="18"/>
                <w:b w:val="1"/>
                <w:bCs w:val="1"/>
                <w:color w:val="auto"/>
              </w:rPr>
              <w:t>INDEX TO FINANCIAL STATEMENTS AND SCHEDULE</w:t>
            </w:r>
          </w:p>
        </w:tc>
        <w:tc>
          <w:tcPr>
            <w:tcW w:w="660" w:type="dxa"/>
            <w:vAlign w:val="bottom"/>
          </w:tcPr>
          <w:p>
            <w:pPr>
              <w:spacing w:after="0"/>
              <w:rPr>
                <w:sz w:val="20"/>
                <w:szCs w:val="20"/>
                <w:color w:val="auto"/>
              </w:rPr>
            </w:pPr>
          </w:p>
        </w:tc>
      </w:tr>
      <w:tr>
        <w:trPr>
          <w:trHeight w:val="419"/>
        </w:trPr>
        <w:tc>
          <w:tcPr>
            <w:tcW w:w="4300" w:type="dxa"/>
            <w:vAlign w:val="bottom"/>
            <w:tcBorders>
              <w:bottom w:val="single" w:sz="8" w:color="0000EE"/>
            </w:tcBorders>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Reports of Independent Registered Public Accounting Firm</w:t>
              </w:r>
            </w:hyperlink>
          </w:p>
        </w:tc>
        <w:tc>
          <w:tcPr>
            <w:tcW w:w="6360" w:type="dxa"/>
            <w:vAlign w:val="bottom"/>
            <w:gridSpan w:val="6"/>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F-2</w:t>
            </w:r>
          </w:p>
        </w:tc>
      </w:tr>
      <w:tr>
        <w:trPr>
          <w:trHeight w:val="196"/>
        </w:trPr>
        <w:tc>
          <w:tcPr>
            <w:tcW w:w="7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Balance Sheets of Arrowhead Research Corporation, September 30, 2015 and 2014</w:t>
              </w:r>
            </w:hyperlink>
          </w:p>
        </w:tc>
        <w:tc>
          <w:tcPr>
            <w:tcW w:w="3640" w:type="dxa"/>
            <w:vAlign w:val="bottom"/>
            <w:gridSpan w:val="4"/>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10660" w:type="dxa"/>
            <w:vAlign w:val="bottom"/>
            <w:gridSpan w:val="7"/>
          </w:tcPr>
          <w:p>
            <w:pPr>
              <w:spacing w:after="0" w:line="196"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Consolidated Statements of Operations of Arrowhead Research Corporation for the years ended September 30, 2015, 2014 and 2013</w:t>
              </w:r>
            </w:hyperlink>
          </w:p>
        </w:tc>
        <w:tc>
          <w:tcPr>
            <w:tcW w:w="660" w:type="dxa"/>
            <w:vAlign w:val="bottom"/>
          </w:tcPr>
          <w:p>
            <w:pPr>
              <w:ind w:left="40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5820" w:type="dxa"/>
            <w:vAlign w:val="bottom"/>
            <w:gridSpan w:val="2"/>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2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Consolidated Statement of Stockholders’ Equity of Arrowhead Research Corporation for the years ended September 30, 2015, 2014, and 2013</w:t>
              </w:r>
            </w:hyperlink>
          </w:p>
        </w:tc>
        <w:tc>
          <w:tcPr>
            <w:tcW w:w="38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96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Cash Flows of Arrowhead Research Corporation for the years ended September 30, 2015, 2014 and 2013</w:t>
              </w:r>
            </w:hyperlink>
          </w:p>
        </w:tc>
        <w:tc>
          <w:tcPr>
            <w:tcW w:w="1040" w:type="dxa"/>
            <w:vAlign w:val="bottom"/>
            <w:gridSpan w:val="2"/>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 of Arrowhead Research Corporation</w:t>
              </w:r>
            </w:hyperlink>
          </w:p>
        </w:tc>
        <w:tc>
          <w:tcPr>
            <w:tcW w:w="660" w:type="dxa"/>
            <w:vAlign w:val="bottom"/>
          </w:tcPr>
          <w:p>
            <w:pPr>
              <w:ind w:left="400"/>
              <w:spacing w:after="0" w:line="196" w:lineRule="exact"/>
              <w:rPr>
                <w:sz w:val="20"/>
                <w:szCs w:val="20"/>
                <w:color w:val="auto"/>
              </w:rPr>
            </w:pPr>
            <w:r>
              <w:rPr>
                <w:rFonts w:ascii="Arial" w:cs="Arial" w:eastAsia="Arial" w:hAnsi="Arial"/>
                <w:sz w:val="18"/>
                <w:szCs w:val="18"/>
                <w:color w:val="auto"/>
                <w:w w:val="88"/>
              </w:rPr>
              <w:t>F-8</w:t>
            </w:r>
          </w:p>
        </w:tc>
      </w:tr>
      <w:tr>
        <w:trPr>
          <w:trHeight w:val="20"/>
        </w:trPr>
        <w:tc>
          <w:tcPr>
            <w:tcW w:w="4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Arrowhead Research Corporation</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audited the accompanying consolidated balance sheets of Arrowhead Research Corporation and Subsidiaries (the “Company”) as of September 30, 2015 and 2014, and the related consolidated statements of operations and comprehensive loss, stockholders’ equity and cash flows for each of the three years in the period ended September 30,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Arrowhead Research Corporation and Subsidiaries at September 30, 2015 and 2014, and the consolidated results of their operations and their cash flows for each of the three years in the period ended September 30, 2015, in conformity with U.S. generally accepted accounting principles.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Arrowhead Research Corporation and Subsidiaries’ internal control over financial reporting as of September 30, 2015, based on criteria established in Internal Control – Integrated Framework issued by the Committee of Sponsoring Organizations of the Treadway Commission (2013 framework) and our report dated December 11,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Arrowhead Research Corporation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Arrowhead Research Corporation and Subsidiaries’ (the “Company”) internal control over financial reporting as of September 30, 2015, based on criteria established in Internal Control – Integrated Framework issued by the Committee of Sponsoring Organizations of the Treadway Commission (2013 framework) (“the COSO criteria”). Arrowhead Research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our opinion, Arrowhead Research Corporation and Subsidiaries maintained, in all material respects, effective internal control over financial reporting as of September 30, 2015, based on the COSO criteria.</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2015 consolidated financial statements of Arrowhead Research Corporation and Subsidiaries and our report dated December 11, 2015 expressed an unqualified opinion thereon.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4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6740" w:type="dxa"/>
            <w:vAlign w:val="bottom"/>
          </w:tcPr>
          <w:p>
            <w:pPr>
              <w:ind w:left="3700"/>
              <w:spacing w:after="0"/>
              <w:rPr>
                <w:sz w:val="20"/>
                <w:szCs w:val="20"/>
                <w:color w:val="auto"/>
              </w:rPr>
            </w:pPr>
            <w:r>
              <w:rPr>
                <w:rFonts w:ascii="Arial" w:cs="Arial" w:eastAsia="Arial" w:hAnsi="Arial"/>
                <w:sz w:val="18"/>
                <w:szCs w:val="18"/>
                <w:b w:val="1"/>
                <w:bCs w:val="1"/>
                <w:color w:val="auto"/>
              </w:rPr>
              <w:t>Arrowhead Research Corporation</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740" w:type="dxa"/>
            <w:vAlign w:val="bottom"/>
          </w:tcPr>
          <w:p>
            <w:pPr>
              <w:ind w:left="3920"/>
              <w:spacing w:after="0"/>
              <w:rPr>
                <w:sz w:val="20"/>
                <w:szCs w:val="20"/>
                <w:color w:val="auto"/>
              </w:rPr>
            </w:pPr>
            <w:r>
              <w:rPr>
                <w:rFonts w:ascii="Arial" w:cs="Arial" w:eastAsia="Arial" w:hAnsi="Arial"/>
                <w:sz w:val="18"/>
                <w:szCs w:val="18"/>
                <w:b w:val="1"/>
                <w:bCs w:val="1"/>
                <w:color w:val="auto"/>
              </w:rPr>
              <w:t>Consolidated Balance Sheets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35"/>
        </w:trPr>
        <w:tc>
          <w:tcPr>
            <w:tcW w:w="7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September 30, 2015</w:t>
            </w:r>
          </w:p>
        </w:tc>
        <w:tc>
          <w:tcPr>
            <w:tcW w:w="120" w:type="dxa"/>
            <w:vAlign w:val="bottom"/>
          </w:tcPr>
          <w:p>
            <w:pPr>
              <w:spacing w:after="0"/>
              <w:rPr>
                <w:sz w:val="24"/>
                <w:szCs w:val="2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2014</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740" w:type="dxa"/>
            <w:vAlign w:val="bottom"/>
            <w:tcBorders>
              <w:top w:val="single" w:sz="8" w:color="CFF0FC"/>
            </w:tcBorders>
            <w:shd w:val="clear" w:color="auto" w:fill="CFF0FC"/>
          </w:tcPr>
          <w:p>
            <w:pPr>
              <w:ind w:left="2960"/>
              <w:spacing w:after="0" w:line="155" w:lineRule="exact"/>
              <w:rPr>
                <w:sz w:val="20"/>
                <w:szCs w:val="20"/>
                <w:color w:val="auto"/>
              </w:rPr>
            </w:pPr>
            <w:r>
              <w:rPr>
                <w:rFonts w:ascii="Arial" w:cs="Arial" w:eastAsia="Arial" w:hAnsi="Arial"/>
                <w:sz w:val="14"/>
                <w:szCs w:val="14"/>
                <w:b w:val="1"/>
                <w:bCs w:val="1"/>
                <w:color w:val="auto"/>
              </w:rPr>
              <w:t>ASSETS</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44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120" w:type="dxa"/>
            <w:vAlign w:val="bottom"/>
            <w:shd w:val="clear" w:color="auto" w:fill="CFF0FC"/>
          </w:tcPr>
          <w:p>
            <w:pPr>
              <w:spacing w:after="0"/>
              <w:rPr>
                <w:sz w:val="14"/>
                <w:szCs w:val="14"/>
                <w:color w:val="auto"/>
              </w:rPr>
            </w:pPr>
          </w:p>
        </w:tc>
      </w:tr>
      <w:tr>
        <w:trPr>
          <w:trHeight w:val="162"/>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Prepaid expenses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3,293,285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588,626</w:t>
            </w:r>
          </w:p>
        </w:tc>
        <w:tc>
          <w:tcPr>
            <w:tcW w:w="120" w:type="dxa"/>
            <w:vAlign w:val="bottom"/>
          </w:tcPr>
          <w:p>
            <w:pPr>
              <w:spacing w:after="0"/>
              <w:rPr>
                <w:sz w:val="14"/>
                <w:szCs w:val="14"/>
                <w:color w:val="auto"/>
              </w:rPr>
            </w:pPr>
          </w:p>
        </w:tc>
      </w:tr>
      <w:tr>
        <w:trPr>
          <w:trHeight w:val="162"/>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823,620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48,502</w:t>
            </w:r>
          </w:p>
        </w:tc>
        <w:tc>
          <w:tcPr>
            <w:tcW w:w="120" w:type="dxa"/>
            <w:vAlign w:val="bottom"/>
            <w:shd w:val="clear" w:color="auto" w:fill="CFF0FC"/>
          </w:tcPr>
          <w:p>
            <w:pPr>
              <w:spacing w:after="0"/>
              <w:rPr>
                <w:sz w:val="14"/>
                <w:szCs w:val="14"/>
                <w:color w:val="auto"/>
              </w:rPr>
            </w:pPr>
          </w:p>
        </w:tc>
      </w:tr>
      <w:tr>
        <w:trPr>
          <w:trHeight w:val="176"/>
        </w:trPr>
        <w:tc>
          <w:tcPr>
            <w:tcW w:w="7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Short term investments</w:t>
            </w:r>
          </w:p>
        </w:tc>
        <w:tc>
          <w:tcPr>
            <w:tcW w:w="4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17,539,902</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21,653,032</w:t>
            </w:r>
          </w:p>
        </w:tc>
        <w:tc>
          <w:tcPr>
            <w:tcW w:w="12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674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ASSETS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102,871,161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154,800,770</w:t>
            </w:r>
          </w:p>
        </w:tc>
        <w:tc>
          <w:tcPr>
            <w:tcW w:w="120" w:type="dxa"/>
            <w:vAlign w:val="bottom"/>
            <w:shd w:val="clear" w:color="auto" w:fill="CFF0FC"/>
          </w:tcPr>
          <w:p>
            <w:pPr>
              <w:spacing w:after="0"/>
              <w:rPr>
                <w:sz w:val="14"/>
                <w:szCs w:val="14"/>
                <w:color w:val="auto"/>
              </w:rPr>
            </w:pPr>
          </w:p>
        </w:tc>
      </w:tr>
      <w:tr>
        <w:trPr>
          <w:trHeight w:val="176"/>
        </w:trPr>
        <w:tc>
          <w:tcPr>
            <w:tcW w:w="744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4,526,848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3,872,753</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24,824,116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1,013,473</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140"/>
              <w:spacing w:after="0"/>
              <w:rPr>
                <w:sz w:val="20"/>
                <w:szCs w:val="20"/>
                <w:color w:val="auto"/>
              </w:rPr>
            </w:pPr>
            <w:r>
              <w:rPr>
                <w:rFonts w:ascii="Arial" w:cs="Arial" w:eastAsia="Arial" w:hAnsi="Arial"/>
                <w:sz w:val="14"/>
                <w:szCs w:val="14"/>
                <w:color w:val="auto"/>
              </w:rPr>
              <w:t>Investments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23,088,346</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4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45,789</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41,414</w:t>
            </w:r>
          </w:p>
        </w:tc>
        <w:tc>
          <w:tcPr>
            <w:tcW w:w="120" w:type="dxa"/>
            <w:vAlign w:val="bottom"/>
            <w:shd w:val="clear" w:color="auto" w:fill="CFF0FC"/>
          </w:tcPr>
          <w:p>
            <w:pPr>
              <w:spacing w:after="0"/>
              <w:rPr>
                <w:sz w:val="15"/>
                <w:szCs w:val="15"/>
                <w:color w:val="auto"/>
              </w:rPr>
            </w:pPr>
          </w:p>
        </w:tc>
      </w:tr>
      <w:tr>
        <w:trPr>
          <w:trHeight w:val="209"/>
        </w:trPr>
        <w:tc>
          <w:tcPr>
            <w:tcW w:w="7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4"/>
                <w:szCs w:val="14"/>
                <w:b w:val="1"/>
                <w:bCs w:val="1"/>
                <w:color w:val="auto"/>
              </w:rPr>
              <w:t>TOTAL ASSETS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132,267,914</w:t>
            </w:r>
          </w:p>
        </w:tc>
        <w:tc>
          <w:tcPr>
            <w:tcW w:w="2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182,816,756</w:t>
            </w:r>
          </w:p>
        </w:tc>
        <w:tc>
          <w:tcPr>
            <w:tcW w:w="120" w:type="dxa"/>
            <w:vAlign w:val="bottom"/>
          </w:tcPr>
          <w:p>
            <w:pPr>
              <w:spacing w:after="0"/>
              <w:rPr>
                <w:sz w:val="18"/>
                <w:szCs w:val="18"/>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740" w:type="dxa"/>
            <w:vAlign w:val="bottom"/>
            <w:tcBorders>
              <w:top w:val="single" w:sz="8" w:color="CFF0FC"/>
            </w:tcBorders>
            <w:shd w:val="clear" w:color="auto" w:fill="CFF0FC"/>
          </w:tcPr>
          <w:p>
            <w:pPr>
              <w:ind w:left="166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4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744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5,031,706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2,579,478</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5,376,119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1,399,486</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3,824,062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3,268,506</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Deferred revenue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103,125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103,125</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Derivative liabilities</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1,301,604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4,173,943</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Capital lease obligation</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217,548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213,991</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Notes payable</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4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58,495</w:t>
            </w:r>
          </w:p>
        </w:tc>
        <w:tc>
          <w:tcPr>
            <w:tcW w:w="12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674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15,900,571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11,847,024</w:t>
            </w:r>
          </w:p>
        </w:tc>
        <w:tc>
          <w:tcPr>
            <w:tcW w:w="120" w:type="dxa"/>
            <w:vAlign w:val="bottom"/>
            <w:shd w:val="clear" w:color="auto" w:fill="CFF0FC"/>
          </w:tcPr>
          <w:p>
            <w:pPr>
              <w:spacing w:after="0"/>
              <w:rPr>
                <w:sz w:val="14"/>
                <w:szCs w:val="14"/>
                <w:color w:val="auto"/>
              </w:rPr>
            </w:pPr>
          </w:p>
        </w:tc>
      </w:tr>
      <w:tr>
        <w:trPr>
          <w:trHeight w:val="176"/>
        </w:trPr>
        <w:tc>
          <w:tcPr>
            <w:tcW w:w="744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Capital lease obligation, net of current portion</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540,792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758,340</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Contingent consideration obligations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5,862,464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3,970,931</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4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342,453</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255,206</w:t>
            </w:r>
          </w:p>
        </w:tc>
        <w:tc>
          <w:tcPr>
            <w:tcW w:w="120" w:type="dxa"/>
            <w:vAlign w:val="bottom"/>
            <w:shd w:val="clear" w:color="auto" w:fill="CFF0FC"/>
          </w:tcPr>
          <w:p>
            <w:pPr>
              <w:spacing w:after="0"/>
              <w:rPr>
                <w:sz w:val="15"/>
                <w:szCs w:val="15"/>
                <w:color w:val="auto"/>
              </w:rPr>
            </w:pPr>
          </w:p>
        </w:tc>
      </w:tr>
      <w:tr>
        <w:trPr>
          <w:trHeight w:val="169"/>
        </w:trPr>
        <w:tc>
          <w:tcPr>
            <w:tcW w:w="700" w:type="dxa"/>
            <w:vAlign w:val="bottom"/>
          </w:tcPr>
          <w:p>
            <w:pPr>
              <w:spacing w:after="0"/>
              <w:rPr>
                <w:sz w:val="14"/>
                <w:szCs w:val="14"/>
                <w:color w:val="auto"/>
              </w:rPr>
            </w:pPr>
          </w:p>
        </w:tc>
        <w:tc>
          <w:tcPr>
            <w:tcW w:w="67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6,745,709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4,984,477</w:t>
            </w:r>
          </w:p>
        </w:tc>
        <w:tc>
          <w:tcPr>
            <w:tcW w:w="120" w:type="dxa"/>
            <w:vAlign w:val="bottom"/>
          </w:tcPr>
          <w:p>
            <w:pPr>
              <w:spacing w:after="0"/>
              <w:rPr>
                <w:sz w:val="14"/>
                <w:szCs w:val="14"/>
                <w:color w:val="auto"/>
              </w:rPr>
            </w:pPr>
          </w:p>
        </w:tc>
      </w:tr>
      <w:tr>
        <w:trPr>
          <w:trHeight w:val="176"/>
        </w:trPr>
        <w:tc>
          <w:tcPr>
            <w:tcW w:w="74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Commitments and contingencies</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140"/>
              <w:spacing w:after="0"/>
              <w:rPr>
                <w:sz w:val="20"/>
                <w:szCs w:val="20"/>
                <w:color w:val="auto"/>
              </w:rPr>
            </w:pPr>
            <w:r>
              <w:rPr>
                <w:rFonts w:ascii="Arial" w:cs="Arial" w:eastAsia="Arial" w:hAnsi="Arial"/>
                <w:sz w:val="14"/>
                <w:szCs w:val="14"/>
                <w:color w:val="auto"/>
              </w:rPr>
              <w:t>STOCKHOLDERS’ EQUITY</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Arrowhead Research Corporation stockholders' equity:</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43"/>
        </w:trPr>
        <w:tc>
          <w:tcPr>
            <w:tcW w:w="744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15,652 and 18,300 shares issued and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440" w:type="dxa"/>
            <w:vAlign w:val="bottom"/>
            <w:gridSpan w:val="2"/>
          </w:tcPr>
          <w:p>
            <w:pPr>
              <w:ind w:left="600"/>
              <w:spacing w:after="0"/>
              <w:rPr>
                <w:sz w:val="20"/>
                <w:szCs w:val="20"/>
                <w:color w:val="auto"/>
              </w:rPr>
            </w:pPr>
            <w:r>
              <w:rPr>
                <w:rFonts w:ascii="Arial" w:cs="Arial" w:eastAsia="Arial" w:hAnsi="Arial"/>
                <w:sz w:val="14"/>
                <w:szCs w:val="14"/>
                <w:color w:val="auto"/>
              </w:rPr>
              <w:t>outstanding as of September 30, 2015 and September 30, 2014, respectively</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r>
      <w:tr>
        <w:trPr>
          <w:trHeight w:val="143"/>
        </w:trPr>
        <w:tc>
          <w:tcPr>
            <w:tcW w:w="744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59,544,677 and 54,656,936 shares</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744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September 30, 2015 and September 30, 2014, respectively</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147,026</w:t>
            </w:r>
          </w:p>
        </w:tc>
        <w:tc>
          <w:tcPr>
            <w:tcW w:w="120" w:type="dxa"/>
            <w:vAlign w:val="bottom"/>
            <w:shd w:val="clear" w:color="auto" w:fill="CFF0FC"/>
          </w:tcPr>
          <w:p>
            <w:pPr>
              <w:spacing w:after="0"/>
              <w:rPr>
                <w:sz w:val="14"/>
                <w:szCs w:val="14"/>
                <w:color w:val="auto"/>
              </w:rPr>
            </w:pPr>
          </w:p>
        </w:tc>
      </w:tr>
      <w:tr>
        <w:trPr>
          <w:trHeight w:val="17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426,873,358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391,164,558</w:t>
            </w:r>
          </w:p>
        </w:tc>
        <w:tc>
          <w:tcPr>
            <w:tcW w:w="120" w:type="dxa"/>
            <w:vAlign w:val="bottom"/>
          </w:tcPr>
          <w:p>
            <w:pPr>
              <w:spacing w:after="0"/>
              <w:rPr>
                <w:sz w:val="15"/>
                <w:szCs w:val="15"/>
                <w:color w:val="auto"/>
              </w:rPr>
            </w:pPr>
          </w:p>
        </w:tc>
      </w:tr>
      <w:tr>
        <w:trPr>
          <w:trHeight w:val="176"/>
        </w:trPr>
        <w:tc>
          <w:tcPr>
            <w:tcW w:w="744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(136,425)</w:t>
            </w: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r>
      <w:tr>
        <w:trPr>
          <w:trHeight w:val="176"/>
        </w:trPr>
        <w:tc>
          <w:tcPr>
            <w:tcW w:w="744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(316,712,041)</w:t>
            </w:r>
          </w:p>
        </w:tc>
        <w:tc>
          <w:tcPr>
            <w:tcW w:w="120" w:type="dxa"/>
            <w:vAlign w:val="bottom"/>
          </w:tcPr>
          <w:p>
            <w:pPr>
              <w:spacing w:after="0"/>
              <w:rPr>
                <w:sz w:val="15"/>
                <w:szCs w:val="15"/>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(224,771,159)</w:t>
            </w:r>
          </w:p>
        </w:tc>
      </w:tr>
      <w:tr>
        <w:trPr>
          <w:trHeight w:val="169"/>
        </w:trPr>
        <w:tc>
          <w:tcPr>
            <w:tcW w:w="744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Research Corporation stockholders' equity</w:t>
            </w:r>
          </w:p>
        </w:tc>
        <w:tc>
          <w:tcPr>
            <w:tcW w:w="4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110,176,822</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166,540,443</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44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(555,188)</w:t>
            </w:r>
          </w:p>
        </w:tc>
        <w:tc>
          <w:tcPr>
            <w:tcW w:w="120" w:type="dxa"/>
            <w:vAlign w:val="bottom"/>
          </w:tcPr>
          <w:p>
            <w:pPr>
              <w:spacing w:after="0"/>
              <w:rPr>
                <w:sz w:val="15"/>
                <w:szCs w:val="15"/>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67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4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109,621,634</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165,985,255</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674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132,267,914</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182,816,756</w:t>
            </w:r>
          </w:p>
        </w:tc>
        <w:tc>
          <w:tcPr>
            <w:tcW w:w="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6"/>
          </w:tcPr>
          <w:p>
            <w:pPr>
              <w:jc w:val="right"/>
              <w:ind w:right="125"/>
              <w:spacing w:after="0"/>
              <w:rPr>
                <w:sz w:val="20"/>
                <w:szCs w:val="20"/>
                <w:color w:val="auto"/>
              </w:rPr>
            </w:pPr>
            <w:r>
              <w:rPr>
                <w:rFonts w:ascii="Arial" w:cs="Arial" w:eastAsia="Arial" w:hAnsi="Arial"/>
                <w:sz w:val="16"/>
                <w:szCs w:val="16"/>
                <w:b w:val="1"/>
                <w:bCs w:val="1"/>
                <w:color w:val="auto"/>
                <w:w w:val="93"/>
              </w:rPr>
              <w:t>Year Ended September 30,</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2013</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382,000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290,266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47,267,361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23,138,050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8,705,627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Salaries and payroll-related costs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16,554,008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12,829,355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6,667,669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7,931,184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5,894,008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3,488,864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10,232,897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5,696,173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1,536,271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2,336,207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1,345,655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1,751,412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Impairment expense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1,308,047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Contingent consideration - Fair Value Adjustments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1,891,533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2,375,658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1,421,652</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96,355,976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53,451,286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24,879,542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1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(95,973,976)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(53,276,286)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(24,589,276)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Equity in income (loss) of unconsolidated affiliates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(78,874)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(641,141)</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(loss) on sale of fixed assets, net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(58,878)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(76,388)</w:t>
            </w: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645,493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(97,910)</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 in value of derivatives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2,869,267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(6,033,659)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(5,300,389)</w:t>
            </w: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417,874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82,092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(997,975)</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4,035,494</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(5,443,826)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(7,113,803)</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1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(91,938,482)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(58,720,112)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(31,703,079)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(5,300)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(91,940,882)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(58,725,412)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(31,703,079)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(91,940,882)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(58,725,412)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(31,703,433)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560,144</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ATTRIBUTABLE TO ARROWHEAD</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(91,940,882)</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(58,630,190)</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(31,143,289)</w:t>
            </w:r>
          </w:p>
        </w:tc>
        <w:tc>
          <w:tcPr>
            <w:tcW w:w="2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PER SHARE ATTRIBUTABLE TO ARROWHEAD</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SHAREHOLDERS - BASIC &amp; DILUTED:</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w:t>
            </w:r>
          </w:p>
        </w:tc>
        <w:tc>
          <w:tcPr>
            <w:tcW w:w="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57,358,442</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46,933,030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24,002,224</w:t>
            </w:r>
          </w:p>
        </w:tc>
        <w:tc>
          <w:tcPr>
            <w:tcW w:w="2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(136,425)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COMPREHENSIVE LOSS ATTRIBUTABLE TO</w:t>
            </w: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shd w:val="clear" w:color="auto" w:fill="CFF0FC"/>
          </w:tcPr>
          <w:p>
            <w:pPr>
              <w:spacing w:after="0"/>
              <w:rPr>
                <w:sz w:val="18"/>
                <w:szCs w:val="18"/>
                <w:color w:val="auto"/>
              </w:rPr>
            </w:pPr>
          </w:p>
        </w:tc>
        <w:tc>
          <w:tcPr>
            <w:tcW w:w="420" w:type="dxa"/>
            <w:vAlign w:val="bottom"/>
            <w:gridSpan w:val="2"/>
            <w:vMerge w:val="restart"/>
            <w:shd w:val="clear" w:color="auto" w:fill="CFF0FC"/>
          </w:tcPr>
          <w:p>
            <w:pPr>
              <w:jc w:val="right"/>
              <w:ind w:right="145"/>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(92,077,307)</w:t>
            </w:r>
          </w:p>
        </w:tc>
        <w:tc>
          <w:tcPr>
            <w:tcW w:w="440" w:type="dxa"/>
            <w:vAlign w:val="bottom"/>
            <w:gridSpan w:val="2"/>
            <w:vMerge w:val="restart"/>
            <w:shd w:val="clear" w:color="auto" w:fill="CFF0FC"/>
          </w:tcPr>
          <w:p>
            <w:pPr>
              <w:jc w:val="right"/>
              <w:ind w:right="145"/>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(58,630,190)</w:t>
            </w:r>
          </w:p>
        </w:tc>
        <w:tc>
          <w:tcPr>
            <w:tcW w:w="420" w:type="dxa"/>
            <w:vAlign w:val="bottom"/>
            <w:gridSpan w:val="2"/>
            <w:vMerge w:val="restart"/>
            <w:shd w:val="clear" w:color="auto" w:fill="CFF0FC"/>
          </w:tcPr>
          <w:p>
            <w:pPr>
              <w:jc w:val="right"/>
              <w:ind w:right="18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(31,143,289)</w:t>
            </w: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ARROWHEAD</w:t>
            </w:r>
          </w:p>
        </w:tc>
        <w:tc>
          <w:tcPr>
            <w:tcW w:w="420" w:type="dxa"/>
            <w:vAlign w:val="bottom"/>
            <w:gridSpan w:val="2"/>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440" w:type="dxa"/>
            <w:vAlign w:val="bottom"/>
            <w:gridSpan w:val="2"/>
            <w:vMerge w:val="continue"/>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420" w:type="dxa"/>
            <w:vAlign w:val="bottom"/>
            <w:gridSpan w:val="2"/>
            <w:vMerge w:val="continue"/>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 xml:space="preserve">Arrowhead Research Corporation </w:t>
      </w:r>
      <w:r>
        <w:rPr>
          <w:rFonts w:ascii="Arial" w:cs="Arial" w:eastAsia="Arial" w:hAnsi="Arial"/>
          <w:sz w:val="21"/>
          <w:szCs w:val="21"/>
          <w:color w:val="auto"/>
        </w:rPr>
        <w:t>-</w:t>
      </w:r>
      <w:r>
        <w:rPr>
          <w:rFonts w:ascii="Arial" w:cs="Arial" w:eastAsia="Arial" w:hAnsi="Arial"/>
          <w:sz w:val="18"/>
          <w:szCs w:val="18"/>
          <w:b w:val="1"/>
          <w:bCs w:val="1"/>
          <w:color w:val="auto"/>
        </w:rPr>
        <w:t xml:space="preserve"> Consolidated Statement of Stockholders’ Equity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Subscription</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8"/>
              </w:rPr>
              <w:t>Receivable</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0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13,579,185</w:t>
            </w:r>
          </w:p>
        </w:tc>
        <w:tc>
          <w:tcPr>
            <w:tcW w:w="2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4"/>
              </w:rPr>
              <w:t>108,354</w:t>
            </w:r>
          </w:p>
        </w:tc>
        <w:tc>
          <w:tcPr>
            <w:tcW w:w="12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8"/>
              </w:rPr>
              <w:t>$ 145,917,968</w:t>
            </w:r>
          </w:p>
        </w:tc>
        <w:tc>
          <w:tcPr>
            <w:tcW w:w="1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b w:val="1"/>
                <w:bCs w:val="1"/>
                <w:color w:val="auto"/>
                <w:w w:val="97"/>
              </w:rPr>
              <w:t>(1,016,000)</w:t>
            </w: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1"/>
                <w:szCs w:val="11"/>
                <w:color w:val="auto"/>
              </w:rPr>
            </w:pPr>
          </w:p>
        </w:tc>
        <w:tc>
          <w:tcPr>
            <w:tcW w:w="1100" w:type="dxa"/>
            <w:vAlign w:val="bottom"/>
            <w:gridSpan w:val="3"/>
            <w:vMerge w:val="restart"/>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99"/>
              </w:rPr>
              <w:t>$ (134,997,680)</w:t>
            </w:r>
          </w:p>
        </w:tc>
        <w:tc>
          <w:tcPr>
            <w:tcW w:w="1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b w:val="1"/>
                <w:bCs w:val="1"/>
                <w:color w:val="auto"/>
                <w:w w:val="97"/>
              </w:rPr>
              <w:t>(1,203,733)</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8,808,909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2012</w:t>
            </w: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3"/>
            <w:vMerge w:val="continue"/>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1,182,451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2,053,416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2,054,599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2,578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rPr>
                <w:sz w:val="20"/>
                <w:szCs w:val="20"/>
                <w:color w:val="auto"/>
              </w:rPr>
            </w:pPr>
            <w:r>
              <w:rPr>
                <w:rFonts w:ascii="Arial" w:cs="Arial" w:eastAsia="Arial" w:hAnsi="Arial"/>
                <w:sz w:val="14"/>
                <w:szCs w:val="14"/>
                <w:color w:val="auto"/>
                <w:w w:val="97"/>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1,536,271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1,536,271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Subscription payment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rPr>
                <w:sz w:val="20"/>
                <w:szCs w:val="20"/>
                <w:color w:val="auto"/>
              </w:rPr>
            </w:pPr>
            <w:r>
              <w:rPr>
                <w:rFonts w:ascii="Arial" w:cs="Arial" w:eastAsia="Arial" w:hAnsi="Arial"/>
                <w:sz w:val="14"/>
                <w:szCs w:val="14"/>
                <w:color w:val="auto"/>
              </w:rPr>
              <w:t>Subscription reversal</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(267,444)</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(2,674)</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(997,326)</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$4.49 to Roche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239,894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985,809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986,049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w w:val="92"/>
              </w:rPr>
              <w:t>Common stock and warrants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issued @ $2.26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1,825,079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3,814,643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3,816,468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2"/>
              </w:rPr>
              <w:t>Common stock and warrants</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issued @ $2.12</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1,667,051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3,255,192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3,256,859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w w:val="92"/>
              </w:rPr>
              <w:t>Common stock and warrants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issued @ $1.83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14,262,553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14,263</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25,445,236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25,459,499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Establish and settlements</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7"/>
              </w:rPr>
              <w:t>related to derivative liability</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1,600,989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1,600,989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rPr>
              <w:t>Preferred stock issued @</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1,000 per share</w:t>
            </w:r>
          </w:p>
        </w:tc>
        <w:tc>
          <w:tcPr>
            <w:tcW w:w="660" w:type="dxa"/>
            <w:vAlign w:val="bottom"/>
          </w:tcPr>
          <w:p>
            <w:pPr>
              <w:jc w:val="right"/>
              <w:spacing w:after="0"/>
              <w:rPr>
                <w:sz w:val="20"/>
                <w:szCs w:val="20"/>
                <w:color w:val="auto"/>
              </w:rPr>
            </w:pPr>
            <w:r>
              <w:rPr>
                <w:rFonts w:ascii="Arial" w:cs="Arial" w:eastAsia="Arial" w:hAnsi="Arial"/>
                <w:sz w:val="14"/>
                <w:szCs w:val="14"/>
                <w:color w:val="auto"/>
              </w:rPr>
              <w:t>9,900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9,899,990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Net loss for the year ended</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September 30, 2013</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(31,143,289)</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(560,144)</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(31,703,433)</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rPr>
              <w:t>Balance at September 30,</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800" w:type="dxa"/>
            <w:vAlign w:val="bottom"/>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9,900</w:t>
            </w:r>
          </w:p>
        </w:tc>
        <w:tc>
          <w:tcPr>
            <w:tcW w:w="1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32,489,444</w:t>
            </w:r>
          </w:p>
        </w:tc>
        <w:tc>
          <w:tcPr>
            <w:tcW w:w="200" w:type="dxa"/>
            <w:vAlign w:val="bottom"/>
          </w:tcPr>
          <w:p>
            <w:pPr>
              <w:spacing w:after="0"/>
              <w:rPr>
                <w:sz w:val="11"/>
                <w:szCs w:val="11"/>
                <w:color w:val="auto"/>
              </w:rPr>
            </w:pPr>
          </w:p>
        </w:tc>
        <w:tc>
          <w:tcPr>
            <w:tcW w:w="120" w:type="dxa"/>
            <w:vAlign w:val="bottom"/>
            <w:vMerge w:val="restart"/>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124,859</w:t>
            </w:r>
          </w:p>
        </w:tc>
        <w:tc>
          <w:tcPr>
            <w:tcW w:w="1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$ 193,514,766</w:t>
            </w:r>
          </w:p>
        </w:tc>
        <w:tc>
          <w:tcPr>
            <w:tcW w:w="18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104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3"/>
              </w:rPr>
              <w:t>$ (166,140,969)</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(1,763,877)</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25,734,789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b w:val="1"/>
                <w:bCs w:val="1"/>
                <w:color w:val="auto"/>
              </w:rPr>
              <w:t>2013</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2,911,919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10,145,133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10,148,044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454,863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2,729,545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7"/>
              </w:rPr>
              <w:t>Stock-based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5,696,173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5,696,173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$5.86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3,071,672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14,057,040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14,060,112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$18.95</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6,325,000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6,325</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112,575,234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112,581,559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rPr>
              <w:t>Preferred stock issued @</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$1,000 per share</w:t>
            </w:r>
          </w:p>
        </w:tc>
        <w:tc>
          <w:tcPr>
            <w:tcW w:w="660" w:type="dxa"/>
            <w:vAlign w:val="bottom"/>
          </w:tcPr>
          <w:p>
            <w:pPr>
              <w:jc w:val="right"/>
              <w:spacing w:after="0"/>
              <w:rPr>
                <w:sz w:val="20"/>
                <w:szCs w:val="20"/>
                <w:color w:val="auto"/>
              </w:rPr>
            </w:pPr>
            <w:r>
              <w:rPr>
                <w:rFonts w:ascii="Arial" w:cs="Arial" w:eastAsia="Arial" w:hAnsi="Arial"/>
                <w:sz w:val="14"/>
                <w:szCs w:val="14"/>
                <w:color w:val="auto"/>
              </w:rPr>
              <w:t>46,000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45,999,954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to</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Galloway</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131,579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499,868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rPr>
              <w:t>Settlements related to</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derivative liability</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5,956,079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5,956,079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3"/>
              </w:rPr>
              <w:t>Preferred stock converted to</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(37,600)</w:t>
            </w: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(38)</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9,272,459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w:t>
            </w:r>
          </w:p>
        </w:tc>
        <w:tc>
          <w:tcPr>
            <w:tcW w:w="12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(9,234)</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w w:val="95"/>
              </w:rPr>
              <w:t>Deconsolidation of Calando</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Pharmaceuticals, Inc.</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1,303,911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1,303,911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Net loss for the year ended</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September 30, 2014</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(58,630,190)</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(95,222)</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(58,725,412)</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rPr>
              <w:t>Balance at September 30,</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800" w:type="dxa"/>
            <w:vAlign w:val="bottom"/>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18,300</w:t>
            </w:r>
          </w:p>
        </w:tc>
        <w:tc>
          <w:tcPr>
            <w:tcW w:w="1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54,656,936</w:t>
            </w:r>
          </w:p>
        </w:tc>
        <w:tc>
          <w:tcPr>
            <w:tcW w:w="200" w:type="dxa"/>
            <w:vAlign w:val="bottom"/>
          </w:tcPr>
          <w:p>
            <w:pPr>
              <w:spacing w:after="0"/>
              <w:rPr>
                <w:sz w:val="11"/>
                <w:szCs w:val="11"/>
                <w:color w:val="auto"/>
              </w:rPr>
            </w:pPr>
          </w:p>
        </w:tc>
        <w:tc>
          <w:tcPr>
            <w:tcW w:w="120" w:type="dxa"/>
            <w:vAlign w:val="bottom"/>
            <w:vMerge w:val="restart"/>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147,026</w:t>
            </w:r>
          </w:p>
        </w:tc>
        <w:tc>
          <w:tcPr>
            <w:tcW w:w="1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$ 391,164,558</w:t>
            </w:r>
          </w:p>
        </w:tc>
        <w:tc>
          <w:tcPr>
            <w:tcW w:w="18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104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3"/>
              </w:rPr>
              <w:t>$ (224,771,159)</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(555,188)</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165,985,255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b w:val="1"/>
                <w:bCs w:val="1"/>
                <w:color w:val="auto"/>
              </w:rPr>
              <w:t>2014</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79,828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401,795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401,876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28,758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101,841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7"/>
              </w:rPr>
              <w:t>Stock-based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10,232,897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10,232,897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140"/>
              <w:spacing w:after="0"/>
              <w:rPr>
                <w:sz w:val="20"/>
                <w:szCs w:val="20"/>
                <w:color w:val="auto"/>
              </w:rPr>
            </w:pPr>
            <w:r>
              <w:rPr>
                <w:rFonts w:ascii="Arial" w:cs="Arial" w:eastAsia="Arial" w:hAnsi="Arial"/>
                <w:sz w:val="14"/>
                <w:szCs w:val="14"/>
                <w:color w:val="auto"/>
                <w:w w:val="95"/>
              </w:rPr>
              <w:t>Exercise of exchange rights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3,067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3"/>
              </w:rPr>
              <w:t>Preferred stock converted to</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(2,648)</w:t>
            </w: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1,316,215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1,316</w:t>
            </w:r>
          </w:p>
        </w:tc>
        <w:tc>
          <w:tcPr>
            <w:tcW w:w="12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(1,314)</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w w:val="99"/>
              </w:rPr>
              <w:t>Common stock- Restricted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Stock Unit vesting</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136,307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(26,165)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(26,029)</w:t>
            </w: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issued to</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Novartis @ $7.53</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3,321,383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24,996,679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800" w:type="dxa"/>
            <w:vAlign w:val="bottom"/>
          </w:tcPr>
          <w:p>
            <w:pPr>
              <w:ind w:left="140"/>
              <w:spacing w:after="0" w:line="143" w:lineRule="exact"/>
              <w:rPr>
                <w:sz w:val="20"/>
                <w:szCs w:val="20"/>
                <w:color w:val="auto"/>
              </w:rPr>
            </w:pPr>
            <w:r>
              <w:rPr>
                <w:rFonts w:ascii="Arial" w:cs="Arial" w:eastAsia="Arial" w:hAnsi="Arial"/>
                <w:sz w:val="14"/>
                <w:szCs w:val="14"/>
                <w:color w:val="auto"/>
                <w:w w:val="94"/>
              </w:rPr>
              <w:t>Foreign currency translation</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(136,425)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(136,425)</w:t>
            </w:r>
          </w:p>
        </w:tc>
        <w:tc>
          <w:tcPr>
            <w:tcW w:w="0" w:type="dxa"/>
            <w:vAlign w:val="bottom"/>
          </w:tcPr>
          <w:p>
            <w:pPr>
              <w:spacing w:after="0"/>
              <w:rPr>
                <w:sz w:val="1"/>
                <w:szCs w:val="1"/>
                <w:color w:val="auto"/>
              </w:rPr>
            </w:pPr>
          </w:p>
        </w:tc>
      </w:tr>
      <w:tr>
        <w:trPr>
          <w:trHeight w:val="143"/>
        </w:trPr>
        <w:tc>
          <w:tcPr>
            <w:tcW w:w="1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Net loss for the year ended</w:t>
            </w: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September 30, 2015</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(91,940,882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(91,940,882)</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rPr>
              <w:t>Balance at September 30,</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800" w:type="dxa"/>
            <w:vAlign w:val="bottom"/>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15,652</w:t>
            </w:r>
          </w:p>
        </w:tc>
        <w:tc>
          <w:tcPr>
            <w:tcW w:w="18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59,544,677</w:t>
            </w:r>
          </w:p>
        </w:tc>
        <w:tc>
          <w:tcPr>
            <w:tcW w:w="200" w:type="dxa"/>
            <w:vAlign w:val="bottom"/>
          </w:tcPr>
          <w:p>
            <w:pPr>
              <w:spacing w:after="0"/>
              <w:rPr>
                <w:sz w:val="11"/>
                <w:szCs w:val="11"/>
                <w:color w:val="auto"/>
              </w:rPr>
            </w:pPr>
          </w:p>
        </w:tc>
        <w:tc>
          <w:tcPr>
            <w:tcW w:w="120" w:type="dxa"/>
            <w:vAlign w:val="bottom"/>
            <w:vMerge w:val="restart"/>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151,914</w:t>
            </w:r>
          </w:p>
        </w:tc>
        <w:tc>
          <w:tcPr>
            <w:tcW w:w="1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$ 426,873,358</w:t>
            </w:r>
          </w:p>
        </w:tc>
        <w:tc>
          <w:tcPr>
            <w:tcW w:w="18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(136,425)</w:t>
            </w:r>
          </w:p>
        </w:tc>
        <w:tc>
          <w:tcPr>
            <w:tcW w:w="110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w w:val="99"/>
              </w:rPr>
              <w:t>$ (316,712,041)</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(555,188)</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109,621,634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b w:val="1"/>
                <w:bCs w:val="1"/>
                <w:color w:val="auto"/>
              </w:rPr>
              <w:t>2015</w:t>
            </w: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Year ended September 30,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Net loss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(91,940,882)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(58,725,412)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(31,703,433)</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attributable to non-controlling interests</w:t>
            </w:r>
          </w:p>
        </w:tc>
        <w:tc>
          <w:tcPr>
            <w:tcW w:w="3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95,222</w:t>
            </w:r>
          </w:p>
        </w:tc>
        <w:tc>
          <w:tcPr>
            <w:tcW w:w="2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560,144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380"/>
              <w:spacing w:after="0"/>
              <w:rPr>
                <w:sz w:val="20"/>
                <w:szCs w:val="20"/>
                <w:color w:val="auto"/>
              </w:rPr>
            </w:pPr>
            <w:r>
              <w:rPr>
                <w:rFonts w:ascii="Arial" w:cs="Arial" w:eastAsia="Arial" w:hAnsi="Arial"/>
                <w:sz w:val="14"/>
                <w:szCs w:val="14"/>
                <w:color w:val="auto"/>
              </w:rPr>
              <w:t>Net loss attributable to Arrowhead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(91,940,882)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(58,630,190)</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(31,143,289)</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from discontinued operations</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(Gain) loss on disposal of fixed assets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(19,195)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58,878</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76,388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(2,869,267)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6,033,659</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5,300,389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Contingent consideration - fair value adjustments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1,891,533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2,375,658</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1,421,652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Acquired in-process research and development</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10,142,786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10,232,897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5,696,173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1,536,271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2,336,207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1,345,655</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1,751,412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Amortization of note premiums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1,110,524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793,887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128,406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on debt extinguishment</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(84,721)</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Noncash gain in equity investment</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(87,197)</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impairment expense</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2,172,387</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2,315,721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380"/>
              <w:spacing w:after="0"/>
              <w:rPr>
                <w:sz w:val="20"/>
                <w:szCs w:val="20"/>
                <w:color w:val="auto"/>
              </w:rPr>
            </w:pPr>
            <w:r>
              <w:rPr>
                <w:rFonts w:ascii="Arial" w:cs="Arial" w:eastAsia="Arial" w:hAnsi="Arial"/>
                <w:sz w:val="14"/>
                <w:szCs w:val="14"/>
                <w:color w:val="auto"/>
              </w:rPr>
              <w:t>Non-controlling interest</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(95,222)</w:t>
            </w:r>
          </w:p>
        </w:tc>
        <w:tc>
          <w:tcPr>
            <w:tcW w:w="3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(560,144)</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620"/>
              <w:spacing w:after="0"/>
              <w:rPr>
                <w:sz w:val="20"/>
                <w:szCs w:val="20"/>
                <w:color w:val="auto"/>
              </w:rPr>
            </w:pPr>
            <w:r>
              <w:rPr>
                <w:rFonts w:ascii="Arial" w:cs="Arial" w:eastAsia="Arial" w:hAnsi="Arial"/>
                <w:sz w:val="14"/>
                <w:szCs w:val="14"/>
                <w:color w:val="auto"/>
              </w:rPr>
              <w:t>Receivables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75,000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(65,625)</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receivables</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(789,090)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(25,867)</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620"/>
              <w:spacing w:after="0"/>
              <w:rPr>
                <w:sz w:val="20"/>
                <w:szCs w:val="20"/>
                <w:color w:val="auto"/>
              </w:rPr>
            </w:pPr>
            <w:r>
              <w:rPr>
                <w:rFonts w:ascii="Arial" w:cs="Arial" w:eastAsia="Arial" w:hAnsi="Arial"/>
                <w:sz w:val="14"/>
                <w:szCs w:val="14"/>
                <w:color w:val="auto"/>
              </w:rPr>
              <w:t>Prepaid expenses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(2,693,839)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(15,812)</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44,713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current assets</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(2,492)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(13,287)</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62"/>
        </w:trPr>
        <w:tc>
          <w:tcPr>
            <w:tcW w:w="6360" w:type="dxa"/>
            <w:vAlign w:val="bottom"/>
          </w:tcPr>
          <w:p>
            <w:pPr>
              <w:ind w:left="620"/>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2,497,804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1,412,275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321,647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Accrued expenses</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4,435,784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3,478,094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62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(40,385)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94,257</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(187,910)</w:t>
            </w:r>
          </w:p>
        </w:tc>
        <w:tc>
          <w:tcPr>
            <w:tcW w:w="0" w:type="dxa"/>
            <w:vAlign w:val="bottom"/>
          </w:tcPr>
          <w:p>
            <w:pPr>
              <w:spacing w:after="0"/>
              <w:rPr>
                <w:sz w:val="1"/>
                <w:szCs w:val="1"/>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(65,707,615)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(35,416,373)</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(19,032,826)</w:t>
            </w:r>
          </w:p>
        </w:tc>
        <w:tc>
          <w:tcPr>
            <w:tcW w:w="0" w:type="dxa"/>
            <w:vAlign w:val="bottom"/>
          </w:tcPr>
          <w:p>
            <w:pPr>
              <w:spacing w:after="0"/>
              <w:rPr>
                <w:sz w:val="1"/>
                <w:szCs w:val="1"/>
                <w:color w:val="auto"/>
              </w:rPr>
            </w:pPr>
          </w:p>
        </w:tc>
      </w:tr>
      <w:tr>
        <w:trPr>
          <w:trHeight w:val="162"/>
        </w:trPr>
        <w:tc>
          <w:tcPr>
            <w:tcW w:w="6360" w:type="dxa"/>
            <w:vAlign w:val="bottom"/>
          </w:tcPr>
          <w:p>
            <w:pPr>
              <w:ind w:left="14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paid for acquisitions</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(10,000,000)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(1,970,612)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(1,717,362)</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(296,880)</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fixed assets</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380"/>
              <w:spacing w:after="0"/>
              <w:rPr>
                <w:sz w:val="20"/>
                <w:szCs w:val="20"/>
                <w:color w:val="auto"/>
              </w:rPr>
            </w:pPr>
            <w:r>
              <w:rPr>
                <w:rFonts w:ascii="Arial" w:cs="Arial" w:eastAsia="Arial" w:hAnsi="Arial"/>
                <w:sz w:val="14"/>
                <w:szCs w:val="14"/>
                <w:color w:val="auto"/>
              </w:rPr>
              <w:t>Purchase of marketable securities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(46,365,528)</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(10,732,571)</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3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26,090,950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11,591,120</w:t>
            </w:r>
          </w:p>
        </w:tc>
        <w:tc>
          <w:tcPr>
            <w:tcW w:w="20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1,419,079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6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14,120,838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(36,481,770)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(9,520,867)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380"/>
              <w:spacing w:after="0"/>
              <w:rPr>
                <w:sz w:val="20"/>
                <w:szCs w:val="20"/>
                <w:color w:val="auto"/>
              </w:rPr>
            </w:pPr>
            <w:r>
              <w:rPr>
                <w:rFonts w:ascii="Arial" w:cs="Arial" w:eastAsia="Arial" w:hAnsi="Arial"/>
                <w:sz w:val="14"/>
                <w:szCs w:val="14"/>
                <w:color w:val="auto"/>
              </w:rPr>
              <w:t>Principal payments on capital leases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(213,991)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(225,406)</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(214,801)</w:t>
            </w: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issuance of common stock and preferred stock, net</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172,641,671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42,448,826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504,512</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12,878,044</w:t>
            </w:r>
          </w:p>
        </w:tc>
        <w:tc>
          <w:tcPr>
            <w:tcW w:w="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2,057,178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290,521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185,294,309</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44,291,203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140"/>
              <w:spacing w:after="0"/>
              <w:rPr>
                <w:sz w:val="20"/>
                <w:szCs w:val="20"/>
                <w:color w:val="auto"/>
              </w:rPr>
            </w:pPr>
            <w:r>
              <w:rPr>
                <w:rFonts w:ascii="Arial" w:cs="Arial" w:eastAsia="Arial" w:hAnsi="Arial"/>
                <w:sz w:val="14"/>
                <w:szCs w:val="14"/>
                <w:color w:val="auto"/>
              </w:rPr>
              <w:t>Cash flows from discontinued operations: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cash flows</w:t>
            </w: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62"/>
        </w:trPr>
        <w:tc>
          <w:tcPr>
            <w:tcW w:w="6360" w:type="dxa"/>
            <w:vAlign w:val="bottom"/>
          </w:tcPr>
          <w:p>
            <w:pPr>
              <w:ind w:left="380"/>
              <w:spacing w:after="0"/>
              <w:rPr>
                <w:sz w:val="20"/>
                <w:szCs w:val="20"/>
                <w:color w:val="auto"/>
              </w:rPr>
            </w:pPr>
            <w:r>
              <w:rPr>
                <w:rFonts w:ascii="Arial" w:cs="Arial" w:eastAsia="Arial" w:hAnsi="Arial"/>
                <w:sz w:val="14"/>
                <w:szCs w:val="14"/>
                <w:color w:val="auto"/>
              </w:rPr>
              <w:t>Investing cash flows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Financing cash flows</w:t>
            </w:r>
          </w:p>
        </w:tc>
        <w:tc>
          <w:tcPr>
            <w:tcW w:w="3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6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Net cash used in discontinued operations:</w:t>
            </w:r>
          </w:p>
        </w:tc>
        <w:tc>
          <w:tcPr>
            <w:tcW w:w="3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60" w:type="dxa"/>
            <w:vAlign w:val="bottom"/>
            <w:shd w:val="clear" w:color="auto" w:fill="CFF0FC"/>
          </w:tcPr>
          <w:p>
            <w:pPr>
              <w:ind w:left="880"/>
              <w:spacing w:after="0"/>
              <w:rPr>
                <w:sz w:val="20"/>
                <w:szCs w:val="20"/>
                <w:color w:val="auto"/>
              </w:rPr>
            </w:pPr>
            <w:r>
              <w:rPr>
                <w:rFonts w:ascii="Arial" w:cs="Arial" w:eastAsia="Arial" w:hAnsi="Arial"/>
                <w:sz w:val="14"/>
                <w:szCs w:val="14"/>
                <w:color w:val="auto"/>
              </w:rPr>
              <w:t>NET INCREASE (DECREASE) IN CASH</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(51,296,256)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113,396,166</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15,737,156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CASH AT BEGINNING OF PERIOD</w:t>
            </w:r>
          </w:p>
        </w:tc>
        <w:tc>
          <w:tcPr>
            <w:tcW w:w="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132,510,610</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19,114,444</w:t>
            </w:r>
          </w:p>
        </w:tc>
        <w:tc>
          <w:tcPr>
            <w:tcW w:w="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3,377,288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END OF PERIOD</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19,114,444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4"/>
                <w:szCs w:val="14"/>
                <w:color w:val="auto"/>
              </w:rPr>
              <w:t>Supplementary disclosures:</w:t>
            </w:r>
          </w:p>
        </w:tc>
        <w:tc>
          <w:tcPr>
            <w:tcW w:w="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paid</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14,429</w:t>
            </w:r>
          </w:p>
        </w:tc>
        <w:tc>
          <w:tcPr>
            <w:tcW w:w="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25,635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380"/>
              <w:spacing w:after="0"/>
              <w:rPr>
                <w:sz w:val="20"/>
                <w:szCs w:val="20"/>
                <w:color w:val="auto"/>
              </w:rPr>
            </w:pPr>
            <w:r>
              <w:rPr>
                <w:rFonts w:ascii="Arial" w:cs="Arial" w:eastAsia="Arial" w:hAnsi="Arial"/>
                <w:sz w:val="14"/>
                <w:szCs w:val="14"/>
                <w:color w:val="auto"/>
              </w:rPr>
              <w:t>3,321,383 shares of Common stock issued to Novartis for asset acquisition</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FF0FC"/>
          </w:tcPr>
          <w:p>
            <w:pPr>
              <w:ind w:left="380"/>
              <w:spacing w:after="0"/>
              <w:rPr>
                <w:sz w:val="20"/>
                <w:szCs w:val="20"/>
                <w:color w:val="auto"/>
              </w:rPr>
            </w:pPr>
            <w:r>
              <w:rPr>
                <w:rFonts w:ascii="Arial" w:cs="Arial" w:eastAsia="Arial" w:hAnsi="Arial"/>
                <w:sz w:val="14"/>
                <w:szCs w:val="14"/>
                <w:color w:val="auto"/>
                <w:w w:val="98"/>
              </w:rPr>
              <w:t>131,579 shares of Common stock issued to Galloway Limited in settlement of services agreement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60" w:type="dxa"/>
            <w:vAlign w:val="bottom"/>
          </w:tcPr>
          <w:p>
            <w:pPr>
              <w:ind w:left="380"/>
              <w:spacing w:after="0"/>
              <w:rPr>
                <w:sz w:val="20"/>
                <w:szCs w:val="20"/>
                <w:color w:val="auto"/>
              </w:rPr>
            </w:pPr>
            <w:r>
              <w:rPr>
                <w:rFonts w:ascii="Arial" w:cs="Arial" w:eastAsia="Arial" w:hAnsi="Arial"/>
                <w:sz w:val="14"/>
                <w:szCs w:val="14"/>
                <w:color w:val="auto"/>
              </w:rPr>
              <w:t>239,894 shares of Common stock issued to Roche for stock and asset acquisition</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986,049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the term “Stockholder(s)” refers to the holders of Arrowhead Common Stock.</w:t>
      </w:r>
    </w:p>
    <w:p>
      <w:pPr>
        <w:spacing w:after="0" w:line="317"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140" w:firstLine="518"/>
        <w:spacing w:after="0" w:line="273" w:lineRule="auto"/>
        <w:rPr>
          <w:sz w:val="20"/>
          <w:szCs w:val="20"/>
          <w:color w:val="auto"/>
        </w:rPr>
      </w:pPr>
      <w:r>
        <w:rPr>
          <w:rFonts w:ascii="Arial" w:cs="Arial" w:eastAsia="Arial" w:hAnsi="Arial"/>
          <w:sz w:val="17"/>
          <w:szCs w:val="17"/>
          <w:color w:val="auto"/>
        </w:rPr>
        <w:t>Arrowhead Research develops novel drugs to treat intractable diseases by silencing the genes that cause them. Using the industry’s broadest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to target and shut down specific disease causing genes.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8"/>
          <w:szCs w:val="18"/>
          <w:color w:val="auto"/>
        </w:rPr>
        <w:t>Historically, the Company’s primary source of financing has been through the sale of its securities. Research and development activities have required significant capital investment since the Company’s inception. We expect our operations to continue to require cash investment to pursue our research and development goals, including clinical trials and related drug manufacturing. Based upon the Company’s current cash resources and operating plan, the Company expects to have sufficient liquidity to fund operations for at least the next twelve months.</w:t>
      </w:r>
    </w:p>
    <w:p>
      <w:pPr>
        <w:spacing w:after="0" w:line="176"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At September 30, 2015, the Company had $81.2 million in cash to fund operations. In addition to its cash resources, the Company has invested excess cash in investment grade commercial bonds maturing in less than 12 months. These bonds provide a source of liquidity, though the Company plans to hold them until maturity. At September 30, 2015, the Company had invested $17.5 million in bonds. During the year ended September 30, 2015, the Company’s cash position decreased by $51.3 million which was primarily the result of cash outflows related to operating activities of $65.7 million, cash paid for the acquisition of certain RNAi assets from Novartis of $10.0 million (see footnote 2) and capital expenditures of $2.0 million, partially offset by maturities of fixed income investments totaling $26.1 million and proceeds from the exercise of warrants and options of $0.5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facilities are located. All significant intercompany accounts and transactions are eliminated in consolidation.</w:t>
      </w:r>
    </w:p>
    <w:p>
      <w:pPr>
        <w:spacing w:after="0" w:line="1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93"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September 30, 2015 and September 30, 2014.</w:t>
      </w:r>
    </w:p>
    <w:p>
      <w:pPr>
        <w:spacing w:after="0" w:line="170" w:lineRule="exact"/>
        <w:rPr>
          <w:sz w:val="20"/>
          <w:szCs w:val="20"/>
          <w:color w:val="auto"/>
        </w:rPr>
      </w:pPr>
    </w:p>
    <w:p>
      <w:pPr>
        <w:ind w:right="50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for its operations at two financial institutions.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right="26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September 30, 2015, the Company classified all of its investments as held-to-maturity.</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Intangible Assets Subject to Amortization—At September 30, 2015, 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ind w:firstLine="518"/>
        <w:spacing w:after="0" w:line="286" w:lineRule="auto"/>
        <w:rPr>
          <w:sz w:val="20"/>
          <w:szCs w:val="20"/>
          <w:color w:val="auto"/>
        </w:rPr>
      </w:pPr>
      <w:r>
        <w:rPr>
          <w:rFonts w:ascii="Arial" w:cs="Arial" w:eastAsia="Arial" w:hAnsi="Arial"/>
          <w:sz w:val="16"/>
          <w:szCs w:val="16"/>
          <w:color w:val="auto"/>
        </w:rPr>
        <w:t>Contingent Consideration—The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are recognized within the Company’s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The Company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Payments under collaborative research and development agreements are recognized as revenue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years ended September 30, 2015, 2014 and 2013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of based on the Company’s stock price at the grant date. For performance-based stock awards, the value of the award is measured at the grant date. The Company uses historical data and other information to estimate the expected price volatility and the expected forfeiture rate. Expense is recognized over the vesting period, commencing at the time the Company determines the achievement of performance conditions is probable. This determination requires significant judgment by management.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firstLine="518"/>
        <w:spacing w:after="0" w:line="290" w:lineRule="auto"/>
        <w:rPr>
          <w:sz w:val="20"/>
          <w:szCs w:val="20"/>
          <w:color w:val="auto"/>
        </w:rPr>
      </w:pPr>
      <w:r>
        <w:rPr>
          <w:rFonts w:ascii="Arial" w:cs="Arial" w:eastAsia="Arial" w:hAnsi="Arial"/>
          <w:sz w:val="16"/>
          <w:szCs w:val="16"/>
          <w:color w:val="auto"/>
        </w:rPr>
        <w:t>Derivative Assets and Liabilities—The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380" w:firstLine="518"/>
        <w:spacing w:after="0" w:line="312"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simplifies the presentation of deferred income taxes by eliminating the need for entities to separate deferred income tax liabilities and assets into current and noncurrent amounts in a classified statement of financial position. The adoption of this update is not expected to have a material effect on our financial statements.</w:t>
      </w:r>
    </w:p>
    <w:p>
      <w:pPr>
        <w:spacing w:after="0" w:line="14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(Topic 915):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w:t>
      </w:r>
      <w:r>
        <w:rPr>
          <w:rFonts w:ascii="Arial" w:cs="Arial" w:eastAsia="Arial" w:hAnsi="Arial"/>
          <w:sz w:val="16"/>
          <w:szCs w:val="16"/>
          <w:color w:val="auto"/>
        </w:rPr>
        <w:t>, which states that in connection with preparing financial statements for each annual and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 an entity’s management should evaluate whether there are conditions or events, considered in the aggregate, that raise substantial doubt about the entity’s ability to continue as a going concern within one year after the date that the financial statements are issued (or within one year after the date that the financial statements are available to be issued when applicable). The adoption of this update did not have a material effect on our financial statements.</w:t>
      </w:r>
    </w:p>
    <w:p>
      <w:pPr>
        <w:spacing w:after="0" w:line="158"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2018. The Company is evaluating the potential effects of the adoption of this update on its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March 3, 2015, the Company entered into an Asset Purchase and Exclusive License Agreement (the “RNAi Purchase Agreement”) with Novartis Institutes for BioMedical Research, Inc., a Delaware corporation (“Novartis”), pursuant to which the Company acquired Novartis’ RNAi assets and rights thereunder. Pursuant to the RNAi Purchase Agreement, the Company acquired or licensed certain patents and patent applications owned or controlled by Novartis related to RNAi therapeutics, assignment of a third-party license, rights to three pre-clinical RNAi candidates, and other related assets (collectively, the “Purchased Assets”). The acquisition of the Purchased Assets closed on March 3, 2015, concurrent with execution of the RNAi Purchase Agreement (the “Closing”).</w:t>
      </w:r>
    </w:p>
    <w:p>
      <w:pPr>
        <w:spacing w:after="0" w:line="19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consideration for the Purchased Assets, the Company made certain payments to Novartis, including: (a) a payment of $10,000,000 in cash, and 3,321,383 shares of the Company’s common stock (the “Shares”); (b) escalating royalties in the single digits based upon annual net sales thresholds for certain RNAi products sold by the Company; and (c) milestone payments tied to the achievement of certain development and sales milestones for each target being developed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ind w:right="60" w:firstLine="518"/>
        <w:spacing w:after="0" w:line="291" w:lineRule="auto"/>
        <w:rPr>
          <w:sz w:val="20"/>
          <w:szCs w:val="20"/>
          <w:color w:val="auto"/>
        </w:rPr>
      </w:pPr>
      <w:r>
        <w:rPr>
          <w:rFonts w:ascii="Arial" w:cs="Arial" w:eastAsia="Arial" w:hAnsi="Arial"/>
          <w:sz w:val="16"/>
          <w:szCs w:val="16"/>
          <w:color w:val="auto"/>
        </w:rPr>
        <w:t xml:space="preserve">Pursuant to the RNAi Purchase Agreement, prior to initiation of a phase 2 </w:t>
      </w:r>
      <w:r>
        <w:rPr>
          <w:rFonts w:ascii="Arial" w:cs="Arial" w:eastAsia="Arial" w:hAnsi="Arial"/>
          <w:sz w:val="16"/>
          <w:szCs w:val="16"/>
          <w:i w:val="1"/>
          <w:iCs w:val="1"/>
          <w:color w:val="auto"/>
        </w:rPr>
        <w:t>Clinical Trial</w:t>
      </w:r>
      <w:r>
        <w:rPr>
          <w:rFonts w:ascii="Arial" w:cs="Arial" w:eastAsia="Arial" w:hAnsi="Arial"/>
          <w:sz w:val="16"/>
          <w:szCs w:val="16"/>
          <w:color w:val="auto"/>
        </w:rPr>
        <w:t xml:space="preserve"> (as defined, along with all other italicized terms in this section, in the RNAi Purchase Agreement) for a given </w:t>
      </w:r>
      <w:r>
        <w:rPr>
          <w:rFonts w:ascii="Arial" w:cs="Arial" w:eastAsia="Arial" w:hAnsi="Arial"/>
          <w:sz w:val="16"/>
          <w:szCs w:val="16"/>
          <w:i w:val="1"/>
          <w:iCs w:val="1"/>
          <w:color w:val="auto"/>
        </w:rPr>
        <w:t>RNAi</w:t>
      </w:r>
      <w:r>
        <w:rPr>
          <w:rFonts w:ascii="Arial" w:cs="Arial" w:eastAsia="Arial" w:hAnsi="Arial"/>
          <w:sz w:val="16"/>
          <w:szCs w:val="16"/>
          <w:color w:val="auto"/>
        </w:rPr>
        <w:t xml:space="preserve"> Product or </w:t>
      </w:r>
      <w:r>
        <w:rPr>
          <w:rFonts w:ascii="Arial" w:cs="Arial" w:eastAsia="Arial" w:hAnsi="Arial"/>
          <w:sz w:val="16"/>
          <w:szCs w:val="16"/>
          <w:i w:val="1"/>
          <w:iCs w:val="1"/>
          <w:color w:val="auto"/>
        </w:rPr>
        <w:t>Arrowhead RNAi Product</w:t>
      </w:r>
      <w:r>
        <w:rPr>
          <w:rFonts w:ascii="Arial" w:cs="Arial" w:eastAsia="Arial" w:hAnsi="Arial"/>
          <w:sz w:val="16"/>
          <w:szCs w:val="16"/>
          <w:color w:val="auto"/>
        </w:rPr>
        <w:t xml:space="preserve"> directed to an </w:t>
      </w:r>
      <w:r>
        <w:rPr>
          <w:rFonts w:ascii="Arial" w:cs="Arial" w:eastAsia="Arial" w:hAnsi="Arial"/>
          <w:sz w:val="16"/>
          <w:szCs w:val="16"/>
          <w:i w:val="1"/>
          <w:iCs w:val="1"/>
          <w:color w:val="auto"/>
        </w:rPr>
        <w:t>Initial Target</w:t>
      </w:r>
      <w:r>
        <w:rPr>
          <w:rFonts w:ascii="Arial" w:cs="Arial" w:eastAsia="Arial" w:hAnsi="Arial"/>
          <w:sz w:val="16"/>
          <w:szCs w:val="16"/>
          <w:color w:val="auto"/>
        </w:rPr>
        <w:t xml:space="preserve">, Novartis has an exclusive right to negotiate a license under any </w:t>
      </w:r>
      <w:r>
        <w:rPr>
          <w:rFonts w:ascii="Arial" w:cs="Arial" w:eastAsia="Arial" w:hAnsi="Arial"/>
          <w:sz w:val="16"/>
          <w:szCs w:val="16"/>
          <w:i w:val="1"/>
          <w:iCs w:val="1"/>
          <w:color w:val="auto"/>
        </w:rPr>
        <w:t>Intellectual Property Rights</w:t>
      </w:r>
      <w:r>
        <w:rPr>
          <w:rFonts w:ascii="Arial" w:cs="Arial" w:eastAsia="Arial" w:hAnsi="Arial"/>
          <w:sz w:val="16"/>
          <w:szCs w:val="16"/>
          <w:color w:val="auto"/>
        </w:rPr>
        <w:t xml:space="preserve"> owned or exclusively licensed to the Company to make, sell or otherwise commercially exploit such </w:t>
      </w:r>
      <w:r>
        <w:rPr>
          <w:rFonts w:ascii="Arial" w:cs="Arial" w:eastAsia="Arial" w:hAnsi="Arial"/>
          <w:sz w:val="16"/>
          <w:szCs w:val="16"/>
          <w:i w:val="1"/>
          <w:iCs w:val="1"/>
          <w:color w:val="auto"/>
        </w:rPr>
        <w:t>RNAi Product</w:t>
      </w:r>
      <w:r>
        <w:rPr>
          <w:rFonts w:ascii="Arial" w:cs="Arial" w:eastAsia="Arial" w:hAnsi="Arial"/>
          <w:sz w:val="16"/>
          <w:szCs w:val="16"/>
          <w:color w:val="auto"/>
        </w:rPr>
        <w:t xml:space="preserve"> or </w:t>
      </w:r>
      <w:r>
        <w:rPr>
          <w:rFonts w:ascii="Arial" w:cs="Arial" w:eastAsia="Arial" w:hAnsi="Arial"/>
          <w:sz w:val="16"/>
          <w:szCs w:val="16"/>
          <w:i w:val="1"/>
          <w:iCs w:val="1"/>
          <w:color w:val="auto"/>
        </w:rPr>
        <w:t>Arrowhead RNAi Product</w:t>
      </w:r>
      <w:r>
        <w:rPr>
          <w:rFonts w:ascii="Arial" w:cs="Arial" w:eastAsia="Arial" w:hAnsi="Arial"/>
          <w:sz w:val="16"/>
          <w:szCs w:val="16"/>
          <w:color w:val="auto"/>
        </w:rPr>
        <w:t xml:space="preserve">. After initiation of a phase 2 </w:t>
      </w:r>
      <w:r>
        <w:rPr>
          <w:rFonts w:ascii="Arial" w:cs="Arial" w:eastAsia="Arial" w:hAnsi="Arial"/>
          <w:sz w:val="16"/>
          <w:szCs w:val="16"/>
          <w:i w:val="1"/>
          <w:iCs w:val="1"/>
          <w:color w:val="auto"/>
        </w:rPr>
        <w:t>Clinical Trial</w:t>
      </w:r>
      <w:r>
        <w:rPr>
          <w:rFonts w:ascii="Arial" w:cs="Arial" w:eastAsia="Arial" w:hAnsi="Arial"/>
          <w:sz w:val="16"/>
          <w:szCs w:val="16"/>
          <w:color w:val="auto"/>
        </w:rPr>
        <w:t xml:space="preserve"> for a given </w:t>
      </w:r>
      <w:r>
        <w:rPr>
          <w:rFonts w:ascii="Arial" w:cs="Arial" w:eastAsia="Arial" w:hAnsi="Arial"/>
          <w:sz w:val="16"/>
          <w:szCs w:val="16"/>
          <w:i w:val="1"/>
          <w:iCs w:val="1"/>
          <w:color w:val="auto"/>
        </w:rPr>
        <w:t>Arrowhead RNAi Product</w:t>
      </w:r>
      <w:r>
        <w:rPr>
          <w:rFonts w:ascii="Arial" w:cs="Arial" w:eastAsia="Arial" w:hAnsi="Arial"/>
          <w:sz w:val="16"/>
          <w:szCs w:val="16"/>
          <w:color w:val="auto"/>
        </w:rPr>
        <w:t xml:space="preserve"> (“ROFN Candidate”), Novartis shall have a right of first negotiation on the ROFN Candidate developed by the Company and its affiliates relating to the purchased assets. If the Company proposes to out-license, or enters into substantive negotiations to out-license, any ROFN Candidate, the Company must give notice of the ROFN Candidate it proposes to out-license and negotiate exclusively and in good faith with Novartis for a period of time regarding the applicable out-license.</w:t>
      </w:r>
    </w:p>
    <w:p>
      <w:pPr>
        <w:spacing w:after="0" w:line="16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 xml:space="preserve">In addition to the consideration paid by the Company at the closing of the Transaction, the Company is obligated to make certain royalty and milestone payments to Novartis upon the occurrence of certain events. For sales of any </w:t>
      </w:r>
      <w:r>
        <w:rPr>
          <w:rFonts w:ascii="Arial" w:cs="Arial" w:eastAsia="Arial" w:hAnsi="Arial"/>
          <w:sz w:val="17"/>
          <w:szCs w:val="17"/>
          <w:i w:val="1"/>
          <w:iCs w:val="1"/>
          <w:color w:val="auto"/>
        </w:rPr>
        <w:t>RNAi Products</w:t>
      </w:r>
      <w:r>
        <w:rPr>
          <w:rFonts w:ascii="Arial" w:cs="Arial" w:eastAsia="Arial" w:hAnsi="Arial"/>
          <w:sz w:val="17"/>
          <w:szCs w:val="17"/>
          <w:color w:val="auto"/>
        </w:rPr>
        <w:t xml:space="preserve"> for which Novartis and the Company do not enter into a licensing arrangement, the Company will be obligated to pay royalty rates ranging in the low to mid-single digits on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depending upon the type of </w:t>
      </w:r>
      <w:r>
        <w:rPr>
          <w:rFonts w:ascii="Arial" w:cs="Arial" w:eastAsia="Arial" w:hAnsi="Arial"/>
          <w:sz w:val="17"/>
          <w:szCs w:val="17"/>
          <w:i w:val="1"/>
          <w:iCs w:val="1"/>
          <w:color w:val="auto"/>
        </w:rPr>
        <w:t>RNAi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provided that the royalty rate may be reduced or offset in certain circumstances. The obligation to pay royalties on such candidates will last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later of (i) the expiration of the last </w:t>
      </w:r>
      <w:r>
        <w:rPr>
          <w:rFonts w:ascii="Arial" w:cs="Arial" w:eastAsia="Arial" w:hAnsi="Arial"/>
          <w:sz w:val="17"/>
          <w:szCs w:val="17"/>
          <w:i w:val="1"/>
          <w:iCs w:val="1"/>
          <w:color w:val="auto"/>
        </w:rPr>
        <w:t>Valid Claim Covering</w:t>
      </w:r>
      <w:r>
        <w:rPr>
          <w:rFonts w:ascii="Arial" w:cs="Arial" w:eastAsia="Arial" w:hAnsi="Arial"/>
          <w:sz w:val="17"/>
          <w:szCs w:val="17"/>
          <w:color w:val="auto"/>
        </w:rPr>
        <w:t xml:space="preserve"> such </w:t>
      </w:r>
      <w:r>
        <w:rPr>
          <w:rFonts w:ascii="Arial" w:cs="Arial" w:eastAsia="Arial" w:hAnsi="Arial"/>
          <w:sz w:val="17"/>
          <w:szCs w:val="17"/>
          <w:i w:val="1"/>
          <w:iCs w:val="1"/>
          <w:color w:val="auto"/>
        </w:rPr>
        <w:t>RNAi Product</w:t>
      </w:r>
      <w:r>
        <w:rPr>
          <w:rFonts w:ascii="Arial" w:cs="Arial" w:eastAsia="Arial" w:hAnsi="Arial"/>
          <w:sz w:val="17"/>
          <w:szCs w:val="17"/>
          <w:color w:val="auto"/>
        </w:rPr>
        <w:t xml:space="preserve"> in such country and (ii) 11 years after the first commercial sale of such </w:t>
      </w:r>
      <w:r>
        <w:rPr>
          <w:rFonts w:ascii="Arial" w:cs="Arial" w:eastAsia="Arial" w:hAnsi="Arial"/>
          <w:sz w:val="17"/>
          <w:szCs w:val="17"/>
          <w:i w:val="1"/>
          <w:iCs w:val="1"/>
          <w:color w:val="auto"/>
        </w:rPr>
        <w:t>RNAi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(as such italicized terms are defined in the RNAi Purchase Agreement).</w:t>
      </w:r>
    </w:p>
    <w:p>
      <w:pPr>
        <w:spacing w:after="0" w:line="17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 xml:space="preserve">The Company will also be obligated to make cash payments to Novartis upon the achievement of various milestones for any </w:t>
      </w:r>
      <w:r>
        <w:rPr>
          <w:rFonts w:ascii="Arial" w:cs="Arial" w:eastAsia="Arial" w:hAnsi="Arial"/>
          <w:sz w:val="16"/>
          <w:szCs w:val="16"/>
          <w:i w:val="1"/>
          <w:iCs w:val="1"/>
          <w:color w:val="auto"/>
        </w:rPr>
        <w:t>RNAi Products</w:t>
      </w:r>
      <w:r>
        <w:rPr>
          <w:rFonts w:ascii="Arial" w:cs="Arial" w:eastAsia="Arial" w:hAnsi="Arial"/>
          <w:sz w:val="16"/>
          <w:szCs w:val="16"/>
          <w:color w:val="auto"/>
        </w:rPr>
        <w:t xml:space="preserve"> for which Novartis and the Company do not enter into a licensing arrangement. These milestones include the initiation of phase 2 and 3 clinical trials, U.S. and other regulatory approvals, and annual sales milestones. These milestone payments could total an amount in the mid to upper double digit millions of dollars.</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estimated relative fair values of the assets acquired at the date of acquisition: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patents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Intangible assets – license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 - Pre-Clinical Candidates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The purchase consideration was composed of the following:</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 w:type="dxa"/>
            <w:vAlign w:val="bottom"/>
            <w:vMerge w:val="restart"/>
          </w:tcPr>
          <w:p>
            <w:pPr>
              <w:spacing w:after="0"/>
              <w:rPr>
                <w:sz w:val="22"/>
                <w:szCs w:val="22"/>
                <w:color w:val="auto"/>
              </w:rPr>
            </w:pPr>
          </w:p>
        </w:tc>
        <w:tc>
          <w:tcPr>
            <w:tcW w:w="80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02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Value of Shares Issued</w:t>
            </w:r>
          </w:p>
        </w:tc>
        <w:tc>
          <w:tcPr>
            <w:tcW w:w="18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12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0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purchase consideration</w:t>
            </w:r>
          </w:p>
        </w:tc>
        <w:tc>
          <w:tcPr>
            <w:tcW w:w="2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The Company accounted for this transaction as an acquisition of RNAi assets, including patents, a third-party license and in process research and development for the pre-clinical candidates. The allocation of the purchase price to each asset was determined by estimating the relative fair value of each asset acquired and applying that to the total cost of the acquisition for the Company. The Company capitalized the patents and license acquired as Intangible Assets as they require no future development and will have alternative future uses as the Company expands its RNAi capabilities (see footnote 5 for additional discussion of the useful lives and amortization of these Intangible Assets). The Company expensed the portion of the purchase consideration allocated to the pre-clinical candidates as they will require future development in order to be commercialized. This expense is recorded in the “Acquired in-process research and development” line item of the Consolidated Statements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major classes of property and equipment: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September 30, 2015</w:t>
            </w:r>
          </w:p>
        </w:tc>
        <w:tc>
          <w:tcPr>
            <w:tcW w:w="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138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9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404,964</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334,162</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Research equipment</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6,354,584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4,614,176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13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20" w:type="dxa"/>
            <w:vAlign w:val="bottom"/>
            <w:shd w:val="clear" w:color="auto" w:fill="CFF0FC"/>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138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3,045,022</w:t>
            </w:r>
          </w:p>
        </w:tc>
        <w:tc>
          <w:tcPr>
            <w:tcW w:w="120" w:type="dxa"/>
            <w:vAlign w:val="bottom"/>
            <w:tcBorders>
              <w:bottom w:val="single" w:sz="8" w:color="CFF0FC"/>
            </w:tcBorders>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13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9,987,513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8,062,983</w:t>
            </w:r>
          </w:p>
        </w:tc>
        <w:tc>
          <w:tcPr>
            <w:tcW w:w="120" w:type="dxa"/>
            <w:vAlign w:val="bottom"/>
            <w:shd w:val="clear" w:color="auto" w:fill="CFF0FC"/>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13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(5,460,665)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(4,190,230)</w:t>
            </w:r>
          </w:p>
        </w:tc>
        <w:tc>
          <w:tcPr>
            <w:tcW w:w="1380" w:type="dxa"/>
            <w:vAlign w:val="bottom"/>
          </w:tcPr>
          <w:p>
            <w:pPr>
              <w:spacing w:after="0"/>
              <w:rPr>
                <w:sz w:val="19"/>
                <w:szCs w:val="19"/>
                <w:color w:val="auto"/>
              </w:rPr>
            </w:pPr>
          </w:p>
        </w:tc>
      </w:tr>
      <w:tr>
        <w:trPr>
          <w:trHeight w:val="223"/>
        </w:trPr>
        <w:tc>
          <w:tcPr>
            <w:tcW w:w="138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4,526,848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3,872,753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29"/>
        </w:trPr>
        <w:tc>
          <w:tcPr>
            <w:tcW w:w="1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80" w:type="dxa"/>
            <w:vAlign w:val="bottom"/>
            <w:gridSpan w:val="2"/>
          </w:tcPr>
          <w:p>
            <w:pPr>
              <w:jc w:val="right"/>
              <w:ind w:right="1526"/>
              <w:spacing w:after="0"/>
              <w:rPr>
                <w:sz w:val="20"/>
                <w:szCs w:val="20"/>
                <w:color w:val="auto"/>
              </w:rPr>
            </w:pPr>
            <w:r>
              <w:rPr>
                <w:rFonts w:ascii="Arial" w:cs="Arial" w:eastAsia="Arial" w:hAnsi="Arial"/>
                <w:sz w:val="18"/>
                <w:szCs w:val="18"/>
                <w:color w:val="auto"/>
              </w:rPr>
              <w:t>F-12</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and long-term debt securities. Investments at September 30, 2015 consisted of corporate bonds with maturities remaining of less than one year.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September 30, 2015, all investments were classified as held-to-maturity securities.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 and long-term investments as of September 30, 2015, and September 30, 2014: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17,539,902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(304,942)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17,234,960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17,539,902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17,234,960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21,653,032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21,463,202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23,088,346</w:t>
            </w: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(217,693)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22,870,653</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44,741,378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44,333,855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license agreements subject to amortization, which were capitalized as a part of an asset acquisition or business combination.</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the Company will determine the useful life of the asset, reclassify the asset out of IPR&amp;D and begin amortization. If the associated R&amp;D effort is abandoned the related IPR&amp;D assets will likely be written off and the Company would record an impairment loss. Intangible assets not subject to amortization include IPR&amp;D capitalized as part of a business combination from the acquisition of the Roche RNAi business.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and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agreements capitalized from the acquisition of the Roche RNAi business. The license agreement associated with the Novartis RNAi asset acquisition is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over the estimated life remaining at the time of acquisition which was 21 years, and the accumulated amortization of the asset is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$86,570. The license agreements associated with the acquisition of the Roche RNAi business are being amortized over the estimated life remaining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of acquisition, which was 4 years, and the accumulated amortization of the assets is approximately $216,116. The patents associated with the Novartis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RNAi asset acquisition are being amortized over the estimated life remaining at the time of acquisition, which was 14 years, and the accumulated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the assets is approximately $905,347. Amortization expense for the years ended September 30, 2015, 2014 and 2013 was $1,046,571,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$54,653 and $236,009, respectively. Amortization expense is expected to be approximately $1,714,313 in 2016, $1,700,429 in 2017, $1,700,429 in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$1,700,429 in 2019, $1,700,429 in 2020, $1,700,429 in 2021 and $13,662,723 thereafter.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3" w:name="page84"/>
    <w:bookmarkEnd w:id="83"/>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Intangible assets</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123,191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3,240,513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(2,172,387)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(2,172,387)</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(54,653)</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(54,653)</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Novartis RNAi Assets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24,857,214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(1,046,571)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(1,046,571)</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2015</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944,935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23,879,181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24,824,116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At September 30, 2015,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At September 30, 2015, 59,544,677 shares of Common Stock were outstanding. Additionally, 15,652 shares of Series C Preferred Stock were outstanding, which are convertible into 2,670,990 shares of Common Stock. At September 30, 2015, 8,099,777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Preferred Stock, at a price of $1,000 per share. The Preferred Stock is convertible into shares of common stock at a conversion price of $5.86. The aggregate purchase price paid by the purchasers for the Common Stock and Series C Preferred Stock was $64,000,000 and the Company received net proceeds of approximately $60,000,000, after advisory fees and offering expenses.</w:t>
      </w:r>
    </w:p>
    <w:p>
      <w:pPr>
        <w:spacing w:after="0" w:line="18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September 30,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ind w:left="2640"/>
              <w:spacing w:after="0"/>
              <w:rPr>
                <w:sz w:val="20"/>
                <w:szCs w:val="20"/>
                <w:color w:val="auto"/>
              </w:rPr>
            </w:pPr>
            <w:r>
              <w:rPr>
                <w:rFonts w:ascii="Arial" w:cs="Arial" w:eastAsia="Arial" w:hAnsi="Arial"/>
                <w:sz w:val="14"/>
                <w:szCs w:val="14"/>
                <w:b w:val="1"/>
                <w:bCs w:val="1"/>
                <w:color w:val="auto"/>
              </w:rPr>
              <w:t>Exercise prices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62"/>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82"/>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shd w:val="clear" w:color="auto" w:fill="CFF0FC"/>
          </w:tcPr>
          <w:p>
            <w:pPr>
              <w:jc w:val="right"/>
              <w:ind w:right="1590"/>
              <w:spacing w:after="0"/>
              <w:rPr>
                <w:sz w:val="20"/>
                <w:szCs w:val="20"/>
                <w:color w:val="auto"/>
              </w:rPr>
            </w:pPr>
            <w:r>
              <w:rPr>
                <w:rFonts w:ascii="Arial" w:cs="Arial" w:eastAsia="Arial" w:hAnsi="Arial"/>
                <w:sz w:val="18"/>
                <w:szCs w:val="18"/>
                <w:color w:val="auto"/>
              </w:rPr>
              <w:t>70.60</w:t>
            </w: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FF0FC"/>
            </w:tcBorders>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5.00</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364,375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rPr>
              <w:t>5.09</w:t>
            </w:r>
          </w:p>
        </w:tc>
        <w:tc>
          <w:tcPr>
            <w:tcW w:w="2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239,534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1.38</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24,324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rPr>
              <w:t>4.16</w:t>
            </w:r>
          </w:p>
        </w:tc>
        <w:tc>
          <w:tcPr>
            <w:tcW w:w="2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3.25</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334,347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rPr>
              <w:t>2.12</w:t>
            </w:r>
          </w:p>
        </w:tc>
        <w:tc>
          <w:tcPr>
            <w:tcW w:w="2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1.83</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277,284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1590"/>
              <w:spacing w:after="0"/>
              <w:rPr>
                <w:sz w:val="20"/>
                <w:szCs w:val="20"/>
                <w:color w:val="auto"/>
              </w:rPr>
            </w:pPr>
            <w:r>
              <w:rPr>
                <w:rFonts w:ascii="Arial" w:cs="Arial" w:eastAsia="Arial" w:hAnsi="Arial"/>
                <w:sz w:val="18"/>
                <w:szCs w:val="18"/>
                <w:color w:val="auto"/>
              </w:rPr>
              <w:t>7.14</w:t>
            </w:r>
          </w:p>
        </w:tc>
        <w:tc>
          <w:tcPr>
            <w:tcW w:w="2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Total warrants outstanding</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1,490,761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40" w:type="dxa"/>
            <w:vAlign w:val="bottom"/>
            <w:gridSpan w:val="4"/>
          </w:tcPr>
          <w:p>
            <w:pPr>
              <w:jc w:val="right"/>
              <w:ind w:right="1522"/>
              <w:spacing w:after="0"/>
              <w:rPr>
                <w:sz w:val="20"/>
                <w:szCs w:val="20"/>
                <w:color w:val="auto"/>
              </w:rPr>
            </w:pPr>
            <w:r>
              <w:rPr>
                <w:rFonts w:ascii="Arial" w:cs="Arial" w:eastAsia="Arial" w:hAnsi="Arial"/>
                <w:sz w:val="18"/>
                <w:szCs w:val="18"/>
                <w:color w:val="auto"/>
              </w:rPr>
              <w:t>F-14</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360" w:firstLine="518"/>
        <w:spacing w:after="0" w:line="312" w:lineRule="auto"/>
        <w:rPr>
          <w:sz w:val="20"/>
          <w:szCs w:val="20"/>
          <w:color w:val="auto"/>
        </w:rPr>
      </w:pPr>
      <w:r>
        <w:rPr>
          <w:rFonts w:ascii="Arial" w:cs="Arial" w:eastAsia="Arial" w:hAnsi="Arial"/>
          <w:sz w:val="16"/>
          <w:szCs w:val="16"/>
          <w:color w:val="auto"/>
        </w:rPr>
        <w:t>The Company leases office space for its corporate headquarters in Pasadena, California. In March 2014, the Company signed a lease addendum to expand its corporate headquarters, and the new space became available in September 2014. The leases for the expansion space and the current space will expire in September 2019. Rental costs, including the expansion space, are approximately $24,000 per month, increasing approximately 3% annually.</w:t>
      </w:r>
    </w:p>
    <w:p>
      <w:pPr>
        <w:spacing w:after="0" w:line="14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2019. Monthly rental expense is approximately $26,000. Other monthly rental expenses include common area maintenance and real estate taxes totaling approximately $18,000 per month. Utilities costs are approximately $16,000 per month. Total monthly costs are approximately $79,000 per month, including monthly payments recorded under a capital lease of approximately $19,000.</w:t>
      </w:r>
    </w:p>
    <w:p>
      <w:pPr>
        <w:spacing w:after="0" w:line="18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May 2015, the Company signed a lease for additional research facility space in Middleton, Wisconsin, and this space is leased through May 2016. Monthly rental expense for the additional space is approximately $4,000. Other monthly rental expenses include common area maintenance and real estate taxes totaling approximately $2,000 per month.</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Facility rent expense for the years ended September 30, 2015, 2014 and 2013 was $744,000, $554,000 and $534,000,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2015,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95,175</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2021 and thereafter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(22,095)</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758,340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(217,548)</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540,792</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2015,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8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631,881</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2017</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613,664</w:t>
            </w:r>
          </w:p>
        </w:tc>
        <w:tc>
          <w:tcPr>
            <w:tcW w:w="12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637,897</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2019</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459,633</w:t>
            </w:r>
          </w:p>
        </w:tc>
        <w:tc>
          <w:tcPr>
            <w:tcW w:w="12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 and thereafter</w:t>
            </w:r>
          </w:p>
        </w:tc>
        <w:tc>
          <w:tcPr>
            <w:tcW w:w="25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2,343,075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The Company and certain of its officers and directors have been named as defendants in a consolidated class action pending before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7"/>
          <w:szCs w:val="17"/>
          <w:i w:val="1"/>
          <w:iCs w:val="1"/>
          <w:color w:val="auto"/>
        </w:rPr>
        <w:t>Wang v. Arrowhead Research Corp., et al.</w:t>
      </w:r>
      <w:r>
        <w:rPr>
          <w:rFonts w:ascii="Arial" w:cs="Arial" w:eastAsia="Arial" w:hAnsi="Arial"/>
          <w:sz w:val="17"/>
          <w:szCs w:val="17"/>
          <w:color w:val="auto"/>
        </w:rPr>
        <w:t xml:space="preserve">, No. 2:14-cv-07890 (C.D. Cal., filed Oct. 10, 2014), and </w:t>
      </w:r>
      <w:r>
        <w:rPr>
          <w:rFonts w:ascii="Arial" w:cs="Arial" w:eastAsia="Arial" w:hAnsi="Arial"/>
          <w:sz w:val="17"/>
          <w:szCs w:val="17"/>
          <w:i w:val="1"/>
          <w:iCs w:val="1"/>
          <w:color w:val="auto"/>
        </w:rPr>
        <w:t>Eskinazi v.</w:t>
      </w:r>
      <w:r>
        <w:rPr>
          <w:rFonts w:ascii="Arial" w:cs="Arial" w:eastAsia="Arial" w:hAnsi="Arial"/>
          <w:sz w:val="17"/>
          <w:szCs w:val="17"/>
          <w:color w:val="auto"/>
        </w:rPr>
        <w:t xml:space="preserve"> </w:t>
      </w:r>
      <w:r>
        <w:rPr>
          <w:rFonts w:ascii="Arial" w:cs="Arial" w:eastAsia="Arial" w:hAnsi="Arial"/>
          <w:sz w:val="17"/>
          <w:szCs w:val="17"/>
          <w:i w:val="1"/>
          <w:iCs w:val="1"/>
          <w:color w:val="auto"/>
        </w:rPr>
        <w:t>Arrowhead Research Corp., et al.</w:t>
      </w:r>
      <w:r>
        <w:rPr>
          <w:rFonts w:ascii="Arial" w:cs="Arial" w:eastAsia="Arial" w:hAnsi="Arial"/>
          <w:sz w:val="17"/>
          <w:szCs w:val="17"/>
          <w:color w:val="auto"/>
        </w:rPr>
        <w:t>, No. 2:14-cv-07911 (C.D. Cal., filed Oct. 13, 2014), asserts claims under Sections 10(b) and 20(a) of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Act of 1934 and seeks damages in an unspecified amount. Additionally, three putative stockholder derivative actions captioned </w:t>
      </w:r>
      <w:r>
        <w:rPr>
          <w:rFonts w:ascii="Arial" w:cs="Arial" w:eastAsia="Arial" w:hAnsi="Arial"/>
          <w:sz w:val="17"/>
          <w:szCs w:val="17"/>
          <w:i w:val="1"/>
          <w:iCs w:val="1"/>
          <w:color w:val="auto"/>
        </w:rPr>
        <w:t>Weisman v.</w:t>
      </w:r>
      <w:r>
        <w:rPr>
          <w:rFonts w:ascii="Arial" w:cs="Arial" w:eastAsia="Arial" w:hAnsi="Arial"/>
          <w:sz w:val="17"/>
          <w:szCs w:val="17"/>
          <w:color w:val="auto"/>
        </w:rPr>
        <w:t xml:space="preserve"> </w:t>
      </w:r>
      <w:r>
        <w:rPr>
          <w:rFonts w:ascii="Arial" w:cs="Arial" w:eastAsia="Arial" w:hAnsi="Arial"/>
          <w:sz w:val="17"/>
          <w:szCs w:val="17"/>
          <w:i w:val="1"/>
          <w:iCs w:val="1"/>
          <w:color w:val="auto"/>
        </w:rPr>
        <w:t>Anzalone et al</w:t>
      </w:r>
      <w:r>
        <w:rPr>
          <w:rFonts w:ascii="Arial" w:cs="Arial" w:eastAsia="Arial" w:hAnsi="Arial"/>
          <w:sz w:val="17"/>
          <w:szCs w:val="17"/>
          <w:color w:val="auto"/>
        </w:rPr>
        <w:t>., No. 2:14-cv-08982 (C.D. Cal., filed Nov. 20, 2014),</w:t>
      </w:r>
      <w:r>
        <w:rPr>
          <w:rFonts w:ascii="Arial" w:cs="Arial" w:eastAsia="Arial" w:hAnsi="Arial"/>
          <w:sz w:val="17"/>
          <w:szCs w:val="17"/>
          <w:i w:val="1"/>
          <w:iCs w:val="1"/>
          <w:color w:val="auto"/>
        </w:rPr>
        <w:t xml:space="preserve"> Bernstein (Backus) v. Anzalone, et al.</w:t>
      </w:r>
      <w:r>
        <w:rPr>
          <w:rFonts w:ascii="Arial" w:cs="Arial" w:eastAsia="Arial" w:hAnsi="Arial"/>
          <w:sz w:val="17"/>
          <w:szCs w:val="17"/>
          <w:color w:val="auto"/>
        </w:rPr>
        <w:t>, No. 2:14-cv-09247 (C.D. Cal., filed Dec. 2, 2014);</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i w:val="1"/>
          <w:iCs w:val="1"/>
          <w:color w:val="auto"/>
        </w:rPr>
        <w:t>Johnson v. Anzalone, et al.</w:t>
      </w:r>
      <w:r>
        <w:rPr>
          <w:rFonts w:ascii="Arial" w:cs="Arial" w:eastAsia="Arial" w:hAnsi="Arial"/>
          <w:sz w:val="17"/>
          <w:szCs w:val="17"/>
          <w:color w:val="auto"/>
        </w:rPr>
        <w:t xml:space="preserve">, No. 2:15-cv-00446 (C.D. Cal., filed Jan. 22, 2015), were filed in the United States District Court for the Central District of California, alleging breach of fiduciary duty by the Company’s Board of Directors in connection with the facts underlying the securities claims. An additional consolidated derivative action asserting similar claims is pending in Los Angeles County Superior Court, initially filed as </w:t>
      </w:r>
      <w:r>
        <w:rPr>
          <w:rFonts w:ascii="Arial" w:cs="Arial" w:eastAsia="Arial" w:hAnsi="Arial"/>
          <w:sz w:val="17"/>
          <w:szCs w:val="17"/>
          <w:i w:val="1"/>
          <w:iCs w:val="1"/>
          <w:color w:val="auto"/>
        </w:rPr>
        <w:t>Bacchus v. Anzalone, et al.</w:t>
      </w:r>
      <w:r>
        <w:rPr>
          <w:rFonts w:ascii="Arial" w:cs="Arial" w:eastAsia="Arial" w:hAnsi="Arial"/>
          <w:sz w:val="17"/>
          <w:szCs w:val="17"/>
          <w:color w:val="auto"/>
        </w:rPr>
        <w:t xml:space="preserve">, (L.A. Super., filed Mar. 5, 2015); and </w:t>
      </w:r>
      <w:r>
        <w:rPr>
          <w:rFonts w:ascii="Arial" w:cs="Arial" w:eastAsia="Arial" w:hAnsi="Arial"/>
          <w:sz w:val="17"/>
          <w:szCs w:val="17"/>
          <w:i w:val="1"/>
          <w:iCs w:val="1"/>
          <w:color w:val="auto"/>
        </w:rPr>
        <w:t>Jackson v. Anzalone, et al.</w:t>
      </w:r>
      <w:r>
        <w:rPr>
          <w:rFonts w:ascii="Arial" w:cs="Arial" w:eastAsia="Arial" w:hAnsi="Arial"/>
          <w:sz w:val="17"/>
          <w:szCs w:val="17"/>
          <w:color w:val="auto"/>
        </w:rPr>
        <w:t xml:space="preserve"> (L.A. Super., filed Mar. 16, 2015). Each of these suits seeks damages in unspecified amounts and some seek various forms of injunctive relief.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5" w:name="page86"/>
    <w:bookmarkEnd w:id="85"/>
    <w:p>
      <w:pPr>
        <w:ind w:right="60" w:firstLine="518"/>
        <w:spacing w:after="0" w:line="276" w:lineRule="auto"/>
        <w:rPr>
          <w:sz w:val="20"/>
          <w:szCs w:val="20"/>
          <w:color w:val="auto"/>
        </w:rPr>
      </w:pPr>
      <w:r>
        <w:rPr>
          <w:rFonts w:ascii="Arial" w:cs="Arial" w:eastAsia="Arial" w:hAnsi="Arial"/>
          <w:sz w:val="17"/>
          <w:szCs w:val="17"/>
          <w:color w:val="auto"/>
        </w:rPr>
        <w:t xml:space="preserve">The Company and two of its former executives have been named as defendants in a complaint filed on November 11, 2014 and captioned </w:t>
      </w:r>
      <w:r>
        <w:rPr>
          <w:rFonts w:ascii="Arial" w:cs="Arial" w:eastAsia="Arial" w:hAnsi="Arial"/>
          <w:sz w:val="17"/>
          <w:szCs w:val="17"/>
          <w:i w:val="1"/>
          <w:iCs w:val="1"/>
          <w:color w:val="auto"/>
        </w:rPr>
        <w:t>William</w:t>
      </w:r>
      <w:r>
        <w:rPr>
          <w:rFonts w:ascii="Arial" w:cs="Arial" w:eastAsia="Arial" w:hAnsi="Arial"/>
          <w:sz w:val="17"/>
          <w:szCs w:val="17"/>
          <w:color w:val="auto"/>
        </w:rPr>
        <w:t xml:space="preserve"> </w:t>
      </w:r>
      <w:r>
        <w:rPr>
          <w:rFonts w:ascii="Arial" w:cs="Arial" w:eastAsia="Arial" w:hAnsi="Arial"/>
          <w:sz w:val="17"/>
          <w:szCs w:val="17"/>
          <w:i w:val="1"/>
          <w:iCs w:val="1"/>
          <w:color w:val="auto"/>
        </w:rPr>
        <w:t>Marsh Rice University vs. Unidym, Inc. and Arrowhead Research Corporation</w:t>
      </w:r>
      <w:r>
        <w:rPr>
          <w:rFonts w:ascii="Arial" w:cs="Arial" w:eastAsia="Arial" w:hAnsi="Arial"/>
          <w:sz w:val="17"/>
          <w:szCs w:val="17"/>
          <w:color w:val="auto"/>
        </w:rPr>
        <w:t>, No. 2014-66088, currently pending in the United States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Southern District of Texas relating to alleged breaches of a license agreement between Rice University and the Company’s former subsidiary, Unidym, Inc. The plaintiff has alleged that the Company and its former executives acted fraudulently with respect to Unidym’s license from Rice University and seeks injunctive relief, damages, including unspecified compensatory and punitive damages, and attorneys’ fees.</w:t>
      </w:r>
    </w:p>
    <w:p>
      <w:pPr>
        <w:spacing w:after="0" w:line="173"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The Company believes it has meritorious defenses and intends to vigorously defend itself in each of the above matters. The Company makes provisions for liabilities when it is both probable that a liability has been incurred and the amount can be reasonably estimated. No such liability has been recorded related to these matters. The Company does not expect these matters to have any material effect on its Consolidated Financial Statements. With regard to legal fees, such as attorney fees related to these matters or any other legal matters, the Company’s accounting policy is to recognize such costs as incurred.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toxicology studies, and for clinical studies. As of September 30, 2015, these future commitments were approximately $49.3 million, of which approximately $35.5 million is expected to be incurred in fiscal 2016, and $13.8 million is expected to be incurred beyond fiscal 2016.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Company has licensed from third parties the rights to use certain technologies that it uses in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Arrowhead has two plans that provide for equity-based compensation. Under Arrowhead’s 2004 Equity Incentive Plan and 2013 Incentive Plan, as of September 30, 2015, 2,537,018 and 5,088,971 shares, respectively, of Arrowhead’s Common Stock are reserved for the grant of stock options, stock appreciation rights, restricted stock awards and performance unit/share award to employees, consultants and others. No further grants may be made under the 2004 Equity Incentive Plan. As of September 30, 2015, there were options granted and outstanding to purchase 2,537,018 and 2,354,000 shares of Common Stock under the 2004 Equity Incentive Plan and the 2013 Incentive Plan, respectively, and there were 877,500 restricted stock units granted and outstanding under the 2013 Incentive Plan. Also, as of September 30, 2015, there were 544,622 shares reserved for options and 56,667 restricted stock units issued as inducement grants to new employees outside of equity compensation plans. During the year ended September 30, 2015, no options or restricted stock units were granted under the 2004 Equity Incentive Plan, 1,609,000 options and 675,000 restricted stock units were granted under the 2013 Incentive Plan, and 120,000 options and 30,000 restricted stock units were granted as inducement awards to new employees outside of equity incentive plans. Additionally, the Company’s 2000 Stock Option Plan and 38,000 stock options that were outstanding under the 2000 Stock Option Plan expired during the year ended September 30, 2015.</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 Share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2014</w:t>
            </w:r>
          </w:p>
        </w:tc>
        <w:tc>
          <w:tcPr>
            <w:tcW w:w="17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3,850,840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1,729,000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6.35</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30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(115,442)</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11.38</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tcPr>
          <w:p>
            <w:pPr>
              <w:jc w:val="right"/>
              <w:ind w:right="240"/>
              <w:spacing w:after="0"/>
              <w:rPr>
                <w:sz w:val="20"/>
                <w:szCs w:val="20"/>
                <w:color w:val="auto"/>
              </w:rPr>
            </w:pPr>
            <w:r>
              <w:rPr>
                <w:rFonts w:ascii="Arial" w:cs="Arial" w:eastAsia="Arial" w:hAnsi="Arial"/>
                <w:sz w:val="18"/>
                <w:szCs w:val="18"/>
                <w:color w:val="auto"/>
              </w:rPr>
              <w:t>(28,758)</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2015</w:t>
            </w:r>
          </w:p>
        </w:tc>
        <w:tc>
          <w:tcPr>
            <w:tcW w:w="17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5,435,640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7.9 years</w:t>
            </w:r>
          </w:p>
        </w:tc>
        <w:tc>
          <w:tcPr>
            <w:tcW w:w="160" w:type="dxa"/>
            <w:vAlign w:val="bottom"/>
            <w:tcBorders>
              <w:top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87"/>
              </w:rPr>
              <w:t>5,520,448</w:t>
            </w: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Exercisable At September 30, 2015</w:t>
            </w:r>
          </w:p>
        </w:tc>
        <w:tc>
          <w:tcPr>
            <w:tcW w:w="1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2,683,856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7.0 years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3,554,184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40" w:type="dxa"/>
            <w:vAlign w:val="bottom"/>
            <w:gridSpan w:val="3"/>
          </w:tcPr>
          <w:p>
            <w:pPr>
              <w:ind w:left="1260"/>
              <w:spacing w:after="0"/>
              <w:rPr>
                <w:sz w:val="20"/>
                <w:szCs w:val="20"/>
                <w:color w:val="auto"/>
              </w:rPr>
            </w:pPr>
            <w:r>
              <w:rPr>
                <w:rFonts w:ascii="Arial" w:cs="Arial" w:eastAsia="Arial" w:hAnsi="Arial"/>
                <w:sz w:val="18"/>
                <w:szCs w:val="18"/>
                <w:color w:val="auto"/>
              </w:rPr>
              <w:t>F-16</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6" w:name="page87"/>
    <w:bookmarkEnd w:id="86"/>
    <w:p>
      <w:pPr>
        <w:ind w:right="100" w:firstLine="518"/>
        <w:spacing w:after="0" w:line="259" w:lineRule="auto"/>
        <w:rPr>
          <w:sz w:val="20"/>
          <w:szCs w:val="20"/>
          <w:color w:val="auto"/>
        </w:rPr>
      </w:pPr>
      <w:r>
        <w:rPr>
          <w:rFonts w:ascii="Arial" w:cs="Arial" w:eastAsia="Arial" w:hAnsi="Arial"/>
          <w:sz w:val="18"/>
          <w:szCs w:val="18"/>
          <w:color w:val="auto"/>
        </w:rPr>
        <w:t>Stock-based compensation expense related to stock options for the years ended September 30, 2015, 2014 and 2013 was $4,760,831, $3,144,776, and $1,536,271,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fair value of the options granted by Arrowhead for the years ended September 30, 2015, 2014 and 2013 was $7,338,395, $9,267,048, and $2,843,575, respectively.</w:t>
      </w:r>
    </w:p>
    <w:p>
      <w:pPr>
        <w:spacing w:after="0" w:line="170"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intrinsic value of the options exercised during the years ended September 30, 2015, 2014 and 2013 was $128,391, $4,360,850 and $554, respectively.</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September 30, 2015, the pre-tax compensation expense for all outstanding unvested stock options in the amount of approximately $11,961,288 will be recognized in the Company’s results of operations over a weighted average period of 2.7 years.</w:t>
      </w:r>
    </w:p>
    <w:p>
      <w:pPr>
        <w:spacing w:after="0" w:line="170" w:lineRule="exact"/>
        <w:rPr>
          <w:sz w:val="20"/>
          <w:szCs w:val="20"/>
          <w:color w:val="auto"/>
        </w:rPr>
      </w:pPr>
    </w:p>
    <w:p>
      <w:pPr>
        <w:jc w:val="both"/>
        <w:ind w:right="280" w:firstLine="518"/>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September 30,</w:t>
            </w:r>
          </w:p>
        </w:tc>
        <w:tc>
          <w:tcPr>
            <w:tcW w:w="1040" w:type="dxa"/>
            <w:vAlign w:val="bottom"/>
            <w:tcBorders>
              <w:bottom w:val="single" w:sz="8" w:color="auto"/>
            </w:tcBorders>
          </w:tcPr>
          <w:p>
            <w:pPr>
              <w:spacing w:after="0"/>
              <w:rPr>
                <w:sz w:val="14"/>
                <w:szCs w:val="14"/>
                <w:color w:val="auto"/>
              </w:rPr>
            </w:pPr>
          </w:p>
        </w:tc>
      </w:tr>
      <w:tr>
        <w:trPr>
          <w:trHeight w:val="210"/>
        </w:trPr>
        <w:tc>
          <w:tcPr>
            <w:tcW w:w="5780" w:type="dxa"/>
            <w:vAlign w:val="bottom"/>
          </w:tcPr>
          <w:p>
            <w:pPr>
              <w:spacing w:after="0"/>
              <w:rPr>
                <w:sz w:val="18"/>
                <w:szCs w:val="18"/>
                <w:color w:val="auto"/>
              </w:rPr>
            </w:pPr>
          </w:p>
        </w:tc>
        <w:tc>
          <w:tcPr>
            <w:tcW w:w="1160" w:type="dxa"/>
            <w:vAlign w:val="bottom"/>
          </w:tcPr>
          <w:p>
            <w:pPr>
              <w:jc w:val="center"/>
              <w:ind w:left="113"/>
              <w:spacing w:after="0"/>
              <w:rPr>
                <w:sz w:val="20"/>
                <w:szCs w:val="20"/>
                <w:color w:val="auto"/>
              </w:rPr>
            </w:pPr>
            <w:r>
              <w:rPr>
                <w:rFonts w:ascii="Arial" w:cs="Arial" w:eastAsia="Arial" w:hAnsi="Arial"/>
                <w:sz w:val="14"/>
                <w:szCs w:val="14"/>
                <w:b w:val="1"/>
                <w:bCs w:val="1"/>
                <w:color w:val="auto"/>
                <w:w w:val="89"/>
              </w:rPr>
              <w:t>2015</w:t>
            </w:r>
          </w:p>
        </w:tc>
        <w:tc>
          <w:tcPr>
            <w:tcW w:w="1780" w:type="dxa"/>
            <w:vAlign w:val="bottom"/>
            <w:gridSpan w:val="3"/>
          </w:tcPr>
          <w:p>
            <w:pPr>
              <w:jc w:val="center"/>
              <w:ind w:left="99"/>
              <w:spacing w:after="0"/>
              <w:rPr>
                <w:sz w:val="20"/>
                <w:szCs w:val="20"/>
                <w:color w:val="auto"/>
              </w:rPr>
            </w:pPr>
            <w:r>
              <w:rPr>
                <w:rFonts w:ascii="Arial" w:cs="Arial" w:eastAsia="Arial" w:hAnsi="Arial"/>
                <w:sz w:val="14"/>
                <w:szCs w:val="14"/>
                <w:b w:val="1"/>
                <w:bCs w:val="1"/>
                <w:color w:val="auto"/>
                <w:w w:val="89"/>
              </w:rPr>
              <w:t>2014</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10"/>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top w:val="single" w:sz="8" w:color="auto"/>
            </w:tcBorders>
            <w:shd w:val="clear" w:color="auto" w:fill="CFF0FC"/>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center"/>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jc w:val="center"/>
              <w:ind w:left="113"/>
              <w:spacing w:after="0"/>
              <w:rPr>
                <w:sz w:val="20"/>
                <w:szCs w:val="20"/>
                <w:color w:val="auto"/>
              </w:rPr>
            </w:pPr>
            <w:r>
              <w:rPr>
                <w:rFonts w:ascii="Arial" w:cs="Arial" w:eastAsia="Arial" w:hAnsi="Arial"/>
                <w:sz w:val="18"/>
                <w:szCs w:val="18"/>
                <w:color w:val="auto"/>
                <w:w w:val="90"/>
              </w:rPr>
              <w:t>1.46 – 1.89%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0"/>
              </w:rPr>
              <w:t>1.8 – 2.4%</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0.7 – 2.3%</w:t>
            </w: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4"/>
              </w:rPr>
              <w:t>75%</w:t>
            </w:r>
          </w:p>
        </w:tc>
        <w:tc>
          <w:tcPr>
            <w:tcW w:w="1780" w:type="dxa"/>
            <w:vAlign w:val="bottom"/>
            <w:gridSpan w:val="3"/>
            <w:shd w:val="clear" w:color="auto" w:fill="CFF0FC"/>
          </w:tcPr>
          <w:p>
            <w:pPr>
              <w:jc w:val="center"/>
              <w:ind w:left="99"/>
              <w:spacing w:after="0"/>
              <w:rPr>
                <w:sz w:val="20"/>
                <w:szCs w:val="20"/>
                <w:color w:val="auto"/>
              </w:rPr>
            </w:pPr>
            <w:r>
              <w:rPr>
                <w:rFonts w:ascii="Arial" w:cs="Arial" w:eastAsia="Arial" w:hAnsi="Arial"/>
                <w:sz w:val="18"/>
                <w:szCs w:val="18"/>
                <w:color w:val="auto"/>
                <w:w w:val="88"/>
              </w:rPr>
              <w:t>69%</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60" w:type="dxa"/>
            <w:vAlign w:val="bottom"/>
          </w:tcPr>
          <w:p>
            <w:pPr>
              <w:jc w:val="center"/>
              <w:ind w:left="113"/>
              <w:spacing w:after="0"/>
              <w:rPr>
                <w:sz w:val="20"/>
                <w:szCs w:val="20"/>
                <w:color w:val="auto"/>
              </w:rPr>
            </w:pPr>
            <w:r>
              <w:rPr>
                <w:rFonts w:ascii="Arial" w:cs="Arial" w:eastAsia="Arial" w:hAnsi="Arial"/>
                <w:sz w:val="18"/>
                <w:szCs w:val="18"/>
                <w:color w:val="auto"/>
                <w:w w:val="91"/>
              </w:rPr>
              <w:t>6 - 6.25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8"/>
              </w:rPr>
              <w:t>6.25 – 9.47</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5.5 – 6.25</w:t>
            </w: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160" w:type="dxa"/>
            <w:vAlign w:val="bottom"/>
            <w:shd w:val="clear" w:color="auto" w:fill="CFF0FC"/>
          </w:tcPr>
          <w:p>
            <w:pPr>
              <w:jc w:val="center"/>
              <w:ind w:left="113"/>
              <w:spacing w:after="0"/>
              <w:rPr>
                <w:sz w:val="20"/>
                <w:szCs w:val="20"/>
                <w:color w:val="auto"/>
              </w:rPr>
            </w:pPr>
            <w:r>
              <w:rPr>
                <w:rFonts w:ascii="Arial" w:cs="Arial" w:eastAsia="Arial" w:hAnsi="Arial"/>
                <w:sz w:val="18"/>
                <w:szCs w:val="18"/>
                <w:color w:val="auto"/>
                <w:w w:val="88"/>
              </w:rPr>
              <w:t>$4.24</w:t>
            </w:r>
          </w:p>
        </w:tc>
        <w:tc>
          <w:tcPr>
            <w:tcW w:w="1780" w:type="dxa"/>
            <w:vAlign w:val="bottom"/>
            <w:gridSpan w:val="3"/>
            <w:shd w:val="clear" w:color="auto" w:fill="CFF0FC"/>
          </w:tcPr>
          <w:p>
            <w:pPr>
              <w:jc w:val="center"/>
              <w:ind w:left="99"/>
              <w:spacing w:after="0"/>
              <w:rPr>
                <w:sz w:val="20"/>
                <w:szCs w:val="20"/>
                <w:color w:val="auto"/>
              </w:rPr>
            </w:pPr>
            <w:r>
              <w:rPr>
                <w:rFonts w:ascii="Arial" w:cs="Arial" w:eastAsia="Arial" w:hAnsi="Arial"/>
                <w:sz w:val="18"/>
                <w:szCs w:val="18"/>
                <w:color w:val="auto"/>
                <w:w w:val="88"/>
              </w:rPr>
              <w:t>$8.92</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$1.88</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Restricted Stock Units (RSUs) were granted in fiscal year 2015 under the Company’s 2013 Incentive Plan and as inducement grants granted outside of the Plan. Of the restricted stock units granted during the years ended September 30, 2015 , 2014 and, 2013, 30,000, 40,000 and 0 shares, respectively, were granted outside of the Plan as inducement grants to new employees.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2014</w:t>
            </w:r>
          </w:p>
        </w:tc>
        <w:tc>
          <w:tcPr>
            <w:tcW w:w="25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705,000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(280,833)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Forfeited</w:t>
            </w:r>
          </w:p>
        </w:tc>
        <w:tc>
          <w:tcPr>
            <w:tcW w:w="25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2015</w:t>
            </w:r>
          </w:p>
        </w:tc>
        <w:tc>
          <w:tcPr>
            <w:tcW w:w="256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934,167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40" w:type="dxa"/>
            <w:vAlign w:val="bottom"/>
            <w:gridSpan w:val="3"/>
          </w:tcPr>
          <w:p>
            <w:pPr>
              <w:jc w:val="right"/>
              <w:ind w:right="270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7" w:name="page88"/>
    <w:bookmarkEnd w:id="87"/>
    <w:p>
      <w:pPr>
        <w:ind w:right="120" w:firstLine="518"/>
        <w:spacing w:after="0" w:line="264" w:lineRule="auto"/>
        <w:rPr>
          <w:sz w:val="20"/>
          <w:szCs w:val="20"/>
          <w:color w:val="auto"/>
        </w:rPr>
      </w:pPr>
      <w:r>
        <w:rPr>
          <w:rFonts w:ascii="Arial" w:cs="Arial" w:eastAsia="Arial" w:hAnsi="Arial"/>
          <w:sz w:val="18"/>
          <w:szCs w:val="18"/>
          <w:color w:val="auto"/>
        </w:rPr>
        <w:t>The Company recorded $4,489,931, $2,551,397 and $0 of expense relating to restricted stock units during the years ended September 30, 2015, 2014, and 2013, respectively. Such expense is included in stock-based compensation expense in the Company’s Consolidated Statement of Operations and Comprehensive Loss.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September 30, 2015, the pre-tax compensation expense for all unvested restricted stock units in the amount of approximately $3,739,892 will be recognized in the Company’s results of operations over a weighted average period of 1.6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September 30, 2015 and September 30, 2014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1,301,604</w:t>
            </w:r>
          </w:p>
        </w:tc>
        <w:tc>
          <w:tcPr>
            <w:tcW w:w="80" w:type="dxa"/>
            <w:vAlign w:val="bottom"/>
          </w:tcPr>
          <w:p>
            <w:pPr>
              <w:spacing w:after="0"/>
              <w:rPr>
                <w:sz w:val="18"/>
                <w:szCs w:val="18"/>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1,301,604</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5,862,464</w:t>
            </w:r>
          </w:p>
        </w:tc>
        <w:tc>
          <w:tcPr>
            <w:tcW w:w="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5,862,464</w:t>
            </w:r>
          </w:p>
        </w:tc>
        <w:tc>
          <w:tcPr>
            <w:tcW w:w="80" w:type="dxa"/>
            <w:vAlign w:val="bottom"/>
            <w:shd w:val="clear" w:color="auto" w:fill="CFF0FC"/>
          </w:tcPr>
          <w:p>
            <w:pPr>
              <w:spacing w:after="0"/>
              <w:rPr>
                <w:sz w:val="18"/>
                <w:szCs w:val="18"/>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30, 2014: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132,510,610</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132,510,610</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4,173,943</w:t>
            </w:r>
          </w:p>
        </w:tc>
        <w:tc>
          <w:tcPr>
            <w:tcW w:w="80" w:type="dxa"/>
            <w:vAlign w:val="bottom"/>
          </w:tcPr>
          <w:p>
            <w:pPr>
              <w:spacing w:after="0"/>
              <w:rPr>
                <w:sz w:val="18"/>
                <w:szCs w:val="18"/>
                <w:color w:val="auto"/>
              </w:rPr>
            </w:pPr>
          </w:p>
        </w:tc>
        <w:tc>
          <w:tcPr>
            <w:tcW w:w="3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4,173,943</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3,970,931</w:t>
            </w:r>
          </w:p>
        </w:tc>
        <w:tc>
          <w:tcPr>
            <w:tcW w:w="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3,970,931</w:t>
            </w:r>
          </w:p>
        </w:tc>
        <w:tc>
          <w:tcPr>
            <w:tcW w:w="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two years. At September 30, 2015, the Company had short-term investments of $17,539,902. The fair value of its investment at September 30, 2015 was $17,234,960.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80" w:firstLine="518"/>
        <w:spacing w:after="0" w:line="286" w:lineRule="auto"/>
        <w:rPr>
          <w:sz w:val="20"/>
          <w:szCs w:val="20"/>
          <w:color w:val="auto"/>
        </w:rPr>
      </w:pPr>
      <w:r>
        <w:rPr>
          <w:rFonts w:ascii="Arial" w:cs="Arial" w:eastAsia="Arial" w:hAnsi="Arial"/>
          <w:sz w:val="16"/>
          <w:szCs w:val="16"/>
          <w:color w:val="auto"/>
        </w:rPr>
        <w:t>As part of an equity financing in June 2010, Arrowhead issued warrants to purchase up to 329,649 shares of Common Stock (the “2010 Warrants”), of which 24,324 warrants were outstanding at September 30, 2015. Similarly, as part of a financing in December 2012, Arrowhead issued warrants to purchase up to 912,543 shares of Common Stock (the “2012 Warrants”) of which 265,161 warrants were outstanding at September 30, 2015. Further, as part of a financing in January 2013, Arrowhead issued warrants to purchase up to 833,530 shares of Common Stock (the “2013 Warrants” and, together with the 2010 Warrants and the 2012 Warrants, the “Warrants”) of which 12,123 warrants were outstanding at September 30, 2015.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years ended September 30, 2015, 2014 and 2013, the Company recorded a non-cash gain/(loss) from the change in fair value of the derivative liability of $2,684,712, $(5,821,796), and $5,066,591, respectively.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2010 Warrants</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w w:val="87"/>
              </w:rPr>
              <w:t>September 30, 2015</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September 30, 2014</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September 30, 2013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980" w:type="dxa"/>
            <w:vAlign w:val="bottom"/>
            <w:gridSpan w:val="2"/>
            <w:shd w:val="clear" w:color="auto" w:fill="CFF0FC"/>
          </w:tcPr>
          <w:p>
            <w:pPr>
              <w:jc w:val="right"/>
              <w:ind w:right="1540"/>
              <w:spacing w:after="0"/>
              <w:rPr>
                <w:sz w:val="20"/>
                <w:szCs w:val="20"/>
                <w:color w:val="auto"/>
              </w:rPr>
            </w:pPr>
            <w:r>
              <w:rPr>
                <w:rFonts w:ascii="Arial" w:cs="Arial" w:eastAsia="Arial" w:hAnsi="Arial"/>
                <w:sz w:val="18"/>
                <w:szCs w:val="18"/>
                <w:color w:val="auto"/>
              </w:rPr>
              <w:t>0.1%</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life</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0.2 Years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1.2 Years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75%</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tcPr>
          <w:p>
            <w:pPr>
              <w:spacing w:after="0" w:line="176" w:lineRule="exact"/>
              <w:rPr>
                <w:sz w:val="20"/>
                <w:szCs w:val="20"/>
                <w:color w:val="auto"/>
              </w:rPr>
            </w:pPr>
            <w:r>
              <w:rPr>
                <w:rFonts w:ascii="Arial" w:cs="Arial" w:eastAsia="Arial" w:hAnsi="Arial"/>
                <w:sz w:val="18"/>
                <w:szCs w:val="18"/>
                <w:b w:val="1"/>
                <w:bCs w:val="1"/>
                <w:color w:val="auto"/>
              </w:rPr>
              <w:t>2012 Warrants</w:t>
            </w:r>
          </w:p>
        </w:tc>
        <w:tc>
          <w:tcPr>
            <w:tcW w:w="2980" w:type="dxa"/>
            <w:vAlign w:val="bottom"/>
            <w:gridSpan w:val="2"/>
          </w:tcPr>
          <w:p>
            <w:pPr>
              <w:jc w:val="right"/>
              <w:ind w:right="1540"/>
              <w:spacing w:after="0" w:line="176" w:lineRule="exact"/>
              <w:rPr>
                <w:sz w:val="20"/>
                <w:szCs w:val="20"/>
                <w:color w:val="auto"/>
              </w:rPr>
            </w:pPr>
            <w:r>
              <w:rPr>
                <w:rFonts w:ascii="Arial" w:cs="Arial" w:eastAsia="Arial" w:hAnsi="Arial"/>
                <w:sz w:val="18"/>
                <w:szCs w:val="18"/>
                <w:color w:val="auto"/>
                <w:w w:val="87"/>
              </w:rPr>
              <w:t>September 30, 2015</w:t>
            </w:r>
          </w:p>
        </w:tc>
        <w:tc>
          <w:tcPr>
            <w:tcW w:w="16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87"/>
              </w:rPr>
              <w:t>September 30, 2014</w:t>
            </w:r>
          </w:p>
        </w:tc>
        <w:tc>
          <w:tcPr>
            <w:tcW w:w="1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September 30, 2013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980" w:type="dxa"/>
            <w:vAlign w:val="bottom"/>
            <w:gridSpan w:val="2"/>
            <w:shd w:val="clear" w:color="auto" w:fill="CFF0FC"/>
          </w:tcPr>
          <w:p>
            <w:pPr>
              <w:jc w:val="right"/>
              <w:ind w:right="1540"/>
              <w:spacing w:after="0"/>
              <w:rPr>
                <w:sz w:val="20"/>
                <w:szCs w:val="20"/>
                <w:color w:val="auto"/>
              </w:rPr>
            </w:pPr>
            <w:r>
              <w:rPr>
                <w:rFonts w:ascii="Arial" w:cs="Arial" w:eastAsia="Arial" w:hAnsi="Arial"/>
                <w:sz w:val="18"/>
                <w:szCs w:val="18"/>
                <w:color w:val="auto"/>
              </w:rPr>
              <w:t>0.6%</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life</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2.2 Years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3.2 Years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75%</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2980" w:type="dxa"/>
            <w:vAlign w:val="bottom"/>
            <w:gridSpan w:val="2"/>
          </w:tcPr>
          <w:p>
            <w:pPr>
              <w:jc w:val="right"/>
              <w:ind w:right="1540"/>
              <w:spacing w:after="0" w:line="176" w:lineRule="exact"/>
              <w:rPr>
                <w:sz w:val="20"/>
                <w:szCs w:val="20"/>
                <w:color w:val="auto"/>
              </w:rPr>
            </w:pPr>
            <w:r>
              <w:rPr>
                <w:rFonts w:ascii="Arial" w:cs="Arial" w:eastAsia="Arial" w:hAnsi="Arial"/>
                <w:sz w:val="18"/>
                <w:szCs w:val="18"/>
                <w:color w:val="auto"/>
                <w:w w:val="87"/>
              </w:rPr>
              <w:t>September 30, 2015</w:t>
            </w:r>
          </w:p>
        </w:tc>
        <w:tc>
          <w:tcPr>
            <w:tcW w:w="16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w w:val="87"/>
              </w:rPr>
              <w:t>September 30, 2014</w:t>
            </w:r>
          </w:p>
        </w:tc>
        <w:tc>
          <w:tcPr>
            <w:tcW w:w="1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September 30, 2013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980" w:type="dxa"/>
            <w:vAlign w:val="bottom"/>
            <w:gridSpan w:val="2"/>
            <w:shd w:val="clear" w:color="auto" w:fill="CFF0FC"/>
          </w:tcPr>
          <w:p>
            <w:pPr>
              <w:jc w:val="right"/>
              <w:ind w:right="1540"/>
              <w:spacing w:after="0"/>
              <w:rPr>
                <w:sz w:val="20"/>
                <w:szCs w:val="20"/>
                <w:color w:val="auto"/>
              </w:rPr>
            </w:pPr>
            <w:r>
              <w:rPr>
                <w:rFonts w:ascii="Arial" w:cs="Arial" w:eastAsia="Arial" w:hAnsi="Arial"/>
                <w:sz w:val="18"/>
                <w:szCs w:val="18"/>
                <w:color w:val="auto"/>
              </w:rPr>
              <w:t>0.6%</w:t>
            </w: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Expected life</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2.3 Years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3.3 Years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75%</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ind w:left="520"/>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32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5,821,796</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(5,956,079)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9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3,957,514</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(2,684,712)</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1,272,802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vMerge w:val="restart"/>
          </w:tcPr>
          <w:p>
            <w:pPr>
              <w:ind w:left="4160"/>
              <w:spacing w:after="0"/>
              <w:rPr>
                <w:sz w:val="20"/>
                <w:szCs w:val="20"/>
                <w:color w:val="auto"/>
              </w:rPr>
            </w:pPr>
            <w:r>
              <w:rPr>
                <w:rFonts w:ascii="Arial" w:cs="Arial" w:eastAsia="Arial" w:hAnsi="Arial"/>
                <w:sz w:val="18"/>
                <w:szCs w:val="18"/>
                <w:color w:val="auto"/>
              </w:rPr>
              <w:t>F-19</w:t>
            </w:r>
          </w:p>
        </w:tc>
        <w:tc>
          <w:tcPr>
            <w:tcW w:w="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9" w:name="page90"/>
    <w:bookmarkEnd w:id="89"/>
    <w:p>
      <w:pPr>
        <w:ind w:firstLine="518"/>
        <w:spacing w:after="0" w:line="288" w:lineRule="auto"/>
        <w:rPr>
          <w:sz w:val="20"/>
          <w:szCs w:val="20"/>
          <w:color w:val="auto"/>
        </w:rPr>
      </w:pPr>
      <w:r>
        <w:rPr>
          <w:rFonts w:ascii="Arial" w:cs="Arial" w:eastAsia="Arial" w:hAnsi="Arial"/>
          <w:sz w:val="16"/>
          <w:szCs w:val="16"/>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During the first year, the exchange right allows the holder to exchange one Ablaris share for 0.06 Arrowhead shares. This ratio declines to</w:t>
      </w:r>
    </w:p>
    <w:p>
      <w:pPr>
        <w:spacing w:after="0" w:line="269" w:lineRule="auto"/>
        <w:rPr>
          <w:sz w:val="20"/>
          <w:szCs w:val="20"/>
          <w:color w:val="auto"/>
        </w:rPr>
      </w:pPr>
      <w:r>
        <w:rPr>
          <w:rFonts w:ascii="Arial" w:cs="Arial" w:eastAsia="Arial" w:hAnsi="Arial"/>
          <w:sz w:val="17"/>
          <w:szCs w:val="17"/>
          <w:color w:val="auto"/>
        </w:rPr>
        <w:t>0.04 in the second year, 0.03 in the third year and 0.02 in the fourth year. In the fifth year and beyond the exchange ratio is 0.01. Exchange rights for 675,000 Ablaris shares were sold in fiscal 2011, and 500,000 remain outstanding at September 30, 2015.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years ended September 30, 2015, 2014 and 2013, the Company recorded a non-cash gain/(loss) from the change in fair value of the derivative liability of $184,555, $(211,860) and $5,806,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62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r>
      <w:tr>
        <w:trPr>
          <w:trHeight w:val="21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rPr>
              <w:t>2.5 Years</w:t>
            </w:r>
          </w:p>
        </w:tc>
        <w:tc>
          <w:tcPr>
            <w:tcW w:w="1180" w:type="dxa"/>
            <w:vAlign w:val="bottom"/>
          </w:tcPr>
          <w:p>
            <w:pPr>
              <w:jc w:val="right"/>
              <w:spacing w:after="0"/>
              <w:rPr>
                <w:sz w:val="20"/>
                <w:szCs w:val="20"/>
                <w:color w:val="auto"/>
              </w:rPr>
            </w:pPr>
            <w:r>
              <w:rPr>
                <w:rFonts w:ascii="Arial" w:cs="Arial" w:eastAsia="Arial" w:hAnsi="Arial"/>
                <w:sz w:val="18"/>
                <w:szCs w:val="18"/>
                <w:color w:val="auto"/>
              </w:rPr>
              <w:t>3.3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4.3 Years</w:t>
            </w: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16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settlements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6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(184,555)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settlements</w:t>
            </w:r>
          </w:p>
        </w:tc>
        <w:tc>
          <w:tcPr>
            <w:tcW w:w="64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6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of September 30, 2015, the Company has liabilities for contingent consideration related to its acquisition of the Roche RNAi business and the Novartis asset acquisition discussed in footnote 2.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 and Comprehensive Loss.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0" w:name="page91"/>
    <w:bookmarkEnd w:id="90"/>
    <w:tbl>
      <w:tblPr>
        <w:tblLayout w:type="fixed"/>
        <w:tblInd w:w="52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8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2,375,658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1,891,533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1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47" w:lineRule="exact"/>
        <w:rPr>
          <w:sz w:val="20"/>
          <w:szCs w:val="20"/>
          <w:color w:val="auto"/>
        </w:rPr>
      </w:pPr>
    </w:p>
    <w:p>
      <w:pPr>
        <w:ind w:right="40" w:firstLine="518"/>
        <w:spacing w:after="0" w:line="327"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tax asset (liability) at September 30, 2015 and 2014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76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Reserve for other receivables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233,014</w:t>
            </w:r>
          </w:p>
        </w:tc>
      </w:tr>
      <w:tr>
        <w:trPr>
          <w:trHeight w:val="20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compensation</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1,513,021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1,313,354</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Stock compensation</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6,571,774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3,011,369</w:t>
            </w:r>
          </w:p>
        </w:tc>
      </w:tr>
      <w:tr>
        <w:trPr>
          <w:trHeight w:val="20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research and development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13,536,745</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Fair value adjustments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2,850,125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1,864,364</w:t>
            </w:r>
          </w:p>
        </w:tc>
      </w:tr>
      <w:tr>
        <w:trPr>
          <w:trHeight w:val="203"/>
        </w:trPr>
        <w:tc>
          <w:tcPr>
            <w:tcW w:w="7660" w:type="dxa"/>
            <w:vAlign w:val="bottom"/>
            <w:shd w:val="clear" w:color="auto" w:fill="CCECFF"/>
          </w:tcPr>
          <w:p>
            <w:pPr>
              <w:ind w:left="220"/>
              <w:spacing w:after="0"/>
              <w:rPr>
                <w:sz w:val="20"/>
                <w:szCs w:val="20"/>
                <w:color w:val="auto"/>
              </w:rPr>
            </w:pPr>
            <w:r>
              <w:rPr>
                <w:rFonts w:ascii="Arial" w:cs="Arial" w:eastAsia="Arial" w:hAnsi="Arial"/>
                <w:sz w:val="17"/>
                <w:szCs w:val="17"/>
                <w:color w:val="auto"/>
              </w:rPr>
              <w:t>Net operating losses</w:t>
            </w:r>
          </w:p>
        </w:tc>
        <w:tc>
          <w:tcPr>
            <w:tcW w:w="12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7"/>
                <w:szCs w:val="17"/>
                <w:color w:val="auto"/>
              </w:rPr>
              <w:t>88,965,968</w:t>
            </w: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7"/>
                <w:szCs w:val="17"/>
                <w:color w:val="auto"/>
              </w:rPr>
              <w:t>42,268,526</w:t>
            </w:r>
          </w:p>
        </w:tc>
      </w:tr>
      <w:tr>
        <w:trPr>
          <w:trHeight w:val="223"/>
        </w:trPr>
        <w:tc>
          <w:tcPr>
            <w:tcW w:w="7660" w:type="dxa"/>
            <w:vAlign w:val="bottom"/>
          </w:tcPr>
          <w:p>
            <w:pPr>
              <w:ind w:left="220"/>
              <w:spacing w:after="0"/>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5,551,705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0"/>
        </w:trPr>
        <w:tc>
          <w:tcPr>
            <w:tcW w:w="7660" w:type="dxa"/>
            <w:vAlign w:val="bottom"/>
            <w:tcBorders>
              <w:top w:val="single" w:sz="8" w:color="CCECFF"/>
            </w:tcBorders>
            <w:shd w:val="clear" w:color="auto" w:fill="CCECFF"/>
          </w:tcPr>
          <w:p>
            <w:pPr>
              <w:ind w:left="220"/>
              <w:spacing w:after="0" w:line="185" w:lineRule="exact"/>
              <w:rPr>
                <w:sz w:val="20"/>
                <w:szCs w:val="20"/>
                <w:color w:val="auto"/>
              </w:rPr>
            </w:pPr>
            <w:r>
              <w:rPr>
                <w:rFonts w:ascii="Arial" w:cs="Arial" w:eastAsia="Arial" w:hAnsi="Arial"/>
                <w:sz w:val="17"/>
                <w:szCs w:val="17"/>
                <w:color w:val="auto"/>
              </w:rPr>
              <w:t>Total deferred tax assets</w:t>
            </w:r>
          </w:p>
        </w:tc>
        <w:tc>
          <w:tcPr>
            <w:tcW w:w="120" w:type="dxa"/>
            <w:vAlign w:val="bottom"/>
            <w:tcBorders>
              <w:top w:val="single" w:sz="8" w:color="CCECFF"/>
            </w:tcBorders>
            <w:shd w:val="clear" w:color="auto" w:fill="CCECFF"/>
          </w:tcPr>
          <w:p>
            <w:pPr>
              <w:spacing w:after="0"/>
              <w:rPr>
                <w:sz w:val="16"/>
                <w:szCs w:val="16"/>
                <w:color w:val="auto"/>
              </w:rPr>
            </w:pPr>
          </w:p>
        </w:tc>
        <w:tc>
          <w:tcPr>
            <w:tcW w:w="1160" w:type="dxa"/>
            <w:vAlign w:val="bottom"/>
            <w:tcBorders>
              <w:top w:val="single" w:sz="8" w:color="auto"/>
              <w:bottom w:val="single" w:sz="8" w:color="auto"/>
            </w:tcBorders>
            <w:shd w:val="clear" w:color="auto" w:fill="CCECFF"/>
          </w:tcPr>
          <w:p>
            <w:pPr>
              <w:jc w:val="right"/>
              <w:spacing w:after="0" w:line="189" w:lineRule="exact"/>
              <w:rPr>
                <w:sz w:val="20"/>
                <w:szCs w:val="20"/>
                <w:color w:val="auto"/>
              </w:rPr>
            </w:pPr>
            <w:r>
              <w:rPr>
                <w:rFonts w:ascii="Arial" w:cs="Arial" w:eastAsia="Arial" w:hAnsi="Arial"/>
                <w:sz w:val="17"/>
                <w:szCs w:val="17"/>
                <w:color w:val="auto"/>
              </w:rPr>
              <w:t>105,452,593</w:t>
            </w:r>
          </w:p>
        </w:tc>
        <w:tc>
          <w:tcPr>
            <w:tcW w:w="140" w:type="dxa"/>
            <w:vAlign w:val="bottom"/>
            <w:tcBorders>
              <w:top w:val="single" w:sz="8" w:color="CCECFF"/>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100" w:type="dxa"/>
            <w:vAlign w:val="bottom"/>
            <w:tcBorders>
              <w:top w:val="single" w:sz="8" w:color="CCECFF"/>
            </w:tcBorders>
            <w:shd w:val="clear" w:color="auto" w:fill="CCECFF"/>
          </w:tcPr>
          <w:p>
            <w:pPr>
              <w:spacing w:after="0"/>
              <w:rPr>
                <w:sz w:val="16"/>
                <w:szCs w:val="16"/>
                <w:color w:val="auto"/>
              </w:rPr>
            </w:pPr>
          </w:p>
        </w:tc>
        <w:tc>
          <w:tcPr>
            <w:tcW w:w="1140" w:type="dxa"/>
            <w:vAlign w:val="bottom"/>
            <w:tcBorders>
              <w:top w:val="single" w:sz="8" w:color="auto"/>
              <w:bottom w:val="single" w:sz="8" w:color="auto"/>
            </w:tcBorders>
            <w:shd w:val="clear" w:color="auto" w:fill="CCECFF"/>
          </w:tcPr>
          <w:p>
            <w:pPr>
              <w:jc w:val="right"/>
              <w:spacing w:after="0" w:line="189" w:lineRule="exact"/>
              <w:rPr>
                <w:sz w:val="20"/>
                <w:szCs w:val="20"/>
                <w:color w:val="auto"/>
              </w:rPr>
            </w:pPr>
            <w:r>
              <w:rPr>
                <w:rFonts w:ascii="Arial" w:cs="Arial" w:eastAsia="Arial" w:hAnsi="Arial"/>
                <w:sz w:val="17"/>
                <w:szCs w:val="17"/>
                <w:color w:val="auto"/>
              </w:rPr>
              <w:t>62,227,372</w:t>
            </w:r>
          </w:p>
        </w:tc>
        <w:tc>
          <w:tcPr>
            <w:tcW w:w="100" w:type="dxa"/>
            <w:vAlign w:val="bottom"/>
            <w:tcBorders>
              <w:top w:val="single" w:sz="8" w:color="auto"/>
            </w:tcBorders>
            <w:shd w:val="clear" w:color="auto" w:fill="CCECFF"/>
          </w:tcPr>
          <w:p>
            <w:pPr>
              <w:spacing w:after="0"/>
              <w:rPr>
                <w:sz w:val="16"/>
                <w:szCs w:val="16"/>
                <w:color w:val="auto"/>
              </w:rPr>
            </w:pPr>
          </w:p>
        </w:tc>
      </w:tr>
      <w:tr>
        <w:trPr>
          <w:trHeight w:val="196"/>
        </w:trPr>
        <w:tc>
          <w:tcPr>
            <w:tcW w:w="7660" w:type="dxa"/>
            <w:vAlign w:val="bottom"/>
          </w:tcPr>
          <w:p>
            <w:pPr>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(95,085,045)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(55,224,802)</w:t>
            </w:r>
          </w:p>
        </w:tc>
        <w:tc>
          <w:tcPr>
            <w:tcW w:w="100" w:type="dxa"/>
            <w:vAlign w:val="bottom"/>
          </w:tcPr>
          <w:p>
            <w:pPr>
              <w:spacing w:after="0"/>
              <w:rPr>
                <w:sz w:val="17"/>
                <w:szCs w:val="17"/>
                <w:color w:val="auto"/>
              </w:rPr>
            </w:pPr>
          </w:p>
        </w:tc>
      </w:tr>
      <w:tr>
        <w:trPr>
          <w:trHeight w:val="203"/>
        </w:trPr>
        <w:tc>
          <w:tcPr>
            <w:tcW w:w="7660" w:type="dxa"/>
            <w:vAlign w:val="bottom"/>
            <w:shd w:val="clear" w:color="auto" w:fill="CCECFF"/>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State taxes</w:t>
            </w:r>
          </w:p>
        </w:tc>
        <w:tc>
          <w:tcPr>
            <w:tcW w:w="12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(10,282,834)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(6,277,587)</w:t>
            </w:r>
          </w:p>
        </w:tc>
      </w:tr>
      <w:tr>
        <w:trPr>
          <w:trHeight w:val="203"/>
        </w:trPr>
        <w:tc>
          <w:tcPr>
            <w:tcW w:w="7660" w:type="dxa"/>
            <w:vAlign w:val="bottom"/>
            <w:shd w:val="clear" w:color="auto" w:fill="CCECFF"/>
          </w:tcPr>
          <w:p>
            <w:pPr>
              <w:ind w:left="220"/>
              <w:spacing w:after="0"/>
              <w:rPr>
                <w:sz w:val="20"/>
                <w:szCs w:val="20"/>
                <w:color w:val="auto"/>
              </w:rPr>
            </w:pPr>
            <w:r>
              <w:rPr>
                <w:rFonts w:ascii="Arial" w:cs="Arial" w:eastAsia="Arial" w:hAnsi="Arial"/>
                <w:sz w:val="17"/>
                <w:szCs w:val="17"/>
                <w:color w:val="auto"/>
              </w:rPr>
              <w:t>Equity investments</w:t>
            </w:r>
          </w:p>
        </w:tc>
        <w:tc>
          <w:tcPr>
            <w:tcW w:w="12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(7,675)</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(475,829)</w:t>
            </w:r>
          </w:p>
        </w:tc>
      </w:tr>
      <w:tr>
        <w:trPr>
          <w:trHeight w:val="223"/>
        </w:trPr>
        <w:tc>
          <w:tcPr>
            <w:tcW w:w="7660" w:type="dxa"/>
            <w:vAlign w:val="bottom"/>
            <w:shd w:val="clear" w:color="auto" w:fill="CCECFF"/>
          </w:tcPr>
          <w:p>
            <w:pPr>
              <w:ind w:left="220"/>
              <w:spacing w:after="0"/>
              <w:rPr>
                <w:sz w:val="20"/>
                <w:szCs w:val="20"/>
                <w:color w:val="auto"/>
              </w:rPr>
            </w:pPr>
            <w:r>
              <w:rPr>
                <w:rFonts w:ascii="Arial" w:cs="Arial" w:eastAsia="Arial" w:hAnsi="Arial"/>
                <w:sz w:val="17"/>
                <w:szCs w:val="17"/>
                <w:color w:val="auto"/>
              </w:rPr>
              <w:t>Fixed assets</w:t>
            </w:r>
          </w:p>
        </w:tc>
        <w:tc>
          <w:tcPr>
            <w:tcW w:w="12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80"/>
              <w:spacing w:after="0"/>
              <w:rPr>
                <w:sz w:val="20"/>
                <w:szCs w:val="20"/>
                <w:color w:val="auto"/>
              </w:rPr>
            </w:pPr>
            <w:r>
              <w:rPr>
                <w:rFonts w:ascii="Arial" w:cs="Arial" w:eastAsia="Arial" w:hAnsi="Arial"/>
                <w:sz w:val="17"/>
                <w:szCs w:val="17"/>
                <w:color w:val="auto"/>
              </w:rPr>
              <w:t>(84,714)</w:t>
            </w:r>
          </w:p>
        </w:tc>
        <w:tc>
          <w:tcPr>
            <w:tcW w:w="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(241,479)</w:t>
            </w:r>
          </w:p>
        </w:tc>
      </w:tr>
      <w:tr>
        <w:trPr>
          <w:trHeight w:val="190"/>
        </w:trPr>
        <w:tc>
          <w:tcPr>
            <w:tcW w:w="7660" w:type="dxa"/>
            <w:vAlign w:val="bottom"/>
            <w:tcBorders>
              <w:bottom w:val="single" w:sz="8" w:color="CCECFF"/>
            </w:tcBorders>
          </w:tcPr>
          <w:p>
            <w:pPr>
              <w:ind w:left="220"/>
              <w:spacing w:after="0" w:line="185" w:lineRule="exact"/>
              <w:rPr>
                <w:sz w:val="20"/>
                <w:szCs w:val="20"/>
                <w:color w:val="auto"/>
              </w:rPr>
            </w:pPr>
            <w:r>
              <w:rPr>
                <w:rFonts w:ascii="Arial" w:cs="Arial" w:eastAsia="Arial" w:hAnsi="Arial"/>
                <w:sz w:val="17"/>
                <w:szCs w:val="17"/>
                <w:color w:val="auto"/>
              </w:rPr>
              <w:t>Total deferred tax liability</w:t>
            </w:r>
          </w:p>
        </w:tc>
        <w:tc>
          <w:tcPr>
            <w:tcW w:w="120" w:type="dxa"/>
            <w:vAlign w:val="bottom"/>
            <w:tcBorders>
              <w:bottom w:val="single" w:sz="8" w:color="CCECFF"/>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(10,367,548)</w:t>
            </w:r>
          </w:p>
        </w:tc>
        <w:tc>
          <w:tcPr>
            <w:tcW w:w="140" w:type="dxa"/>
            <w:vAlign w:val="bottom"/>
            <w:tcBorders>
              <w:bottom w:val="single" w:sz="8" w:color="CCECFF"/>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100" w:type="dxa"/>
            <w:vAlign w:val="bottom"/>
            <w:tcBorders>
              <w:bottom w:val="single" w:sz="8" w:color="CCEC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(7,002,570)</w:t>
            </w:r>
          </w:p>
        </w:tc>
        <w:tc>
          <w:tcPr>
            <w:tcW w:w="100" w:type="dxa"/>
            <w:vAlign w:val="bottom"/>
            <w:tcBorders>
              <w:top w:val="single" w:sz="8" w:color="auto"/>
              <w:bottom w:val="single" w:sz="8" w:color="CCECFF"/>
            </w:tcBorders>
          </w:tcPr>
          <w:p>
            <w:pPr>
              <w:spacing w:after="0"/>
              <w:rPr>
                <w:sz w:val="16"/>
                <w:szCs w:val="16"/>
                <w:color w:val="auto"/>
              </w:rPr>
            </w:pPr>
          </w:p>
        </w:tc>
      </w:tr>
      <w:tr>
        <w:trPr>
          <w:trHeight w:val="196"/>
        </w:trPr>
        <w:tc>
          <w:tcPr>
            <w:tcW w:w="76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7"/>
                <w:szCs w:val="17"/>
                <w:color w:val="auto"/>
              </w:rPr>
              <w:t>Net deferred tax assets</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Company’s book losses and other timing differences result in a net deferred income tax benefit which is offset by a valuation allowance for a net deferred asset of zero. The Company has concluded, in accordance with the applicable accounting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1" w:name="page92"/>
    <w:bookmarkEnd w:id="91"/>
    <w:p>
      <w:pPr>
        <w:spacing w:after="0" w:line="292" w:lineRule="auto"/>
        <w:rPr>
          <w:sz w:val="20"/>
          <w:szCs w:val="20"/>
          <w:color w:val="auto"/>
        </w:rPr>
      </w:pPr>
      <w:r>
        <w:rPr>
          <w:rFonts w:ascii="Arial" w:cs="Arial" w:eastAsia="Arial" w:hAnsi="Arial"/>
          <w:sz w:val="16"/>
          <w:szCs w:val="16"/>
          <w:color w:val="auto"/>
        </w:rPr>
        <w:t>standards, that it is more likely than not that the Company may not realize the benefit of all of its deferred tax assets</w:t>
      </w:r>
      <w:r>
        <w:rPr>
          <w:rFonts w:ascii="Arial" w:cs="Arial" w:eastAsia="Arial" w:hAnsi="Arial"/>
          <w:sz w:val="20"/>
          <w:szCs w:val="20"/>
          <w:color w:val="auto"/>
        </w:rPr>
        <w:t>.</w:t>
      </w:r>
      <w:r>
        <w:rPr>
          <w:rFonts w:ascii="Arial" w:cs="Arial" w:eastAsia="Arial" w:hAnsi="Arial"/>
          <w:sz w:val="16"/>
          <w:szCs w:val="16"/>
          <w:color w:val="auto"/>
        </w:rPr>
        <w:t xml:space="preserve">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As of September 30, 2015 and 2014, federal deferred tax assets were $105.5 million and $62.2 million, respectively. The Company has recorded a full valuation allowance related to all of its deferred tax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16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September 30, 2014, the Company had available gross federal net operating loss (NOL) carry forwards of $115.8 million and gross state NOL carry forwards of $170.8 million which expire at various dates through 2034. Gross federal NOL carry forwards for 2015 are estimated at $70.5 million, and gross state NOL carry forwards for 2015 are estimated at $124.1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for the years ended September 30, 2015 and 2014 are as follows:</w:t>
      </w:r>
    </w:p>
    <w:p>
      <w:pPr>
        <w:spacing w:after="0" w:line="3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Federal</w:t>
            </w:r>
          </w:p>
        </w:tc>
        <w:tc>
          <w:tcPr>
            <w:tcW w:w="8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Current</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2,400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5,300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State</w:t>
            </w: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2,400</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Borders>
              <w:bottom w:val="single" w:sz="8" w:color="CCEEFF"/>
            </w:tcBorders>
          </w:tcPr>
          <w:p>
            <w:pPr>
              <w:spacing w:after="0"/>
              <w:rPr>
                <w:sz w:val="18"/>
                <w:szCs w:val="18"/>
                <w:color w:val="auto"/>
              </w:rPr>
            </w:pPr>
          </w:p>
        </w:tc>
      </w:tr>
      <w:tr>
        <w:trPr>
          <w:trHeight w:val="21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2,400</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At U.S. federal statutory rate</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State taxes, net of federal effect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Mark-to-market adjustments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Write-off of net operating losses</w:t>
            </w:r>
          </w:p>
        </w:tc>
        <w:tc>
          <w:tcPr>
            <w:tcW w:w="6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580" w:type="dxa"/>
            <w:vAlign w:val="bottom"/>
            <w:shd w:val="clear" w:color="auto" w:fill="CCEC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CFF"/>
          </w:tcPr>
          <w:p>
            <w:pPr>
              <w:spacing w:after="0"/>
              <w:rPr>
                <w:sz w:val="18"/>
                <w:szCs w:val="18"/>
                <w:color w:val="auto"/>
              </w:rPr>
            </w:pPr>
          </w:p>
        </w:tc>
        <w:tc>
          <w:tcPr>
            <w:tcW w:w="6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2015 and 2014.</w:t>
      </w:r>
    </w:p>
    <w:p>
      <w:pPr>
        <w:spacing w:after="0" w:line="189"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The Company files income tax returns with the Internal Revenue Service (“IRS”), the state of California and certain other taxing jurisdictions. The Company is subject to income tax examinations by the IRS and by state tax authorities until the net operating losses are settled.</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0"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EMPLOYEE BENEFIT PLANS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For the years ended September 30, 2015, 2014, and 2013, we recorded expenses under these plans of approximately $407,603, $264,193, and $191,947, respectively.</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to the employee benefit plans described above, the Company provides certain employee benefit plans, including those which provide health and life insurance benefits to employees.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UNAUDITED QUARTERLY FINANCIAL DATA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selected unaudited quarterly financial data for each full quarterly period of the years ended September 30, 2015 and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September 30, 2015</w:t>
            </w:r>
          </w:p>
        </w:tc>
        <w:tc>
          <w:tcPr>
            <w:tcW w:w="26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170,750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(25,115,276)</w:t>
            </w:r>
          </w:p>
        </w:tc>
        <w:tc>
          <w:tcPr>
            <w:tcW w:w="3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(29,632,743)</w:t>
            </w:r>
          </w:p>
        </w:tc>
        <w:tc>
          <w:tcPr>
            <w:tcW w:w="4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(15,993,706)</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(25,232,251)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(22,575,282)</w:t>
            </w:r>
          </w:p>
        </w:tc>
        <w:tc>
          <w:tcPr>
            <w:tcW w:w="3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(28,683,993)</w:t>
            </w:r>
          </w:p>
        </w:tc>
        <w:tc>
          <w:tcPr>
            <w:tcW w:w="4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(15,936,053)</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(24,745,554)</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Net Loss Attributable to Arrowhead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(22,575,282)</w:t>
            </w:r>
          </w:p>
        </w:tc>
        <w:tc>
          <w:tcPr>
            <w:tcW w:w="3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(28,683,993)</w:t>
            </w:r>
          </w:p>
        </w:tc>
        <w:tc>
          <w:tcPr>
            <w:tcW w:w="4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(15,936,053)</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(24,745,554)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(0.41)</w:t>
            </w:r>
          </w:p>
        </w:tc>
        <w:tc>
          <w:tcPr>
            <w:tcW w:w="36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(0.51)</w:t>
            </w:r>
          </w:p>
        </w:tc>
        <w:tc>
          <w:tcPr>
            <w:tcW w:w="4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36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September 30, 2014</w:t>
            </w:r>
          </w:p>
        </w:tc>
        <w:tc>
          <w:tcPr>
            <w:tcW w:w="260" w:type="dxa"/>
            <w:vAlign w:val="bottom"/>
          </w:tcPr>
          <w:p>
            <w:pPr>
              <w:spacing w:after="0"/>
              <w:rPr>
                <w:sz w:val="24"/>
                <w:szCs w:val="2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(7,009,382)</w:t>
            </w:r>
          </w:p>
        </w:tc>
        <w:tc>
          <w:tcPr>
            <w:tcW w:w="120" w:type="dxa"/>
            <w:vAlign w:val="bottom"/>
          </w:tcPr>
          <w:p>
            <w:pPr>
              <w:spacing w:after="0"/>
              <w:rPr>
                <w:sz w:val="18"/>
                <w:szCs w:val="18"/>
                <w:color w:val="auto"/>
              </w:rPr>
            </w:pPr>
          </w:p>
        </w:tc>
        <w:tc>
          <w:tcPr>
            <w:tcW w:w="3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(11,212,498)</w:t>
            </w:r>
          </w:p>
        </w:tc>
        <w:tc>
          <w:tcPr>
            <w:tcW w:w="180" w:type="dxa"/>
            <w:vAlign w:val="bottom"/>
          </w:tcPr>
          <w:p>
            <w:pPr>
              <w:spacing w:after="0"/>
              <w:rPr>
                <w:sz w:val="18"/>
                <w:szCs w:val="18"/>
                <w:color w:val="auto"/>
              </w:rPr>
            </w:pPr>
          </w:p>
        </w:tc>
        <w:tc>
          <w:tcPr>
            <w:tcW w:w="4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(12,700,100)</w:t>
            </w:r>
          </w:p>
        </w:tc>
        <w:tc>
          <w:tcPr>
            <w:tcW w:w="26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(22,354,306)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(10,685,372)</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(13,982,700)</w:t>
            </w: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(11,626,451)</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(22,430,889)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Net Loss Attributable to Arrowhead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(10,628,312)</w:t>
            </w:r>
          </w:p>
        </w:tc>
        <w:tc>
          <w:tcPr>
            <w:tcW w:w="120" w:type="dxa"/>
            <w:vAlign w:val="bottom"/>
          </w:tcPr>
          <w:p>
            <w:pPr>
              <w:spacing w:after="0"/>
              <w:rPr>
                <w:sz w:val="18"/>
                <w:szCs w:val="18"/>
                <w:color w:val="auto"/>
              </w:rPr>
            </w:pPr>
          </w:p>
        </w:tc>
        <w:tc>
          <w:tcPr>
            <w:tcW w:w="3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(13,942,521)</w:t>
            </w:r>
          </w:p>
        </w:tc>
        <w:tc>
          <w:tcPr>
            <w:tcW w:w="180" w:type="dxa"/>
            <w:vAlign w:val="bottom"/>
          </w:tcPr>
          <w:p>
            <w:pPr>
              <w:spacing w:after="0"/>
              <w:rPr>
                <w:sz w:val="18"/>
                <w:szCs w:val="18"/>
                <w:color w:val="auto"/>
              </w:rPr>
            </w:pPr>
          </w:p>
        </w:tc>
        <w:tc>
          <w:tcPr>
            <w:tcW w:w="4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(11,626,919)</w:t>
            </w:r>
          </w:p>
        </w:tc>
        <w:tc>
          <w:tcPr>
            <w:tcW w:w="26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(22,432,438)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21.1</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Subsidiary</w:t>
            </w:r>
          </w:p>
        </w:tc>
        <w:tc>
          <w:tcPr>
            <w:tcW w:w="570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Jurisdiction</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Ablaris Therapeutics,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Madison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Australia Pty Ltd</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Forms S-3 (Nos. 333-202737, 333-193748, 333-191922, 333-188718, 333-178532, 333-178073, 333-178072, 333-176159, 333-164039, 333-161344, 333-148218, 333-144109, 333-137329, 333-132310, 333-124065, and 333-113065) and Forms S-8 (Nos. 333-202741, 333-198920, 333-194596, 333-190970, 333-180692, 333-170252, 333-136225, 333-124066, and 333-120072) of Arrowhead Research Corporation of our report dated December 11, 2015, with respect to the consolidated balance sheets of Arrowhead Research Corporation and Subsidiaries as of September 30, 2015 and September 30, 2014, and the related consolidated statements of operations and comprehensive loss, stockholders’ equity and cash flows for each of the years in the three-year period ended September 30, 2015, and the effectiveness of internal control over financial reporting as of September 30, 2015, which reports appear in the September 30, 2015 annual report on Form 10-K of Arrowhead Research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2015</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2015</w:t>
      </w:r>
    </w:p>
    <w:p>
      <w:pPr>
        <w:spacing w:after="0" w:line="23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2015</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year ended September 30, 2015,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2015</w:t>
      </w: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Annual Report on Form 10-K of the Company for the year ended September 30, 2015,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2015</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lvl w:ilvl="1">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6"/>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2019-12-29T13:28:57Z</dcterms:created>
  <dcterms:modified xsi:type="dcterms:W3CDTF">2019-12-29T13:28:57Z</dcterms:modified>
</cp:coreProperties>
</file>