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120" w:after="283"/>
        <w:jc w:val="center"/>
        <w:rPr/>
      </w:pPr>
      <w:r>
        <w:rPr>
          <w:rFonts w:ascii="Times New Roman;serif" w:hAnsi="Times New Roman;serif"/>
          <w:b/>
          <w:color w:val="000000"/>
          <w:sz w:val="20"/>
        </w:rPr>
        <w:t xml:space="preserve">For the quarterly period ended </w:t>
      </w:r>
      <w:r>
        <w:rPr>
          <w:rFonts w:ascii="Times New Roman;serif" w:hAnsi="Times New Roman;serif"/>
          <w:b w:val="false"/>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001-38042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46-0408024</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177 E. Colorado Blvd, Suite 700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Pasadena, California 91105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(626) 304-3400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and telephone number of principal executive offices) </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 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Exchange Act:</w:t>
      </w:r>
    </w:p>
    <w:tbl>
      <w:tblPr>
        <w:tblW w:w="8692" w:type="dxa"/>
        <w:jc w:val="center"/>
        <w:tblInd w:w="0" w:type="dxa"/>
        <w:tblLayout w:type="fixed"/>
        <w:tblCellMar>
          <w:top w:w="28" w:type="dxa"/>
          <w:left w:w="28" w:type="dxa"/>
          <w:bottom w:w="28" w:type="dxa"/>
          <w:right w:w="28" w:type="dxa"/>
        </w:tblCellMar>
      </w:tblPr>
      <w:tblGrid>
        <w:gridCol w:w="1182"/>
        <w:gridCol w:w="1037"/>
        <w:gridCol w:w="1051"/>
        <w:gridCol w:w="109"/>
        <w:gridCol w:w="109"/>
        <w:gridCol w:w="109"/>
        <w:gridCol w:w="484"/>
        <w:gridCol w:w="484"/>
        <w:gridCol w:w="486"/>
        <w:gridCol w:w="109"/>
        <w:gridCol w:w="109"/>
        <w:gridCol w:w="109"/>
        <w:gridCol w:w="970"/>
        <w:gridCol w:w="970"/>
        <w:gridCol w:w="1374"/>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ARWR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28" w:type="dxa"/>
        <w:jc w:val="center"/>
        <w:tblInd w:w="0" w:type="dxa"/>
        <w:tblLayout w:type="fixed"/>
        <w:tblCellMar>
          <w:top w:w="28" w:type="dxa"/>
          <w:left w:w="28" w:type="dxa"/>
          <w:bottom w:w="28" w:type="dxa"/>
          <w:right w:w="28" w:type="dxa"/>
        </w:tblCellMar>
      </w:tblPr>
      <w:tblGrid>
        <w:gridCol w:w="868"/>
        <w:gridCol w:w="763"/>
        <w:gridCol w:w="768"/>
        <w:gridCol w:w="109"/>
        <w:gridCol w:w="109"/>
        <w:gridCol w:w="109"/>
        <w:gridCol w:w="809"/>
        <w:gridCol w:w="809"/>
        <w:gridCol w:w="812"/>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the registrant’s common stock outstanding as of January 30, 2026 was 140,032,190.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54"/>
        <w:gridCol w:w="3022"/>
        <w:gridCol w:w="3035"/>
        <w:gridCol w:w="202"/>
        <w:gridCol w:w="202"/>
        <w:gridCol w:w="290"/>
      </w:tblGrid>
      <w:tr>
        <w:trPr/>
        <w:tc>
          <w:tcPr>
            <w:tcW w:w="3454"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Page(s)</w:t>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7e95e0be983488dbcd3abbfd5f1604c_10">
              <w:r>
                <w:rPr>
                  <w:rStyle w:val="InternetLink"/>
                  <w:rFonts w:ascii="Times New Roman;serif" w:hAnsi="Times New Roman;serif"/>
                  <w:b/>
                  <w:color w:val="0000FF"/>
                  <w:sz w:val="20"/>
                  <w:u w:val="single"/>
                </w:rPr>
                <w:t>PART I — FINANCIAL INFORMATION</w:t>
              </w:r>
            </w:hyperlink>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7e95e0be983488dbcd3abbfd5f1604c_13">
              <w:r>
                <w:rPr>
                  <w:rStyle w:val="InternetLink"/>
                  <w:rFonts w:ascii="Times New Roman;serif" w:hAnsi="Times New Roman;serif"/>
                  <w:b w:val="false"/>
                  <w:color w:val="0000FF"/>
                  <w:sz w:val="20"/>
                  <w:u w:val="single"/>
                </w:rPr>
                <w:t xml:space="preserve">ITEM 1. FINANCIAL STATEMENTS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3">
              <w:r>
                <w:rPr>
                  <w:rStyle w:val="InternetLink"/>
                  <w:rFonts w:ascii="Times New Roman;serif" w:hAnsi="Times New Roman;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67e95e0be983488dbcd3abbfd5f1604c_16">
              <w:r>
                <w:rPr>
                  <w:rStyle w:val="InternetLink"/>
                  <w:rFonts w:ascii="Times New Roman;serif" w:hAnsi="Times New Roman;serif"/>
                  <w:b w:val="false"/>
                  <w:color w:val="0000FF"/>
                  <w:sz w:val="20"/>
                  <w:u w:val="single"/>
                </w:rPr>
                <w:t>Consolidated Balance Sheets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6">
              <w:r>
                <w:rPr>
                  <w:rStyle w:val="InternetLink"/>
                  <w:rFonts w:ascii="Times New Roman;serif" w:hAnsi="Times New Roman;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67e95e0be983488dbcd3abbfd5f1604c_19">
              <w:r>
                <w:rPr>
                  <w:rStyle w:val="InternetLink"/>
                  <w:rFonts w:ascii="Times New Roman;serif" w:hAnsi="Times New Roman;serif"/>
                  <w:b w:val="false"/>
                  <w:color w:val="0000FF"/>
                  <w:sz w:val="20"/>
                  <w:u w:val="single"/>
                </w:rPr>
                <w:t>Consolidated Statements of Operations and Comprehensive Income (Loss)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9">
              <w:r>
                <w:rPr>
                  <w:rStyle w:val="InternetLink"/>
                  <w:rFonts w:ascii="Times New Roman;serif" w:hAnsi="Times New Roman;serif"/>
                  <w:b w:val="false"/>
                  <w:strike w:val="false"/>
                  <w:dstrike w:val="false"/>
                  <w:color w:val="000000"/>
                  <w:sz w:val="20"/>
                  <w:u w:val="none"/>
                  <w:effect w:val="none"/>
                </w:rPr>
                <w:t>2</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67e95e0be983488dbcd3abbfd5f1604c_22">
              <w:r>
                <w:rPr>
                  <w:rStyle w:val="InternetLink"/>
                  <w:rFonts w:ascii="Times New Roman;serif" w:hAnsi="Times New Roman;serif"/>
                  <w:b w:val="false"/>
                  <w:color w:val="0000FF"/>
                  <w:sz w:val="20"/>
                  <w:u w:val="single"/>
                </w:rPr>
                <w:t>Consolidated Statements of Stockholders’ Equity</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22">
              <w:r>
                <w:rPr>
                  <w:rStyle w:val="InternetLink"/>
                  <w:rFonts w:ascii="Times New Roman;serif" w:hAnsi="Times New Roman;serif"/>
                  <w:b w:val="false"/>
                  <w:strike w:val="false"/>
                  <w:dstrike w:val="false"/>
                  <w:color w:val="000000"/>
                  <w:sz w:val="20"/>
                  <w:u w:val="none"/>
                  <w:effect w:val="none"/>
                </w:rPr>
                <w:t>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67e95e0be983488dbcd3abbfd5f1604c_25">
              <w:r>
                <w:rPr>
                  <w:rStyle w:val="InternetLink"/>
                  <w:rFonts w:ascii="Times New Roman;serif" w:hAnsi="Times New Roman;serif"/>
                  <w:b w:val="false"/>
                  <w:color w:val="0000FF"/>
                  <w:sz w:val="20"/>
                  <w:u w:val="single"/>
                </w:rPr>
                <w:t>Consolidated Statements of Cash Flows</w:t>
              </w:r>
            </w:hyperlink>
            <w:r>
              <w:rPr>
                <w:color w:val="000000"/>
              </w:rPr>
              <w:t xml:space="preserve"> </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25">
              <w:r>
                <w:rPr>
                  <w:rStyle w:val="InternetLink"/>
                  <w:rFonts w:ascii="Times New Roman;serif" w:hAnsi="Times New Roman;serif"/>
                  <w:b w:val="false"/>
                  <w:strike w:val="false"/>
                  <w:dstrike w:val="false"/>
                  <w:color w:val="000000"/>
                  <w:sz w:val="20"/>
                  <w:u w:val="none"/>
                  <w:effect w:val="none"/>
                </w:rPr>
                <w:t>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67e95e0be983488dbcd3abbfd5f1604c_28">
              <w:r>
                <w:rPr>
                  <w:rStyle w:val="InternetLink"/>
                  <w:rFonts w:ascii="Times New Roman;serif" w:hAnsi="Times New Roman;serif"/>
                  <w:b w:val="false"/>
                  <w:color w:val="0000FF"/>
                  <w:sz w:val="20"/>
                  <w:u w:val="single"/>
                </w:rPr>
                <w:t>Notes to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28">
              <w:r>
                <w:rPr>
                  <w:rStyle w:val="InternetLink"/>
                  <w:rFonts w:ascii="Times New Roman;serif" w:hAnsi="Times New Roman;serif"/>
                  <w:b w:val="false"/>
                  <w:strike w:val="false"/>
                  <w:dstrike w:val="false"/>
                  <w:color w:val="000000"/>
                  <w:sz w:val="20"/>
                  <w:u w:val="none"/>
                  <w:effect w:val="none"/>
                </w:rPr>
                <w:t>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76">
              <w:r>
                <w:rPr>
                  <w:rStyle w:val="InternetLink"/>
                  <w:rFonts w:ascii="Times New Roman;serif" w:hAnsi="Times New Roman;serif"/>
                  <w:b w:val="false"/>
                  <w:color w:val="0000FF"/>
                  <w:sz w:val="20"/>
                  <w:u w:val="single"/>
                </w:rPr>
                <w:t xml:space="preserve">ITEM 2. MANAGEMENT’S DISCUSSION AND ANALYSIS OF FINANCIAL CONDITION AND RESULTS OF OPERATIONS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76">
              <w:r>
                <w:rPr>
                  <w:rStyle w:val="InternetLink"/>
                  <w:rFonts w:ascii="Times New Roman;serif" w:hAnsi="Times New Roman;serif"/>
                  <w:b w:val="false"/>
                  <w:strike w:val="false"/>
                  <w:dstrike w:val="false"/>
                  <w:color w:val="000000"/>
                  <w:sz w:val="20"/>
                  <w:u w:val="none"/>
                  <w:effect w:val="none"/>
                </w:rPr>
                <w:t>32</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94">
              <w:r>
                <w:rPr>
                  <w:rStyle w:val="InternetLink"/>
                  <w:rFonts w:ascii="Times New Roman;serif" w:hAnsi="Times New Roman;serif"/>
                  <w:b w:val="false"/>
                  <w:color w:val="0000FF"/>
                  <w:sz w:val="20"/>
                  <w:u w:val="single"/>
                </w:rPr>
                <w:t>ITEM 3. QUANTITATIVE AND QUALITATIVE DISCLOSURES ABOUT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94">
              <w:r>
                <w:rPr>
                  <w:rStyle w:val="InternetLink"/>
                  <w:rFonts w:ascii="Times New Roman;serif" w:hAnsi="Times New Roman;serif"/>
                  <w:b w:val="false"/>
                  <w:strike w:val="false"/>
                  <w:dstrike w:val="false"/>
                  <w:color w:val="000000"/>
                  <w:sz w:val="20"/>
                  <w:u w:val="none"/>
                  <w:effect w:val="none"/>
                </w:rPr>
                <w:t>39</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97">
              <w:r>
                <w:rPr>
                  <w:rStyle w:val="InternetLink"/>
                  <w:rFonts w:ascii="Times New Roman;serif" w:hAnsi="Times New Roman;serif"/>
                  <w:b w:val="false"/>
                  <w:color w:val="0000FF"/>
                  <w:sz w:val="20"/>
                  <w:u w:val="single"/>
                </w:rPr>
                <w:t>ITEM 4. 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97">
              <w:r>
                <w:rPr>
                  <w:rStyle w:val="InternetLink"/>
                  <w:rFonts w:ascii="Times New Roman;serif" w:hAnsi="Times New Roman;serif"/>
                  <w:b w:val="false"/>
                  <w:strike w:val="false"/>
                  <w:dstrike w:val="false"/>
                  <w:color w:val="000000"/>
                  <w:sz w:val="20"/>
                  <w:u w:val="none"/>
                  <w:effect w:val="none"/>
                </w:rPr>
                <w:t>39</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7e95e0be983488dbcd3abbfd5f1604c_100">
              <w:r>
                <w:rPr>
                  <w:rStyle w:val="InternetLink"/>
                  <w:rFonts w:ascii="Times New Roman;serif" w:hAnsi="Times New Roman;serif"/>
                  <w:b/>
                  <w:color w:val="0000FF"/>
                  <w:sz w:val="20"/>
                  <w:u w:val="single"/>
                </w:rPr>
                <w:t>PART II —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00">
              <w:r>
                <w:rPr>
                  <w:rStyle w:val="InternetLink"/>
                  <w:rFonts w:ascii="Times New Roman;serif" w:hAnsi="Times New Roman;serif"/>
                  <w:b w:val="false"/>
                  <w:strike w:val="false"/>
                  <w:dstrike w:val="false"/>
                  <w:color w:val="000000"/>
                  <w:sz w:val="20"/>
                  <w:u w:val="none"/>
                  <w:effect w:val="none"/>
                </w:rPr>
                <w:t>40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103">
              <w:r>
                <w:rPr>
                  <w:rStyle w:val="InternetLink"/>
                  <w:rFonts w:ascii="Times New Roman;serif" w:hAnsi="Times New Roman;serif"/>
                  <w:b w:val="false"/>
                  <w:color w:val="0000FF"/>
                  <w:sz w:val="20"/>
                  <w:u w:val="single"/>
                </w:rPr>
                <w:t>ITEM 1. 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03">
              <w:r>
                <w:rPr>
                  <w:rStyle w:val="InternetLink"/>
                  <w:rFonts w:ascii="Times New Roman;serif" w:hAnsi="Times New Roman;serif"/>
                  <w:b w:val="false"/>
                  <w:strike w:val="false"/>
                  <w:dstrike w:val="false"/>
                  <w:color w:val="000000"/>
                  <w:sz w:val="20"/>
                  <w:u w:val="none"/>
                  <w:effect w:val="none"/>
                </w:rPr>
                <w:t>40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106">
              <w:r>
                <w:rPr>
                  <w:rStyle w:val="InternetLink"/>
                  <w:rFonts w:ascii="Times New Roman;serif" w:hAnsi="Times New Roman;serif"/>
                  <w:b w:val="false"/>
                  <w:color w:val="0000FF"/>
                  <w:sz w:val="20"/>
                  <w:u w:val="single"/>
                </w:rPr>
                <w:t>ITEM 1A. 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06">
              <w:r>
                <w:rPr>
                  <w:rStyle w:val="InternetLink"/>
                  <w:rFonts w:ascii="Times New Roman;serif" w:hAnsi="Times New Roman;serif"/>
                  <w:b w:val="false"/>
                  <w:strike w:val="false"/>
                  <w:dstrike w:val="false"/>
                  <w:color w:val="000000"/>
                  <w:sz w:val="20"/>
                  <w:u w:val="none"/>
                  <w:effect w:val="none"/>
                </w:rPr>
                <w:t>40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109">
              <w:r>
                <w:rPr>
                  <w:rStyle w:val="InternetLink"/>
                  <w:rFonts w:ascii="Times New Roman;serif" w:hAnsi="Times New Roman;serif"/>
                  <w:b w:val="false"/>
                  <w:color w:val="0000FF"/>
                  <w:sz w:val="20"/>
                  <w:u w:val="single"/>
                </w:rPr>
                <w:t>ITEM 2. 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09">
              <w:r>
                <w:rPr>
                  <w:rStyle w:val="InternetLink"/>
                  <w:rFonts w:ascii="Times New Roman;serif" w:hAnsi="Times New Roman;serif"/>
                  <w:b w:val="false"/>
                  <w:strike w:val="false"/>
                  <w:dstrike w:val="false"/>
                  <w:color w:val="000000"/>
                  <w:sz w:val="20"/>
                  <w:u w:val="none"/>
                  <w:effect w:val="none"/>
                </w:rPr>
                <w:t>40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112">
              <w:r>
                <w:rPr>
                  <w:rStyle w:val="InternetLink"/>
                  <w:rFonts w:ascii="Times New Roman;serif" w:hAnsi="Times New Roman;serif"/>
                  <w:b w:val="false"/>
                  <w:color w:val="0000FF"/>
                  <w:sz w:val="20"/>
                  <w:u w:val="single"/>
                </w:rPr>
                <w:t>ITEM 3. 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12">
              <w:r>
                <w:rPr>
                  <w:rStyle w:val="InternetLink"/>
                  <w:rFonts w:ascii="Times New Roman;serif" w:hAnsi="Times New Roman;serif"/>
                  <w:b w:val="false"/>
                  <w:strike w:val="false"/>
                  <w:dstrike w:val="false"/>
                  <w:color w:val="000000"/>
                  <w:sz w:val="20"/>
                  <w:u w:val="none"/>
                  <w:effect w:val="none"/>
                </w:rPr>
                <w:t>40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115">
              <w:r>
                <w:rPr>
                  <w:rStyle w:val="InternetLink"/>
                  <w:rFonts w:ascii="Times New Roman;serif" w:hAnsi="Times New Roman;serif"/>
                  <w:b w:val="false"/>
                  <w:color w:val="0000FF"/>
                  <w:sz w:val="20"/>
                  <w:u w:val="single"/>
                </w:rPr>
                <w:t>ITEM 4. 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15">
              <w:r>
                <w:rPr>
                  <w:rStyle w:val="InternetLink"/>
                  <w:rFonts w:ascii="Times New Roman;serif" w:hAnsi="Times New Roman;serif"/>
                  <w:b w:val="false"/>
                  <w:strike w:val="false"/>
                  <w:dstrike w:val="false"/>
                  <w:color w:val="000000"/>
                  <w:sz w:val="20"/>
                  <w:u w:val="none"/>
                  <w:effect w:val="none"/>
                </w:rPr>
                <w:t>40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118">
              <w:r>
                <w:rPr>
                  <w:rStyle w:val="InternetLink"/>
                  <w:rFonts w:ascii="Times New Roman;serif" w:hAnsi="Times New Roman;serif"/>
                  <w:b w:val="false"/>
                  <w:color w:val="0000FF"/>
                  <w:sz w:val="20"/>
                  <w:u w:val="single"/>
                </w:rPr>
                <w:t>ITEM 5.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18">
              <w:r>
                <w:rPr>
                  <w:rStyle w:val="InternetLink"/>
                  <w:rFonts w:ascii="Times New Roman;serif" w:hAnsi="Times New Roman;serif"/>
                  <w:b w:val="false"/>
                  <w:strike w:val="false"/>
                  <w:dstrike w:val="false"/>
                  <w:color w:val="000000"/>
                  <w:sz w:val="20"/>
                  <w:u w:val="none"/>
                  <w:effect w:val="none"/>
                </w:rPr>
                <w:t>40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124">
              <w:r>
                <w:rPr>
                  <w:rStyle w:val="InternetLink"/>
                  <w:rFonts w:ascii="Times New Roman;serif" w:hAnsi="Times New Roman;serif"/>
                  <w:b w:val="false"/>
                  <w:color w:val="0000FF"/>
                  <w:sz w:val="20"/>
                  <w:u w:val="single"/>
                </w:rPr>
                <w:t>ITEM 6. 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24">
              <w:r>
                <w:rPr>
                  <w:rStyle w:val="InternetLink"/>
                  <w:rFonts w:ascii="Times New Roman;serif" w:hAnsi="Times New Roman;serif"/>
                  <w:b w:val="false"/>
                  <w:strike w:val="false"/>
                  <w:dstrike w:val="false"/>
                  <w:color w:val="000000"/>
                  <w:sz w:val="20"/>
                  <w:u w:val="none"/>
                  <w:effect w:val="none"/>
                </w:rPr>
                <w:t>41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e95e0be983488dbcd3abbfd5f1604c_127">
              <w:r>
                <w:rPr>
                  <w:rStyle w:val="InternetLink"/>
                  <w:rFonts w:ascii="Times New Roman;serif" w:hAnsi="Times New Roman;serif"/>
                  <w:b w:val="false"/>
                  <w:color w:val="0000FF"/>
                  <w:sz w:val="20"/>
                  <w:u w:val="single"/>
                </w:rPr>
                <w:t>SIGNATURE</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7e95e0be983488dbcd3abbfd5f1604c_127">
              <w:r>
                <w:rPr>
                  <w:rStyle w:val="InternetLink"/>
                  <w:rFonts w:ascii="Times New Roman;serif" w:hAnsi="Times New Roman;serif"/>
                  <w:b w:val="false"/>
                  <w:strike w:val="false"/>
                  <w:dstrike w:val="false"/>
                  <w:color w:val="000000"/>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877"/>
        <w:gridCol w:w="2122"/>
        <w:gridCol w:w="2129"/>
        <w:gridCol w:w="220"/>
        <w:gridCol w:w="997"/>
        <w:gridCol w:w="122"/>
        <w:gridCol w:w="109"/>
        <w:gridCol w:w="109"/>
        <w:gridCol w:w="109"/>
        <w:gridCol w:w="223"/>
        <w:gridCol w:w="1009"/>
        <w:gridCol w:w="179"/>
      </w:tblGrid>
      <w:tr>
        <w:trPr/>
        <w:tc>
          <w:tcPr>
            <w:tcW w:w="2877"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71,370 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88,706 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at variable interest entity</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130,273 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218,871 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Available-for-sale securities, at fair value and short-term investments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714,967 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1,174,389 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950,639 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378,584 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382,515 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43,361 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1,604,181</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1,385,295</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LIABILITIES, NONCONTROLLING INTEREST AND STOCKHOLDERS’ EQUITY</w:t>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111,933 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347,425 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195,487 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102,129 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the sale of future royalties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374,997 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367,397 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 net of current portion</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163,108 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214,883 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694,059 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686,392 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7)</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and stockholders’ equity:</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w:t>
            </w:r>
          </w:p>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Authorized 290,000 shares; 140,052 shares issued and 137,391 outstanding as of December 31, 2025 and 138,363 shares issued and 135,702 outstanding as of September 30, 2025</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2,211,026 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2,139,725 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(1,596,343)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(1,627,154)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2,661 shares of common stock at December 31, 2025 and September 30, 2025</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(53,193)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(53,193)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568,422 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466,052 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(5,725)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37,364 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noncontrolling interest and stockholders’ equity</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562,697 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503,416 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 Noncontrolling Interest and Stockholders’ Equity</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1,604,181</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1,385,295</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9049" w:type="dxa"/>
        <w:jc w:val="center"/>
        <w:tblInd w:w="0" w:type="dxa"/>
        <w:tblLayout w:type="fixed"/>
        <w:tblCellMar>
          <w:top w:w="28" w:type="dxa"/>
          <w:left w:w="28" w:type="dxa"/>
          <w:bottom w:w="28" w:type="dxa"/>
          <w:right w:w="28" w:type="dxa"/>
        </w:tblCellMar>
      </w:tblPr>
      <w:tblGrid>
        <w:gridCol w:w="1996"/>
        <w:gridCol w:w="1752"/>
        <w:gridCol w:w="1771"/>
        <w:gridCol w:w="222"/>
        <w:gridCol w:w="852"/>
        <w:gridCol w:w="123"/>
        <w:gridCol w:w="123"/>
        <w:gridCol w:w="123"/>
        <w:gridCol w:w="123"/>
        <w:gridCol w:w="222"/>
        <w:gridCol w:w="920"/>
        <w:gridCol w:w="123"/>
        <w:gridCol w:w="109"/>
        <w:gridCol w:w="109"/>
        <w:gridCol w:w="109"/>
        <w:gridCol w:w="109"/>
        <w:gridCol w:w="109"/>
        <w:gridCol w:w="154"/>
      </w:tblGrid>
      <w:tr>
        <w:trPr/>
        <w:tc>
          <w:tcPr>
            <w:tcW w:w="199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264,033</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2,500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177,203 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46,021 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26,910 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223,224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163,912</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40,809 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(161,412)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(21,646)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(12,538)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(13,703)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 expense and noncontrolling interest</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28,271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(175,115)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including noncontrolling interest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28,242</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(175,218)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 net of tax</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Arrowhead Pharmaceuticals, Inc.</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(173,085)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Arrowhead Pharmaceuticals, Inc.:</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calculating</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137,039 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124,848 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140,706 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124,848 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available-for-sale securities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attributed to noncontrolling interest</w:t>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(2,569)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(2,133)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28,498</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(175,831)</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1758" w:type="dxa"/>
        <w:jc w:val="center"/>
        <w:tblInd w:w="0" w:type="dxa"/>
        <w:tblLayout w:type="fixed"/>
        <w:tblCellMar>
          <w:top w:w="28" w:type="dxa"/>
          <w:left w:w="28" w:type="dxa"/>
          <w:bottom w:w="28" w:type="dxa"/>
          <w:right w:w="28" w:type="dxa"/>
        </w:tblCellMar>
      </w:tblPr>
      <w:tblGrid>
        <w:gridCol w:w="656"/>
        <w:gridCol w:w="234"/>
        <w:gridCol w:w="236"/>
        <w:gridCol w:w="323"/>
        <w:gridCol w:w="323"/>
        <w:gridCol w:w="211"/>
        <w:gridCol w:w="109"/>
        <w:gridCol w:w="109"/>
        <w:gridCol w:w="109"/>
        <w:gridCol w:w="181"/>
        <w:gridCol w:w="391"/>
        <w:gridCol w:w="109"/>
        <w:gridCol w:w="109"/>
        <w:gridCol w:w="109"/>
        <w:gridCol w:w="109"/>
        <w:gridCol w:w="181"/>
        <w:gridCol w:w="751"/>
        <w:gridCol w:w="109"/>
        <w:gridCol w:w="109"/>
        <w:gridCol w:w="109"/>
        <w:gridCol w:w="109"/>
        <w:gridCol w:w="235"/>
        <w:gridCol w:w="644"/>
        <w:gridCol w:w="142"/>
        <w:gridCol w:w="109"/>
        <w:gridCol w:w="109"/>
        <w:gridCol w:w="109"/>
        <w:gridCol w:w="181"/>
        <w:gridCol w:w="736"/>
        <w:gridCol w:w="109"/>
        <w:gridCol w:w="109"/>
        <w:gridCol w:w="109"/>
        <w:gridCol w:w="109"/>
        <w:gridCol w:w="261"/>
        <w:gridCol w:w="220"/>
        <w:gridCol w:w="221"/>
        <w:gridCol w:w="109"/>
        <w:gridCol w:w="109"/>
        <w:gridCol w:w="109"/>
        <w:gridCol w:w="181"/>
        <w:gridCol w:w="556"/>
        <w:gridCol w:w="109"/>
        <w:gridCol w:w="109"/>
        <w:gridCol w:w="109"/>
        <w:gridCol w:w="109"/>
        <w:gridCol w:w="181"/>
        <w:gridCol w:w="571"/>
        <w:gridCol w:w="109"/>
        <w:gridCol w:w="109"/>
        <w:gridCol w:w="109"/>
        <w:gridCol w:w="109"/>
        <w:gridCol w:w="181"/>
        <w:gridCol w:w="64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Common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Accumulated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Other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Comprehensive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138,363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2,139,725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6,443</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(1,627,154)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(2,661)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(53,193)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37,364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503,416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19,371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5,098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at-the-market offering,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46,832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Unrealized gains on available-for-sale securities,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 by variable interest entity to noncontrolling shareholders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(40,520)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28,242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140,052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2,211,026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6,699</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(1,596,343)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(2,661)</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(53,193)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(5,725)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562,697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1492" w:type="dxa"/>
        <w:jc w:val="center"/>
        <w:tblInd w:w="0" w:type="dxa"/>
        <w:tblLayout w:type="fixed"/>
        <w:tblCellMar>
          <w:top w:w="28" w:type="dxa"/>
          <w:left w:w="28" w:type="dxa"/>
          <w:bottom w:w="28" w:type="dxa"/>
          <w:right w:w="28" w:type="dxa"/>
        </w:tblCellMar>
      </w:tblPr>
      <w:tblGrid>
        <w:gridCol w:w="656"/>
        <w:gridCol w:w="234"/>
        <w:gridCol w:w="236"/>
        <w:gridCol w:w="323"/>
        <w:gridCol w:w="323"/>
        <w:gridCol w:w="211"/>
        <w:gridCol w:w="109"/>
        <w:gridCol w:w="109"/>
        <w:gridCol w:w="109"/>
        <w:gridCol w:w="181"/>
        <w:gridCol w:w="391"/>
        <w:gridCol w:w="109"/>
        <w:gridCol w:w="109"/>
        <w:gridCol w:w="109"/>
        <w:gridCol w:w="109"/>
        <w:gridCol w:w="181"/>
        <w:gridCol w:w="751"/>
        <w:gridCol w:w="109"/>
        <w:gridCol w:w="109"/>
        <w:gridCol w:w="109"/>
        <w:gridCol w:w="109"/>
        <w:gridCol w:w="235"/>
        <w:gridCol w:w="644"/>
        <w:gridCol w:w="142"/>
        <w:gridCol w:w="109"/>
        <w:gridCol w:w="109"/>
        <w:gridCol w:w="109"/>
        <w:gridCol w:w="181"/>
        <w:gridCol w:w="736"/>
        <w:gridCol w:w="109"/>
        <w:gridCol w:w="109"/>
        <w:gridCol w:w="109"/>
        <w:gridCol w:w="109"/>
        <w:gridCol w:w="220"/>
        <w:gridCol w:w="220"/>
        <w:gridCol w:w="221"/>
        <w:gridCol w:w="109"/>
        <w:gridCol w:w="109"/>
        <w:gridCol w:w="109"/>
        <w:gridCol w:w="181"/>
        <w:gridCol w:w="406"/>
        <w:gridCol w:w="109"/>
        <w:gridCol w:w="109"/>
        <w:gridCol w:w="109"/>
        <w:gridCol w:w="109"/>
        <w:gridCol w:w="181"/>
        <w:gridCol w:w="496"/>
        <w:gridCol w:w="109"/>
        <w:gridCol w:w="109"/>
        <w:gridCol w:w="109"/>
        <w:gridCol w:w="109"/>
        <w:gridCol w:w="181"/>
        <w:gridCol w:w="64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Common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Accumulated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Other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Comprehensive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124,376</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1,806,000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4,750</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(1,625,523)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191,063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15,209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634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pre-funded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25,000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losses on available-for-sale securities,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(175,218)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125,572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1,846,842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4,137</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(1,798,608)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3,486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56,075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8741" w:type="dxa"/>
        <w:jc w:val="center"/>
        <w:tblInd w:w="0" w:type="dxa"/>
        <w:tblLayout w:type="fixed"/>
        <w:tblCellMar>
          <w:top w:w="28" w:type="dxa"/>
          <w:left w:w="28" w:type="dxa"/>
          <w:bottom w:w="28" w:type="dxa"/>
          <w:right w:w="28" w:type="dxa"/>
        </w:tblCellMar>
      </w:tblPr>
      <w:tblGrid>
        <w:gridCol w:w="2197"/>
        <w:gridCol w:w="1929"/>
        <w:gridCol w:w="1934"/>
        <w:gridCol w:w="208"/>
        <w:gridCol w:w="781"/>
        <w:gridCol w:w="115"/>
        <w:gridCol w:w="115"/>
        <w:gridCol w:w="115"/>
        <w:gridCol w:w="115"/>
        <w:gridCol w:w="208"/>
        <w:gridCol w:w="861"/>
        <w:gridCol w:w="163"/>
      </w:tblGrid>
      <w:tr>
        <w:trPr/>
        <w:tc>
          <w:tcPr>
            <w:tcW w:w="2197"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(175,218)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flow from operating activities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note premiums/discounts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Realized gain on investments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on liability related to the sale of future royalties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on credit facility</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(212,046)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163,359 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net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13,481 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(146,272)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(136,933)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investments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115,339 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118,175 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(23,742)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76,910 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exercises of stock options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pre-funded warrants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net of issuance costs paid</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46,832 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credit facility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(66,680)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(14,750)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20,634 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(48,728)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on cash, cash equivalents and restricted cash</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226,548 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102,685 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201,643 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53,889 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8"/>
              </w:rPr>
            </w:pPr>
            <w:r>
              <w:rPr>
                <w:rFonts w:ascii="Times New Roman;serif" w:hAnsi="Times New Roman;serif"/>
                <w:b/>
                <w:color w:val="000000"/>
                <w:sz w:val="18"/>
              </w:rPr>
              <w:t>Supplemental disclosure of cash flows: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Supplemental disclosure of non-cash investing activities: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 included in accrued expenses</w:t>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ORGANIZATION AND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Recent Developments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REDEMPLO</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0"/>
        </w:rPr>
        <w:t>(plozasiran) is approved by the U.S. Food and Drug Administration (“FDA”) as an adjunct to diet to reduce triglycerides for adults with Familial Chylomicronemia Syndrome (“FCS”). REDEMPLO is also approved by the Chinese National Medical Products Administration (NMPA). In addition, Health Canada has issued a Notice of Compliance (NOC) authorizing REDEMPLO™ (plozasiran) as an adjunct to diet to reduce triglycerides in adults with FCS for whom standard triglyceride lowering therapies have been inadequate. REDEMPLO is a small interfering RNA (“siRNA”) therapeutic designed to suppress the production of apolipoprotein C-III (APOC3), a protein produced in the liver that raises triglyceride levels by slowing their breakdown and clearance. By targeting the APOC3 gene with sustained silencing, REDEMPLO delivers significant reductions in triglyceride levels. REDEMPLO is the first and only FDA-approved siRNA treatment studied in both genetically confirmed and clinically diagnosed patients living with FCS.</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Pipeline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The following table presents the Company’s current pipeline:</w:t>
      </w:r>
      <w:r>
        <w:rPr>
          <w:color w:val="EE2724"/>
        </w:rPr>
        <w:t xml:space="preserve"> </w:t>
      </w:r>
    </w:p>
    <w:tbl>
      <w:tblPr>
        <w:tblW w:w="6256" w:type="dxa"/>
        <w:jc w:val="left"/>
        <w:tblInd w:w="0" w:type="dxa"/>
        <w:tblLayout w:type="fixed"/>
        <w:tblCellMar>
          <w:top w:w="28" w:type="dxa"/>
          <w:left w:w="28" w:type="dxa"/>
          <w:bottom w:w="28" w:type="dxa"/>
          <w:right w:w="28" w:type="dxa"/>
        </w:tblCellMar>
      </w:tblPr>
      <w:tblGrid>
        <w:gridCol w:w="533"/>
        <w:gridCol w:w="467"/>
        <w:gridCol w:w="470"/>
        <w:gridCol w:w="684"/>
        <w:gridCol w:w="684"/>
        <w:gridCol w:w="702"/>
        <w:gridCol w:w="299"/>
        <w:gridCol w:w="299"/>
        <w:gridCol w:w="303"/>
        <w:gridCol w:w="531"/>
        <w:gridCol w:w="531"/>
        <w:gridCol w:w="753"/>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Therapeutic Area</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Stage</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 Rights</w:t>
            </w:r>
          </w:p>
        </w:tc>
      </w:tr>
      <w:tr>
        <w:trPr/>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Cardiometabolic</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plozasiran</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3</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Arrowhead</w:t>
            </w:r>
            <w:r>
              <w:rPr>
                <w:rFonts w:ascii="Times New Roman;serif" w:hAnsi="Times New Roman;serif"/>
                <w:b w:val="false"/>
                <w:color w:val="000000"/>
                <w:sz w:val="12"/>
              </w:rPr>
              <w:t>(1)</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zodasiran</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Arrowhead</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olpasiran</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Amgen</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GSK4532990</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2b</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GSK</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ARO-PNPLA3</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Arrowhead</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ARO-INHBE</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Arrowhead</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ARO-ALK7</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Arrowhead</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ARO-DIMER-PA</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Arrowhead</w:t>
            </w:r>
          </w:p>
        </w:tc>
      </w:tr>
      <w:tr>
        <w:trPr/>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Pulmonary</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ARO-RAGE</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Arrowhead</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SRP-1002 (ARO-MMP7)</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Sarepta</w:t>
            </w:r>
          </w:p>
        </w:tc>
      </w:tr>
      <w:tr>
        <w:trPr/>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Liver</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fazirsiran</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3</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Takeda and Arrowhead</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daplusiran/tomligisiran</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2</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GSK</w:t>
            </w:r>
          </w:p>
        </w:tc>
      </w:tr>
      <w:tr>
        <w:trPr/>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Neuromuscular</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SRP-1001 (ARO-DUX4)</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Sarepta</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SRP-1003 (ARO-DM1)</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Sarepta</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SRP-1004 (ARO-ATXN2)</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Sarepta</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SRP-1005 (ARO-HTT)</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Sarepta</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ARO-MAPT </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Arrowhead</w:t>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ARO-SNCA</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Pre-clinical</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Novartis</w:t>
            </w:r>
          </w:p>
        </w:tc>
      </w:tr>
      <w:tr>
        <w:trPr/>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ARO-C3</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Arrowhead</w:t>
            </w:r>
          </w:p>
        </w:tc>
      </w:tr>
      <w:tr>
        <w:trPr/>
        <w:tc>
          <w:tcPr>
            <w:tcW w:w="147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ARO-CFB</w:t>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1/2a</w:t>
            </w:r>
          </w:p>
        </w:tc>
        <w:tc>
          <w:tcPr>
            <w:tcW w:w="1815"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Arrowhead</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12"/>
        </w:rPr>
        <w:t>(1)</w:t>
      </w:r>
      <w:r>
        <w:rPr>
          <w:color w:val="000000"/>
        </w:rPr>
        <w:t xml:space="preserve"> </w:t>
      </w:r>
      <w:r>
        <w:rPr>
          <w:rFonts w:ascii="Times New Roman;serif" w:hAnsi="Times New Roman;serif"/>
          <w:b w:val="false"/>
          <w:i/>
          <w:color w:val="000000"/>
          <w:sz w:val="14"/>
        </w:rPr>
        <w:t>Greater China rights for plozasiran are out-licensed to Sanofi.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lab facilities in California and Wisconsin, where its research and development activities, including the development of RNAi therapeutics, take place. The Company also operates an active pharmaceutical ingredient manufacturing and supporting laboratory facility in Verona, Wisconsin. The Company’s principal executive offices are located in Pasadena, California.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the Company continued to develop and advance its pipeline and partnered candidates. The following is a summary of select significant developments affecting our business that have occurred since the filing of our Annual Report on Form 10-K for the fiscal year ended September 30, 2025: </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Filed a request for regulatory clearance to initiate a Phase 1/2a clinical trial of ARO-DIMER-PA, the Company’s investigational RNAi therapeutic being developed as a potential treatment for atherosclerotic cardiovascular disease (ASCVD) due to mixed hyperlipidemia. ARO-DIMER-PA is designed to silence expression of the proprotein convertase subtilisin kexin 9 (PCSK9) and apolipoprotein C3 (APOC3) genes. This represents an important step forward for the RNAi field as it is the first clinical candidate to target two genes simultaneously in one molecule, enabled by Arrowhead’s innovative and proprietary TRiM platform.;</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On November 20, 2025, the Company earned a $200.0 million milestone payment from Sarepta Therapeutics, Inc., which was triggered on November 20, 2025, when the Company reached the second of two prespecified enrollment targets and subsequent authorization to dose escalate in a Phase 1/2 clinical study of ARO-DM1, an investigational RNAi therapeutic for the treatment of type 1 myotonic dystrophy (DM1);</w:t>
      </w:r>
    </w:p>
    <w:p>
      <w:pPr>
        <w:pStyle w:val="TextBody"/>
        <w:bidi w:val="0"/>
        <w:spacing w:lineRule="auto" w:line="268" w:before="120" w:after="283"/>
        <w:ind w:left="0" w:right="0" w:hanging="270"/>
        <w:jc w:val="both"/>
        <w:rPr/>
      </w:pPr>
      <w:r>
        <w:rPr>
          <w:color w:val="000000"/>
        </w:rPr>
        <w:t>•</w:t>
      </w:r>
      <w:r>
        <w:rPr>
          <w:rFonts w:ascii="Times New Roman;serif" w:hAnsi="Times New Roman;serif"/>
          <w:b w:val="false"/>
          <w:color w:val="000000"/>
          <w:sz w:val="20"/>
        </w:rPr>
        <w:t xml:space="preserve">Initiated and dosed the first subjects in a Phase 1/2a clinical trial of ARO-MAPT, the Company’s investigational RNAi therapeutic being developed as a potential treatment for tauopathies including Alzheimer’s disease, a progressive neurodegenerative disease characterized by cognitive and functional decline; </w:t>
      </w:r>
    </w:p>
    <w:p>
      <w:pPr>
        <w:pStyle w:val="TextBody"/>
        <w:bidi w:val="0"/>
        <w:spacing w:lineRule="auto" w:line="268" w:before="120" w:after="120"/>
        <w:ind w:left="0" w:right="0" w:hanging="270"/>
        <w:jc w:val="both"/>
        <w:rPr/>
      </w:pPr>
      <w:r>
        <w:rPr>
          <w:color w:val="000000"/>
        </w:rPr>
        <w:t>•</w:t>
      </w:r>
      <w:r>
        <w:rPr>
          <w:rFonts w:ascii="Times New Roman;serif" w:hAnsi="Times New Roman;serif"/>
          <w:b w:val="false"/>
          <w:color w:val="000000"/>
          <w:sz w:val="20"/>
        </w:rPr>
        <w:t>Announced that the FDA has granted Breakthrough Therapy designation to investigational plozasiran as an adjunct to diet to reduce triglyceride (TG) levels in adults with severe hypertriglyceridemia (SHTG) (TG levels greater than or equal to 500 mg/dL);</w:t>
      </w:r>
    </w:p>
    <w:p>
      <w:pPr>
        <w:pStyle w:val="TextBody"/>
        <w:bidi w:val="0"/>
        <w:spacing w:lineRule="auto" w:line="268" w:before="120" w:after="283"/>
        <w:ind w:left="0" w:right="0" w:hanging="270"/>
        <w:jc w:val="both"/>
        <w:rPr/>
      </w:pPr>
      <w:r>
        <w:rPr>
          <w:color w:val="000000"/>
        </w:rPr>
        <w:t>•</w:t>
      </w:r>
      <w:r>
        <w:rPr>
          <w:rFonts w:ascii="Times New Roman;serif" w:hAnsi="Times New Roman;serif"/>
          <w:b w:val="false"/>
          <w:color w:val="000000"/>
          <w:sz w:val="20"/>
        </w:rPr>
        <w:t>The FDA approved the Company's New Drug Application (NDA) for REDEMPLO injection for Familial Chylomicronemia Syndrome (FCS), on November 18, 2025. This approval was supported by clinical data from the Phase 3 PALISADE study, a randomized, double-blind, placebo-controlled trial in adults with clinically diagnosed or genetically confirmed FCS. The PALISADE study met its primary endpoint and all multiplicity-controlled key secondary endpoints, including demonstrating significant reductions in triglycerides and APOC3. In PALISADE, 25 mg REDEMPLO achieved deep and durable reductions in triglycerides, with a median change from baseline of -80% versus -17% in the pooled placebo group, and a lower numerical incidence of acute pancreatitis compared with placebo; and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Entered into a global licensing and collaboration agreement with Novartis Pharma AG ("Novartis") on August 29, 2025, which closed on October 17, 2025. Closing of the transaction was subject to the expiration or termination of the waiting period under the Hart-Scott-Rodino Antitrust Improvements Act of 1976 and other customary conditions. Upon closing, the Company received $200.0 million as an upfront payment on October 23, 2025. Additionally, the Company is eligible to receive up to $2.0 billion in potential milestone payments plus royalties on commercial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bullets below highlight other key developments in our business subsequent to the first quarter of fiscal year 2026:</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Completed upsized offerings of convertible senior notes, common stock, and pre-funded warrants with gross proceeds of $930.0 million, which strengthened the Company’s balance sheet.</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Announced interim results from two Phase 1/2a clinical trials of ARO-INHBE and ARO-ALK7, the Company’s investigational RNAi therapeutics being developed as potential treatments for obesity, showing for patients enrolled in the study that's: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ARO-INHBE in combination with tirzepatide, a GLP-1/GIP receptor co-agonist, nearly doubled weight loss at week 16 and roughly tripled reductions in visceral fat, total fat, and liver fat versus tirzepatide alone in obese patients with type 2 diabetes mellitus at those same endpoints at week 12.</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ARO-ALK7, the first RNAi-therapeutic to show adipocyte gene target silencing in a clinical trial, achieved dose dependent reductions in adipose ALK7 mRNA with a mean reduction of -88% at the 200 mg dose at week 8 with a maximum reduction of -94%.</w:t>
      </w:r>
    </w:p>
    <w:p>
      <w:pPr>
        <w:pStyle w:val="TextBody"/>
        <w:bidi w:val="0"/>
        <w:spacing w:before="120" w:after="283"/>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Consolidation and Basis of Presentation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include the accounts of Arrowhead Pharmaceuticals, Inc. and its subsidiaries (wholly-owned subsidiaries and a variable interest entity for which the Company is the primary beneficiary). Subsidiaries refer to Arrowhead Madison, Inc., Arrowhead Australia Pty Ltd., Arrowhead Pharmaceuticals Ireland Limited, Arrowhead Pharmaceuticals NZ Limited and Visirna Therapeutics, Inc. (“Visirna”).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financial position as of December 31, 2025 and the results of operations and cash flows for the periods presented. All intercompany transactions and balances have been eliminated. Certain prior period amounts have been reclassified to conform with the current period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fiscal year ended September 30, 2025 for more complete descriptions and discussions. Operating results and cash flows for the three months ended December 31, 2025 are not necessarily indicative of the results that may be expected for the fiscal year ending September 30, 2026.</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Company operates as a single segment as the chief operating decision maker (“CODM”), reviews operating results on an aggregate basis and manages the operations as a single operating segment. Refer to Note 15, </w:t>
      </w:r>
      <w:r>
        <w:rPr>
          <w:rFonts w:ascii="Times New Roman;serif" w:hAnsi="Times New Roman;serif"/>
          <w:b w:val="false"/>
          <w:i/>
          <w:color w:val="000000"/>
          <w:sz w:val="20"/>
        </w:rPr>
        <w:t>Segment Information</w:t>
      </w:r>
      <w:r>
        <w:rPr>
          <w:rFonts w:ascii="Times New Roman;serif" w:hAnsi="Times New Roman;serif"/>
          <w:b w:val="false"/>
          <w:color w:val="000000"/>
          <w:sz w:val="20"/>
        </w:rPr>
        <w:t>, for further details on the segment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primary sources of financing have been through the sale of its equity securities, credit facility, revenue from its licensing and collaboration agreements and the sale of certain future royalties. Research and development activities have required significant investment since the Company’s inception and are expected to continue to require significant cash expenditure in the future, particularly as the Company’s pipeline of drug candidates and its headcount have both expanded. Additionally, significant investment will be required as a growing commercial-stage Company and as the Company’s pipeline matures into later stage clinical trials.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$201.6 million in cash, cash equivalents and restricted cash ($1.9 million in restricted cash) and $715.0 million in available-for-sale securities to fund operations. During the three months ended December 31, 2025, the Company’s cash, cash equivalents and restricted cash and investments balance decreased by $2.8 million, which was primarily due to the $66.7 million payment on its credit facility and ongoing expenses related to the Company’s research and development programs, which were partially offset by a $200.0 million received as an upfront payment under the Novartis agreement, $46.8 million in net proceeds from the issuance of common stock under the Company's at-the-market equity offering program with Jefferies LLC and $9.7 million interest income earned on investments.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total, the Company is eligible to receive up to $15.3 billion in additional developmental, regulatory and sales milestones based on programs that have been partnered, and may receive various royalties on net sales from its licensing and collaboration agreements, subject to the terms and conditions of those agreements.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Summary of Significant Accounting Policies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significant accounting policies disclosed in the Company’s most recent Annual Report on Form 10-K for the fiscal year ended September 30, 2025.</w:t>
      </w:r>
    </w:p>
    <w:p>
      <w:pPr>
        <w:pStyle w:val="TextBody"/>
        <w:bidi w:val="0"/>
        <w:spacing w:lineRule="auto" w:line="288" w:before="240" w:after="283"/>
        <w:jc w:val="left"/>
        <w:rPr/>
      </w:pPr>
      <w:r>
        <w:rPr>
          <w:rFonts w:ascii="Times New Roman;serif" w:hAnsi="Times New Roman;serif"/>
          <w:b/>
          <w:i/>
          <w:color w:val="000000"/>
          <w:sz w:val="20"/>
        </w:rPr>
        <w:t>Recent Accounting Pronouncements</w:t>
      </w:r>
      <w:r>
        <w:rPr>
          <w:color w:val="000000"/>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January 2025, the Financial Accounting Standards Board (“FASB”) issued Accounting Standard Update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in November 2024, and ASU 2025-01,</w:t>
      </w:r>
      <w:r>
        <w:rPr>
          <w:color w:val="000000"/>
        </w:rPr>
        <w:t xml:space="preserve"> </w:t>
      </w:r>
      <w:r>
        <w:rPr>
          <w:rFonts w:ascii="Times New Roman;serif" w:hAnsi="Times New Roman;serif"/>
          <w:b w:val="false"/>
          <w:i/>
          <w:color w:val="000000"/>
          <w:sz w:val="20"/>
        </w:rPr>
        <w:t>Clarifying the Effective Date</w:t>
      </w:r>
      <w:r>
        <w:rPr>
          <w:rFonts w:ascii="Times New Roman;serif" w:hAnsi="Times New Roman;serif"/>
          <w:b w:val="false"/>
          <w:color w:val="000000"/>
          <w:sz w:val="20"/>
        </w:rPr>
        <w:t xml:space="preserve">. These updates require entities to provide disaggregated disclosures of income statement expenses. The ASUs do not affect the expense captions presented on the face of the income statement but instead require the disaggregation of certain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captions into specified categories within the footnotes to the financial statements. The ASUs will become effective for the Company beginning October 1, 2027, and the Company is currently evaluating the impact on its consolidated financial statements and related disclosures.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to improve its income tax disclosure requirements. Under the guidance, entities must annually (1) disclose specific categories in the rate reconciliation and (2) provide additional information for reconciling items that meet a quantitative threshold. This guidance became effective for the Company beginning on October 1, 2025. The Company does not expect any material impact on its consolidated financial statements and related disclosures resulting from applying this ASU.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2. COLLABORATION AND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revenue recognized from our collaboration and license agreements:</w:t>
      </w:r>
    </w:p>
    <w:tbl>
      <w:tblPr>
        <w:tblW w:w="3856" w:type="dxa"/>
        <w:jc w:val="center"/>
        <w:tblInd w:w="0" w:type="dxa"/>
        <w:tblLayout w:type="fixed"/>
        <w:tblCellMar>
          <w:top w:w="28" w:type="dxa"/>
          <w:left w:w="28" w:type="dxa"/>
          <w:bottom w:w="28" w:type="dxa"/>
          <w:right w:w="28" w:type="dxa"/>
        </w:tblCellMar>
      </w:tblPr>
      <w:tblGrid>
        <w:gridCol w:w="265"/>
        <w:gridCol w:w="233"/>
        <w:gridCol w:w="238"/>
        <w:gridCol w:w="232"/>
        <w:gridCol w:w="872"/>
        <w:gridCol w:w="129"/>
        <w:gridCol w:w="129"/>
        <w:gridCol w:w="129"/>
        <w:gridCol w:w="129"/>
        <w:gridCol w:w="232"/>
        <w:gridCol w:w="658"/>
        <w:gridCol w:w="129"/>
        <w:gridCol w:w="109"/>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GSK</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Sarepta</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229,464 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Novartis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Sanofi</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263,916 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of receivables, contract assets and contract liabilities related to the Company’s collaboration and license agreements, which, as of December 31, 2025, relate solely to the Company’s agreements with Sarepta and Novartis:</w:t>
      </w:r>
    </w:p>
    <w:tbl>
      <w:tblPr>
        <w:tblW w:w="7781" w:type="dxa"/>
        <w:jc w:val="center"/>
        <w:tblInd w:w="0" w:type="dxa"/>
        <w:tblLayout w:type="fixed"/>
        <w:tblCellMar>
          <w:top w:w="28" w:type="dxa"/>
          <w:left w:w="28" w:type="dxa"/>
          <w:bottom w:w="28" w:type="dxa"/>
          <w:right w:w="28" w:type="dxa"/>
        </w:tblCellMar>
      </w:tblPr>
      <w:tblGrid>
        <w:gridCol w:w="1581"/>
        <w:gridCol w:w="1390"/>
        <w:gridCol w:w="1393"/>
        <w:gridCol w:w="282"/>
        <w:gridCol w:w="1061"/>
        <w:gridCol w:w="157"/>
        <w:gridCol w:w="109"/>
        <w:gridCol w:w="109"/>
        <w:gridCol w:w="109"/>
        <w:gridCol w:w="364"/>
        <w:gridCol w:w="960"/>
        <w:gridCol w:w="266"/>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included in accounts receivable</w:t>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218,354 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assets included in other current assets</w:t>
            </w:r>
          </w:p>
        </w:tc>
        <w:tc>
          <w:tcPr>
            <w:tcW w:w="28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9,827 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included in deferred revenue, current</w:t>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111,933 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liabilities included in deferred revenue, non-current</w:t>
            </w:r>
          </w:p>
        </w:tc>
        <w:tc>
          <w:tcPr>
            <w:tcW w:w="28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53,825 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Deferred revenue consisted of the following:</w:t>
      </w:r>
    </w:p>
    <w:tbl>
      <w:tblPr>
        <w:tblW w:w="6414" w:type="dxa"/>
        <w:jc w:val="left"/>
        <w:tblInd w:w="0" w:type="dxa"/>
        <w:tblLayout w:type="fixed"/>
        <w:tblCellMar>
          <w:top w:w="28" w:type="dxa"/>
          <w:left w:w="28" w:type="dxa"/>
          <w:bottom w:w="28" w:type="dxa"/>
          <w:right w:w="28" w:type="dxa"/>
        </w:tblCellMar>
      </w:tblPr>
      <w:tblGrid>
        <w:gridCol w:w="1351"/>
        <w:gridCol w:w="1189"/>
        <w:gridCol w:w="1194"/>
        <w:gridCol w:w="258"/>
        <w:gridCol w:w="853"/>
        <w:gridCol w:w="143"/>
        <w:gridCol w:w="143"/>
        <w:gridCol w:w="143"/>
        <w:gridCol w:w="143"/>
        <w:gridCol w:w="258"/>
        <w:gridCol w:w="536"/>
        <w:gridCol w:w="203"/>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additions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417,238 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(263,706)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155,931 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Plus contract assets included in other current assets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deferred revenue, current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(111,933)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53,825 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GlaxoSmithKline Intellectual Property (No. 3) Limited (“GSK”)</w:t>
      </w:r>
    </w:p>
    <w:p>
      <w:pPr>
        <w:pStyle w:val="TextBody"/>
        <w:bidi w:val="0"/>
        <w:spacing w:lineRule="auto" w:line="288" w:before="120" w:after="283"/>
        <w:ind w:left="0" w:right="0" w:firstLine="540"/>
        <w:jc w:val="both"/>
        <w:rPr>
          <w:rFonts w:ascii="Times New Roman;serif" w:hAnsi="Times New Roman;serif"/>
          <w:b/>
          <w:i/>
          <w:color w:val="000000"/>
          <w:sz w:val="20"/>
          <w:u w:val="single"/>
        </w:rPr>
      </w:pPr>
      <w:r>
        <w:rPr>
          <w:rFonts w:ascii="Times New Roman;serif" w:hAnsi="Times New Roman;serif"/>
          <w:b/>
          <w:i/>
          <w:color w:val="000000"/>
          <w:sz w:val="20"/>
          <w:u w:val="single"/>
        </w:rPr>
        <w:t>GSK-HSD License Agreement</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22, 2021, GSK and the Company entered into an Exclusive License Agreement (the “GSK-HSD License Agreement”). Under the GSK-HSD License Agreement, GSK has received an exclusive license for GSK-4532990 (formerly ARO-HSD). The exclusive license is worldwide with the exception of greater China. GSK is wholly responsible for all clinical development and commercialization of GSK-4532990 in its territory.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completed its performance obligation related to this agreement, and the upfront payment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$120.0 million was fully recognized in the year ended September 30, 2022. Further, GSK dosed the first patient in a Phase 2b trial in March 2023 and paid a $30.0 million milestone payment to the Company in the third quarter of fiscal 2023.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 </w:t>
      </w:r>
    </w:p>
    <w:p>
      <w:pPr>
        <w:pStyle w:val="TextBody"/>
        <w:bidi w:val="0"/>
        <w:spacing w:lineRule="auto" w:line="288" w:before="120" w:after="283"/>
        <w:ind w:left="0" w:right="0" w:firstLine="540"/>
        <w:jc w:val="both"/>
        <w:rPr>
          <w:rFonts w:ascii="Times New Roman;serif" w:hAnsi="Times New Roman;serif"/>
          <w:b/>
          <w:i/>
          <w:color w:val="000000"/>
          <w:sz w:val="20"/>
          <w:u w:val="single"/>
        </w:rPr>
      </w:pPr>
      <w:r>
        <w:rPr>
          <w:rFonts w:ascii="Times New Roman;serif" w:hAnsi="Times New Roman;serif"/>
          <w:b/>
          <w:i/>
          <w:color w:val="000000"/>
          <w:sz w:val="20"/>
          <w:u w:val="single"/>
        </w:rPr>
        <w:t>GSK-HBV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2023, the Company entered into an Amended and Restated License Agreement with GSK (the “GSK-HBV Agreement”) pursuant to which GSK received a worldwide, exclusive license to develop and commercialize daplusiran/tomligisiran (GSK5637608, formerly JNJ-3989), the Company’s third-generation subcutaneously administered RNAi therapeutic candidate being developed as a potential therapy for patients with chronic hepatitis B virus infection.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GSK-HBV Agreement, the Company received $2.7 million in December 2023, upon signing the amended GSK-HBV Agreement. Further, GSK dosed the fifth patient in a Phase 2 trial in December 2024, triggering a $2.5 million milestone payment to the Company which was paid in the second quarter of fiscal 2025. The Company is eligible to receive up to $830.0 million in development and sales milestone payments under the GSK-HBV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no contract assets and liabilities recorded.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Takeda Pharmaceutical Company Limited (“Takeda”)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October 2020, Takeda and the Company entered into an Exclusive License and Co-Funding Agreement (the “Takeda License Agreement”). Under the Takeda License Agreement, Takeda and the Company will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w:t>
      </w:r>
      <w:r>
        <w:rPr>
          <w:rFonts w:ascii="Times New Roman;serif" w:hAnsi="Times New Roman;serif"/>
          <w:b w:val="false"/>
          <w:color w:val="000000"/>
          <w:sz w:val="20"/>
          <w:shd w:fill="FFFFFF" w:val="clear"/>
        </w:rPr>
        <w:t>50/50 profit sharing</w:t>
      </w:r>
      <w:r>
        <w:rPr>
          <w:color w:val="000000"/>
        </w:rPr>
        <w:t xml:space="preserve"> </w:t>
      </w:r>
      <w:r>
        <w:rPr>
          <w:rFonts w:ascii="Times New Roman;serif" w:hAnsi="Times New Roman;serif"/>
          <w:b w:val="false"/>
          <w:color w:val="000000"/>
          <w:sz w:val="20"/>
        </w:rPr>
        <w:t xml:space="preserve">structure. Outside the United States, Takeda received an exclusive license to commercialize fazirsiran and will lead the global commercialization strategy, while the Company will be eligible to receive tiered royalties of </w:t>
      </w:r>
      <w:r>
        <w:rPr>
          <w:rFonts w:ascii="Times New Roman;serif" w:hAnsi="Times New Roman;serif"/>
          <w:b w:val="false"/>
          <w:color w:val="000000"/>
          <w:sz w:val="20"/>
          <w:shd w:fill="FFFFFF" w:val="clear"/>
        </w:rPr>
        <w:t>20%</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000000"/>
          <w:sz w:val="20"/>
          <w:shd w:fill="FFFFFF" w:val="clear"/>
        </w:rPr>
        <w:t>25%</w:t>
      </w:r>
      <w:r>
        <w:rPr>
          <w:color w:val="000000"/>
        </w:rPr>
        <w:t xml:space="preserve"> </w:t>
      </w:r>
      <w:r>
        <w:rPr>
          <w:rFonts w:ascii="Times New Roman;serif" w:hAnsi="Times New Roman;serif"/>
          <w:b w:val="false"/>
          <w:color w:val="000000"/>
          <w:sz w:val="20"/>
        </w:rPr>
        <w:t xml:space="preserve">on net sales.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key deliverables included the license and certain research and development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Takeda is responsible for managing clinical development and commercialization outside the United States. Within the United States, the Company and Takeda are responsible in the co-development and co-commercialization efforts.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Takeda License Agreement, the Company received $300.0 million as an upfront payment in January 2021 and an additional $40.0 million upon Takeda’s initiation of a Phase 3 REDWOOD clinical study of fazirsiran in March 2023, and is eligible to receive up to $527.5 million in additional potential development, regulatory and commercial milestones.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allocated the total $300.0 million initial transaction price to its one distinct performance obligation for the fazirsiran license and the associated Takeda R&amp;D Services. The Company has substantially completed its performance obligation under the Takeda License Agreement by December 31, 2023. As such, all revenue has been fully recognized as of December 31, 2023. There were no further deferred revenue and contract liabilities as of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accrued expense balance is $28.5 million that was primarily driven by co-development and co-commercialization activities.</w:t>
      </w:r>
    </w:p>
    <w:p>
      <w:pPr>
        <w:pStyle w:val="TextBody"/>
        <w:bidi w:val="0"/>
        <w:spacing w:lineRule="auto" w:line="256" w:before="180" w:after="283"/>
        <w:jc w:val="both"/>
        <w:rPr>
          <w:rFonts w:ascii="Times New Roman;serif" w:hAnsi="Times New Roman;serif"/>
          <w:b/>
          <w:i/>
          <w:color w:val="000000"/>
          <w:sz w:val="20"/>
        </w:rPr>
      </w:pPr>
      <w:r>
        <w:rPr>
          <w:rFonts w:ascii="Times New Roman;serif" w:hAnsi="Times New Roman;serif"/>
          <w:b/>
          <w:i/>
          <w:color w:val="000000"/>
          <w:sz w:val="20"/>
        </w:rPr>
        <w:t>Amgen Inc. (“Amgen”)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AMG- 890 or ARO-LPA) program. These RNAi molecules are designed to reduce elevated lipoprotein(a), which is a genetically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validated, independent risk factor for atherosclerotic cardiovascular disease. Under the Olpasiran Agreement, Amgen is wholly responsible for clinical development and commercialization.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substantially completed its performance obligations under the Olpasiran Agreement. There were no contract assets and liabilities recorded as of December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2022, Royalty Pharma Investments 2019 ICAV (“Royalty Pharma”) and the Company entered into a Royalty Purchase Agreement with Royalty Pharma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$485.0 million in remaining development, regulatory and sales milestone payments payable from Amgen and Royalty Pharma. See Note 12.</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 xml:space="preserve">Sarepta Therapeutics, Inc.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25, 2024, the Company entered into an Exclusive License and Collaboration Agreement (the “Sarepta Collaboration Agreement”) with Sarepta for the development and commercialization of multiple clinical and preclinical programs in rare, genetic diseases of the muscle, central nervous system, and lungs. The Company concurrently entered into a Stock Purchase Agreement (the “Stock Purchase Agreement”) with Sarepta (see Note 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Sarepta Collaboration Agreement, Sarepta received an exclusive sublicensable worldwide license to SRP-1001 (formerly ARO-DUX4), SRP-1003 (formerly ARO-DM1), SRP-1002 (formerly ARO-MMP7), and SRP-1004 (formerly ARO-ATXN2) clinical stage programs (the “C1” programs). Sarepta also received an exclusive sublicensable worldwide license to the Company’s ARO-HTT, ARO-ATXN1, and ARO-ATXN3 preclinical stage programs (the “C2” programs). The Company will perform certain research and development activities for the C1 and C2 programs.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Sarepta may select up to six gene targets for which the Company will perform discovery, optimization and preclinical development activities to identify RNAi compounds against each selected target (the “C3” programs). Upon target acceptance, Sarepta will receive an exclusive license to the Company’s intellectual property rights to exploit compounds directed to those targets and is wholly responsible for clinical development and commercialization of each compound after the Company delivers a Clinical Trial Application ready data package (the "CTA package").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identified 17 performance obligations under the Sarepta Collaboration Agreement. The four C1 licenses are distinct performance obligations from the four C1 research and development performance obligations since the customer can use and benefit from the licenses separately. The performance obligations for the licenses were satisfied in the second quarter of fiscal 2025 upon delivery and the research and development performance obligations will be satisfied as the work is performed. The remaining nine performance obligations include three C2 preclinical stage program licenses and research and development activities, and six C3 discovery target licenses and research and development activities. Each of the three C2 programs and the six C3 programs were determined to represent one performance obligation, as the customer cannot benefit from the use of the product license at the point of transfer until the specified research and development activities are performed. As such, each of the C2 and C3 product licenses and respective research and development work will be combined to form one performance obligation. For these nine performance obligations, revenue is recognized over time as the work is performed.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recognized over time, the estimated performance period over which revenue will be recognized is determined to be the period over which the Company estimates it will perform the research and development activities. The Company determined that the most appropriate method of measuring progress for these performance obligations is an input method based on research and development costs in the program budget. Accordingly, the Company has estimated the total cost required to complete its obligation and recognized an amount of revenue equal to the proportion of services performed, which is reassessed on an ongoing basis as the program progresses. In the period an agreement expires or is terminated, remaining deferred revenue, if any, is recognized as revenue.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terms of the Sarepta Collaboration Agreement, the Company received an upfront payment of $500.0 million on February 14, 2025. In addition, on February 7, 2025, the Company received $325.0 million in the form of an equity investment under the Stock Purchase Agreement. Based upon the Company's share price on February 7, 2025, (the “Closing Date”), the difference between the $325.0 million and the fair value of the shares on the Closing date resulted in a premium of $83.6 million. The premium is included as part of the total consideration of the Sarepta Collaboration Agreement for revenue recognition purposes.</w:t>
      </w:r>
      <w:r>
        <w:rPr>
          <w:color w:val="EE2724"/>
        </w:rPr>
        <w:t xml:space="preserve"> </w:t>
      </w:r>
      <w:r>
        <w:rPr>
          <w:rFonts w:ascii="Times New Roman;serif" w:hAnsi="Times New Roman;serif"/>
          <w:b w:val="false"/>
          <w:color w:val="000000"/>
          <w:sz w:val="20"/>
        </w:rPr>
        <w:t xml:space="preserve">The Company is entitled to receive $250.0 million to be paid in annual installments of $50.0 million over the first five years of the agreement. The Company is also eligible to receive reimbursement of certain costs related to carrying out the research and development activities for the C1 programs. At contract inception, the transaction price was determined to be $904.9 million, consisting of fixed consideration of $833.6 million and estimated variable consideration of $71.2 million. The fixed consideration was allocated to all performance obligations based on their relative standalone selling price. The variable consideration was allocated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 xml:space="preserve">performance obligation to which it is determined to be related, which is the respective development work that is being reimbursed. Standalone selling prices for the product licenses were determined using an adjusted market-based approach through the net present value of the expected future cash flows for each program. Standalone selling prices for the research and development work were determined based on an expected cost plus margin approach. </w:t>
      </w:r>
      <w:r>
        <w:rPr>
          <w:rFonts w:ascii="Times New Roman;serif" w:hAnsi="Times New Roman;serif"/>
          <w:b w:val="false"/>
          <w:color w:val="242424"/>
          <w:sz w:val="20"/>
        </w:rPr>
        <w:t xml:space="preserve">During the fourth quarter of fiscal 2025, the Company earned the first of two ARO-DM1 development milestone payment of </w:t>
      </w:r>
      <w:r>
        <w:rPr>
          <w:rFonts w:ascii="Times New Roman;serif" w:hAnsi="Times New Roman;serif"/>
          <w:b w:val="false"/>
          <w:color w:val="000000"/>
          <w:sz w:val="20"/>
        </w:rPr>
        <w:t xml:space="preserve">$100.0 million, of which $50.0 million was settled in cash and the remaining $50.0 million was settled through the repurchase of Company's common stock. In November 2025, the Company earned the second of two $200.0 million ARO-DM1 development milestone payments and received the milestone payment in January 2026. ARO-DM1 development milestones were allocated between the license and development work based on the allocation of the standalone selling price. Revenue allocated to the license has been recognized in the periods these milestones were achieved, revenue allocated to the development work is recognized over time as the work is performed.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stand-alone selling price for each distinct performance obligation, which involves assumptions that may require significant judgment. The Company’s estimates of the stand-alone selling price for license-related performance obligations includes forecasted revenues and expenses, phase dates, probability of success, development timelines, and the discount rate. The estimates of the stand-alone selling price for research and development performance obligations generally include forecasting the expected costs of satisfying a performance obligation at market rates. The Company identified a discount based on the difference between the aggregate stand-alone selling price and the transaction price for accounting revenue recognition purposes. The Company allocated the discount proportionally to each of the performance obligations based upon their standalone selling price.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each of the 13 programs, the Company is also eligible to receive regulatory milestone payments between $110.0 million and $180.0 million per program. Variable consideration associated with the milestones that may be achieved will be allocated to the performance obligation to which it is determined to be related, which will be the respective programs to which the milestones relate. The Company will recognize the regulatory milestones as revenue in the periods the underlying milestone events are achieved as achievement of the milestone events are highly susceptible to factors outside of the entity's influence and therefore there is a possibility that the milestone event will not be achieved.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also eligible to receive sales milestone payments between $500.0 million and $700.0 million per program as well as tiered royalties on net sales of licensed products of up to the low double digits, subject to the terms and conditions of the Sarepta Collaboration Agreement. The Company has applied the sales-based scope exception to the sales milestones and the royalty-based payments.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Sarepta Collaboration Agreement commenced in February 2025 and may be terminated by either party in the event of a material breach as defined therein. In addition, Sarepta may voluntarily terminate the Sarepta Collaboration Agreement with 30 days' written notice to the Company if terminated prior to any regulatory approval of a licensed product. Unless earlier terminated, the Sarepta Collaboration Agreement expires on a product-by-product and country-by-country basis, upon the date of expiration of the relevant royalty term for such product in such country.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repurchased 2,660,989 shares of its common stock from Sarepta in connection with the $100.0 million DM1 first development milestone under the Sarepta Collaboration Agreement. The repurchase satisfied $50.0 million of the milestone payment through delivery of the Company’s common stock, with the remaining $50.0 million settled in cash. The shares were recorded as treasury stock at their fair value of $53.2 million, resulting in a $3.2 million gain on settlement. The repurchased shares are presented as a reduction to total stockholders’ equity in accordance with ASC 505-30.</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December 31, 2025, the Company recorded $229.5 million in revenue from Sarepta. As of December 31, 2025, the Company recorded $218.4 million in accounts receivable and $9.8 million in contract assets related to the Sarepta Collaboration Agreement. Revenue recognized that are not invoiced to the customer as a result of recognizing revenue over time are recorded as a contract asset included in other current assets in the consolidated balance sheet. Upon invoicing to the customer, the balance is recorded in accounts receivable in the consolidated balance sheet. The recognition of the remaining revenue for the performance obligations is dependent upon the time it takes to complete the respective research and development activities and in consideration of the timing of the selection of the rest of the targets within the C3 programs.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Novartis Pharma AG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the Company entered into an Exclusive License and Collaboration Agreement (the “Novartis Collaboration Agreement”) with Novartis for the development and commercialization of multiple preclinical programs in rare, genetic diseases of the central nervous system.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Novartis Collaboration Agreement, Novartis received an exclusive sublicensable worldwide license to the Company’s ARO-SNCA preclinical stage program. The Company will perform certain research and development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Novartis has selected additional gene targets ("Collaboration Target") for which the Company has accepted and will perform discovery, optimization and preclinical development activities to identify RNAi compounds against each selected target. Novartis has received an exclusive license to the Company’s intellectual property rights to exploit compounds directed to those targets (the "CT" programs) and is wholly responsible for clinical development and commercialization of each compound after the Company delivers a Clinical Trial Application ready data package (the "CTA package").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identified performance obligations under the Novartis Collaboration Agreement. They include the ARO-SNCA preclinical stage program licenses and research and development activities, and CT programs licenses and research and development activities. Each of the programs were determined to represent one performance obligation, as the customer cannot benefit from the use of the product license at the point of transfer until the specified research and development activities are performed. As such, each of the product licenses and respective research and development work will be combined to form one performance obligation. For these performance obligations, revenue is recognized over time as the work is performed.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recognized over time, the estimated performance period over which revenue will be recognized is determined to be the period over which the Company estimates it will perform the research and development activities. The Company determined that the most appropriate method of measuring progress for these performance obligations is an input method based on research and development costs in the program budget. Accordingly, the Company has estimated the total cost required to complete its obligation and recognized an amount of revenue equal to the proportion of services performed, which is reassessed on an ongoing basis as the program progresses. In the period an agreement expires or is terminated, remaining deferred revenue, if any, is recognized as revenue.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terms of the Novartis Collaboration Agreement, the Company received an upfront payment of $200.0 million on October 23, 2025. The Company is also eligible to receive</w:t>
      </w:r>
      <w:r>
        <w:rPr>
          <w:color w:val="000000"/>
          <w:shd w:fill="FFFFFF" w:val="clear"/>
        </w:rPr>
        <w:t xml:space="preserve"> </w:t>
      </w:r>
      <w:r>
        <w:rPr>
          <w:rFonts w:ascii="Times New Roman;serif" w:hAnsi="Times New Roman;serif"/>
          <w:b w:val="false"/>
          <w:color w:val="000000"/>
          <w:sz w:val="20"/>
          <w:shd w:fill="FFFFFF" w:val="clear"/>
        </w:rPr>
        <w:t xml:space="preserve">research milestone payments of up to </w:t>
      </w:r>
      <w:r>
        <w:rPr>
          <w:rFonts w:ascii="Times New Roman;serif" w:hAnsi="Times New Roman;serif"/>
          <w:b w:val="false"/>
          <w:color w:val="000000"/>
          <w:sz w:val="20"/>
        </w:rPr>
        <w:t xml:space="preserve">$30.0 million and reimbursement of certain costs related to carrying out the research, development and manufacturing activities for the programs. The fixed consideration of $200.0 million and an estimated variable consideration of $32.0 million for a total of $232.0 million were allocated to all performance obligations based on their relative standalone selling price. Standalone selling prices for the product licenses were determined using an adjusted market-based approach through the net present value of the expected future cash flows for each program. The standalone selling prices for the research and development work were determined based on an expected cost plus margin approach.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stand-alone selling price for each distinct performance obligation, which involves assumptions that may require significant judgment. The Company’s estimates of the stand-alone selling price for license-related performance obligations includes forecasted revenues, phase dates, probability of success, development timelines, and the discount rate. The estimates of the stand-alone selling price for research and development performance obligations generally include forecasting the expected costs of satisfying a performance obligation at market rates. The Company identified a premium based on the difference between the aggregate stand-alone selling price and the transaction price for accounting revenue recognition purposes. The Company allocated the premium proportionally to each of the performance obligations based upon their standalone selling price.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for each of the programs, the Company is eligible to receive regulatory milestone payments between $175.0 million and $245.0 million per program. Variable consideration associated with the milestones that may be achieved will be allocated to the performance obligation to which it is determined to be related, which will be the respective programs to which the milestones relate. The Company will recognize the regulatory milestones as revenue in the periods the underlying milestone events are achieved as achievement of the milestone events are highly susceptible to factors outside of the entity's influence and therefore there is a possibility that the milestone event will not be achieved.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also eligible to receive sales milestone payments between $285.0 million and $370.0 million per program as well as tiered royalties on net sales of licensed products of up to the low double digits, subject to the terms and conditions of the Novartis Collaboration Agreement. The Company has applied the sales-based scope exception to the sales milestones and the royalty-based payments.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Novartis Collaboration Agreement commenced in October 2025 and may be terminated by either party in the event of a material breach as defined therein. In addition, Novartis may voluntarily terminate the Novartis Collaboration Agreement with 30 days' written notice to the Company if terminated prior to any regulatory approval of a licensed product, or with 180 days' written notice to the Company if terminated after any regulatory approval of a licensed product. Unless earlier terminated, the Novartis Collaboration Agreement expires on a product-by-product and country-by-country basis, upon the date of expiration of the relevant royalty term for such product in such country.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December 31, 2025, the Company recorded $34.2 million in revenue from Novartis.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December 31, 2025, the Company recorded $111.9 million in deferred revenue, current and $53.8 million in deferred revenue, non-current related to the Novartis Collaboration Agreement. The recognition of the remaining revenue for the performance obligations is dependent upon the time it takes to complete the respective research and development activities.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Visirna Therapeutics Inc. (“Visirna”) and Genzyme Corporation (“Sanofi”)</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Visirna Therapeutics HK Limited (“Visirna HK”), a wholly owned subsidiary of Visirna Therapeutics, Inc, a majority owned subsidiary of the Company, entered into an Asset Purchase Agreement (the “Asset Purchase Agreement”) with Genzyme Corporation (“Sanofi”), a wholly owned subsidiary of Sanofi S.A., pursuant to which Visirna HK sold all of its assets and rights in investigational plozasiran to Sanofi, which included an assignment of Visirna HK’s rights (as successor by assignment from Visirna) to develop and commercialize investigational plozasiran in Greater China pursuant to that certain License Agreement by and between the Company and Visirna dated, April 25, 2022 (the “Visirna License Agreement”).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Asset Purchase Agreement, the Company consented to the partial assignment of the Visirna License Agreement by Visirna HK to Sanofi (as so assigned, the “Sanofi License Agreement”), amongst other agreements between the Company and Visirna, effective as of the closing of the Asset Purchase Agreement. This agreement was not deemed a legal sale of intellectual property from the consolidated perspective of the Company. After giving effect to the Asset Purchase Agreement, Visirna HK retains rights to develop and commercialize in Greater China other cardiometabolic drugs licensed to it pursuant to the Visirna License Agreement.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closing of the Asset Purchase Agreement, Visirna received an upfront payment of $130.0 million from Sanofi and is eligible to receive further development milestone payments of up to $265.0 million upon approval of plozasiran across various indications in mainland China. In January 2026, as a subsequent event, the NMPA approved REDEMPLO in Greater China, which triggered the $10.0 million milestone payment to Visirna. The Company is also eligible to receive royalties from Sanofi on net commercial product sales in Greater China under the Sanofi License Agreement. During the quarter ended December 31, 2025, the Company recorded $0.2 million in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Visirna identified the licenses as defined in the agreement as the performance obligations under the Asset Purchase Agreement. The performance obligations for the licenses was satisfied in the fourth quarter of fiscal 2025 upon delivery. The fixed consideration of $130.0 million was allocated to the performance obligations. The Company will recognize the development milestones as revenue in the periods the underlying milestone events are achieved as achievement of the milestone events are highly susceptible to factors outside of the entity's influence and therefore there is a possibility that the milestone events will not be achieved. The Company has also applied the sales-based scope exception to the royalty-based payments.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Sanofi License Agreement may be terminated by either party in the event of a material breach as defined therein. Unless earlier terminated, the Sanofi License Agreement expires on a product-by-product basis, upon the date of expiration of the relevant royalty term for such product in Greater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BALANCE SHEET ACCOUNTS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following table summarizes the Company’s major classes of property, plant and equipment:</w:t>
      </w:r>
      <w:r>
        <w:rPr>
          <w:color w:val="000000"/>
        </w:rPr>
        <w:t xml:space="preserve"> </w:t>
      </w:r>
    </w:p>
    <w:tbl>
      <w:tblPr>
        <w:tblW w:w="7002" w:type="dxa"/>
        <w:jc w:val="left"/>
        <w:tblInd w:w="0" w:type="dxa"/>
        <w:tblLayout w:type="fixed"/>
        <w:tblCellMar>
          <w:top w:w="28" w:type="dxa"/>
          <w:left w:w="28" w:type="dxa"/>
          <w:bottom w:w="28" w:type="dxa"/>
          <w:right w:w="28" w:type="dxa"/>
        </w:tblCellMar>
      </w:tblPr>
      <w:tblGrid>
        <w:gridCol w:w="1295"/>
        <w:gridCol w:w="1135"/>
        <w:gridCol w:w="1155"/>
        <w:gridCol w:w="282"/>
        <w:gridCol w:w="1061"/>
        <w:gridCol w:w="157"/>
        <w:gridCol w:w="109"/>
        <w:gridCol w:w="109"/>
        <w:gridCol w:w="109"/>
        <w:gridCol w:w="287"/>
        <w:gridCol w:w="1078"/>
        <w:gridCol w:w="225"/>
      </w:tblGrid>
      <w:tr>
        <w:trPr/>
        <w:tc>
          <w:tcPr>
            <w:tcW w:w="129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252,532 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251,317 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equipment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62,439 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62,758 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software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104,434 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104,425 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464,733 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462,684 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(86,149)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(80,169)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378,584 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382,515 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property, plant and equipment for the three months ended December 31, 2025 and 2024 was $6.0 million and $4.8 million, respectively.</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Company capitalized $1.2 million from construction in progress to buildings related to lab and office build out and $3.5 million from construction in progress to manufacturing equipment relating to the further build out of the manufacturing facility.</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2025, the Company substantially completed the build out of its manufacturing facility in Verona, Wisconsin, leading to the reclassification of $162.7 million from construction in progress to buildings and $2.6 million from construction in progress to manufacturing equipment. The Company subsequently incurred and capitalized $10.6 million to buildings and $16.0 million to manufacturing equipment during the remainder of fiscal 2025. Furthermore, the Company began depreciating the newly completed manufacturing facility over a 39-year period and the manufacturing equipment over 7- or 10-year periods.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120" w:after="120"/>
        <w:ind w:left="0" w:right="0" w:firstLine="540"/>
        <w:jc w:val="both"/>
        <w:rPr>
          <w:rFonts w:ascii="Times New Roman;serif" w:hAnsi="Times New Roman;serif"/>
          <w:b w:val="false"/>
          <w:color w:val="242424"/>
          <w:sz w:val="20"/>
        </w:rPr>
      </w:pPr>
      <w:r>
        <w:rPr>
          <w:rFonts w:ascii="Times New Roman;serif" w:hAnsi="Times New Roman;serif"/>
          <w:b w:val="false"/>
          <w:color w:val="242424"/>
          <w:sz w:val="20"/>
        </w:rPr>
        <w:t>Accrued expenses consisted of the following as of:</w:t>
      </w:r>
    </w:p>
    <w:tbl>
      <w:tblPr>
        <w:tblW w:w="8920" w:type="dxa"/>
        <w:jc w:val="left"/>
        <w:tblInd w:w="0" w:type="dxa"/>
        <w:tblLayout w:type="fixed"/>
        <w:tblCellMar>
          <w:top w:w="28" w:type="dxa"/>
          <w:left w:w="28" w:type="dxa"/>
          <w:bottom w:w="28" w:type="dxa"/>
          <w:right w:w="28" w:type="dxa"/>
        </w:tblCellMar>
      </w:tblPr>
      <w:tblGrid>
        <w:gridCol w:w="1994"/>
        <w:gridCol w:w="1752"/>
        <w:gridCol w:w="1758"/>
        <w:gridCol w:w="282"/>
        <w:gridCol w:w="1061"/>
        <w:gridCol w:w="157"/>
        <w:gridCol w:w="109"/>
        <w:gridCol w:w="109"/>
        <w:gridCol w:w="109"/>
        <w:gridCol w:w="313"/>
        <w:gridCol w:w="1031"/>
        <w:gridCol w:w="245"/>
      </w:tblGrid>
      <w:tr>
        <w:trPr/>
        <w:tc>
          <w:tcPr>
            <w:tcW w:w="199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September 30, 2025</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 xml:space="preserve">(in thousands) </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242424"/>
                <w:sz w:val="18"/>
              </w:rPr>
            </w:pPr>
            <w:r>
              <w:rPr>
                <w:rFonts w:ascii="Times New Roman;serif" w:hAnsi="Times New Roman;serif"/>
                <w:b w:val="false"/>
                <w:color w:val="242424"/>
                <w:sz w:val="18"/>
              </w:rPr>
              <w:t>Accrued research and development expenses</w:t>
            </w:r>
          </w:p>
        </w:tc>
        <w:tc>
          <w:tcPr>
            <w:tcW w:w="2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42,100 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30,330 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242424"/>
                <w:sz w:val="18"/>
              </w:rPr>
            </w:pPr>
            <w:r>
              <w:rPr>
                <w:rFonts w:ascii="Times New Roman;serif" w:hAnsi="Times New Roman;serif"/>
                <w:b w:val="false"/>
                <w:color w:val="242424"/>
                <w:sz w:val="18"/>
              </w:rPr>
              <w:t>Accrued research and development expenses; co-development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31,296 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Accrued capital expenditures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277 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Accrued income taxes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20,799 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Dividends declared by variable interest entity to noncontrolling shareholders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40,520 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42424"/>
              </w:rPr>
            </w:pPr>
            <w:r>
              <w:rPr>
                <w:color w:val="242424"/>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Other</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7,717 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Total accrued expenses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130,081 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90,419 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accrued research and development expenses was primarily attributable to ongoing clinical trial operations, preclinical animal studies, and associated toxicology assessments. In addition, accrued research and development expenses; co-development relates to the co-development and co-commercialization activities under the Takeda License Agreement (see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INVESTMENTS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investments consisted of the following:</w:t>
      </w:r>
    </w:p>
    <w:tbl>
      <w:tblPr>
        <w:tblW w:w="8051" w:type="dxa"/>
        <w:jc w:val="left"/>
        <w:tblInd w:w="0" w:type="dxa"/>
        <w:tblLayout w:type="fixed"/>
        <w:tblCellMar>
          <w:top w:w="28" w:type="dxa"/>
          <w:left w:w="28" w:type="dxa"/>
          <w:bottom w:w="28" w:type="dxa"/>
          <w:right w:w="28" w:type="dxa"/>
        </w:tblCellMar>
      </w:tblPr>
      <w:tblGrid>
        <w:gridCol w:w="761"/>
        <w:gridCol w:w="668"/>
        <w:gridCol w:w="671"/>
        <w:gridCol w:w="217"/>
        <w:gridCol w:w="817"/>
        <w:gridCol w:w="121"/>
        <w:gridCol w:w="109"/>
        <w:gridCol w:w="109"/>
        <w:gridCol w:w="109"/>
        <w:gridCol w:w="306"/>
        <w:gridCol w:w="872"/>
        <w:gridCol w:w="172"/>
        <w:gridCol w:w="109"/>
        <w:gridCol w:w="109"/>
        <w:gridCol w:w="109"/>
        <w:gridCol w:w="414"/>
        <w:gridCol w:w="732"/>
        <w:gridCol w:w="233"/>
        <w:gridCol w:w="109"/>
        <w:gridCol w:w="109"/>
        <w:gridCol w:w="109"/>
        <w:gridCol w:w="196"/>
        <w:gridCol w:w="73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711,174 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Short</w:t>
              <w:noBreakHyphen/>
              <w:t>term investments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investments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711,885 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8051" w:type="dxa"/>
        <w:jc w:val="left"/>
        <w:tblInd w:w="0" w:type="dxa"/>
        <w:tblLayout w:type="fixed"/>
        <w:tblCellMar>
          <w:top w:w="28" w:type="dxa"/>
          <w:left w:w="28" w:type="dxa"/>
          <w:bottom w:w="28" w:type="dxa"/>
          <w:right w:w="28" w:type="dxa"/>
        </w:tblCellMar>
      </w:tblPr>
      <w:tblGrid>
        <w:gridCol w:w="761"/>
        <w:gridCol w:w="668"/>
        <w:gridCol w:w="671"/>
        <w:gridCol w:w="217"/>
        <w:gridCol w:w="817"/>
        <w:gridCol w:w="121"/>
        <w:gridCol w:w="109"/>
        <w:gridCol w:w="109"/>
        <w:gridCol w:w="109"/>
        <w:gridCol w:w="306"/>
        <w:gridCol w:w="872"/>
        <w:gridCol w:w="172"/>
        <w:gridCol w:w="109"/>
        <w:gridCol w:w="109"/>
        <w:gridCol w:w="109"/>
        <w:gridCol w:w="414"/>
        <w:gridCol w:w="732"/>
        <w:gridCol w:w="233"/>
        <w:gridCol w:w="109"/>
        <w:gridCol w:w="109"/>
        <w:gridCol w:w="109"/>
        <w:gridCol w:w="196"/>
        <w:gridCol w:w="73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689,882 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investments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689,882 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 maturity of the available-for-sale securities and short-term investments as of:</w:t>
      </w:r>
    </w:p>
    <w:tbl>
      <w:tblPr>
        <w:tblW w:w="5127" w:type="dxa"/>
        <w:jc w:val="left"/>
        <w:tblInd w:w="0" w:type="dxa"/>
        <w:tblLayout w:type="fixed"/>
        <w:tblCellMar>
          <w:top w:w="28" w:type="dxa"/>
          <w:left w:w="28" w:type="dxa"/>
          <w:bottom w:w="28" w:type="dxa"/>
          <w:right w:w="28" w:type="dxa"/>
        </w:tblCellMar>
      </w:tblPr>
      <w:tblGrid>
        <w:gridCol w:w="617"/>
        <w:gridCol w:w="543"/>
        <w:gridCol w:w="550"/>
        <w:gridCol w:w="282"/>
        <w:gridCol w:w="1061"/>
        <w:gridCol w:w="157"/>
        <w:gridCol w:w="109"/>
        <w:gridCol w:w="109"/>
        <w:gridCol w:w="109"/>
        <w:gridCol w:w="287"/>
        <w:gridCol w:w="1078"/>
        <w:gridCol w:w="225"/>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September 30, 2025</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Within one year</w:t>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366,561 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After one to two years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348,406 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468,490 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714,967 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September 30, 2025, the gross unrealized losses were immaterial. The Company has determined that the available-for-sale securities that were in an unrealized loss position did not have any credit loss impairment as of December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subject to amortization include patents and a license agreement capitalized as part of the Novartis RNAi asset acquisition in March 2015. The following table presents the components of intangible assets: </w:t>
      </w:r>
    </w:p>
    <w:tbl>
      <w:tblPr>
        <w:tblW w:w="10205" w:type="dxa"/>
        <w:jc w:val="left"/>
        <w:tblInd w:w="0" w:type="dxa"/>
        <w:tblLayout w:type="fixed"/>
        <w:tblCellMar>
          <w:top w:w="28" w:type="dxa"/>
          <w:left w:w="28" w:type="dxa"/>
          <w:bottom w:w="28" w:type="dxa"/>
          <w:right w:w="28" w:type="dxa"/>
        </w:tblCellMar>
      </w:tblPr>
      <w:tblGrid>
        <w:gridCol w:w="700"/>
        <w:gridCol w:w="605"/>
        <w:gridCol w:w="606"/>
        <w:gridCol w:w="347"/>
        <w:gridCol w:w="1145"/>
        <w:gridCol w:w="193"/>
        <w:gridCol w:w="109"/>
        <w:gridCol w:w="109"/>
        <w:gridCol w:w="109"/>
        <w:gridCol w:w="383"/>
        <w:gridCol w:w="1268"/>
        <w:gridCol w:w="215"/>
        <w:gridCol w:w="109"/>
        <w:gridCol w:w="109"/>
        <w:gridCol w:w="109"/>
        <w:gridCol w:w="264"/>
        <w:gridCol w:w="548"/>
        <w:gridCol w:w="149"/>
        <w:gridCol w:w="109"/>
        <w:gridCol w:w="109"/>
        <w:gridCol w:w="109"/>
        <w:gridCol w:w="349"/>
        <w:gridCol w:w="992"/>
        <w:gridCol w:w="194"/>
        <w:gridCol w:w="109"/>
        <w:gridCol w:w="109"/>
        <w:gridCol w:w="109"/>
        <w:gridCol w:w="273"/>
        <w:gridCol w:w="273"/>
        <w:gridCol w:w="393"/>
      </w:tblGrid>
      <w:tr>
        <w:trPr/>
        <w:tc>
          <w:tcPr>
            <w:tcW w:w="7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Lives</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16,813 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4,915 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 net</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24,857 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18,421 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6,436 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9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 net</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24,857 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17,996 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are reviewed annually for impairment and more frequently if potential impairment indicators exist. No impairment indicators were identified during the three months ended December 31, 2025 and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with definite useful lives are amortized on a straight-line basis over their useful lives. Intangible assets amortization expense was $0.4 million for the three months ended December 31, 2025 and 2024. None of the intangible assets with definite useful lives are anticipated to have a residual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amortization expense related to intangible assets as of December 31, 2025:</w:t>
      </w:r>
    </w:p>
    <w:tbl>
      <w:tblPr>
        <w:tblW w:w="4240"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378"/>
        <w:gridCol w:w="1077"/>
        <w:gridCol w:w="299"/>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Year Ending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6,436 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STOCKHOLDERS’ EQUITY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and preferred stock:</w:t>
      </w:r>
    </w:p>
    <w:tbl>
      <w:tblPr>
        <w:tblW w:w="6063" w:type="dxa"/>
        <w:jc w:val="left"/>
        <w:tblInd w:w="0" w:type="dxa"/>
        <w:tblLayout w:type="fixed"/>
        <w:tblCellMar>
          <w:top w:w="28" w:type="dxa"/>
          <w:left w:w="28" w:type="dxa"/>
          <w:bottom w:w="28" w:type="dxa"/>
          <w:right w:w="28" w:type="dxa"/>
        </w:tblCellMar>
      </w:tblPr>
      <w:tblGrid>
        <w:gridCol w:w="750"/>
        <w:gridCol w:w="659"/>
        <w:gridCol w:w="661"/>
        <w:gridCol w:w="196"/>
        <w:gridCol w:w="556"/>
        <w:gridCol w:w="109"/>
        <w:gridCol w:w="368"/>
        <w:gridCol w:w="368"/>
        <w:gridCol w:w="306"/>
        <w:gridCol w:w="368"/>
        <w:gridCol w:w="368"/>
        <w:gridCol w:w="181"/>
        <w:gridCol w:w="368"/>
        <w:gridCol w:w="368"/>
        <w:gridCol w:w="437"/>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Authorized</w:t>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Common stock </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137,391 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135,702 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color w:val="000000"/>
        </w:rPr>
      </w:pPr>
      <w:r>
        <w:rPr>
          <w:color w:val="000000"/>
        </w:rPr>
        <w:t>    </w:t>
      </w:r>
      <w:r>
        <w:rPr>
          <w:rFonts w:ascii="Times New Roman;serif" w:hAnsi="Times New Roman;serif"/>
          <w:b w:val="false"/>
          <w:i/>
          <w:color w:val="000000"/>
          <w:sz w:val="20"/>
        </w:rPr>
        <w:t>(1) Does not include shares of common stock into which the Avoro Pre-Funded Warrants may be exercised.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September 30, 2025, respectively, 8,857,038 and 9,851,400 shares of common stock were reserved for issuance upon exercise of options and vesting of restricted stock units granted or available for grant under the Company’s 2013 and 2021 Incentive Plans, as well as for other inducement grants made to new employees under Rule 5635(c)(4) of the Nasdaq Listing Rules.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25, 2024, the Company entered into a Securities Purchase Agreement (the “Securities Purchase Agreement”) with an institutional and accredited investor for a private placement of pre-funded warrants to purchase shares of common stock with an exercise price of $0.001 per share (“Avoro Pre-Funded Warrants”). Pursuant to the Securities Purchase Agreement, the Company sold pre-funded warrants to purchase up to 917,441 shares of common stock at a purchase price of $27.25 per pre-funded warrant, for an aggregate value of approximately $25.0 million. The outstanding Avoro Pre-Funded Warrants are exercisable at any time and do not have an expiration date.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determined that the Avoro Pre-Funded Warrants are freestanding financial instruments because they (i) are immediately exercisable, (ii) do not embody an obligation for the Company to repurchase its shares, (iii) permit the holders to receive a fixed number of shares of common stock upon exercise, and (iv) are indexed to the Company’s common stock. As such, the Company evaluated the Avoro Pre-Funded Warrants to determine whether they represent instruments that require liability classification pursuant to the guidance in ASC 480. However, the Company concluded that the Avoro Pre-Funded Warrants are not a liability within the scope of ASC 480 due to their characteristics. Further, the Company determined that the Avoro Pre-Funded Warrants do not meet the definition of a derivative under ASC 815 because they do not meet the criteria regarding no or little initial net investment. Accordingly, the Company assessed the Avoro Pre-Funded Warrants relative to the guidance in ASC 815-40, </w:t>
      </w:r>
      <w:r>
        <w:rPr>
          <w:rFonts w:ascii="Times New Roman;serif" w:hAnsi="Times New Roman;serif"/>
          <w:b w:val="false"/>
          <w:i/>
          <w:color w:val="000000"/>
          <w:sz w:val="20"/>
        </w:rPr>
        <w:t>Contracts in Entity's Own Equity</w:t>
      </w:r>
      <w:r>
        <w:rPr>
          <w:rFonts w:ascii="Times New Roman;serif" w:hAnsi="Times New Roman;serif"/>
          <w:b w:val="false"/>
          <w:color w:val="000000"/>
          <w:sz w:val="20"/>
        </w:rPr>
        <w:t xml:space="preserve">, to determine the appropriate treatment. The Company concluded that the Avoro Pre-funded Warrants are both indexed to its own stock and meet all other conditions for equity classification. Accordingly, the Company has classified the Avoro Pre-funded Warrants as permanent equity. As of December 31, 2025, no shares underlying the Avoro Pre-Funded Warrants had been exercised.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Sarepta Collaboration Agreement, on November 25, 2024, the Company entered into the Stock Purchase Agreement with an affiliate of Sarepta for a private placement of shares of common stock of the Company (the “Private Placement”). Pursuant to the Stock Purchase Agreement, the Company sold 11,926,301 shares of common stock, at a price per share of $27.25, for an aggregate value of approximately $325.0 million. The Private Placement closed on February 7, 2025. On August 13, 2025, the Company subsequently entered into an agreement with Sarepta to repurchase 2,660,989 common stock of the Company from Sarepta at a price per share of $18.79 for an aggregate value of approximately $50.0 million and approximately $50.0 million in cash to partially satisfy the milestone payment of $100.0 million due from Sarepta. The shares were recorded as treasury stock at their fair value of $53.2 million, resulting in a $3.2 million gain on settlement. As of the end of fiscal 2025, Sarepta no longer holds an equity position in the Company.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 2022, the Company entered into an open market sale agreement (the “Open Market Sale Agreement”), pursuant to which the Company may, from time to time, sell up to $250.0 million in shares of the Company’s common stock through Jefferies LLC (“Jefferies”),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Open Market Sale Agreement and (ii) the termination of the Open Market Sale Agreement as permitted therein. The Company and Jefferies may each terminate the Open Market Sale Agreement at any time upon prior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10, 2025, the Company and Jefferies entered into an Amended and Restated Open Market Sale Agreement (the “Amended and Restated Sale Agreement”), which amended and restated the Open Market Sale Agreement in its entirety. The Amended and Restated Sale Agreement continues to provide for the sale, from time to time, of shares of the Company’s common stock up to the maximum program amount permitted under the Company’s shelf registration statement and subject to continued compliance with the terms of the Amended and Restated Sale Agreement, including the delivery of issuance notices, prospectus supplements, and periodically updated representations, warranties, and deliverables. The Amended and Restated Sale Agreement may be terminated by either party upon written notice, and the Company will continue to pay Jefferies a commission of up to 3.0% of the gross proceeds of all sales made under the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Company sold approximately 689,000 shares of common stock under the ATM Offering, generating gross proceeds of $48.2 million and net proceeds of $46.8 million, after deducting underwriting commissions and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December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2025, the Company filed a Complaint for Declaratory Judgment in the United States District Court for the District of Delaware against Ionis Pharmaceuticals, Inc. (“Ionis”) to declare that the United States Patent No. 9,593,333 (“the ’333 patent”) is invalid and not infringed by the Company’s planned commercialization of investigational plozasiran. On September 11, 2025, Ionis filed a Complaint for Patent Infringement against the Company in the United States District Court for the Central District of California alleging patent infringement of the ’333 patent by the Company’s planned commercialization of investigational plozasiran and seeking damages. On December 23, 2025, the court granted Ionis’ motion to dismiss. The Company disputes the allegations of wrongdoing and intends to vigorously defend itself.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owns land in the Verona Technology Park in Verona, Wisconsin, where it has constructed an approximately 160,000 square foot drug manufacturing facility and an approximately 140,000 square foot laboratory and office facility to support the Company's manufacturing, process development, and analytical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build-out of these facilities was substantially completed, with total costs incurred of $298.5 million. These costs included $173.5 million capitalized to building, $79.1 million capitalized to building relating to the laboratory and office facility, $22.1 million capitalized to manufacturing equipment, $13.3 million in construction in progress relating to the drug manufacturing facility, $7.9 million capitalized to research equipment and $2.6 million capitalized to furniture.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8. RELATED PARTY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through its consolidated variable interest entity, Visirna, entered into an Asset Transfer Agreement closing on January 15, 2026 (the “Asset Transfer Agreement”) with Bisirna Therapeutics, Inc. (“Bisirna”). See Note 16, Subsequent Events.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Bisirna is considered a related party because the CEO of the consolidated variable interest entity, Visirna, is the owner of Bisirna. Under the Asset Transfer Agreement, Visirna has agreed to sell and transfer certain assets and rights associated with R&amp;D technology to Bisirna, subject to the satisfaction of closing conditions.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transaction has not closed and the Company has not recorded any amounts related to the transaction in the accompanying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120" w:after="283"/>
        <w:jc w:val="both"/>
        <w:rPr/>
      </w:pPr>
      <w:r>
        <w:rPr>
          <w:rFonts w:ascii="Times New Roman;serif" w:hAnsi="Times New Roman;serif"/>
          <w:b/>
          <w:color w:val="000000"/>
          <w:sz w:val="20"/>
          <w:u w:val="single"/>
        </w:rPr>
        <w:t>Pasadena, California</w:t>
      </w:r>
      <w:r>
        <w:rPr>
          <w:rFonts w:ascii="Times New Roman;serif" w:hAnsi="Times New Roman;serif"/>
          <w:b w:val="false"/>
          <w:color w:val="000000"/>
          <w:sz w:val="20"/>
        </w:rPr>
        <w:t xml:space="preserve">: The Company leases 49,000 square feet of office space located at 177 East Colorado Blvd. for its corporate headquarters from 177 Colorado Owner, LLC, which lease expires on April 30, 2027. The lease contains an option to renew for one additional five-year term. The Company is not reasonably certain that it will exercise this option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renew and therefore it is not included in right-of-use assets and liabilities as of December 31, 2025.</w:t>
      </w:r>
    </w:p>
    <w:p>
      <w:pPr>
        <w:pStyle w:val="TextBody"/>
        <w:bidi w:val="0"/>
        <w:spacing w:lineRule="auto" w:line="288" w:before="120" w:after="283"/>
        <w:jc w:val="both"/>
        <w:rPr/>
      </w:pPr>
      <w:r>
        <w:rPr>
          <w:rFonts w:ascii="Times New Roman;serif" w:hAnsi="Times New Roman;serif"/>
          <w:b/>
          <w:color w:val="000000"/>
          <w:sz w:val="20"/>
          <w:u w:val="single"/>
        </w:rPr>
        <w:t>San Diego, California</w:t>
      </w:r>
      <w:r>
        <w:rPr>
          <w:rFonts w:ascii="Times New Roman;serif" w:hAnsi="Times New Roman;serif"/>
          <w:b w:val="false"/>
          <w:color w:val="000000"/>
          <w:sz w:val="20"/>
        </w:rPr>
        <w:t>: The Company leases 144,000 square feet of office and research and development laboratory space located at 10102 Hoyt Park from 11404 &amp; 11408 Sorrento Valley Owner, LLC, which lease expires on April 30, 2038. Pursuant to the lease, within twelve months of the expiration of the initial 15-year term, the Company has the option to extend the lease for up to one additional ten-year term, with certain annual increases in base rent. The Company is not reasonably certain that it will exercise this option to renew and therefore it is not included in right-of-use assets and liabilities as of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lease agreement, as amended, granted the Company the right to receive an Additional Tenant Improvement Allowance (“ATIA”) funded by the lessor. The Company received $30.8 million in ATIA, including a final payment of $3.1 million during the first quarter of fiscal 2024. As a result, the Company remeasured its lease liability and right-of-use assets to reflect these additional allowances and the related increased lease payments. The Company has further concluded that these ATIAs have no effects on the classification of the lease.</w:t>
      </w:r>
    </w:p>
    <w:p>
      <w:pPr>
        <w:pStyle w:val="TextBody"/>
        <w:bidi w:val="0"/>
        <w:spacing w:lineRule="auto" w:line="288" w:before="120" w:after="283"/>
        <w:jc w:val="both"/>
        <w:rPr/>
      </w:pPr>
      <w:r>
        <w:rPr>
          <w:rFonts w:ascii="Times New Roman;serif" w:hAnsi="Times New Roman;serif"/>
          <w:b/>
          <w:color w:val="000000"/>
          <w:sz w:val="20"/>
          <w:u w:val="single"/>
        </w:rPr>
        <w:t>Madison, Wisconsin</w:t>
      </w:r>
      <w:r>
        <w:rPr>
          <w:rFonts w:ascii="Times New Roman;serif" w:hAnsi="Times New Roman;serif"/>
          <w:b w:val="false"/>
          <w:color w:val="000000"/>
          <w:sz w:val="20"/>
        </w:rPr>
        <w:t>: The Company leases 110,956 square feet space, which it increased from 107,000 square feet on June 30, 2025, located at 502 South Rosa Road for its office and laboratory facilities, which lease expires on September 30, 2031. The lease contains options to renew for two terms of five years. The Company is not reasonably certain that it will exercise this option and therefore it is not included in right-of-use assets and liabilities as of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lease assets and liabilities along with their classification on the Company’s consolidated balance sheets were as follows:</w:t>
      </w:r>
    </w:p>
    <w:tbl>
      <w:tblPr>
        <w:tblW w:w="9383" w:type="dxa"/>
        <w:jc w:val="left"/>
        <w:tblInd w:w="0" w:type="dxa"/>
        <w:tblLayout w:type="fixed"/>
        <w:tblCellMar>
          <w:top w:w="28" w:type="dxa"/>
          <w:left w:w="28" w:type="dxa"/>
          <w:bottom w:w="28" w:type="dxa"/>
          <w:right w:w="28" w:type="dxa"/>
        </w:tblCellMar>
      </w:tblPr>
      <w:tblGrid>
        <w:gridCol w:w="998"/>
        <w:gridCol w:w="878"/>
        <w:gridCol w:w="884"/>
        <w:gridCol w:w="924"/>
        <w:gridCol w:w="924"/>
        <w:gridCol w:w="927"/>
        <w:gridCol w:w="109"/>
        <w:gridCol w:w="109"/>
        <w:gridCol w:w="109"/>
        <w:gridCol w:w="318"/>
        <w:gridCol w:w="1050"/>
        <w:gridCol w:w="177"/>
        <w:gridCol w:w="109"/>
        <w:gridCol w:w="109"/>
        <w:gridCol w:w="109"/>
        <w:gridCol w:w="324"/>
        <w:gridCol w:w="1070"/>
        <w:gridCol w:w="255"/>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Lease Assets and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43,891 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102,129 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104,112 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7689" w:type="dxa"/>
        <w:jc w:val="left"/>
        <w:tblInd w:w="0" w:type="dxa"/>
        <w:tblLayout w:type="fixed"/>
        <w:tblCellMar>
          <w:top w:w="28" w:type="dxa"/>
          <w:left w:w="28" w:type="dxa"/>
          <w:bottom w:w="28" w:type="dxa"/>
          <w:right w:w="28" w:type="dxa"/>
        </w:tblCellMar>
      </w:tblPr>
      <w:tblGrid>
        <w:gridCol w:w="592"/>
        <w:gridCol w:w="520"/>
        <w:gridCol w:w="523"/>
        <w:gridCol w:w="869"/>
        <w:gridCol w:w="869"/>
        <w:gridCol w:w="872"/>
        <w:gridCol w:w="109"/>
        <w:gridCol w:w="109"/>
        <w:gridCol w:w="109"/>
        <w:gridCol w:w="252"/>
        <w:gridCol w:w="716"/>
        <w:gridCol w:w="140"/>
        <w:gridCol w:w="140"/>
        <w:gridCol w:w="140"/>
        <w:gridCol w:w="140"/>
        <w:gridCol w:w="252"/>
        <w:gridCol w:w="716"/>
        <w:gridCol w:w="140"/>
        <w:gridCol w:w="109"/>
        <w:gridCol w:w="109"/>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Lease Cost</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Variable lease cost </w:t>
            </w:r>
            <w:r>
              <w:rPr>
                <w:rFonts w:ascii="Times New Roman;serif" w:hAnsi="Times New Roman;serif"/>
                <w:b w:val="false"/>
                <w:color w:val="000000"/>
                <w:sz w:val="12"/>
              </w:rPr>
              <w:t>(1)</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(1) Variable lease cost is primarily related to operating expenses associated with the Company’s operating leases.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short-term lease cost during the three months ended December 31, 2025 and 2024, respectively.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maturities of operating lease liabilities on an undiscounted basis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5265" w:type="dxa"/>
        <w:jc w:val="left"/>
        <w:tblInd w:w="0" w:type="dxa"/>
        <w:tblLayout w:type="fixed"/>
        <w:tblCellMar>
          <w:top w:w="28" w:type="dxa"/>
          <w:left w:w="28" w:type="dxa"/>
          <w:bottom w:w="28" w:type="dxa"/>
          <w:right w:w="28" w:type="dxa"/>
        </w:tblCellMar>
      </w:tblPr>
      <w:tblGrid>
        <w:gridCol w:w="1479"/>
        <w:gridCol w:w="1299"/>
        <w:gridCol w:w="1317"/>
        <w:gridCol w:w="211"/>
        <w:gridCol w:w="793"/>
        <w:gridCol w:w="166"/>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11,929 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13,696 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14,282 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169,614 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(59,956)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 (includes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109,658 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cash flow and other information related to leases was as follows:</w:t>
      </w:r>
    </w:p>
    <w:tbl>
      <w:tblPr>
        <w:tblW w:w="9162" w:type="dxa"/>
        <w:jc w:val="left"/>
        <w:tblInd w:w="0" w:type="dxa"/>
        <w:tblLayout w:type="fixed"/>
        <w:tblCellMar>
          <w:top w:w="28" w:type="dxa"/>
          <w:left w:w="28" w:type="dxa"/>
          <w:bottom w:w="28" w:type="dxa"/>
          <w:right w:w="28" w:type="dxa"/>
        </w:tblCellMar>
      </w:tblPr>
      <w:tblGrid>
        <w:gridCol w:w="2192"/>
        <w:gridCol w:w="1920"/>
        <w:gridCol w:w="1933"/>
        <w:gridCol w:w="223"/>
        <w:gridCol w:w="634"/>
        <w:gridCol w:w="275"/>
        <w:gridCol w:w="124"/>
        <w:gridCol w:w="124"/>
        <w:gridCol w:w="124"/>
        <w:gridCol w:w="223"/>
        <w:gridCol w:w="634"/>
        <w:gridCol w:w="275"/>
        <w:gridCol w:w="109"/>
        <w:gridCol w:w="109"/>
        <w:gridCol w:w="109"/>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for amounts included in the measurement of lease liabilities: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 adjusted in exchange for new/amended operating lease liabilities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three plans that provide for equity-based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2013 Incentive Plan (the “2013 Plan”), 1,721,592 awards are granted and outstanding, relating to stock options and restricted stock awards to employees and directors as of December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2021 Incentive Plan (the “2021 Plan”), 8,000,000 shares (subject to certain adjustments) of the Company’s common stock are authorized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December 31, 2025, 6,789,307 shares have been granted under the 2021 Plan. The total number of shares available for issuance was 1,833,483 shares, which includes 170,898 and 451,892 shares that were forfeited under the 2013 and 2021 Plans, respectively.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Company</w:t>
      </w:r>
      <w:r>
        <w:rPr>
          <w:color w:val="000000"/>
        </w:rPr>
        <w:t>’</w:t>
      </w:r>
      <w:r>
        <w:rPr>
          <w:rFonts w:ascii="Times New Roman;serif" w:hAnsi="Times New Roman;serif"/>
          <w:b w:val="false"/>
          <w:color w:val="000000"/>
          <w:sz w:val="20"/>
        </w:rPr>
        <w:t>s Inducement Plan (the “Inducement Plan”), 832,950 shares of the Company’s common stock are authorized for issuance pursuant to grants of stock options, stock appreciation rights, restricted and unrestricted stock, stock units (including restricted stock units), performance awards, cash awards, and other awards convertible into or otherwise based on shares of the Company’s common stock. Awards under the Inducement Plan may only be granted to new employees of the Company in accordance with the provisions of Rule 5635(c)(4) of the Nasdaq Listing Rules. As of December 31, 2025,</w:t>
      </w:r>
      <w:r>
        <w:rPr>
          <w:color w:val="000000"/>
        </w:rPr>
        <w:t xml:space="preserve"> </w:t>
      </w:r>
      <w:r>
        <w:rPr>
          <w:rFonts w:ascii="Times New Roman;serif" w:hAnsi="Times New Roman;serif"/>
          <w:b w:val="false"/>
          <w:color w:val="000000"/>
          <w:sz w:val="20"/>
        </w:rPr>
        <w:t>821,145 shares have been granted, net of cancellations, under the Inducement Plan. The total number of shares remaining available for issuance was 11,805 shares.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addition, prior to adoption of the Inducement Plan, the Company previously granted stand-alone inducement awards in the form of stock options and restricted stock units outside of the Company</w:t>
      </w:r>
      <w:r>
        <w:rPr>
          <w:color w:val="000000"/>
        </w:rPr>
        <w:t>’</w:t>
      </w:r>
      <w:r>
        <w:rPr>
          <w:rFonts w:ascii="Times New Roman;serif" w:hAnsi="Times New Roman;serif"/>
          <w:b w:val="false"/>
          <w:color w:val="000000"/>
          <w:sz w:val="20"/>
        </w:rPr>
        <w:t>s equity plans to new employees under Rule 5635(c)(4) of the Nasdaq Listing Rules. As of December 31, 2025, there were 684,030 and 69,375 shares underlying outstanding stand-alone inducement options and restricted stock units,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awards outstanding attributable to Arrowhead Pharmaceuticals, Inc.:</w:t>
      </w:r>
    </w:p>
    <w:tbl>
      <w:tblPr>
        <w:tblW w:w="9011" w:type="dxa"/>
        <w:jc w:val="center"/>
        <w:tblInd w:w="0" w:type="dxa"/>
        <w:tblLayout w:type="fixed"/>
        <w:tblCellMar>
          <w:top w:w="28" w:type="dxa"/>
          <w:left w:w="28" w:type="dxa"/>
          <w:bottom w:w="28" w:type="dxa"/>
          <w:right w:w="28" w:type="dxa"/>
        </w:tblCellMar>
      </w:tblPr>
      <w:tblGrid>
        <w:gridCol w:w="1000"/>
        <w:gridCol w:w="877"/>
        <w:gridCol w:w="882"/>
        <w:gridCol w:w="109"/>
        <w:gridCol w:w="109"/>
        <w:gridCol w:w="109"/>
        <w:gridCol w:w="435"/>
        <w:gridCol w:w="436"/>
        <w:gridCol w:w="281"/>
        <w:gridCol w:w="109"/>
        <w:gridCol w:w="109"/>
        <w:gridCol w:w="109"/>
        <w:gridCol w:w="435"/>
        <w:gridCol w:w="436"/>
        <w:gridCol w:w="281"/>
        <w:gridCol w:w="109"/>
        <w:gridCol w:w="109"/>
        <w:gridCol w:w="109"/>
        <w:gridCol w:w="514"/>
        <w:gridCol w:w="514"/>
        <w:gridCol w:w="516"/>
        <w:gridCol w:w="109"/>
        <w:gridCol w:w="109"/>
        <w:gridCol w:w="109"/>
        <w:gridCol w:w="435"/>
        <w:gridCol w:w="436"/>
        <w:gridCol w:w="22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Inducement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Granted and outstanding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621,592 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32,151 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456,610 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1,110,353 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4,047,992 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753,405 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5,901,397 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1,721,592 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4,080,143 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1,210,015 </w:t>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7,011,750 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expenses included in operating expenses attributable to Arrowhead Pharmaceuticals, Inc.:</w:t>
      </w:r>
    </w:p>
    <w:tbl>
      <w:tblPr>
        <w:tblW w:w="5130" w:type="dxa"/>
        <w:jc w:val="center"/>
        <w:tblInd w:w="0" w:type="dxa"/>
        <w:tblLayout w:type="fixed"/>
        <w:tblCellMar>
          <w:top w:w="28" w:type="dxa"/>
          <w:left w:w="28" w:type="dxa"/>
          <w:bottom w:w="28" w:type="dxa"/>
          <w:right w:w="28" w:type="dxa"/>
        </w:tblCellMar>
      </w:tblPr>
      <w:tblGrid>
        <w:gridCol w:w="728"/>
        <w:gridCol w:w="640"/>
        <w:gridCol w:w="642"/>
        <w:gridCol w:w="232"/>
        <w:gridCol w:w="765"/>
        <w:gridCol w:w="129"/>
        <w:gridCol w:w="129"/>
        <w:gridCol w:w="129"/>
        <w:gridCol w:w="129"/>
        <w:gridCol w:w="232"/>
        <w:gridCol w:w="765"/>
        <w:gridCol w:w="12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19,590 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14,175 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stock option activity for the three months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7683" w:type="dxa"/>
        <w:jc w:val="left"/>
        <w:tblInd w:w="0" w:type="dxa"/>
        <w:tblLayout w:type="fixed"/>
        <w:tblCellMar>
          <w:top w:w="28" w:type="dxa"/>
          <w:left w:w="28" w:type="dxa"/>
          <w:bottom w:w="28" w:type="dxa"/>
          <w:right w:w="28" w:type="dxa"/>
        </w:tblCellMar>
      </w:tblPr>
      <w:tblGrid>
        <w:gridCol w:w="950"/>
        <w:gridCol w:w="835"/>
        <w:gridCol w:w="840"/>
        <w:gridCol w:w="274"/>
        <w:gridCol w:w="274"/>
        <w:gridCol w:w="278"/>
        <w:gridCol w:w="109"/>
        <w:gridCol w:w="109"/>
        <w:gridCol w:w="109"/>
        <w:gridCol w:w="196"/>
        <w:gridCol w:w="556"/>
        <w:gridCol w:w="109"/>
        <w:gridCol w:w="109"/>
        <w:gridCol w:w="109"/>
        <w:gridCol w:w="109"/>
        <w:gridCol w:w="359"/>
        <w:gridCol w:w="359"/>
        <w:gridCol w:w="361"/>
        <w:gridCol w:w="109"/>
        <w:gridCol w:w="109"/>
        <w:gridCol w:w="109"/>
        <w:gridCol w:w="196"/>
        <w:gridCol w:w="96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September 30, 2025</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1,407,035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 or expired</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(296,682)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1,110,353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38,383,567 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December 31, 2025</w:t>
            </w:r>
          </w:p>
        </w:tc>
        <w:tc>
          <w:tcPr>
            <w:tcW w:w="8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1,110,353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38,384,567 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values represent the amount by which the market price of the underlying stock exceeds the exercise price of the option. The total intrinsic value of the options exercised during the three months ended December 31, 2025 and 2024 was $12.6 million and $0.9 million,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stock options outstanding for the three months ended December 31, 2025 and 2024, was $0 and $0.1 million,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pre-tax compensation expense for all outstanding unvested stock options is considered nominal.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award is estimated on the date of grant using the Black-Scholes option pricing model. The Black-Scholes option pricing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No options were granted during the three months ended December 31, 2025 and 2024.</w:t>
      </w:r>
    </w:p>
    <w:p>
      <w:pPr>
        <w:pStyle w:val="TextBody"/>
        <w:bidi w:val="0"/>
        <w:spacing w:lineRule="auto" w:line="288" w:before="180" w:after="283"/>
        <w:ind w:left="0" w:right="0" w:firstLine="540"/>
        <w:jc w:val="both"/>
        <w:rPr/>
      </w:pPr>
      <w:r>
        <w:rPr>
          <w:rFonts w:ascii="Times New Roman;serif" w:hAnsi="Times New Roman;serif"/>
          <w:b/>
          <w:color w:val="000000"/>
          <w:sz w:val="20"/>
          <w:u w:val="single"/>
        </w:rPr>
        <w:t>Visirna ESOP</w:t>
      </w:r>
      <w:r>
        <w:rPr>
          <w:rFonts w:ascii="Times New Roman;serif" w:hAnsi="Times New Roman;serif"/>
          <w:b w:val="false"/>
          <w:color w:val="000000"/>
          <w:sz w:val="20"/>
        </w:rPr>
        <w:t xml:space="preserve">: As of December 31, 2025, Visirna, a subsidiary of the Company, granted 14,612,000 stock options to its employees from the Employee Stock Option Plan (the “Visirna ESOP”), which authorizes 20,000,000 shares for issuance. The Visirna ESOP is independently managed by Visirna, including the valuation process. For the three months ended December 31, 2025 and 2024, stock-based compensation expense related to the Visirna ESOP was $0.2 million and $1.0 million, respectively.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Restricted Stock Units (“RSUs”), including market-based, time-based and performance-based awards, have been granted under the Company’s 2013 and 2021 Plans, the Inducement Plan, and as inducements awards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Company’s RSUs:</w:t>
      </w:r>
    </w:p>
    <w:tbl>
      <w:tblPr>
        <w:tblW w:w="4766" w:type="dxa"/>
        <w:jc w:val="left"/>
        <w:tblInd w:w="0" w:type="dxa"/>
        <w:tblLayout w:type="fixed"/>
        <w:tblCellMar>
          <w:top w:w="28" w:type="dxa"/>
          <w:left w:w="28" w:type="dxa"/>
          <w:bottom w:w="28" w:type="dxa"/>
          <w:right w:w="28" w:type="dxa"/>
        </w:tblCellMar>
      </w:tblPr>
      <w:tblGrid>
        <w:gridCol w:w="950"/>
        <w:gridCol w:w="835"/>
        <w:gridCol w:w="840"/>
        <w:gridCol w:w="294"/>
        <w:gridCol w:w="294"/>
        <w:gridCol w:w="296"/>
        <w:gridCol w:w="109"/>
        <w:gridCol w:w="109"/>
        <w:gridCol w:w="109"/>
        <w:gridCol w:w="201"/>
        <w:gridCol w:w="571"/>
        <w:gridCol w:w="15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w:t>
              <w:br/>
              <w:t>Date</w:t>
              <w:br/>
              <w:t>Fair Value</w:t>
              <w:br/>
              <w:t>Per Share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September 30, 2025</w:t>
            </w:r>
          </w:p>
        </w:tc>
        <w:tc>
          <w:tcPr>
            <w:tcW w:w="88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5,810,351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826,288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(704,406)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57.34 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88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5,901,397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38.25 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RSUs was determined based on the closing price of the Company’s common stock on the grant date, with consideration given to the probability of achieving service and/or performance conditions for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December 31, 2025 and 2024, the Company recorded $19.6 million and $14.1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expense related to RSUs, respectively. As of December 31, 2025, there was $113.7 million of total unrecognized compensation cost related to RSUs that is expected to be recognized over a weighted-average period of 2.4 years.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11. 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employs a fair value hierarchy that prioritizes the inputs to valuation techniques used to measure fair value. The Company’s valuation techniques and inputs used to measure fair value and the definition of the three levels (Level 1, Level 2, and Level 3) of the fair value hierarchy are disclosed in Note 10 - Fair Value Measurements of Notes to Consolidated Financial Statements of Part IV, “Item 15. Exhibits and Financial Statement Schedules” of its Annual Report on Form 10-K for the fiscal year ended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As of December 31, 2025 and September 30, 2025,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about the Company’s assets and liabilities measured at fair value on a recurring basis, and indicates the fair value hierarchy of the valuation techniques utilized by the Company: </w:t>
      </w:r>
    </w:p>
    <w:tbl>
      <w:tblPr>
        <w:tblW w:w="7649" w:type="dxa"/>
        <w:jc w:val="left"/>
        <w:tblInd w:w="0" w:type="dxa"/>
        <w:tblLayout w:type="fixed"/>
        <w:tblCellMar>
          <w:top w:w="28" w:type="dxa"/>
          <w:left w:w="28" w:type="dxa"/>
          <w:bottom w:w="28" w:type="dxa"/>
          <w:right w:w="28" w:type="dxa"/>
        </w:tblCellMar>
      </w:tblPr>
      <w:tblGrid>
        <w:gridCol w:w="1043"/>
        <w:gridCol w:w="916"/>
        <w:gridCol w:w="920"/>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Available-for-sale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available-for-sale securities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Short</w:t>
              <w:noBreakHyphen/>
              <w:t>term investments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Short</w:t>
              <w:noBreakHyphen/>
              <w:t>term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equivalents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instruments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deposit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tbl>
      <w:tblPr>
        <w:tblW w:w="7649" w:type="dxa"/>
        <w:jc w:val="left"/>
        <w:tblInd w:w="0" w:type="dxa"/>
        <w:tblLayout w:type="fixed"/>
        <w:tblCellMar>
          <w:top w:w="28" w:type="dxa"/>
          <w:left w:w="28" w:type="dxa"/>
          <w:bottom w:w="28" w:type="dxa"/>
          <w:right w:w="28" w:type="dxa"/>
        </w:tblCellMar>
      </w:tblPr>
      <w:tblGrid>
        <w:gridCol w:w="1043"/>
        <w:gridCol w:w="916"/>
        <w:gridCol w:w="920"/>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Available-for-sale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available-for-sale securities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deposit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910,818 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12. LIABILITY RELATED TO THE SALE OF FUTURE ROYALTIES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2022, the Company and Royalty Pharma entered into the Royalty Pharma Agreement, pursuant to which Royalty Pharma agreed to pay up to $410.0 million in cash to the Company in consideration for the Company’s future royalty interest in olpasiran, a siRNA originally developed by the Company and licensed to Amgen in September 2016 under the Olpasiran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Royalty Pharma Agreement, Royalty Pharma paid $250.0 million upfront and agreed to pay up to an 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 During the third quarter of fiscal 2024, Amgen completed enrollment of the Phase 3 OCEAN(a) outcomes trial of olpasiran, which triggered a $50.0 million milestone payment that the Company received in the same quarter.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terms of the Royalty Pharma Agreement and concluded, in accordance with the relevant accounting guidance, that the Company accounted for the transaction as debt and the funding of $250.0 million and $50.0 million from Royalty Pharma were recorded as liabilities related to the sale of future royalties on its consolidated balance sheets. The Company is not obligated to repay these funds received under the Royalty Pharma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the obligations at their carrying value using the effective interest method. In order to amortize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different than its original estimates, the Company will prospectively adjust the amortization of the royalty financing obligations and the effective interest rate. As of December 31, 2025, the estimated effective interest rate was 8.3%.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with respect to the liability related to the sale of future royalties.</w:t>
      </w:r>
    </w:p>
    <w:tbl>
      <w:tblPr>
        <w:tblW w:w="5798" w:type="dxa"/>
        <w:jc w:val="left"/>
        <w:tblInd w:w="0" w:type="dxa"/>
        <w:tblLayout w:type="fixed"/>
        <w:tblCellMar>
          <w:top w:w="28" w:type="dxa"/>
          <w:left w:w="28" w:type="dxa"/>
          <w:bottom w:w="28" w:type="dxa"/>
          <w:right w:w="28" w:type="dxa"/>
        </w:tblCellMar>
      </w:tblPr>
      <w:tblGrid>
        <w:gridCol w:w="1010"/>
        <w:gridCol w:w="886"/>
        <w:gridCol w:w="893"/>
        <w:gridCol w:w="109"/>
        <w:gridCol w:w="109"/>
        <w:gridCol w:w="109"/>
        <w:gridCol w:w="214"/>
        <w:gridCol w:w="805"/>
        <w:gridCol w:w="119"/>
        <w:gridCol w:w="119"/>
        <w:gridCol w:w="119"/>
        <w:gridCol w:w="119"/>
        <w:gridCol w:w="214"/>
        <w:gridCol w:w="805"/>
        <w:gridCol w:w="168"/>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Beginning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367,397 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341,361 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Milestone payment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Ending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374,997 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346,776 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13. FINANCING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7, 2024 (the “Closing Date”), the Company entered into a Financing Agreement with the guarantors party thereto, the lenders party thereto (the “Lenders”), and Sixth Street Lending Partners (“Sixth Street”), as the administrative agent and collateral agent for the Lenders (the “Financing Agreement”). The Financing Agreement establishes a senior secured term loan facility of $500.0 million (the “Credit Facility”), consisting of $400.0 million funded on the Closing Date and an additional $100.0 million available at the Company’s option, subject to mutual agreement with Sixth Street. The loans under the Credit Facility bear interest at an annual rate of 15.0%, which is paid in kind and added to the outstanding principal balance of the Credit Facility each period. The outstanding principal balance of this Credit Facility, including amounts representing accrued but unpaid interest previously paid in kind, is due and payable on August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7, 2031.</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permitted to use the net proceeds for working capital, capital expenditures and general corporate purposes of the Company and its subsidiaries.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have the right to prepay loans under the Credit Facility at any time. The Company is required to partially repay loans under the Credit Facility with proceeds from certain asset sales, condemnation events and extraordinary receipts, subject, in some cases, to reinvestment rights. If the Company repays in full the aggregate principal outstanding under the Credit Facility and such payment in full occurs on or prior to August 7, 2028, the Company will be required to make an additional payment to the lenders under the Credit Facility on such date in an amount necessary for the lenders to achieve a two times multiple of invested capital (“MOIC”) of the aggregate principal amount funded on the Closing Date (the “MOIC Payment”). If such payment in full occurs after August 7, 2028, the Company will be required to make a payment to the lenders under the Credit Facility on such date in an amount necessary for the lenders to achieve the greater of the MOIC Payment and the present value of all interest payments that would have been payable from such date through the maturity date of the Credit Facility discounted at the Treasury Rate (as defined in the Financing Agreement) plus 0.5%; provided that such payment amount in this instance will not exceed the amount necessary for the lenders to achieve a 2.5 times MOIC.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Company entered into an amendment to the Financing Agreement (the "Amendment") to modify, amongst other things, some of the prepayment terms of the loans under the Credit Facility, including, the prepayment terms related to the Sarepta Collaboration Agreement. The Amendment was effective on February 14, 2025, following the closing of the Sarepta Collaboration Agreement and receipt of the $500.0 million upfront payment from Sarepta. The Amendment added an additional prepayment clause that requires certain contractual prepayments of principle and MOIC payments throughout the life of the loans under the Credit Facility. Additionally, any prepayment will be split with 50% of any such prepayment paying down the principle balance of the loans under the Credit Facility and the other 50% being applied to prepay the MOIC Payment. In the event the prepayment amounts result in fees being prepaid in excess of the actual amounts required to be paid, the excess fees shall be reallocated and applied to reduce the amount of the principal balance upon repayment in full of the loans under the Credit Facility. As of December 31, 2025, the Company has paid $133.3 million in MOIC payments of which $14.5 million is expected to be applied to principal upon repayment in full. To date, the Company has paid $268.3 million of the loans under the Credit Facility.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Amendment was accounted for as a debt modification under ASC 470-50, </w:t>
      </w:r>
      <w:r>
        <w:rPr>
          <w:color w:val="000000"/>
        </w:rPr>
        <w:t>“</w:t>
      </w:r>
      <w:r>
        <w:rPr>
          <w:rFonts w:ascii="Times New Roman;serif" w:hAnsi="Times New Roman;serif"/>
          <w:b w:val="false"/>
          <w:i/>
          <w:color w:val="000000"/>
          <w:sz w:val="20"/>
        </w:rPr>
        <w:t>Debt—Modification and extinguishments</w:t>
      </w:r>
      <w:r>
        <w:rPr>
          <w:color w:val="000000"/>
        </w:rPr>
        <w:t xml:space="preserve">” </w:t>
      </w:r>
      <w:r>
        <w:rPr>
          <w:rFonts w:ascii="Times New Roman;serif" w:hAnsi="Times New Roman;serif"/>
          <w:b w:val="false"/>
          <w:color w:val="000000"/>
          <w:sz w:val="20"/>
        </w:rPr>
        <w:t>since the Amendment did not result in substantially different terms. In connection with the Amendment, the Company did not incur significant third-party fees.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obligations under the Financing Agreement are secured on a first-priority basis by security interests in substantially all assets of the Company and material subsidiaries of the Company, including its intellectual property, subject to certain exceptions, and is guaranteed by material subsidiaries of the Company, including foreign subsidiaries, subject to certain exceptions.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Financing Agreement contains customary covenants, including, without limitation, a financial covenant to maintain liquidity (cash, cash equivalents and investments) of at least $100.0 million if the Company</w:t>
      </w:r>
      <w:r>
        <w:rPr>
          <w:color w:val="000000"/>
        </w:rPr>
        <w:t>’</w:t>
      </w:r>
      <w:r>
        <w:rPr>
          <w:rFonts w:ascii="Times New Roman;serif" w:hAnsi="Times New Roman;serif"/>
          <w:b w:val="false"/>
          <w:color w:val="000000"/>
          <w:sz w:val="20"/>
        </w:rPr>
        <w:t>s market capitalization is above $1.5 billion, and negative covenants that, subject to certain exceptions, restrict indebtedness, liens, investments (including acquisitions), fundamental changes, asset sales and licensing transactions, dividends, modifications to material agreements, payment of subordinated indebtedness, distributions from certain parties, and other matters customarily restricted in such agreements. Pursuant to the terms of the Financing Agreement, the Company and its Subsidiaries are not permitted to have an aggregate principal amount of convertible indebtedness outstanding at any one time in excess of the greater of $300.0 million and 10% of the market capitalization of the the Company (based on the closing price of the common stock of the the Company on the trading date immediately prior to the incurrence of such indebtedness), but in no event greater than $700.0 million in the aggregate. The Company is subject to restrictions on sales and licensing transactions with respect to certain core intellectual property, subject to certain exceptions, including certain transactions related to areas outside the United States, United Kingdom, European Union, Japan and China.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Financing Agreement contains certain embedded features that were identified and evaluated as not material to the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entered into second amendment to the Financing Agreement (the "Second Amendment") that permitted the share repurchase of the Company's common stock from Sarepta and required the Company to pay a nominal administrative fee.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outstanding balance of the Credit Facility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7103" w:type="dxa"/>
        <w:jc w:val="left"/>
        <w:tblInd w:w="0" w:type="dxa"/>
        <w:tblLayout w:type="fixed"/>
        <w:tblCellMar>
          <w:top w:w="28" w:type="dxa"/>
          <w:left w:w="28" w:type="dxa"/>
          <w:bottom w:w="28" w:type="dxa"/>
          <w:right w:w="28" w:type="dxa"/>
        </w:tblCellMar>
      </w:tblPr>
      <w:tblGrid>
        <w:gridCol w:w="1214"/>
        <w:gridCol w:w="1065"/>
        <w:gridCol w:w="1080"/>
        <w:gridCol w:w="109"/>
        <w:gridCol w:w="109"/>
        <w:gridCol w:w="109"/>
        <w:gridCol w:w="282"/>
        <w:gridCol w:w="1061"/>
        <w:gridCol w:w="157"/>
        <w:gridCol w:w="109"/>
        <w:gridCol w:w="109"/>
        <w:gridCol w:w="109"/>
        <w:gridCol w:w="287"/>
        <w:gridCol w:w="1078"/>
        <w:gridCol w:w="225"/>
      </w:tblGrid>
      <w:tr>
        <w:trP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Initial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interest on the Initial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accretion of the MOIC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(13,912)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(268,305)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(201,625)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163,108 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214,883 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total interest expense recognized related to the Credit Facility:</w:t>
      </w:r>
    </w:p>
    <w:tbl>
      <w:tblPr>
        <w:tblW w:w="6087"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232"/>
        <w:gridCol w:w="765"/>
        <w:gridCol w:w="129"/>
        <w:gridCol w:w="129"/>
        <w:gridCol w:w="129"/>
        <w:gridCol w:w="129"/>
        <w:gridCol w:w="232"/>
        <w:gridCol w:w="765"/>
        <w:gridCol w:w="129"/>
        <w:gridCol w:w="109"/>
        <w:gridCol w:w="109"/>
        <w:gridCol w:w="109"/>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the MOIC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shown in the table below, related to the Credit Facility, represent the expected repayments of principle and accrued interest balance as of December 31, 2025 as well as any mandatory prepayments that the Company is obligated to make to the Lenders during the indicated periods. The principal balance will increase from accrued paid in kind interest and the table does not include MOIC prepayments beyond those contractually determined. Actual payments on current principal may vary from the amounts presented in the table. </w:t>
      </w:r>
    </w:p>
    <w:tbl>
      <w:tblPr>
        <w:tblW w:w="2846" w:type="dxa"/>
        <w:jc w:val="left"/>
        <w:tblInd w:w="0" w:type="dxa"/>
        <w:tblLayout w:type="fixed"/>
        <w:tblCellMar>
          <w:top w:w="28" w:type="dxa"/>
          <w:left w:w="28" w:type="dxa"/>
          <w:bottom w:w="28" w:type="dxa"/>
          <w:right w:w="28" w:type="dxa"/>
        </w:tblCellMar>
      </w:tblPr>
      <w:tblGrid>
        <w:gridCol w:w="487"/>
        <w:gridCol w:w="428"/>
        <w:gridCol w:w="434"/>
        <w:gridCol w:w="109"/>
        <w:gridCol w:w="109"/>
        <w:gridCol w:w="109"/>
        <w:gridCol w:w="211"/>
        <w:gridCol w:w="793"/>
        <w:gridCol w:w="166"/>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286,549 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2025, Visirna entered into the Revolving Credit Agreement with Bank of Zhejiang. The maximum aggregate credit facility is 72.9 million Chinese Yuan ($10.4 million) bearing an annual interest rate of 4.1%. The term of each loan is twelve months. The amount outstanding as of December 31, 2025 was 72.9 million Chinese Yuan ($10.4 million) on the credit facility which was classified as other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14. NET INCOME (LOSS)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income (loss) per share for the three months ended December 31, 2025 and 2024.</w:t>
      </w:r>
    </w:p>
    <w:tbl>
      <w:tblPr>
        <w:tblW w:w="9186" w:type="dxa"/>
        <w:jc w:val="left"/>
        <w:tblInd w:w="0" w:type="dxa"/>
        <w:tblLayout w:type="fixed"/>
        <w:tblCellMar>
          <w:top w:w="28" w:type="dxa"/>
          <w:left w:w="28" w:type="dxa"/>
          <w:bottom w:w="28" w:type="dxa"/>
          <w:right w:w="28" w:type="dxa"/>
        </w:tblCellMar>
      </w:tblPr>
      <w:tblGrid>
        <w:gridCol w:w="1729"/>
        <w:gridCol w:w="1524"/>
        <w:gridCol w:w="1531"/>
        <w:gridCol w:w="109"/>
        <w:gridCol w:w="109"/>
        <w:gridCol w:w="109"/>
        <w:gridCol w:w="294"/>
        <w:gridCol w:w="971"/>
        <w:gridCol w:w="163"/>
        <w:gridCol w:w="163"/>
        <w:gridCol w:w="163"/>
        <w:gridCol w:w="163"/>
        <w:gridCol w:w="294"/>
        <w:gridCol w:w="1220"/>
        <w:gridCol w:w="163"/>
        <w:gridCol w:w="109"/>
        <w:gridCol w:w="109"/>
        <w:gridCol w:w="109"/>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9"/>
            <w:tcBorders/>
            <w:tcMar>
              <w:top w:w="0" w:type="dxa"/>
              <w:left w:w="0" w:type="dxa"/>
              <w:bottom w:w="0" w:type="dxa"/>
              <w:right w:w="0" w:type="dxa"/>
            </w:tcMar>
            <w:vAlign w:val="center"/>
          </w:tcPr>
          <w:p>
            <w:pPr>
              <w:pStyle w:val="TableContents"/>
              <w:bidi w:val="0"/>
              <w:spacing w:lineRule="auto" w:line="288" w:before="120" w:after="283"/>
              <w:ind w:left="0" w:right="0" w:firstLine="540"/>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Arrowhead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30,811 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(173,085)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Weighted-average basic shares outstanding</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Weighted-average diluted shares outstanding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Diluted net income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i/>
          <w:color w:val="000000"/>
          <w:sz w:val="18"/>
        </w:rPr>
      </w:pPr>
      <w:r>
        <w:rPr>
          <w:rFonts w:ascii="Times New Roman;serif" w:hAnsi="Times New Roman;serif"/>
          <w:b w:val="false"/>
          <w:i/>
          <w:color w:val="000000"/>
          <w:sz w:val="18"/>
        </w:rPr>
        <w:t>(1) Includes shares of common stock into which the Avoro Pre-Funded Warrants may be exercised. See Note 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potentially dilutive securities that have been excluded from the calculation of diluted net income (loss) per share because to include them would be anti-dilutive.</w:t>
      </w:r>
    </w:p>
    <w:tbl>
      <w:tblPr>
        <w:tblW w:w="5079" w:type="dxa"/>
        <w:jc w:val="left"/>
        <w:tblInd w:w="0" w:type="dxa"/>
        <w:tblLayout w:type="fixed"/>
        <w:tblCellMar>
          <w:top w:w="28" w:type="dxa"/>
          <w:left w:w="28" w:type="dxa"/>
          <w:bottom w:w="28" w:type="dxa"/>
          <w:right w:w="28" w:type="dxa"/>
        </w:tblCellMar>
      </w:tblPr>
      <w:tblGrid>
        <w:gridCol w:w="590"/>
        <w:gridCol w:w="518"/>
        <w:gridCol w:w="526"/>
        <w:gridCol w:w="109"/>
        <w:gridCol w:w="109"/>
        <w:gridCol w:w="109"/>
        <w:gridCol w:w="293"/>
        <w:gridCol w:w="293"/>
        <w:gridCol w:w="293"/>
        <w:gridCol w:w="293"/>
        <w:gridCol w:w="293"/>
        <w:gridCol w:w="293"/>
        <w:gridCol w:w="293"/>
        <w:gridCol w:w="293"/>
        <w:gridCol w:w="293"/>
        <w:gridCol w:w="109"/>
        <w:gridCol w:w="109"/>
        <w:gridCol w:w="109"/>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4,584 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SEGMENT INFORMATION</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in a single segment dedicated to the discovery, development, manufacturing and commercialization of RNAi therapeutics. The Company's RNAi therapeutics are comprised of siRNAs that function upstream of conventional medicines by potently silencing messenger RNA (“mRNA”) that encode for proteins implicated in the cause or pathway of disease, thus preventing them from being made. Consistent with our operational structure, our Chief Executive Officer (“CEO”), as the CODM, manages and allocates resources on a consolidated basis at the global corporate level. Our global research and development and technical operations and quality organizations are responsible for the discovery, development, and supply of products. Commercial efforts that coordinate the marketing, sales and distribution of these products are organized by geographic region and therapeutic area. All of these activities are supported by corporate staff functions. Managing and allocating resources at the corporate level enables our CEO to assess the overall level of resources available and how to best deploy these resources in line with our overarching long-term, corporate-wide strategic goals. The determination of a single segment is consistent with the consolidated financial information regularly reviewed by the CODM for the purposes of evaluating performance, forecasting future period financial results, allocating resources and setting incentive targets.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Consistent with our management reporting, results of our operations are reported on a consolidated basis for purposes of segment reporting. The CEO evaluates performance and decides how to allocate resources based on consolidated net income (loss) that is reported on the consolidated statements of operations and comprehensive income (loss). The measure of segment assets is reported on the consolidated balance sheets as total assets. The CEO uses consolidated net income (loss) to evaluate income generated from the Company’s business activities in deciding how to allocate company resources (such as pursuing clinical development or entering a strategic collaboration), monitoring budget versus actual results, and establishing management’s compensation. Please refer to the consolidated financial statements for further information related to these measures of segment performance. In addition, research and development and selling, general and administrative expenses are significant segment expenses regularly provided to the CEO with the following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w:t>
      </w:r>
    </w:p>
    <w:tbl>
      <w:tblPr>
        <w:tblW w:w="7835" w:type="dxa"/>
        <w:jc w:val="left"/>
        <w:tblInd w:w="0" w:type="dxa"/>
        <w:tblLayout w:type="fixed"/>
        <w:tblCellMar>
          <w:top w:w="28" w:type="dxa"/>
          <w:left w:w="28" w:type="dxa"/>
          <w:bottom w:w="28" w:type="dxa"/>
          <w:right w:w="28" w:type="dxa"/>
        </w:tblCellMar>
      </w:tblPr>
      <w:tblGrid>
        <w:gridCol w:w="1830"/>
        <w:gridCol w:w="1609"/>
        <w:gridCol w:w="1615"/>
        <w:gridCol w:w="196"/>
        <w:gridCol w:w="736"/>
        <w:gridCol w:w="109"/>
        <w:gridCol w:w="109"/>
        <w:gridCol w:w="109"/>
        <w:gridCol w:w="109"/>
        <w:gridCol w:w="196"/>
        <w:gridCol w:w="736"/>
        <w:gridCol w:w="109"/>
        <w:gridCol w:w="109"/>
        <w:gridCol w:w="109"/>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Candidate costs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R&amp;D discovery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Facilities related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 excluding non-cash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&amp; Administrative</w:t>
      </w:r>
    </w:p>
    <w:tbl>
      <w:tblPr>
        <w:tblW w:w="7750" w:type="dxa"/>
        <w:jc w:val="left"/>
        <w:tblInd w:w="0" w:type="dxa"/>
        <w:tblLayout w:type="fixed"/>
        <w:tblCellMar>
          <w:top w:w="28" w:type="dxa"/>
          <w:left w:w="28" w:type="dxa"/>
          <w:bottom w:w="28" w:type="dxa"/>
          <w:right w:w="28" w:type="dxa"/>
        </w:tblCellMar>
      </w:tblPr>
      <w:tblGrid>
        <w:gridCol w:w="1833"/>
        <w:gridCol w:w="1611"/>
        <w:gridCol w:w="1625"/>
        <w:gridCol w:w="202"/>
        <w:gridCol w:w="667"/>
        <w:gridCol w:w="112"/>
        <w:gridCol w:w="112"/>
        <w:gridCol w:w="112"/>
        <w:gridCol w:w="112"/>
        <w:gridCol w:w="202"/>
        <w:gridCol w:w="667"/>
        <w:gridCol w:w="112"/>
        <w:gridCol w:w="112"/>
        <w:gridCol w:w="112"/>
        <w:gridCol w:w="159"/>
      </w:tblGrid>
      <w:tr>
        <w:trPr/>
        <w:tc>
          <w:tcPr>
            <w:tcW w:w="1833"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outside services, and other</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Facilities related</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general and administrative expense, excluding non-cash expense</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32,503 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Depreciation/amortization</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general and administrative expense</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46,021 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26,910 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16. SUBSEQUENT EVENTS</w:t>
        <w:br/>
        <w:br/>
      </w:r>
      <w:r>
        <w:rPr>
          <w:rFonts w:ascii="Times New Roman;serif" w:hAnsi="Times New Roman;serif"/>
          <w:b/>
          <w:i/>
          <w:color w:val="000000"/>
          <w:sz w:val="20"/>
        </w:rPr>
        <w:t>Convertible Senior Notes, Common Stock and Pre-Funded Warrants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7, 2026, Arrowhead Pharmaceuticals entered into separate underwriting agreements for concurrent offerings of equity and convertible notes: first, with Jefferies and J.P. Morgan to sell 3,100,776 shares of common stock, $0.001 par value per share, at a public offering price of $64.50 per share, or alternatively in lieu of shares of common stock to certain investors, pre</w:t>
        <w:noBreakHyphen/>
        <w:t xml:space="preserve">funded warrants to purchase up to 1,550,387 shares of common stock, at a public offering price of $64.499, which represents the per share public offering price for the common stock less the $0.001 per share exercise price for each pre-funded warrant. In addition, the Company granted the equity underwriters a 30-day option to purchase up to an additional 456,116 shares of common stock, on the same terms and conditions, which the equity underwriters exercised in full on January 8, 2026. The net proceeds from this equity offering was approximately $216.6 million after deducting customary underwriting discounts and offering expenses. These securities were issued under the Company’s automatic shelf registration statement, which closed on January 9,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Also on January 7, 2026, Arrowhead agreed with J.P. Morgan and Jefferies to issue $625.0 million of 0.00% convertible senior notes due 2032, with an additional $75.0 million overallotment option exercised in full on January 8, 2026. The net proceeds from the convertible notes offering are to be approximately $681.3 million, after deducting customary underwriting discounts and offering expenses. These securities were issued under the Company’s automatic shelf registration statement, which closed on January 12,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convertible notes, Arrowhead entered into privately negotiated capped call transactions with one or more of the underwriters of the note offering or their affiliates or one or more other financial institutions. The capped call transactions will cover, subject to anti-dilution adjustments substantially similar to those applicable to the notes, the number of shares of Arrowhead’s common stock underlying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and/or offset subject to a cap, based on the cap price of the capped call transaction. The cap price of the capped call transaction is approximately $119.33 per share (which represents a premium of approximately 85.0% over the public offering price per share of the Company’s common stock in the equity offering). The cost of the capped call transaction was approximately $47.9 million.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Asset Transfer Agreement with Bisirna Therapeutics, Inc (“Bisirna”)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2026, the consolidated variable interest entity, Visirna, closed on an Asset Transfer Agreement with Bisirna to sell and transfer certain assets and rights associated with R&amp;D technology. The purchase price was $19.0 million, payable as (i) $9.0 million in paid-in-full warrants (exercise price of $0.18 per share) issued by Bisirna at the closing of the asset transfer, and (ii) $10.0 million of Bisirna Series A preferred shares, which were issued upon the closing of Bisirna’s Series A equity financing on January 15,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currently evaluating the financial statement impact of the transaction, including the accounting for the consideration received and any contingent consideration.</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China NMPA NDA Approval and FCS Milestone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5, 2026, the consolidated variable interest entity, Visirna, received NDA approval from the National Medical Products Administration (“NMPA”) in China for REDEMPLO. This approval triggered a $10.0 million regulatory milestone under the Sanofi License Agreement. The milestone payment is expected to be recognized as revenue in the second quarter of fiscal year 2026. The impact of this event was not reflected in the consolidated financial statements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“might,” “will,” “expect,” “believe,” “anticipate,”</w:t>
      </w:r>
      <w:r>
        <w:rPr>
          <w:color w:val="000000"/>
        </w:rPr>
        <w:t xml:space="preserve"> “</w:t>
      </w:r>
      <w:r>
        <w:rPr>
          <w:rFonts w:ascii="Times New Roman;serif" w:hAnsi="Times New Roman;serif"/>
          <w:b w:val="false"/>
          <w:i/>
          <w:color w:val="000000"/>
          <w:sz w:val="20"/>
        </w:rPr>
        <w:t>goal,” “endeavor,” “strive,” “intend,” “plan,” “project,” “could,” “estimate,” “target,” “might,” “forecast,” “potential,”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and our research and development programs; our expectations regarding the potential benefits of the partnership, licensing and/or collaboration arrangements and other strategic arrangements and transactions we have entered into or may enter into in the future; our beliefs and expectations regarding the amount and timing of future milestone, royalty or other payments that could be due to or from third parties under existing agreements; and our estimates regarding future revenues, sales of REDEMPLO (plozasiran), our expectations regarding regulatory approval for and commercial launch of plozasiran, operating income, research and development expenses, cash flows, capital requirements and payments to third parties.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or outcomes and timing of certain events may differ materially from those discussed, projected, anticipated or indicated in any forward-looking statements. Forward-looking statements are not guarantees of future performance and our actual results of operations, financial condition and cash flows may differ materially. Factors that may cause or contribute to such differences include, but are not limited to, those discussed in more detail in “Item 2. Management's Discussion and Analysis of Financial Condition and Results of Operations” of Part I and “Item 1A. Risk Factors” of Part II of this Quarterly Report on Form 10-Q as well as “Item 1. Business” and </w:t>
      </w:r>
      <w:r>
        <w:rPr>
          <w:color w:val="000000"/>
        </w:rPr>
        <w:t>“</w:t>
      </w:r>
      <w:r>
        <w:rPr>
          <w:rFonts w:ascii="Times New Roman;serif" w:hAnsi="Times New Roman;serif"/>
          <w:b w:val="false"/>
          <w:i/>
          <w:color w:val="000000"/>
          <w:sz w:val="20"/>
        </w:rPr>
        <w:t>Item 1A. Risk Factors” of Part I and “Item 7. Management’s Discussion and Analysis of Financial Condition and Results of Operations” of Part II of our most recent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develops medicines that treat intractable diseases by silencing the genes that cause them. Using a broad portfolio of RNA chemistries and modes of delivery, the Company’s therapies trigger the RNAi interference mechanism to induce rapid, deep and durable knockdown of target genes. RNAi is a mechanism present in living cells that inhibits the expression of a specific gene, thereby affecting the production of a specific protein. RNAi-based therapeutics seek to leverage this natural pathway of gene silencing to target and shut down specific disease-causing genes.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believes that TRiM</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enabled therapeutics offer several potential advantages over prior generations and competing technologies, including: simplified manufacturing and reduced costs; multiple routes of administration including subcutaneous injection and inhaled administration; the ability to target multiple tissue types including liver, lung, skeletal muscle, central nervous system (CNS), adipose tissue, ocular, and cardio-myocytes; and the potential for improved safety and reduced risk of intracellular buildup, because there are fewer metabolites from smaller, simpler molecules.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products: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REDEMPLO</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0"/>
        </w:rPr>
        <w:t xml:space="preserve">(Greater China rights out-licensed to Sanofi), indicated as an adjunct to diet to reduce triglycerides in adults with Familial Chylomicronemia Syndrome (FCS), which has received regulatory approvals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United States, Canada, and China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clinical pipeline includes: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Severe Hypertriglyceridemia - plozasiran (formerly ARO-APOC3, Greater China rights out-licensed to Sanofi);</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Homozygous familial hypercholesterolemia (HoFH) - zodasiran (formerly ARO-ANG3);</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Cardiovascular disease - olpasiran (formerly AMG 890 or ARO-LPA, out-licensed to Amgen);</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Mixed hyperlipidemia – ARO-DIMER-PA (Greater China rights out-licensed to Sanofi);</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Inflammatory pulmonary conditions - ARO-RAGE;</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Idiopathic pulmonary fibrosis - SRP-1002 (formerly ARO-MMP7, out-licensed to Sarepta);</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Metabolic-dysfunction associated steatohepatitis (MASH) - GSK4532990 (formerly ARO-HSD, out</w:t>
        <w:br/>
        <w:t>licensed to GSK and Visirna);</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Alpha-1 antitrypsin deficiency (AATD) - fazirsiran (formerly ARO-AAT, a collaboration with Takeda);</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 xml:space="preserve">Chronic Hepatitis B virus - daplusiran/tomligisiran - GSK5637608 (formerly JNJ-3989 and ARO-HBV, out-licensed to GSK); </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Complement mediated diseases - ARO-C3 and ARO-CFB;</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Metabolic-dysfunction associated steatohepatitis (MASH) - ARO-PNPLA3 (formerly JNJ-75220795 or ARO-JNJ1);</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Obesity - ARO-INHBE and ARO-ALK7</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Facioscapulohumeral muscular dystrophy - SRP-1001 (formerly ARO-DUX4, out-licensed to Sarepta);</w:t>
      </w:r>
    </w:p>
    <w:p>
      <w:pPr>
        <w:pStyle w:val="TextBody"/>
        <w:bidi w:val="0"/>
        <w:spacing w:lineRule="auto" w:line="276" w:before="0" w:after="0"/>
        <w:ind w:left="0" w:right="0" w:hanging="540"/>
        <w:jc w:val="both"/>
        <w:rPr/>
      </w:pPr>
      <w:r>
        <w:rPr>
          <w:color w:val="000000"/>
        </w:rPr>
        <w:t>•</w:t>
      </w:r>
      <w:r>
        <w:rPr>
          <w:rFonts w:ascii="Times New Roman;serif" w:hAnsi="Times New Roman;serif"/>
          <w:b w:val="false"/>
          <w:color w:val="000000"/>
          <w:sz w:val="20"/>
        </w:rPr>
        <w:t>Myotonic Dystrophy Type 1 - SRP-1003 (formerly ARO-DM1 out-licensed to Sarepta; and</w:t>
      </w:r>
    </w:p>
    <w:p>
      <w:pPr>
        <w:pStyle w:val="TextBody"/>
        <w:bidi w:val="0"/>
        <w:spacing w:lineRule="auto" w:line="276" w:before="0" w:after="0"/>
        <w:ind w:left="0" w:right="0" w:firstLine="180"/>
        <w:jc w:val="both"/>
        <w:rPr/>
      </w:pPr>
      <w:r>
        <w:rPr>
          <w:color w:val="000000"/>
        </w:rPr>
        <w:t>•</w:t>
      </w:r>
      <w:r>
        <w:rPr>
          <w:rFonts w:ascii="Times New Roman;serif" w:hAnsi="Times New Roman;serif"/>
          <w:b w:val="false"/>
          <w:color w:val="000000"/>
          <w:sz w:val="20"/>
        </w:rPr>
        <w:t>Spinocerebellar ataxia 2 - SRP-1004 (formerly ARO-ATXN2, out-licensed to Sarepta).</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 xml:space="preserve">Parkinson’s disease – ARO-SNCA (out-licensed to Novartis) </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Alzheimer’s disease – ARO-MAPT</w:t>
      </w:r>
    </w:p>
    <w:p>
      <w:pPr>
        <w:pStyle w:val="TextBody"/>
        <w:bidi w:val="0"/>
        <w:spacing w:lineRule="auto" w:line="288" w:before="0" w:after="0"/>
        <w:ind w:left="0" w:right="0" w:firstLine="180"/>
        <w:jc w:val="both"/>
        <w:rPr/>
      </w:pPr>
      <w:r>
        <w:rPr>
          <w:color w:val="000000"/>
        </w:rPr>
        <w:t>•</w:t>
      </w:r>
      <w:r>
        <w:rPr>
          <w:rFonts w:ascii="Times New Roman;serif" w:hAnsi="Times New Roman;serif"/>
          <w:b w:val="false"/>
          <w:color w:val="000000"/>
          <w:sz w:val="20"/>
        </w:rPr>
        <w:t xml:space="preserve">Huntington’s disease – SRP-1005 (formerly ARO-HTT, out-licensed to Sarepta)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lab facilities in California and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develop other clinical candidates for future clinical trials. Clinical candidates are tested internally and through Good Laboratory Practice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including toxicology/efficacy testing and manufacturing costs, as well as the preparation for and administration of clinical trials, are referred to as “candidate costs.” As clinical candidates progress through clinical development, candidate costs will increase.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First Quarter of Fiscal 2026 Business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bullets below highlight key developments in our business during the first quarter of fiscal year 2026: </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Filed a request for regulatory clearance to initiate a Phase 1/2a clinical trial of ARO-DIMER-PA, the Company’s investigational RNAi therapeutic being developed as a potential treatment for atherosclerotic cardiovascular disease (ASCVD) due to mixed hyperlipidemia. ARO-DIMER-PA is designed to silence expression of the proprotein convertase subtilisin kexin 9 (PCSK9) and apolipoprotein C3 (APOC3) genes. This represents an important step forward for the RNAi field as it is the first clinical candidate to target two genes simultaneously in one molecule, enabled by Arrowhead’s innovative and proprietary TRiM platform.;</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On November 20, 2025, the Company earned a $200.0 million milestone payment from Sarepta Therapeutics, Inc., which was triggered on November 20, 2025, when the Company reached the second of two prespecified enrollment targets and subsequent authorization to dose escalate in a Phase 1/2 clinical study of ARO-DM1, an investigational RNAi therapeutic for the treatment of type 1 myotonic dystrophy (DM1);</w:t>
      </w:r>
    </w:p>
    <w:p>
      <w:pPr>
        <w:pStyle w:val="TextBody"/>
        <w:bidi w:val="0"/>
        <w:spacing w:lineRule="auto" w:line="268" w:before="0" w:after="0"/>
        <w:ind w:left="0" w:right="0" w:hanging="270"/>
        <w:jc w:val="both"/>
        <w:rPr/>
      </w:pPr>
      <w:r>
        <w:rPr>
          <w:color w:val="000000"/>
        </w:rPr>
        <w:t>•</w:t>
      </w:r>
      <w:r>
        <w:rPr>
          <w:rFonts w:ascii="Times New Roman;serif" w:hAnsi="Times New Roman;serif"/>
          <w:b w:val="false"/>
          <w:color w:val="000000"/>
          <w:sz w:val="20"/>
        </w:rPr>
        <w:t xml:space="preserve">Initiated and dosed the first subjects in a Phase 1/2a clinical trial of ARO-MAPT, the Company’s investigational RNAi therapeutic being developed as a potential treatment for tauopathies including Alzheimer’s disease, a progressive neurodegenerative disease characterized by cognitive and functional decline; </w:t>
      </w:r>
    </w:p>
    <w:p>
      <w:pPr>
        <w:pStyle w:val="TextBody"/>
        <w:bidi w:val="0"/>
        <w:spacing w:lineRule="auto" w:line="268" w:before="120" w:after="120"/>
        <w:ind w:left="0" w:right="0" w:hanging="270"/>
        <w:jc w:val="both"/>
        <w:rPr/>
      </w:pPr>
      <w:r>
        <w:rPr>
          <w:color w:val="000000"/>
        </w:rPr>
        <w:t>•</w:t>
      </w:r>
      <w:r>
        <w:rPr>
          <w:rFonts w:ascii="Times New Roman;serif" w:hAnsi="Times New Roman;serif"/>
          <w:b w:val="false"/>
          <w:color w:val="000000"/>
          <w:sz w:val="20"/>
        </w:rPr>
        <w:t xml:space="preserve">Announced that the FDA has granted Breakthrough Therapy designation to investigational plozasiran as an adjunct to diet to reduce triglyceride (TG) levels in adults with severe hypertriglyceridemia (SHTG) (TG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levels greater than or equal to 500 mg/dL);</w:t>
      </w:r>
    </w:p>
    <w:p>
      <w:pPr>
        <w:pStyle w:val="TextBody"/>
        <w:bidi w:val="0"/>
        <w:spacing w:lineRule="auto" w:line="268" w:before="0" w:after="0"/>
        <w:ind w:left="0" w:right="0" w:hanging="270"/>
        <w:jc w:val="both"/>
        <w:rPr/>
      </w:pPr>
      <w:r>
        <w:rPr>
          <w:color w:val="000000"/>
        </w:rPr>
        <w:t>•</w:t>
      </w:r>
      <w:r>
        <w:rPr>
          <w:rFonts w:ascii="Times New Roman;serif" w:hAnsi="Times New Roman;serif"/>
          <w:b w:val="false"/>
          <w:color w:val="000000"/>
          <w:sz w:val="20"/>
        </w:rPr>
        <w:t>The FDA approved the Company's New Drug Application (NDA) for REDEMPLO injection for Familial Chylomicronemia Syndrome (FCS), on November 18, 2025. This approval was supported by clinical data from the Phase 3 PALISADE study, a randomized, double-blind, placebo-controlled trial in adults with clinically diagnosed or genetically confirmed FCS. The PALISADE study met its primary endpoint and all multiplicity-controlled key secondary endpoints, including demonstrating significant reductions in triglycerides and APOC3. In PALISADE, 25 mg REDEMPLO achieved deep and durable reductions in triglycerides, with a median change from baseline of -80% versus -17% in the pooled placebo group, and a lower numerical incidence of acute pancreatitis compared with placebo; and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Entered into a global licensing and collaboration agreement with Novartis Pharma AG ("Novartis") on August 29, 2025, which closed on October 17, 2025. Closing of the transaction was subject to the expiration or termination of the waiting period under the Hart-Scott-Rodino Antitrust Improvements Act of 1976 and other customary conditions. Upon closing, the Company received $200.0 million as an upfront payment on October 23, 2025. Additionally, the Company is eligible to receive up to $2.0 billion in potential milestone payments plus royalties on commercial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bullets below highlight other key developments in our business subsequent to the first quarter of fiscal year 2026:</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Completed upsized offerings of convertible senior notes, common stock, and pre-funded warrants with gross proceeds of $930.0 million, which strengthened the Company’s balance sheet.</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Announced interim results from two Phase 1/2a clinical trials of ARO-INHBE and ARO-ALK7, the Company’s investigational RNAi therapeutics being developed as potential treatments for obesity, showing for patients enrolled in the study that's:</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ARO-INHBE in combination with tirzepatide, a GLP-1/GIP receptor co-agonist, nearly doubled weight loss at week 16 and roughly tripled reductions in visceral fat, total fat, and liver fat versus tirzepatide alone in obese patients with type 2 diabetes mellitus at those same endpoints at week 12.</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ARO-ALK7, the first RNAi-therapeutic to show adipocyte gene target silencing in a clinical trial, achieved dose dependent reductions in adipose ALK7 mRNA with a mean reduction of -88% at the 200 mg dose at week 8 with a maximum reduction of -94%.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critical accounting estimates disclosed in the most recent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data summarizes the Company’s results of operations for the following periods indicated: </w:t>
      </w:r>
    </w:p>
    <w:tbl>
      <w:tblPr>
        <w:tblW w:w="7461" w:type="dxa"/>
        <w:jc w:val="center"/>
        <w:tblInd w:w="0" w:type="dxa"/>
        <w:tblLayout w:type="fixed"/>
        <w:tblCellMar>
          <w:top w:w="28" w:type="dxa"/>
          <w:left w:w="28" w:type="dxa"/>
          <w:bottom w:w="28" w:type="dxa"/>
          <w:right w:w="28" w:type="dxa"/>
        </w:tblCellMar>
      </w:tblPr>
      <w:tblGrid>
        <w:gridCol w:w="1608"/>
        <w:gridCol w:w="1412"/>
        <w:gridCol w:w="1434"/>
        <w:gridCol w:w="208"/>
        <w:gridCol w:w="782"/>
        <w:gridCol w:w="115"/>
        <w:gridCol w:w="115"/>
        <w:gridCol w:w="115"/>
        <w:gridCol w:w="115"/>
        <w:gridCol w:w="208"/>
        <w:gridCol w:w="862"/>
        <w:gridCol w:w="115"/>
        <w:gridCol w:w="109"/>
        <w:gridCol w:w="109"/>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(in thousands, except per share amounts)</w:t>
            </w:r>
          </w:p>
        </w:tc>
        <w:tc>
          <w:tcPr>
            <w:tcW w:w="372" w:type="dxa"/>
            <w:gridSpan w:val="3"/>
            <w:tcBorders/>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264,033 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Arrowhead</w:t>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diluted share attributable to Arrowhead</w:t>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revenue for the three months ended December 31, 2025 increased by $261.5 million, from the same period of 2024. The change was primarily driven by the revenue recognition associated with Sarepta, Novartis and Sanofi license agreements as discussed below.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has evaluated each agreement in accordance with FASB Topic 808–</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and Topic 606-</w:t>
      </w:r>
      <w:r>
        <w:rPr>
          <w:rFonts w:ascii="Times New Roman;serif" w:hAnsi="Times New Roman;serif"/>
          <w:b w:val="false"/>
          <w:i/>
          <w:color w:val="000000"/>
          <w:sz w:val="20"/>
        </w:rPr>
        <w:t>Revenue for Contracts from Customers</w:t>
      </w:r>
      <w:r>
        <w:rPr>
          <w:rFonts w:ascii="Times New Roman;serif" w:hAnsi="Times New Roman;serif"/>
          <w:b w:val="false"/>
          <w:color w:val="000000"/>
          <w:sz w:val="20"/>
        </w:rPr>
        <w:t>. See Note 2 — Collaboration and License Agreements of the Notes to Consolidated Financial Statements of Part I, “Item 1. Financial Statements” for more information on revenue recognized under the collaboration and license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color w:val="000000"/>
          <w:sz w:val="20"/>
        </w:rPr>
        <w:t>Sarepta</w:t>
      </w:r>
      <w:r>
        <w:rPr>
          <w:rFonts w:ascii="Times New Roman;serif" w:hAnsi="Times New Roman;serif"/>
          <w:b w:val="false"/>
          <w:color w:val="000000"/>
          <w:sz w:val="20"/>
        </w:rPr>
        <w:t>: On November 25, 2024, the Company entered into the Sarepta Collaboration Agreement and Stock Purchase Agreement with Sarepta for the development and commercialization of multiple clinical and preclinical programs in rare, genetic diseases of the muscle, central nervous system, and lungs. During the three months ended December 31, 2025, the Company recorded $229.5 million in revenue.</w:t>
      </w:r>
    </w:p>
    <w:p>
      <w:pPr>
        <w:pStyle w:val="TextBody"/>
        <w:bidi w:val="0"/>
        <w:spacing w:lineRule="auto" w:line="288" w:before="120" w:after="283"/>
        <w:ind w:left="0" w:right="0" w:firstLine="540"/>
        <w:jc w:val="both"/>
        <w:rPr/>
      </w:pPr>
      <w:r>
        <w:rPr>
          <w:rFonts w:ascii="Times New Roman;serif" w:hAnsi="Times New Roman;serif"/>
          <w:b/>
          <w:color w:val="000000"/>
          <w:sz w:val="20"/>
        </w:rPr>
        <w:t>Novartis</w:t>
      </w:r>
      <w:r>
        <w:rPr>
          <w:rFonts w:ascii="Times New Roman;serif" w:hAnsi="Times New Roman;serif"/>
          <w:b w:val="false"/>
          <w:color w:val="000000"/>
          <w:sz w:val="20"/>
        </w:rPr>
        <w:t xml:space="preserve">: On August 29, 2025, the Company entered into the Novartis Collaboration Agreement with Novartis for the development and commercialization of multiple preclinical programs in rare, genetic diseases of the central nervous system. During the three months ended December 31, 2025, the Company recorded $34.2 million in revenue. </w:t>
      </w:r>
    </w:p>
    <w:p>
      <w:pPr>
        <w:pStyle w:val="TextBody"/>
        <w:bidi w:val="0"/>
        <w:spacing w:lineRule="auto" w:line="288" w:before="120" w:after="283"/>
        <w:ind w:left="0" w:right="0" w:firstLine="540"/>
        <w:jc w:val="both"/>
        <w:rPr/>
      </w:pPr>
      <w:r>
        <w:rPr>
          <w:rFonts w:ascii="Times New Roman;serif" w:hAnsi="Times New Roman;serif"/>
          <w:b/>
          <w:color w:val="000000"/>
          <w:sz w:val="20"/>
        </w:rPr>
        <w:t>Visirna</w:t>
      </w:r>
      <w:r>
        <w:rPr>
          <w:rFonts w:ascii="Times New Roman;serif" w:hAnsi="Times New Roman;serif"/>
          <w:b w:val="false"/>
          <w:color w:val="000000"/>
          <w:sz w:val="20"/>
        </w:rPr>
        <w:t xml:space="preserve">: On August 1, 2025, Visirna HK, a wholly owned subsidiary of Visirna Therapeutics, Inc, a majority owned subsidiary of the Company, entered into an Asset Purchase Agreement with Sanofi, pursuant to which Visirna HK sold all of its assets and rights in investigational plozasiran to Sanofi, which included an assignment of Visirna HK’s rights (as successor by assignment from Visirna) to develop and commercialize investigational plozasiran in Greater China pursuant to that certain License Agreement by and between the Company and Visirna dated, April 25, 2022 (the “Visirna License Agreement”). </w:t>
      </w:r>
      <w:r>
        <w:rPr>
          <w:rFonts w:ascii="Times New Roman;serif" w:hAnsi="Times New Roman;serif"/>
          <w:b w:val="false"/>
          <w:color w:val="242424"/>
          <w:sz w:val="20"/>
        </w:rPr>
        <w:t xml:space="preserve">During the </w:t>
      </w:r>
      <w:r>
        <w:rPr>
          <w:rFonts w:ascii="Times New Roman;serif" w:hAnsi="Times New Roman;serif"/>
          <w:b w:val="false"/>
          <w:color w:val="000000"/>
          <w:sz w:val="20"/>
        </w:rPr>
        <w:t>three months</w:t>
      </w:r>
      <w:r>
        <w:rPr>
          <w:color w:val="242424"/>
        </w:rPr>
        <w:t xml:space="preserve"> </w:t>
      </w:r>
      <w:r>
        <w:rPr>
          <w:rFonts w:ascii="Times New Roman;serif" w:hAnsi="Times New Roman;serif"/>
          <w:b w:val="false"/>
          <w:color w:val="242424"/>
          <w:sz w:val="20"/>
        </w:rPr>
        <w:t xml:space="preserve">ended </w:t>
      </w:r>
      <w:r>
        <w:rPr>
          <w:rFonts w:ascii="Times New Roman;serif" w:hAnsi="Times New Roman;serif"/>
          <w:b w:val="false"/>
          <w:color w:val="000000"/>
          <w:sz w:val="20"/>
        </w:rPr>
        <w:t>December 31, 2025</w:t>
      </w:r>
      <w:r>
        <w:rPr>
          <w:rFonts w:ascii="Times New Roman;serif" w:hAnsi="Times New Roman;serif"/>
          <w:b w:val="false"/>
          <w:color w:val="242424"/>
          <w:sz w:val="20"/>
        </w:rPr>
        <w:t xml:space="preserve">, the Company recorded </w:t>
      </w:r>
      <w:r>
        <w:rPr>
          <w:rFonts w:ascii="Times New Roman;serif" w:hAnsi="Times New Roman;serif"/>
          <w:b w:val="false"/>
          <w:color w:val="000000"/>
          <w:sz w:val="20"/>
        </w:rPr>
        <w:t>$0.2 million</w:t>
      </w:r>
      <w:r>
        <w:rPr>
          <w:color w:val="242424"/>
        </w:rPr>
        <w:t xml:space="preserve"> </w:t>
      </w:r>
      <w:r>
        <w:rPr>
          <w:rFonts w:ascii="Times New Roman;serif" w:hAnsi="Times New Roman;serif"/>
          <w:b w:val="false"/>
          <w:color w:val="242424"/>
          <w:sz w:val="20"/>
        </w:rPr>
        <w:t>in revenue.</w:t>
      </w:r>
    </w:p>
    <w:p>
      <w:pPr>
        <w:pStyle w:val="TextBody"/>
        <w:bidi w:val="0"/>
        <w:spacing w:lineRule="auto" w:line="288" w:before="120" w:after="283"/>
        <w:ind w:left="0" w:right="0" w:firstLine="540"/>
        <w:jc w:val="both"/>
        <w:rPr/>
      </w:pPr>
      <w:r>
        <w:rPr>
          <w:rFonts w:ascii="Times New Roman;serif" w:hAnsi="Times New Roman;serif"/>
          <w:b/>
          <w:color w:val="000000"/>
          <w:sz w:val="20"/>
        </w:rPr>
        <w:t>GSK</w:t>
      </w:r>
      <w:r>
        <w:rPr>
          <w:rFonts w:ascii="Times New Roman;serif" w:hAnsi="Times New Roman;serif"/>
          <w:b w:val="false"/>
          <w:color w:val="000000"/>
          <w:sz w:val="20"/>
        </w:rPr>
        <w:t xml:space="preserve">: On December 11, 2023, the Company entered into the GSK-HBV Agreement pursuant to which GSK received a worldwide, exclusive license to develop and commercialize daplusiran/tomligisiran (GSK5637608, formerly JNJ-3989), the Company’s third-generation subcutaneously administered RNAi therapeutic candidate being developed as a potential therapy for patients with chronic hepatitis B virus infection.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GSK-HBV Agreement, the Company received $2.7 million in December 2023, upon signing the GSK-HBV Agreement. Further, GSK dosed the fifth patient in a Phase 2 trial in December 2024, triggering a $2.5 million milestone payment to the Company which was paid in the second quarter of fiscal 2025. The Company did not recognize any revenue during the three months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Operating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analysis below details the operating expenses and discusses the expenditures of the Company within the major expense categories. For purposes of comparison, the amounts for the three months ended December 31, 2025 and 2024 are shown in the tables below.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(“R&amp;D”)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of expenses for drug candidate and drug discovery costs, which are comprised primarily of outsourced costs related to the manufacturing of clinical supplies, toxicity/efficacy studies and clinical trial expenses. Internal costs primarily relate to discovery operations at the Company’s research facilities in California and Wisconsin, including facility costs and laboratory-related expenses.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The Company does not fully track research and development expenses by individual research and development projects, or by individual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research and development expenses for the periods indicated:</w:t>
      </w:r>
    </w:p>
    <w:tbl>
      <w:tblPr>
        <w:tblW w:w="10205" w:type="dxa"/>
        <w:jc w:val="left"/>
        <w:tblInd w:w="0" w:type="dxa"/>
        <w:tblLayout w:type="fixed"/>
        <w:tblCellMar>
          <w:top w:w="28" w:type="dxa"/>
          <w:left w:w="28" w:type="dxa"/>
          <w:bottom w:w="28" w:type="dxa"/>
          <w:right w:w="28" w:type="dxa"/>
        </w:tblCellMar>
      </w:tblPr>
      <w:tblGrid>
        <w:gridCol w:w="1059"/>
        <w:gridCol w:w="796"/>
        <w:gridCol w:w="799"/>
        <w:gridCol w:w="241"/>
        <w:gridCol w:w="909"/>
        <w:gridCol w:w="134"/>
        <w:gridCol w:w="109"/>
        <w:gridCol w:w="109"/>
        <w:gridCol w:w="109"/>
        <w:gridCol w:w="210"/>
        <w:gridCol w:w="211"/>
        <w:gridCol w:w="439"/>
        <w:gridCol w:w="109"/>
        <w:gridCol w:w="109"/>
        <w:gridCol w:w="109"/>
        <w:gridCol w:w="241"/>
        <w:gridCol w:w="909"/>
        <w:gridCol w:w="134"/>
        <w:gridCol w:w="109"/>
        <w:gridCol w:w="109"/>
        <w:gridCol w:w="109"/>
        <w:gridCol w:w="210"/>
        <w:gridCol w:w="211"/>
        <w:gridCol w:w="439"/>
        <w:gridCol w:w="109"/>
        <w:gridCol w:w="109"/>
        <w:gridCol w:w="109"/>
        <w:gridCol w:w="196"/>
        <w:gridCol w:w="646"/>
        <w:gridCol w:w="109"/>
        <w:gridCol w:w="109"/>
        <w:gridCol w:w="109"/>
        <w:gridCol w:w="109"/>
        <w:gridCol w:w="183"/>
        <w:gridCol w:w="186"/>
        <w:gridCol w:w="308"/>
      </w:tblGrid>
      <w:tr>
        <w:trPr/>
        <w:tc>
          <w:tcPr>
            <w:tcW w:w="10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6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Increase (Decrease) </w:t>
            </w:r>
          </w:p>
        </w:tc>
      </w:tr>
      <w:tr>
        <w:trPr/>
        <w:tc>
          <w:tcPr>
            <w:tcW w:w="2654" w:type="dxa"/>
            <w:gridSpan w:val="3"/>
            <w:vMerge w:val="continue"/>
            <w:tcBorders/>
            <w:tcMar>
              <w:top w:w="0" w:type="dxa"/>
              <w:left w:w="0" w:type="dxa"/>
              <w:bottom w:w="0" w:type="dxa"/>
              <w:right w:w="0" w:type="dxa"/>
            </w:tcMar>
            <w:vAlign w:val="center"/>
          </w:tcPr>
          <w:p>
            <w:pPr>
              <w:pStyle w:val="Normal"/>
              <w:bidi w:val="0"/>
              <w:jc w:val="left"/>
              <w:rPr/>
            </w:pPr>
            <w:r>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Candidate costs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76,896 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R&amp;D discovery costs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Salaries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Facilities related</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 excluding non-cash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164,960 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124,727 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177,203 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137,002 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Candidate costs increased $28.1 million, or 37%, for the three months ended December 31, 2025 compared to the same period of 2024. The increase was primarily due to the additional progression of the Company’s pipeline of candidates into and through clinical trials, which resulted in higher outsourced clinical trial costs, manufacturing, and toxicity study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R&amp;D discovery costs increased $8.9 million, or 69%, for the three months ended December 31, 2025 compared to the same period of 2024. This increase primarily reflects higher R&amp;D discovery activity associated with ongoing discovery efforts and expansion into novel therapeutic areas and tissue types; partially offset by lower partnership cost.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Salaries consist of salary, bonuses, payroll taxes, and related benefits for the Company’s R&amp;D personnel. Salaries expense increased $2.9 million, or 11%, for the three months ended December 31, 2025 compared to the same period of 2024. The increase was primarily due to an increase in headcount that has occurred as the Company has expanded its pipeline of candidates and worked to prepare for the manufacture of commercial material at the Verona facility, as well as annual salary increases.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Facilities-related expense includes lease costs for the Company’s research and development facilities in San Diego, California and in Madison and Verona, Wisconsin. These expenses increased $0.4 million, or 5%, for the three months ended December 31, 2025 compared to the same period of 2024. This increase was primarily due to expenses, such as utilities and repair and maintenance charges, associated with the expanded manufacturing facilities in Verona, Wisconsin to support manufacturing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 compensation expense, a non-cash expense, is primarily based on the valuation of restricted stock units granted to employees, which is based on the closing stock price on the grant date. Stock compensation expense decreased $1.2 million, or 16%, for the three months ended December 31, 2025 compared to the same period of 2024. The decrease was primarily related to stock options award expense incurred in the first fiscal quarter 2024 related to Visirna, our variable interest entity, that did not repeat in the first fiscal quarter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a non-cash expense, relates to depreciation on buildings, lab equipment and leasehold improvements. These expenses increased $1.2 million, or 25% for the three months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compared to the same period of 2024. The increase was primarily attributable to the transfer of additional manufacturing equipment following the completion of certification, qualification and validation to support manufacturing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&amp; Administrative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details of general and administrative expenses for the periods indicated: </w:t>
      </w:r>
    </w:p>
    <w:tbl>
      <w:tblPr>
        <w:tblW w:w="10205" w:type="dxa"/>
        <w:jc w:val="left"/>
        <w:tblInd w:w="0" w:type="dxa"/>
        <w:tblLayout w:type="fixed"/>
        <w:tblCellMar>
          <w:top w:w="28" w:type="dxa"/>
          <w:left w:w="28" w:type="dxa"/>
          <w:bottom w:w="28" w:type="dxa"/>
          <w:right w:w="28" w:type="dxa"/>
        </w:tblCellMar>
      </w:tblPr>
      <w:tblGrid>
        <w:gridCol w:w="1136"/>
        <w:gridCol w:w="845"/>
        <w:gridCol w:w="805"/>
        <w:gridCol w:w="255"/>
        <w:gridCol w:w="841"/>
        <w:gridCol w:w="141"/>
        <w:gridCol w:w="109"/>
        <w:gridCol w:w="109"/>
        <w:gridCol w:w="109"/>
        <w:gridCol w:w="210"/>
        <w:gridCol w:w="211"/>
        <w:gridCol w:w="439"/>
        <w:gridCol w:w="109"/>
        <w:gridCol w:w="109"/>
        <w:gridCol w:w="109"/>
        <w:gridCol w:w="255"/>
        <w:gridCol w:w="841"/>
        <w:gridCol w:w="141"/>
        <w:gridCol w:w="109"/>
        <w:gridCol w:w="109"/>
        <w:gridCol w:w="109"/>
        <w:gridCol w:w="210"/>
        <w:gridCol w:w="211"/>
        <w:gridCol w:w="439"/>
        <w:gridCol w:w="109"/>
        <w:gridCol w:w="109"/>
        <w:gridCol w:w="109"/>
        <w:gridCol w:w="196"/>
        <w:gridCol w:w="646"/>
        <w:gridCol w:w="109"/>
        <w:gridCol w:w="109"/>
        <w:gridCol w:w="109"/>
        <w:gridCol w:w="109"/>
        <w:gridCol w:w="165"/>
        <w:gridCol w:w="166"/>
        <w:gridCol w:w="308"/>
      </w:tblGrid>
      <w:tr>
        <w:trPr/>
        <w:tc>
          <w:tcPr>
            <w:tcW w:w="113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78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786" w:type="dxa"/>
            <w:gridSpan w:val="3"/>
            <w:vMerge w:val="continue"/>
            <w:tcBorders/>
            <w:tcMar>
              <w:top w:w="0" w:type="dxa"/>
              <w:left w:w="0" w:type="dxa"/>
              <w:bottom w:w="0" w:type="dxa"/>
              <w:right w:w="0" w:type="dxa"/>
            </w:tcMar>
            <w:vAlign w:val="center"/>
          </w:tcPr>
          <w:p>
            <w:pPr>
              <w:pStyle w:val="Normal"/>
              <w:bidi w:val="0"/>
              <w:jc w:val="left"/>
              <w:rPr/>
            </w:pPr>
            <w:r>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Salaries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11,940 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Professional, outside services, and other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Facilities related</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general &amp; administrative expense, excluding non-cash expenses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32,503 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18,742 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8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general &amp; administrative expenses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46,021 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26,910 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Salaries expense increased $4.6 million, or 63%, for the three months ended December 31, 2025 compared to the same period of 2024. The increase was driven by higher headcount required to support the Company’s growth as the Company prepared for commercialization as well as of annual salary increases.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Professional, outside services, and other expenses include costs related to legal, consulting, patent filings, business insurance, other external services, as well as travel, communication, and technology expenses. These expenses increased $8.8 million, or 87%, for the three months ended December 31, 2025 compared to the same period of 2024. The increase was mainly due to professional services associated with commercialization as the Company initiated a product launch, including costs for data analytics, marketing and commercial launch support.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Facilities related expense primarily includes rental costs and other facilities-related costs for the Company’s corporate headquarters in Pasadena, California. These expenses increased $0.4 million, or 29%, for the three months ended December 31, 2025 compared to the same period of 2024. The increase was primarily driven by higher staff amenities expenses driven by higher headcount.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 compensation expense, a non-cash expense, is based on the valuation of restricted stock units granted to employees, which is based on the closing stock price on the grant date. These expenses increased $5.4 million, or 70%, for the three months ended December 31, 2025 compared to the same periods of 2024. The increase was primarily due to recognition of compensation expense related to a performance-based restricted stock unit award following the achievement of a pre-specified performance milestone.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 noncash expense, was primarily related to amortization of leasehold improvements for the Company’s corporate headquarters.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Other (Expense)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income is primarily related to interest income and expense. Other expense decreased $1.2 million for the three months ended December 31, 2025 compared to the same period of 2024. The decrease was primarily due to higher income from increased investment yields.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Net Income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Arrowhead Pharmaceuticals, Inc. was $30.8 million for the three months ended December 31, 2025, compared to a net loss attributable to Arrowhead Pharmaceuticals, Inc. of $173.1 million for the three months ended December 31, 2024. Net income per diluted share was $0.22 for the three months ended December 31, 2025, compared to a net loss per diluted share of $1.39 for the three months ended December 31, 2024. The increase in net income attributable to Arrowhead Pharmaceuticals, Inc. for the three months ended December 31, 2025 compared to the same period of 2024 was primarily due to an increase in revenue from the Sarepta Collaboration Agreement, partially offset by higher research and development expenses, associated with the expansion of the Company's pipeline and progression through clinical trial phases.</w:t>
      </w:r>
    </w:p>
    <w:p>
      <w:pPr>
        <w:pStyle w:val="TextBody"/>
        <w:bidi w:val="0"/>
        <w:spacing w:before="24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historically financed its operations through the sale of its equity securities, credit facility, revenue from its licensing and collaboration agreements, and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including commercialization efforts.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Company’s cash, cash equivalents and restricted cash was $201.6 million as of December 31, 2025 compared to $226.5 million as of September 30, 2025. Cash invested in available-for-sale securities was $715.0 million as of December 31, 2025 compared to $692.8 million as of September 30, 2025.</w:t>
      </w:r>
      <w:r>
        <w:rPr>
          <w:color w:val="EE2724"/>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August 2024, the Company entered into the Credit Facility, which provides for a senior secured term loan facility of $500.0 million, which includes $400.0 million funded on the closing date with an additional $100.0 million at the Company’s option during the seven-year term of the agreement. The Company received net proceeds of $388.9 million, after issuance costs as of September 30,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25, 2024, the Company entered into a licensing and collaboration agreement with Sarepta. Upon closing, the Company received $325.0 million for the purchase of 11,926,301 shares of common stock, at a price per share of $27.25, and received $500.0 million as an upfront payment on February 24, 2025. During the fourth quarter of fiscal 2025, a $100.0 million milestone payment from Sarepta was triggered, when the Company reached the first of two prespecified enrollment targets and subsequent authorization to dose escalate in a Phase 1/2 clinical study of ARO-DM1, an investigational RNAi therapeutic for the treatment of type 1 myotonic dystrophy (DM1). The Company received $53.2 million of Arrowhead common stock and $50.0 million cash from Sarepta to satisfy the milestone payment. The Company is eligible to receive additional milestones of up to $250.0 million over the 12 months from December 31, 2025, inclusive of the second DM1 milestone payment of $200.0 million earned in November 2025 and received in January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the Company entered into a licensing and collaboration agreement with Novartis. Upon closing in October 2025, the Company received $200.0 million as an upfront payment.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10, 2025, the Company entered into an Amended and Restated Open Market Sale Agreement (the “Amended and Restated Sale Agreement”) with Jefferies LLC, acting as sales agent and/or principal, which amended and restated the Company’s prior open market sale agreement in its entirety. Pursuant to the Amended and Restated Sale Agreement, the Company may, from time to time, sell shares of the Company’s common stock through Jefferies LLC in an at-the-market offering, up to the maximum program amount permitted under the Company’s effective shelf registration statement. As of December 31, 2025, the Company had sold approximately 689,000 shares of common stock under the Amended and Restated Sale Agreement, generating gross proceeds of $48.2 million and net proceeds of $46.8 million, after deducting commissions and offering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the Company's current cash and investment resources and operating plan, the Company expects to have sufficient liquidity to fund its operations through at least the next twelve months from the date of the issuance of these unaudited consolidated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cash flows:</w:t>
      </w:r>
    </w:p>
    <w:tbl>
      <w:tblPr>
        <w:tblW w:w="6911" w:type="dxa"/>
        <w:jc w:val="left"/>
        <w:tblInd w:w="0" w:type="dxa"/>
        <w:tblLayout w:type="fixed"/>
        <w:tblCellMar>
          <w:top w:w="28" w:type="dxa"/>
          <w:left w:w="28" w:type="dxa"/>
          <w:bottom w:w="28" w:type="dxa"/>
          <w:right w:w="28" w:type="dxa"/>
        </w:tblCellMar>
      </w:tblPr>
      <w:tblGrid>
        <w:gridCol w:w="1527"/>
        <w:gridCol w:w="1347"/>
        <w:gridCol w:w="1356"/>
        <w:gridCol w:w="208"/>
        <w:gridCol w:w="781"/>
        <w:gridCol w:w="115"/>
        <w:gridCol w:w="115"/>
        <w:gridCol w:w="115"/>
        <w:gridCol w:w="115"/>
        <w:gridCol w:w="208"/>
        <w:gridCol w:w="861"/>
        <w:gridCol w:w="163"/>
      </w:tblGrid>
      <w:tr>
        <w:trPr/>
        <w:tc>
          <w:tcPr>
            <w:tcW w:w="152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(146,272)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(25,011)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(48,728)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201,643 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31, 2025, cash flow provided by operating activities was $13.5 million, which was primarily due to $200.0 million of cash received as part of the Novartis agreement which was recorded in deferred revenue, increase in ongoing expenses related to the Company's research and development programs and general and administrative expenses, partially offset by the increase in accounts receivable relating to the achievement of the ARO-DM1 development milestone of $200 million per the Sarepta Collaboration Agreement. Cash used in investing activities amounted to $23.7 million, which was primarily attributable to investment purchases of $136.9 million, and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expenditures of $2.1 million, partially offset by proceeds from maturities of investments of $115.3 million. Cash used in financing activities of $14.8 million was primarily due to the repayment of the credit facility of $66.7 million, partially offset by $46.8 million in proceeds received from the issuance of common stock under the ATM Offering and $5.1 million from the exercise of stock options (See Note 6 — Stockholders’</w:t>
      </w:r>
      <w:r>
        <w:rPr>
          <w:color w:val="000000"/>
        </w:rPr>
        <w:t xml:space="preserve"> </w:t>
      </w:r>
      <w:r>
        <w:rPr>
          <w:rFonts w:ascii="Times New Roman;serif" w:hAnsi="Times New Roman;serif"/>
          <w:b w:val="false"/>
          <w:color w:val="000000"/>
          <w:sz w:val="20"/>
        </w:rPr>
        <w:t xml:space="preserve">Equity of Notes to Consolidated Financial Statements of Part I, “Item 1.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2024, cash flow used in operating activities was $146.3 million, which was primarily due to the ongoing expenses related to the Company’s research and development programs and general and administrative expenses. Cash used in investing activities was $76.9 million, which was primarily attributable to capital expenditures of $7.5 million and investment purchases of $33.7 million, partially offset by proceeds from sales and maturities of investments of $118.2 million. Cash provided by financing activities of $20.6 million was primarily related to cash received from the issuance of common stock as well as stock option exercises.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Contractual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global licensing and collaboration agreement with Novartis on August 29, 2025, which closed on October 17, 2025 (see Note 2). There has been no other material change in the Company’s contractual obligations from that described in Item 7 of its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There has been no material change in the </w:t>
      </w:r>
      <w:r>
        <w:rPr>
          <w:rFonts w:ascii="Times New Roman;serif" w:hAnsi="Times New Roman;serif"/>
          <w:b w:val="false"/>
          <w:color w:val="000000"/>
          <w:sz w:val="20"/>
          <w:shd w:fill="FFFFFF" w:val="clear"/>
        </w:rPr>
        <w:t>Company</w:t>
      </w:r>
      <w:r>
        <w:rPr>
          <w:color w:val="000000"/>
        </w:rPr>
        <w:t>’</w:t>
      </w:r>
      <w:r>
        <w:rPr>
          <w:rFonts w:ascii="Times New Roman;serif" w:hAnsi="Times New Roman;serif"/>
          <w:b w:val="false"/>
          <w:color w:val="000000"/>
          <w:sz w:val="20"/>
          <w:shd w:fill="FFFFFF" w:val="clear"/>
        </w:rPr>
        <w:t>s</w:t>
      </w:r>
      <w:r>
        <w:rPr>
          <w:color w:val="000000"/>
        </w:rPr>
        <w:t xml:space="preserve"> </w:t>
      </w:r>
      <w:r>
        <w:rPr>
          <w:rFonts w:ascii="Times New Roman;serif" w:hAnsi="Times New Roman;serif"/>
          <w:b w:val="false"/>
          <w:color w:val="000000"/>
          <w:sz w:val="20"/>
        </w:rPr>
        <w:t>exposure to market risk from that described in Item 7A of its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firstLine="9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assurance level.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pStyle w:val="TextBody"/>
        <w:bidi w:val="0"/>
        <w:spacing w:before="120" w:after="283"/>
        <w:jc w:val="both"/>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described in Note 7 - Commitments and Contingencies, there have been no other material developments in the legal proceedings that the Company disclosed in Part I, Item 3 of its Annual Report on Form 10-K for the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w:t>
      </w:r>
      <w:r>
        <w:rPr>
          <w:color w:val="000000"/>
        </w:rPr>
        <w:t>’</w:t>
      </w:r>
      <w:r>
        <w:rPr>
          <w:rFonts w:ascii="Times New Roman;serif" w:hAnsi="Times New Roman;serif"/>
          <w:b w:val="false"/>
          <w:color w:val="000000"/>
          <w:sz w:val="20"/>
          <w:shd w:fill="FFFFFF" w:val="clear"/>
        </w:rPr>
        <w:t>s business, results of operations and financial conditions are subject to various risks. These risks are described elsewhere in this Quarterly Report on Form 10-Q and in the Company</w:t>
      </w:r>
      <w:r>
        <w:rPr>
          <w:color w:val="000000"/>
        </w:rPr>
        <w:t>’</w:t>
      </w:r>
      <w:r>
        <w:rPr>
          <w:rFonts w:ascii="Times New Roman;serif" w:hAnsi="Times New Roman;serif"/>
          <w:b w:val="false"/>
          <w:color w:val="000000"/>
          <w:sz w:val="20"/>
          <w:shd w:fill="FFFFFF" w:val="clear"/>
        </w:rPr>
        <w:t>s other filings with the SEC, including the Company</w:t>
      </w:r>
      <w:r>
        <w:rPr>
          <w:color w:val="000000"/>
        </w:rPr>
        <w:t>’</w:t>
      </w:r>
      <w:r>
        <w:rPr>
          <w:rFonts w:ascii="Times New Roman;serif" w:hAnsi="Times New Roman;serif"/>
          <w:b w:val="false"/>
          <w:color w:val="000000"/>
          <w:sz w:val="20"/>
          <w:shd w:fill="FFFFFF" w:val="clear"/>
        </w:rPr>
        <w:t>s Annual Report on Form 10-K for the fiscal year ended September 30, 2025. There have been no material changes from the risk factors identified in the Company</w:t>
      </w:r>
      <w:r>
        <w:rPr>
          <w:color w:val="000000"/>
        </w:rPr>
        <w:t>’</w:t>
      </w:r>
      <w:r>
        <w:rPr>
          <w:rFonts w:ascii="Times New Roman;serif" w:hAnsi="Times New Roman;serif"/>
          <w:b w:val="false"/>
          <w:color w:val="000000"/>
          <w:sz w:val="20"/>
          <w:shd w:fill="FFFFFF" w:val="clear"/>
        </w:rPr>
        <w:t>s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 Trading Plans</w:t>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the following directors and officers (as defined in Exchange Act Rule 16a-1(f)) adopted certain trading plans intended to satisfy Rule 10b5-1(c):</w:t>
      </w:r>
    </w:p>
    <w:tbl>
      <w:tblPr>
        <w:tblW w:w="10205" w:type="dxa"/>
        <w:jc w:val="left"/>
        <w:tblInd w:w="0" w:type="dxa"/>
        <w:tblLayout w:type="fixed"/>
        <w:tblCellMar>
          <w:top w:w="28" w:type="dxa"/>
          <w:left w:w="28" w:type="dxa"/>
          <w:bottom w:w="28" w:type="dxa"/>
          <w:right w:w="28" w:type="dxa"/>
        </w:tblCellMar>
      </w:tblPr>
      <w:tblGrid>
        <w:gridCol w:w="418"/>
        <w:gridCol w:w="366"/>
        <w:gridCol w:w="371"/>
        <w:gridCol w:w="109"/>
        <w:gridCol w:w="109"/>
        <w:gridCol w:w="109"/>
        <w:gridCol w:w="469"/>
        <w:gridCol w:w="469"/>
        <w:gridCol w:w="476"/>
        <w:gridCol w:w="109"/>
        <w:gridCol w:w="109"/>
        <w:gridCol w:w="109"/>
        <w:gridCol w:w="475"/>
        <w:gridCol w:w="475"/>
        <w:gridCol w:w="477"/>
        <w:gridCol w:w="109"/>
        <w:gridCol w:w="109"/>
        <w:gridCol w:w="109"/>
        <w:gridCol w:w="235"/>
        <w:gridCol w:w="225"/>
        <w:gridCol w:w="226"/>
        <w:gridCol w:w="109"/>
        <w:gridCol w:w="109"/>
        <w:gridCol w:w="109"/>
        <w:gridCol w:w="628"/>
        <w:gridCol w:w="628"/>
        <w:gridCol w:w="629"/>
        <w:gridCol w:w="109"/>
        <w:gridCol w:w="109"/>
        <w:gridCol w:w="109"/>
        <w:gridCol w:w="582"/>
        <w:gridCol w:w="582"/>
        <w:gridCol w:w="839"/>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155"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Adoption or 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Plan End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 xml:space="preserve">Shares Vesting and Subject to Sell-To-Cover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 Shares Being Sold (Subject to Certain Conditions)</w:t>
            </w:r>
          </w:p>
        </w:tc>
      </w:tr>
      <w:tr>
        <w:trPr/>
        <w:tc>
          <w:tcPr>
            <w:tcW w:w="115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Christopher Anzalone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12/22/2025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01/31/2030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1,871,805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James Hamilton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Chief Medical Officer, Head of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12/02/2025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03/05/2027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44,000</w:t>
            </w:r>
          </w:p>
        </w:tc>
      </w:tr>
    </w:tbl>
    <w:p>
      <w:pPr>
        <w:pStyle w:val="TextBody"/>
        <w:bidi w:val="0"/>
        <w:spacing w:lineRule="auto" w:line="288" w:before="60" w:after="283"/>
        <w:jc w:val="both"/>
        <w:rPr>
          <w:rFonts w:ascii="Times New Roman;serif" w:hAnsi="Times New Roman;serif"/>
          <w:b w:val="false"/>
          <w:i/>
          <w:color w:val="000000"/>
          <w:sz w:val="18"/>
        </w:rPr>
      </w:pPr>
      <w:r>
        <w:rPr>
          <w:rFonts w:ascii="Times New Roman;serif" w:hAnsi="Times New Roman;serif"/>
          <w:b w:val="false"/>
          <w:i/>
          <w:color w:val="000000"/>
          <w:sz w:val="18"/>
        </w:rPr>
        <w:t>(1) This column indicates the total number of shares vesting, but the 10b5-1 Plan provides for the sale of only those shares necessary to satisfy payment of applicable withholding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6"/>
        <w:gridCol w:w="257"/>
        <w:gridCol w:w="109"/>
        <w:gridCol w:w="109"/>
        <w:gridCol w:w="109"/>
        <w:gridCol w:w="2764"/>
        <w:gridCol w:w="2600"/>
        <w:gridCol w:w="3711"/>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Document Description</w:t>
            </w:r>
          </w:p>
        </w:tc>
      </w:tr>
      <w:tr>
        <w:trPr/>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Amended and Restated Certificate of Incorporation (incorporated by reference from Exhibit 3.3 of the Company’s Form 8-K filed on April 6, 2016)</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Certificate of Amendment to the Amended and Restated Certificate of Incorporation of Arrowhead Pharmaceuticals, Inc. (incorporated by reference from Exhibit 3.2 of the Company’s Form 10-Q filed on May 2, 2023)</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3.htm">
              <w:r>
                <w:rPr>
                  <w:rStyle w:val="InternetLink"/>
                  <w:rFonts w:ascii="Times New Roman;serif" w:hAnsi="Times New Roman;serif"/>
                  <w:b w:val="false"/>
                  <w:color w:val="0000FF"/>
                  <w:sz w:val="18"/>
                  <w:u w:val="single"/>
                </w:rPr>
                <w:t>Second Amended and Restated Bylaws of Arrowhead Pharmaceuticals, Inc., as amended January 24, 2023</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1arrowhead-sixthst.htm">
              <w:r>
                <w:rPr>
                  <w:rStyle w:val="InternetLink"/>
                  <w:rFonts w:ascii="Times New Roman;serif" w:hAnsi="Times New Roman;serif"/>
                  <w:b w:val="false"/>
                  <w:color w:val="000080"/>
                  <w:sz w:val="18"/>
                  <w:u w:val="single"/>
                </w:rPr>
                <w:t>A</w:t>
              </w:r>
            </w:hyperlink>
            <w:hyperlink w:anchor="exhibit41arrowhead-sixthst.htm">
              <w:r>
                <w:rPr>
                  <w:rStyle w:val="InternetLink"/>
                  <w:rFonts w:ascii="Times New Roman;serif" w:hAnsi="Times New Roman;serif"/>
                  <w:b w:val="false"/>
                  <w:color w:val="000080"/>
                  <w:sz w:val="18"/>
                  <w:u w:val="single"/>
                </w:rPr>
                <w:t>mendment No. 2 to Financing Agreement</w:t>
              </w:r>
            </w:hyperlink>
            <w:hyperlink w:anchor="exhibit41arrowhead-sixthst.htm">
              <w:r>
                <w:rPr>
                  <w:rStyle w:val="InternetLink"/>
                  <w:rFonts w:ascii="Times New Roman;serif" w:hAnsi="Times New Roman;serif"/>
                  <w:b w:val="false"/>
                  <w:color w:val="000080"/>
                  <w:sz w:val="18"/>
                  <w:u w:val="single"/>
                </w:rPr>
                <w:t xml:space="preserve"> between Arrowhead Pharmaceuticals, Inc. and Sixth Street Lending Partners</w:t>
              </w:r>
            </w:hyperlink>
            <w:hyperlink w:anchor="exhibit41arrowhead-sixthst.htm">
              <w:r>
                <w:rPr>
                  <w:rStyle w:val="InternetLink"/>
                  <w:rFonts w:ascii="Times New Roman;serif" w:hAnsi="Times New Roman;serif"/>
                  <w:b w:val="false"/>
                  <w:color w:val="000080"/>
                  <w:sz w:val="18"/>
                  <w:u w:val="single"/>
                </w:rPr>
                <w:t xml:space="preserve"> </w:t>
              </w:r>
            </w:hyperlink>
            <w:hyperlink w:anchor="exhibit41arrowhead-sixthst.htm">
              <w:r>
                <w:rPr>
                  <w:rStyle w:val="InternetLink"/>
                  <w:rFonts w:ascii="Times New Roman;serif" w:hAnsi="Times New Roman;serif"/>
                  <w:b w:val="false"/>
                  <w:color w:val="000080"/>
                  <w:sz w:val="18"/>
                  <w:u w:val="single"/>
                </w:rPr>
                <w:t>dated August 7, 2024</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12312025xexx311.htm">
              <w:r>
                <w:rPr>
                  <w:rStyle w:val="InternetLink"/>
                  <w:rFonts w:ascii="Times New Roman;serif" w:hAnsi="Times New Roman;serif"/>
                  <w:b w:val="false"/>
                  <w:color w:val="0000FF"/>
                  <w:sz w:val="18"/>
                  <w:u w:val="single"/>
                </w:rPr>
                <w:t>Certification of Chief Executive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12312025xexx312.htm">
              <w:r>
                <w:rPr>
                  <w:rStyle w:val="InternetLink"/>
                  <w:rFonts w:ascii="Times New Roman;serif" w:hAnsi="Times New Roman;serif"/>
                  <w:b w:val="false"/>
                  <w:color w:val="0000FF"/>
                  <w:sz w:val="18"/>
                  <w:u w:val="single"/>
                </w:rPr>
                <w:t>Certification of Chief Financial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12312025xex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12312025xex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Inline XBRL Instance Document </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cover page from this Quarterly Report on Form 10-Q, formatted in Inline XBRL (included as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68" w:before="0" w:after="0"/>
        <w:ind w:left="0" w:right="0" w:hanging="720"/>
        <w:jc w:val="left"/>
        <w:rPr/>
      </w:pPr>
      <w:r>
        <w:rPr>
          <w:color w:val="000000"/>
        </w:rPr>
        <w:t xml:space="preserve">† </w:t>
      </w:r>
      <w:r>
        <w:rPr>
          <w:rFonts w:ascii="Times New Roman;serif" w:hAnsi="Times New Roman;serif"/>
          <w:b w:val="false"/>
          <w:color w:val="000000"/>
          <w:sz w:val="20"/>
        </w:rPr>
        <w:t>Certain portions of this exhibit were redacted by means of marking such portions with asterisks because the identified portions are (i) not material and (ii) treated as private or confidential by the Company.</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Quarterly Report on Form 10-Q to be signed on its behalf by the undersigned, thereunto duly authorized.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February 5, 2026</w:t>
      </w:r>
    </w:p>
    <w:tbl>
      <w:tblPr>
        <w:tblW w:w="6884" w:type="dxa"/>
        <w:jc w:val="left"/>
        <w:tblInd w:w="0" w:type="dxa"/>
        <w:tblLayout w:type="fixed"/>
        <w:tblCellMar>
          <w:top w:w="28" w:type="dxa"/>
          <w:left w:w="28" w:type="dxa"/>
          <w:bottom w:w="28" w:type="dxa"/>
          <w:right w:w="28" w:type="dxa"/>
        </w:tblCellMar>
      </w:tblPr>
      <w:tblGrid>
        <w:gridCol w:w="124"/>
        <w:gridCol w:w="109"/>
        <w:gridCol w:w="109"/>
        <w:gridCol w:w="591"/>
        <w:gridCol w:w="591"/>
        <w:gridCol w:w="591"/>
        <w:gridCol w:w="1395"/>
        <w:gridCol w:w="1395"/>
        <w:gridCol w:w="19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Apel</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Times New Roman;serif" w:hAnsi="Times New Roman;serif"/>
          <w:b/>
          <w:color w:val="000000"/>
          <w:sz w:val="20"/>
        </w:rPr>
      </w:pPr>
      <w:r>
        <w:rPr>
          <w:rFonts w:ascii="Times New Roman;serif" w:hAnsi="Times New Roman;serif"/>
          <w:b/>
          <w:color w:val="000000"/>
          <w:sz w:val="20"/>
        </w:rPr>
        <w:t>Exhibit 3.3</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 xml:space="preserve">SECOND AMENDED AND RESTATED </w:t>
        <w:br/>
        <w:t>BYLAWS OF</w:t>
        <w:br/>
        <w:t>ARROWHEAD PHARMACEUTICALS, INC.</w:t>
      </w:r>
    </w:p>
    <w:p>
      <w:pPr>
        <w:pStyle w:val="TextBody"/>
        <w:bidi w:val="0"/>
        <w:spacing w:lineRule="auto" w:line="240" w:before="0" w:after="240"/>
        <w:jc w:val="center"/>
        <w:rPr/>
      </w:pPr>
      <w:r>
        <w:rPr>
          <w:rFonts w:ascii="Times New Roman;serif" w:hAnsi="Times New Roman;serif"/>
          <w:b w:val="false"/>
          <w:color w:val="000000"/>
          <w:sz w:val="20"/>
        </w:rPr>
        <w:t>ARTICLE I</w:t>
      </w:r>
      <w:r>
        <w:rPr>
          <w:rFonts w:ascii="Times New Roman;serif" w:hAnsi="Times New Roman;serif"/>
          <w:b w:val="false"/>
          <w:color w:val="000000"/>
          <w:sz w:val="20"/>
        </w:rPr>
        <w:br/>
        <w:t>STOCKHOLDERS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w:t>
      </w:r>
      <w:r>
        <w:rPr>
          <w:rFonts w:ascii="Times New Roman;serif" w:hAnsi="Times New Roman;serif"/>
          <w:b w:val="false"/>
          <w:color w:val="000000"/>
          <w:sz w:val="20"/>
        </w:rPr>
        <w:t>Annual Meeting.</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General.</w:t>
      </w:r>
      <w:r>
        <w:rPr>
          <w:color w:val="000000"/>
        </w:rPr>
        <w:t xml:space="preserve"> </w:t>
      </w:r>
      <w:r>
        <w:rPr>
          <w:rFonts w:ascii="Times New Roman;serif" w:hAnsi="Times New Roman;serif"/>
          <w:b w:val="false"/>
          <w:color w:val="000000"/>
          <w:sz w:val="20"/>
        </w:rPr>
        <w:t xml:space="preserve">The annual meeting of stockholders shall be held at the hour, date and place, if any, within or without the State of Delaware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 </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Notice of Stockholder Business and Nominations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(1)Nominations of persons for election to the Board of Directors and the proposal of other business to be considered by the stockholders may be brought before an annual meeting: (i) by or at the direction of the Board of Directors,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other business, or (iii) by an Eligible Stockholder (as defined in Section 1.11 below) pursuant to and in accordance with Section 1.11 of these bylaws. For the avoidance of doubt, the foregoing clauses (ii) and (iii) shall be the exclusive means for a stockholder to bring nominations and the foregoing clause (ii) shall be the exclusive means for a stockholder to bring other business properly before an annual meeting (other than matters properly brought under Rule 14a-8 (or any successor rule) under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and such stockholder must comply with the notice and other procedures set forth in Article I, Section 1.1(b) or Article I, Section 1.11, as applicable, of this bylaw to bring such nominations or other business properly before an annual meeting. In addition to the other requirements set forth in this bylaw, for any proposal of business to be considered at an annual meeting, it must be a proper subject for action by stockholders of the corporation under applicable law.</w:t>
      </w:r>
    </w:p>
    <w:p>
      <w:pPr>
        <w:pStyle w:val="TextBody"/>
        <w:bidi w:val="0"/>
        <w:spacing w:lineRule="auto" w:line="240" w:before="0" w:after="240"/>
        <w:ind w:left="0" w:right="0" w:firstLine="1440"/>
        <w:jc w:val="left"/>
        <w:rPr/>
      </w:pPr>
      <w:r>
        <w:rPr>
          <w:rFonts w:ascii="Times New Roman;serif" w:hAnsi="Times New Roman;serif"/>
          <w:b w:val="false"/>
          <w:color w:val="000000"/>
          <w:sz w:val="20"/>
        </w:rPr>
        <w:t>(2)For nominations or other business to be properly brought before an annual meeting by a stockholder pursuant to clause (iii) of Article I, Section 1.1(b)(1)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other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90th day nor earlier than the close of business on the 120th day prior to the one-year anniversary of the preceding year’s annual meeting; provided, however, that in the event the annual meeting is first convened more than 30 days before or more than 60 days after such anniversary date, or if no annual meeting was held in the preceding year, notice by the stockholder to be timely must be received by the Secretary of the corporation not later than the close of business on the later of the 90th day prior to the scheduled date of such annual meeting or the 10th day following the day on which public announcement of the date of such meeting is first made (such notice within such time periods shall be referred to as “</w:t>
      </w:r>
      <w:r>
        <w:rPr>
          <w:rFonts w:ascii="Times New Roman;serif" w:hAnsi="Times New Roman;serif"/>
          <w:b w:val="false"/>
          <w:color w:val="000000"/>
          <w:sz w:val="20"/>
          <w:u w:val="single"/>
        </w:rPr>
        <w:t>Timely Notice</w:t>
      </w:r>
      <w:r>
        <w:rPr>
          <w:color w:val="000000"/>
        </w:rPr>
        <w:t>”</w:t>
      </w:r>
      <w:r>
        <w:rPr>
          <w:rFonts w:ascii="Times New Roman;serif" w:hAnsi="Times New Roman;serif"/>
          <w:b w:val="false"/>
          <w:color w:val="000000"/>
          <w:sz w:val="20"/>
        </w:rPr>
        <w:t>).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 Such stockholder’s Timely Notice shall set forth:</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(A)as to each person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Exchange Act, (ii) the information required under Article I, Section 1.12 with respect to any nominee for election as a director, and (iii) a written statement, not to exceed 500 words, in support of such person;</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each Proposing Person (as defined below);</w:t>
      </w:r>
    </w:p>
    <w:p>
      <w:pPr>
        <w:pStyle w:val="TextBody"/>
        <w:bidi w:val="0"/>
        <w:spacing w:lineRule="auto" w:line="240" w:before="0" w:after="240"/>
        <w:ind w:left="0" w:right="0" w:firstLine="720"/>
        <w:jc w:val="left"/>
        <w:rPr/>
      </w:pPr>
      <w:r>
        <w:rPr>
          <w:rFonts w:ascii="Times New Roman;serif" w:hAnsi="Times New Roman;serif"/>
          <w:b w:val="false"/>
          <w:color w:val="000000"/>
          <w:sz w:val="20"/>
        </w:rPr>
        <w:t>(C)(i)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including any shares of any class or series of capital stock of the corporation as to which such Proposing Person has a right to acquire beneficial ownership at any time in the future, (b) all Synthetic Equity Interests (as defined below) in which such Proposing Person,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(e) any performance-related fees (other than an asset based fee) that such Proposing Person, directly or indirectly, is entitled to based on any increase or decrease in the value of shares of any class or series of capital stock of the corporation or any Synthetic Equity Interests, and (f) any equity interests or Synthetic Equity Interest in the securities of any principal competitor (for purposes of this Section 1.1(b), as defined for purposes of Section 8 of the Clayton Antitrust Act of 1914) of the corporation held by or on behalf of such Proposing Person (the disclosures to be made pursuant to the foregoing clauses (a) through (f) are referred to, collectively, as “</w:t>
      </w:r>
      <w:r>
        <w:rPr>
          <w:rFonts w:ascii="Times New Roman;serif" w:hAnsi="Times New Roman;serif"/>
          <w:b w:val="false"/>
          <w:color w:val="000000"/>
          <w:sz w:val="20"/>
          <w:u w:val="single"/>
        </w:rPr>
        <w:t>Material Ownership Interests</w:t>
      </w:r>
      <w:r>
        <w:rPr>
          <w:color w:val="000000"/>
        </w:rPr>
        <w:t>”</w:t>
      </w:r>
      <w:r>
        <w:rPr>
          <w:rFonts w:ascii="Times New Roman;serif" w:hAnsi="Times New Roman;serif"/>
          <w:b w:val="false"/>
          <w:color w:val="000000"/>
          <w:sz w:val="20"/>
        </w:rPr>
        <w:t>) and (iii) a description of the material terms of all agreements, arrangements or understandings (whether or not in writing) entered into by any Proposing Person with any other person for the purpose of acquiring, holding, disposing or voting of any shares of any class or series of capital stock of the corporation;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 any plans or proposals which such Proposing Person may have with respect to securities of the corporation that would be required to be disclosed pursuant to Item 4 of Exchange Act Schedule 13D, (ii)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including, without limitation any agreements that would be required to be disclosed pursuant to Item 5 or Item 6 of Exchange Act Schedule 13D, (which description shall identify the name of each other person who is party to such an agreement, arrangement or understanding), and (iii)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 representation that the stockholder (or a qualified representative of the stockholder) intends to appear at the meeting to make such nomination or propose such other business;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 representation as to whether the stockholder giving the notice, any other Proposing Person, or any other participant (as defined in Item 4 of Schedule 14A under the Exchange Act) will engage in a solicitation with respect to such nomination or proposal of other business and, if so, a statement of whether such solicitation will be conducted as an exempt </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solicitation under Rule 14a-2(b) of the Exchange Act, the name of each participant in such solicitation and the amount of the cost of solicitation that has been and will be borne, directly or indirectly, by each participant in such solicitation and (i) in the case of a proposal of business other than nominations, whether such person or group intends to deliver, through means satisfying each of the conditions that would be applicable to the corporation under either Exchange Act Rule 14a-16(a) or Exchange Act Rule 14a-16(n), a proxy statement and form of proxy to holders (including any beneficial owners pursuant to Rule 14b-1 and Rule 14b-2 of the Exchange Act) of at least the percentage of the corporation's voting shares required under applicable law to carry the proposal or (ii) in the case of any solicitation that is subject to Rule 14a-19 of the Exchange Act, confirming that such person or group will deliver, through means satisfying each of the conditions that would be applicable to the corporation under either Exchange Act Rule 14a-16(a) or Exchange Act Rule 14a-16(n), a proxy statement and form of proxy to holders (including any beneficial owners pursuant to Rule 14b-1 and Rule 14b-2 of the Exchange Act) of at least 67% of the voting power of the corporation’s stock entitled to vote generally in the election of directors;</w:t>
      </w:r>
    </w:p>
    <w:p>
      <w:pPr>
        <w:pStyle w:val="TextBody"/>
        <w:bidi w:val="0"/>
        <w:spacing w:lineRule="auto" w:line="240" w:before="0" w:after="0"/>
        <w:ind w:left="0" w:right="0" w:firstLine="720"/>
        <w:jc w:val="left"/>
        <w:rPr/>
      </w:pPr>
      <w:r>
        <w:rPr>
          <w:rFonts w:ascii="Times New Roman;serif" w:hAnsi="Times New Roman;serif"/>
          <w:b w:val="false"/>
          <w:color w:val="000000"/>
          <w:sz w:val="20"/>
        </w:rPr>
        <w:t>(G)a representation that promptly after soliciting proxies from the percentage of stockholders referred to in the representation required under the immediately preceding clause (F), such stockholder or any Proposing Person will provide the corporation with documents, which may take the form of a certified statement and documentation from a proxy solicitor, specifically demonstrating that the necessary steps have been taken to deliver a proxy statement and form of proxy to holders of such percentage of the corporation’s stock (such representation, together with the representations required under the immediately preceding clause (F) above, the “</w:t>
      </w:r>
      <w:r>
        <w:rPr>
          <w:rFonts w:ascii="Times New Roman;serif" w:hAnsi="Times New Roman;serif"/>
          <w:b w:val="false"/>
          <w:color w:val="000000"/>
          <w:sz w:val="20"/>
          <w:u w:val="single"/>
        </w:rPr>
        <w:t>Solicitation Statement</w:t>
      </w:r>
      <w:r>
        <w:rPr>
          <w:color w:val="000000"/>
        </w:rPr>
        <w:t>”</w:t>
      </w:r>
      <w:r>
        <w:rPr>
          <w:rFonts w:ascii="Times New Roman;serif" w:hAnsi="Times New Roman;serif"/>
          <w:b w:val="false"/>
          <w:color w:val="000000"/>
          <w:sz w:val="20"/>
        </w:rPr>
        <w:t>).</w:t>
      </w:r>
    </w:p>
    <w:p>
      <w:pPr>
        <w:pStyle w:val="TextBody"/>
        <w:bidi w:val="0"/>
        <w:spacing w:lineRule="auto" w:line="240" w:before="24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(3)A stockholder providing Timely Notice of nominations or other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business days prior to such annual meeting, and such update and supplement shall be received by the Secretary at the principal executive offices of the corporation not later than the close of business on the fifth business day after the record date for the annual meeting (in the case of the update and supplement required to be made as of the record date), and not later than the close of business on the eighth business day prior to the date of the annual meeting (in the case of the update and supplement required to be made as of ten business days prior to the meeting). </w:t>
      </w:r>
    </w:p>
    <w:p>
      <w:pPr>
        <w:pStyle w:val="TextBody"/>
        <w:bidi w:val="0"/>
        <w:spacing w:lineRule="auto" w:line="240" w:before="0" w:after="240"/>
        <w:ind w:left="0" w:right="0" w:firstLine="1440"/>
        <w:jc w:val="left"/>
        <w:rPr/>
      </w:pPr>
      <w:r>
        <w:rPr>
          <w:rFonts w:ascii="Times New Roman;serif" w:hAnsi="Times New Roman;serif"/>
          <w:b w:val="false"/>
          <w:color w:val="000000"/>
          <w:sz w:val="20"/>
        </w:rPr>
        <w:t>(4)Notwithstanding anything in the second sentence of Article I, Section 1.1(b)(2)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1.1(b)(2), a stockholder’s notice required by this bylaw shall also be considered timely, but only with respect to nominees for any new positions created by such increase, if it shall be received by the Secretary of the corporation not later than the close of business on the tenth (10</w:t>
      </w:r>
      <w:r>
        <w:rPr>
          <w:rFonts w:ascii="Times New Roman;serif" w:hAnsi="Times New Roman;serif"/>
          <w:b w:val="false"/>
          <w:color w:val="000000"/>
          <w:sz w:val="13"/>
        </w:rPr>
        <w:t>th</w:t>
      </w:r>
      <w:r>
        <w:rPr>
          <w:rFonts w:ascii="Times New Roman;serif" w:hAnsi="Times New Roman;serif"/>
          <w:b w:val="false"/>
          <w:color w:val="000000"/>
          <w:sz w:val="20"/>
        </w:rPr>
        <w:t>) day following the day on which such public announcement is first made by the corporation.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u w:val="single"/>
        </w:rPr>
        <w:t>Other</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(1)Only such persons who are nominated in accordance with the provisions of this Section 1.1 or Article I, Section 1.11 shall be eligible for election and to serve as directors and only such business shall be conducted at an annual meeting of stockholders as shall have been brought before the meeting in accordance with the provisions of this Article I, Section 1.1. The Chairman of the Board, the chairman of the meeting or any other person designated by the Board of Directors shall have the power to determine whether a nomination or any business proposed to be brought before the meeting was made in accordance with the provisions of these bylaws (including whether a stockholder or any other Proposing Person provided all information and complied with all requirements and representations required under this Article I, Section 1.1). If the Chairman of the Board, the chairman of the meeting or any other person designated by the Board of Directors determines that such nomination or other business was not made in accordance with the provisions of these bylaws, such nomination shall be disregarded and such other business shall not be transacted, notwithstanding that votes and proxies in respect of any such nomination or other business may have been received by the corporation.</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(2)Except as otherwise required by law, nothing in this Article I, Section 1.1 shall obligate the corporation or the Board of Directors to include in any proxy statement or other stockholder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communication distributed on behalf of the corporation or the Board of Directors information with respect to any nominee for director or any other matter of business submitted by a stockholder.</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(3)In furtherance and not by way of limitation of the foregoing provisions of this Article I, Section 1.1, if the proposing stockholder (or a qualified representative of the stockholder) does not appear at the annual meeting to present a nomination or other business, such nomination shall be disregarded and such other business shall not be transacted, notwithstanding that votes and proxies in respect of any such nomination or other business may have been received by the corporation. For purposes of this Article I, Section 1.1,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corporation prior to the making of such nomination or proposal of other business at the meeting of the stockholders (and in any event not fewer than five business days before such meeting).</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(4)Notwithstanding the foregoing provisions of this bylaw, a stockholder (and any other Proposing Person)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under the Exchange Act and, to the extent required by such rule, have such proposals considered and voted on at an annual meeting or (ii) the holders of any series of Preferred Stock to elect directors under specified circumstances.</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(5)Any stockholder directly or indirectly soliciting proxies from other stockholders must use a proxy card color other than white, which shall be reserved for the exclusive use for solicitation by the Board of Directors. </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color w:val="000000"/>
          <w:sz w:val="20"/>
          <w:u w:val="single"/>
        </w:rPr>
        <w:t>Definitions</w:t>
      </w:r>
      <w:r>
        <w:rPr>
          <w:rFonts w:ascii="Times New Roman;serif" w:hAnsi="Times New Roman;serif"/>
          <w:b w:val="false"/>
          <w:color w:val="000000"/>
          <w:sz w:val="20"/>
        </w:rPr>
        <w:t>. For purposes of this bylaw, the “close of business” shall mean 6:00 p.m. local time at the principal executive offices of the corporation on any calendar day, whether or not the day is a business day and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For purposes of this Article I of these bylaws, the term “</w:t>
      </w:r>
      <w:r>
        <w:rPr>
          <w:rFonts w:ascii="Times New Roman;serif" w:hAnsi="Times New Roman;serif"/>
          <w:b w:val="false"/>
          <w:color w:val="000000"/>
          <w:sz w:val="20"/>
          <w:u w:val="single"/>
        </w:rPr>
        <w:t>Proposing Person</w:t>
      </w:r>
      <w:r>
        <w:rPr>
          <w:color w:val="000000"/>
        </w:rPr>
        <w:t xml:space="preserve">” </w:t>
      </w:r>
      <w:r>
        <w:rPr>
          <w:rFonts w:ascii="Times New Roman;serif" w:hAnsi="Times New Roman;serif"/>
          <w:b w:val="false"/>
          <w:color w:val="000000"/>
          <w:sz w:val="20"/>
        </w:rPr>
        <w:t>shall mean the following persons: (i) the stockholder of record providing the notice of nominations or other business proposed to be brought before a stockholders’ meeting, and (ii) the beneficial owner(s), if different, on whose behalf the nominations or other business proposed to be brought before a stockholders’ meeting is made, and if such stockholder or beneficial owner is an entity, each individual who is a director, executive officer, general partner or managing member of such entity or of any other entity that has or shares control of such entity. For purposes of this Section 1.1 of Article I of these bylaws, the term “</w:t>
      </w:r>
      <w:r>
        <w:rPr>
          <w:rFonts w:ascii="Times New Roman;serif" w:hAnsi="Times New Roman;serif"/>
          <w:b w:val="false"/>
          <w:color w:val="000000"/>
          <w:sz w:val="20"/>
          <w:u w:val="single"/>
        </w:rPr>
        <w:t>Synthetic Equity Interest</w:t>
      </w:r>
      <w:r>
        <w:rPr>
          <w:color w:val="000000"/>
        </w:rPr>
        <w:t xml:space="preserve">” </w:t>
      </w:r>
      <w:r>
        <w:rPr>
          <w:rFonts w:ascii="Times New Roman;serif" w:hAnsi="Times New Roman;serif"/>
          <w:b w:val="false"/>
          <w:color w:val="000000"/>
          <w:sz w:val="20"/>
        </w:rPr>
        <w:t>shall mean (a) any transaction, agreement or arrangement (or series of transactions, agreements or arrangements), including, without limitation, any option, warrant, forward contract, contract of sale or other derivative, swap, hedge, pledge, repurchase, voting rights, or so-called “stock borrowing” agreement or arrangement, whether the instrument or agreement is to be settled with shares or with cash based on the notional amount or value of outstanding shares of stock of the corporation, the purpose or effect of which is to, directly or indirectly: (1)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(2) mitigate loss to, reduce the economic risk of or manage the risk of share price changes for, any person or entity with respect to any shares of any class or series of capital stock of the corporation, (3) otherwise provide in any manner the opportunity to profit or avoid a loss from any decrease in the value of any shares of any class or series of capital stock of the corporation, or (4) increase or decrease the voting power of any person or entity with respect to any shares of any class or series of capital stock of the corporation, and (b) any interest in the foregoing clause (a) with respect to any class or series of capital stock of any principal competitor of the corporation.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1.2</w:t>
      </w:r>
      <w:r>
        <w:rPr>
          <w:rFonts w:ascii="Times New Roman;serif" w:hAnsi="Times New Roman;serif"/>
          <w:b w:val="false"/>
          <w:color w:val="000000"/>
          <w:sz w:val="20"/>
          <w:u w:val="single"/>
        </w:rPr>
        <w:t>Special Meetings</w:t>
      </w:r>
      <w:r>
        <w:rPr>
          <w:rFonts w:ascii="Times New Roman;serif" w:hAnsi="Times New Roman;serif"/>
          <w:b w:val="false"/>
          <w:color w:val="000000"/>
          <w:sz w:val="20"/>
        </w:rPr>
        <w:t xml:space="preserve">. Except as otherwise required by statute and subject to the rights, if any, of the holders of any series of Preferred Stock, special meetings of the stockholders of the corporation may be called only by the Board of Directors. The Board of Directors may postpone, reschedule or cancel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1.1(a) of these bylaws, in which case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such special meeting in lieu thereof shall be deemed an annual meeting for purposes of these bylaws and the provisions of Article I, Section 1.1(b) of these bylaws shall govern such special meeting. </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1.3</w:t>
      </w:r>
      <w:r>
        <w:rPr>
          <w:rFonts w:ascii="Times New Roman;serif" w:hAnsi="Times New Roman;serif"/>
          <w:b w:val="false"/>
          <w:color w:val="000000"/>
          <w:sz w:val="20"/>
          <w:u w:val="single"/>
        </w:rPr>
        <w:t>Notice of Meetings</w:t>
      </w:r>
      <w:r>
        <w:rPr>
          <w:rFonts w:ascii="Times New Roman;serif" w:hAnsi="Times New Roman;serif"/>
          <w:b w:val="false"/>
          <w:color w:val="000000"/>
          <w:sz w:val="20"/>
        </w:rPr>
        <w:t>. Whenever stockholders are required or permitted to take any action at a meeting, a written notice of the meeting shall be given which shall state the place, if any, date and hour of the meeting, the record date for determining the stockholders entitled to vote at the meeting (if such date is different from the record date for determining the stockholders entitled to notice of the meeting) and the means of remote communications, if any, by which stockholders and proxyholders may be deemed to be present in person and vote at such meeting, and, in the case of a special meeting, the purpose or purposes for which the meeting is called. Unless otherwise provided by law, the written notice of any meeting shall be given not less than ten nor more than sixty days before the date of the meeting to each stockholder entitled to vote at such meeting. If mailed, such notice shall be deemed to be given when deposited in the mail, postage prepaid, directed to the stockholder at his/her address as it appears on the records of the corporation.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1.4</w:t>
      </w:r>
      <w:r>
        <w:rPr>
          <w:rFonts w:ascii="Times New Roman;serif" w:hAnsi="Times New Roman;serif"/>
          <w:b w:val="false"/>
          <w:color w:val="000000"/>
          <w:sz w:val="20"/>
          <w:u w:val="single"/>
        </w:rPr>
        <w:t>Adjournments</w:t>
      </w:r>
      <w:r>
        <w:rPr>
          <w:rFonts w:ascii="Times New Roman;serif" w:hAnsi="Times New Roman;serif"/>
          <w:b w:val="false"/>
          <w:color w:val="000000"/>
          <w:sz w:val="20"/>
        </w:rPr>
        <w:t>. Any meeting of stockholders, annual or special, may adjourn from time to time to reconvene at the same or some other place (including an adjournment taken to address a technical failure to convene or continue a meeting using remote communication), and notice need not be given of any such adjourned meeting if the place, if any, date and hour thereof, and the means of remote communication,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Section 1.3 of these bylaws). At the adjourned meeting the corporation may transact any business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1.5</w:t>
      </w:r>
      <w:r>
        <w:rPr>
          <w:rFonts w:ascii="Times New Roman;serif" w:hAnsi="Times New Roman;serif"/>
          <w:b w:val="false"/>
          <w:color w:val="000000"/>
          <w:sz w:val="20"/>
          <w:u w:val="single"/>
        </w:rPr>
        <w:t>Quorum</w:t>
      </w:r>
      <w:r>
        <w:rPr>
          <w:rFonts w:ascii="Times New Roman;serif" w:hAnsi="Times New Roman;serif"/>
          <w:b w:val="false"/>
          <w:color w:val="000000"/>
          <w:sz w:val="20"/>
        </w:rPr>
        <w:t>. At each meeting of stockholders, except where otherwise provided by law or the corporation’s Amended and Restated Certificate of Incorporation, as it may be amended from time to time (the “</w:t>
      </w:r>
      <w:r>
        <w:rPr>
          <w:rFonts w:ascii="Times New Roman;serif" w:hAnsi="Times New Roman;serif"/>
          <w:b w:val="false"/>
          <w:color w:val="000000"/>
          <w:sz w:val="20"/>
          <w:u w:val="single"/>
        </w:rPr>
        <w:t>Certificate of Incorporation</w:t>
      </w:r>
      <w:r>
        <w:rPr>
          <w:color w:val="000000"/>
        </w:rPr>
        <w:t>”</w:t>
      </w:r>
      <w:r>
        <w:rPr>
          <w:rFonts w:ascii="Times New Roman;serif" w:hAnsi="Times New Roman;serif"/>
          <w:b w:val="false"/>
          <w:color w:val="000000"/>
          <w:sz w:val="20"/>
        </w:rPr>
        <w:t>) or these bylaws, the holders of shares representing a majority of the votes entitled to be cast by the holders of the outstanding shares of stock entitled to vote at the meeting, present in person or by proxy, shall constitute a quorum. In the absence of a quorum, the stockholders so present may, by majority vote,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1.6</w:t>
      </w:r>
      <w:r>
        <w:rPr>
          <w:rFonts w:ascii="Times New Roman;serif" w:hAnsi="Times New Roman;serif"/>
          <w:b w:val="false"/>
          <w:color w:val="000000"/>
          <w:sz w:val="20"/>
          <w:u w:val="single"/>
        </w:rPr>
        <w:t>Organization</w:t>
      </w:r>
      <w:r>
        <w:rPr>
          <w:rFonts w:ascii="Times New Roman;serif" w:hAnsi="Times New Roman;serif"/>
          <w:b w:val="false"/>
          <w:color w:val="000000"/>
          <w:sz w:val="20"/>
        </w:rPr>
        <w:t>. Meetings of stockholders shall be presided over by the Chairman of the Board, if any, or in his/her absence by the Vice Chairman of the Board, if any, or in his/her absence by the President, or in his/her absence by a Vice President, or in the absence of the foregoing persons by a chairman designated by the Board of Directors, or in the absence of such designation by a chairman chosen at the meeting. The Secretary shall act as secretary of the meeting, but in his/her absence the chairman of the meeting may appoint any person to act as secretary of the meeting. The Board of Directors may adopt such rules and regulations for the conduct of any meeting of stockholders as it shall deem appropriate. Except to the extent inconsistent with such rules and regulations as adopted by the Board of Directors, the chairman of the meeting shall have the authority to adopt and enforce such rules and regulations for the conduct of any meeting of stockholders and the safety of those in attendance as, in the judgment of the chairman, are necessary, appropriate or convenient for the conduct of the meeting. Rules and regulations for the conduct of meetings of stockholders, whether adopted by the Board of Directors or by the chairman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and such other persons as the chairman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 (vii) procedures (if any) requiring attendees to provide the corporation advance notice of their intent to attend the meeting. Subject to any rules and regulations adopted by the Board of Directors, the chairman of the meeting may convene and, for any or no reason, from time to time, adjourn and/or recess any meeting of stockholders pursuant to Section 1.4.</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1.7</w:t>
      </w:r>
      <w:r>
        <w:rPr>
          <w:rFonts w:ascii="Times New Roman;serif" w:hAnsi="Times New Roman;serif"/>
          <w:b w:val="false"/>
          <w:color w:val="000000"/>
          <w:sz w:val="20"/>
          <w:u w:val="single"/>
        </w:rPr>
        <w:t>Voting</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Proxies</w:t>
      </w:r>
      <w:r>
        <w:rPr>
          <w:rFonts w:ascii="Times New Roman;serif" w:hAnsi="Times New Roman;serif"/>
          <w:b w:val="false"/>
          <w:color w:val="000000"/>
          <w:sz w:val="20"/>
        </w:rPr>
        <w:t>. Except as otherwise provided in the Certificate of Incorporation or any amendment thereto, each stockholder entitled to vote at any meeting of stockholders shall be entitled to one vote for each share of stock held by him which has voting power upon the matter in question. Each stockholder entitled to vote at a meeting of stockholders may authorize another person or persons to act for him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with the Secretary of the corporation. Voting at meetings of stockholders need not be by written ballot and need not be conducted by inspectors unless the holders of shares representing a majority of the votes entitled to be cast by the holders of the outstanding shares of all classes of stock entitled to vote thereon present in person or by proxy at such meeting shall so determine. At all meetings of stockholders for the election of directors a plurality of the votes cast shall be sufficient to elect. All other elections and questions shall, unless otherwise provided by law or by the Certificate of Incorporation or these bylaws, be decided by the vote of shares representing a majority of the votes entitled to be cast by the holders of the outstanding shares of stock entitled to vote thereon present in person or by proxy at the meeting.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1.8</w:t>
      </w:r>
      <w:r>
        <w:rPr>
          <w:rFonts w:ascii="Times New Roman;serif" w:hAnsi="Times New Roman;serif"/>
          <w:b w:val="false"/>
          <w:color w:val="000000"/>
          <w:sz w:val="20"/>
          <w:u w:val="single"/>
        </w:rPr>
        <w:t>Fixing Date for Determination of Stockholders of Record</w:t>
      </w:r>
      <w:r>
        <w:rPr>
          <w:rFonts w:ascii="Times New Roman;serif" w:hAnsi="Times New Roman;serif"/>
          <w:b w:val="false"/>
          <w:color w:val="000000"/>
          <w:sz w:val="20"/>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prior to any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1.9</w:t>
      </w:r>
      <w:r>
        <w:rPr>
          <w:rFonts w:ascii="Times New Roman;serif" w:hAnsi="Times New Roman;serif"/>
          <w:b w:val="false"/>
          <w:color w:val="000000"/>
          <w:sz w:val="20"/>
          <w:u w:val="single"/>
        </w:rPr>
        <w:t>List of Stockholders Entitled to Vote</w:t>
      </w:r>
      <w:r>
        <w:rPr>
          <w:rFonts w:ascii="Times New Roman;serif" w:hAnsi="Times New Roman;serif"/>
          <w:b w:val="false"/>
          <w:color w:val="000000"/>
          <w:sz w:val="20"/>
        </w:rPr>
        <w:t>. The Secretary shall prepare and make, no later than the tenth (10</w:t>
      </w:r>
      <w:r>
        <w:rPr>
          <w:rFonts w:ascii="Times New Roman;serif" w:hAnsi="Times New Roman;serif"/>
          <w:b w:val="false"/>
          <w:color w:val="000000"/>
          <w:sz w:val="13"/>
        </w:rPr>
        <w:t>th</w:t>
      </w:r>
      <w:r>
        <w:rPr>
          <w:rFonts w:ascii="Times New Roman;serif" w:hAnsi="Times New Roman;serif"/>
          <w:b w:val="false"/>
          <w:color w:val="000000"/>
          <w:sz w:val="20"/>
        </w:rPr>
        <w:t>) day before each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date of the meeting, the list shall reflect the stockholders entitled to vote as of the tenth (10</w:t>
      </w:r>
      <w:r>
        <w:rPr>
          <w:rFonts w:ascii="Times New Roman;serif" w:hAnsi="Times New Roman;serif"/>
          <w:b w:val="false"/>
          <w:color w:val="000000"/>
          <w:sz w:val="13"/>
        </w:rPr>
        <w:t>th</w:t>
      </w:r>
      <w:r>
        <w:rPr>
          <w:rFonts w:ascii="Times New Roman;serif" w:hAnsi="Times New Roman;serif"/>
          <w:b w:val="false"/>
          <w:color w:val="000000"/>
          <w:sz w:val="20"/>
        </w:rPr>
        <w:t>) day before the meeting date. Such list shall be open to the examination of any stockholder, for any purpose germane to the meeting, during ordinary business hours, for ten (10) days ending on the day before the meeting date: (a) on a reasonably accessible electronic network, provided that the information required to gain access to such list is provided with the notice of meeting; or (b) during ordinary business hours at the principal place of business of the corporation. The stock ledger shall be the only evidence as to who are the stockholders entitled to examine the stock ledger, the list of stockholders or the books of the corporation, or to vote in person or by proxy at any meeting of stockholders.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1.10</w:t>
      </w:r>
      <w:r>
        <w:rPr>
          <w:rFonts w:ascii="Times New Roman;serif" w:hAnsi="Times New Roman;serif"/>
          <w:b w:val="false"/>
          <w:color w:val="000000"/>
          <w:sz w:val="20"/>
          <w:u w:val="single"/>
        </w:rPr>
        <w:t>Action by Consent of Stockholders</w:t>
      </w:r>
      <w:r>
        <w:rPr>
          <w:rFonts w:ascii="Times New Roman;serif" w:hAnsi="Times New Roman;serif"/>
          <w:b w:val="false"/>
          <w:color w:val="000000"/>
          <w:sz w:val="20"/>
        </w:rPr>
        <w:t>. Unless otherwise restricted by the Certificate of Incorporation, any action required or permitted to be taken at any annual or special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1.11</w:t>
      </w:r>
      <w:r>
        <w:rPr>
          <w:rFonts w:ascii="Times New Roman;serif" w:hAnsi="Times New Roman;serif"/>
          <w:b w:val="false"/>
          <w:color w:val="000000"/>
          <w:sz w:val="20"/>
          <w:u w:val="single"/>
        </w:rPr>
        <w:t>Proxy Access for Director Nominations</w:t>
      </w:r>
      <w:r>
        <w:rPr>
          <w:rFonts w:ascii="Times New Roman;serif" w:hAnsi="Times New Roman;serif"/>
          <w:b w:val="false"/>
          <w:color w:val="000000"/>
          <w:sz w:val="20"/>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u w:val="single"/>
        </w:rPr>
        <w:t>Eligibility</w:t>
      </w:r>
      <w:r>
        <w:rPr>
          <w:rFonts w:ascii="Times New Roman;serif" w:hAnsi="Times New Roman;serif"/>
          <w:b w:val="false"/>
          <w:color w:val="000000"/>
          <w:sz w:val="20"/>
        </w:rPr>
        <w:t>. Subject to the terms and conditions of these bylaws, in connection with an annual meeting of stockholders at which directors are to be elected, the corporation: (1) shall include in its proxy statement and on its form of proxy the names of, and (2) shall include in its proxy statement the “</w:t>
      </w:r>
      <w:r>
        <w:rPr>
          <w:rFonts w:ascii="Times New Roman;serif" w:hAnsi="Times New Roman;serif"/>
          <w:b w:val="false"/>
          <w:color w:val="000000"/>
          <w:sz w:val="20"/>
          <w:u w:val="single"/>
        </w:rPr>
        <w:t>Additional Information</w:t>
      </w:r>
      <w:r>
        <w:rPr>
          <w:color w:val="000000"/>
        </w:rPr>
        <w:t xml:space="preserve">” </w:t>
      </w:r>
      <w:r>
        <w:rPr>
          <w:rFonts w:ascii="Times New Roman;serif" w:hAnsi="Times New Roman;serif"/>
          <w:b w:val="false"/>
          <w:color w:val="000000"/>
          <w:sz w:val="20"/>
        </w:rPr>
        <w:t>(as defined below) relating to, a number of nominees specified pursuant to Article I, Section 1.11(b)(1) (the “</w:t>
      </w:r>
      <w:r>
        <w:rPr>
          <w:rFonts w:ascii="Times New Roman;serif" w:hAnsi="Times New Roman;serif"/>
          <w:b w:val="false"/>
          <w:color w:val="000000"/>
          <w:sz w:val="20"/>
          <w:u w:val="single"/>
        </w:rPr>
        <w:t>Authorized Number</w:t>
      </w:r>
      <w:r>
        <w:rPr>
          <w:color w:val="000000"/>
        </w:rPr>
        <w:t>”</w:t>
      </w:r>
      <w:r>
        <w:rPr>
          <w:rFonts w:ascii="Times New Roman;serif" w:hAnsi="Times New Roman;serif"/>
          <w:b w:val="false"/>
          <w:color w:val="000000"/>
          <w:sz w:val="20"/>
        </w:rPr>
        <w:t>) for election to the Board of Directors submitted pursuant to this Section 1.11 (each, a “</w:t>
      </w:r>
      <w:r>
        <w:rPr>
          <w:rFonts w:ascii="Times New Roman;serif" w:hAnsi="Times New Roman;serif"/>
          <w:b w:val="false"/>
          <w:color w:val="000000"/>
          <w:sz w:val="20"/>
          <w:u w:val="single"/>
        </w:rPr>
        <w:t>Stockholder Nominee</w:t>
      </w:r>
      <w:r>
        <w:rPr>
          <w:color w:val="000000"/>
        </w:rPr>
        <w:t>”</w:t>
      </w:r>
      <w:r>
        <w:rPr>
          <w:rFonts w:ascii="Times New Roman;serif" w:hAnsi="Times New Roman;serif"/>
          <w:b w:val="false"/>
          <w:color w:val="000000"/>
          <w:sz w:val="20"/>
        </w:rPr>
        <w:t>), if:</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the Stockholder Nominee satisfies the eligibility requirements in this Section 1.11;</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0"/>
        </w:rPr>
        <w:t>(ii)    the Stockholder Nominee is identified in a timely notice (the “</w:t>
      </w:r>
      <w:r>
        <w:rPr>
          <w:rFonts w:ascii="Times New Roman;serif" w:hAnsi="Times New Roman;serif"/>
          <w:b w:val="false"/>
          <w:color w:val="000000"/>
          <w:sz w:val="20"/>
          <w:u w:val="single"/>
        </w:rPr>
        <w:t>Stockholder Notice</w:t>
      </w:r>
      <w:r>
        <w:rPr>
          <w:color w:val="000000"/>
        </w:rPr>
        <w:t>”</w:t>
      </w:r>
      <w:r>
        <w:rPr>
          <w:rFonts w:ascii="Times New Roman;serif" w:hAnsi="Times New Roman;serif"/>
          <w:b w:val="false"/>
          <w:color w:val="000000"/>
          <w:sz w:val="20"/>
        </w:rPr>
        <w:t>) that satisfies this Section 1.11 and is delivered by a stockholder that qualifies as, or is acting on behalf of, an Eligible Stockholder (as defined below);</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(iii)    the Eligible Stockholder satisfies the requirements in this Section 1.11 and expressly elects at the time of the delivery of the Stockholder Notice to have the Stockholder Nominee included in the corporation’s proxy materials; and</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(iv)    the additional requirements of these bylaws are met.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Definitions.</w:t>
      </w:r>
    </w:p>
    <w:p>
      <w:pPr>
        <w:pStyle w:val="TextBody"/>
        <w:bidi w:val="0"/>
        <w:spacing w:lineRule="auto" w:line="240" w:before="0" w:after="240"/>
        <w:ind w:left="0" w:right="0" w:firstLine="1440"/>
        <w:jc w:val="left"/>
        <w:rPr/>
      </w:pPr>
      <w:r>
        <w:rPr>
          <w:rFonts w:ascii="Times New Roman;serif" w:hAnsi="Times New Roman;serif"/>
          <w:b w:val="false"/>
          <w:color w:val="000000"/>
          <w:sz w:val="20"/>
        </w:rPr>
        <w:t>(1)The maximum number of</w:t>
      </w:r>
      <w:r>
        <w:rPr>
          <w:color w:val="000000"/>
          <w:u w:val="single"/>
        </w:rPr>
        <w:t xml:space="preserve"> </w:t>
      </w:r>
      <w:r>
        <w:rPr>
          <w:rFonts w:ascii="Times New Roman;serif" w:hAnsi="Times New Roman;serif"/>
          <w:b w:val="false"/>
          <w:color w:val="000000"/>
          <w:sz w:val="20"/>
        </w:rPr>
        <w:t>Stockholder Nominees appearing in the corporation’s proxy materials with respect to an annual meeting of stockholders (the “</w:t>
      </w:r>
      <w:r>
        <w:rPr>
          <w:rFonts w:ascii="Times New Roman;serif" w:hAnsi="Times New Roman;serif"/>
          <w:b w:val="false"/>
          <w:color w:val="000000"/>
          <w:sz w:val="20"/>
          <w:u w:val="single"/>
        </w:rPr>
        <w:t>Authorized Number</w:t>
      </w:r>
      <w:r>
        <w:rPr>
          <w:color w:val="000000"/>
        </w:rPr>
        <w:t>”</w:t>
      </w:r>
      <w:r>
        <w:rPr>
          <w:rFonts w:ascii="Times New Roman;serif" w:hAnsi="Times New Roman;serif"/>
          <w:b w:val="false"/>
          <w:color w:val="000000"/>
          <w:sz w:val="20"/>
        </w:rPr>
        <w:t xml:space="preserve">) shall not exceed the greater of two or 20% of the number of directors in office as of the last day on which a Stockholder Notice may be delivered pursuant to this Section 1.11 with respect to the annual meeting, or if such amount is not a whole number, the closest whole number (rounding down) below 20%; provided that the Authorized Number shall be reduced: (i) by any Stockholder Nominee whose name was submitted for inclusion in the corporation’s proxy materials pursuant to this Section 1.11 but either is subsequently withdrawn or that the Board of Directors decides to nominate as a Board nominee; (ii) by any directors in office or director nominees that in either case shall be included in the corporation’s proxy materials with respect to the annual meeting as an unopposed (by the corporation) nominee pursuant to an agreement, arrangement or other understanding between the corporation and a stockholder or group of stockholders (other than any such agreement, arrangement or understanding entered into in connection with an acquisition of capital stock, by the stockholder or group of stockholders, from the corporation); (iii) by any directors serving on the Board of Directors who were previously elected to the Board of Directors as Stockholder Nominees at any of the preceding two annual meetings and who are nominated for election at the annual meeting by the Board of Directors as a Board nominee; and (iv) by any Stockholder Nominee who is not included in the corporation’s proxy materials or is not submitted for director election for any reason, in accordance with the last sentence of Article I, Section 1.11(d)(2). In the event that one or more vacancies for any reason occurs after the date of the Stockholder Notice but before the annual meeting and the Board of Directors resolves to reduce the size of the Board of Directors in connection therewith, the Authorized Number shall be calculated based on the number of directors in office as so reduced. </w:t>
      </w:r>
    </w:p>
    <w:p>
      <w:pPr>
        <w:pStyle w:val="TextBody"/>
        <w:bidi w:val="0"/>
        <w:spacing w:lineRule="auto" w:line="240" w:before="0" w:after="240"/>
        <w:ind w:left="0" w:right="0" w:firstLine="1440"/>
        <w:jc w:val="left"/>
        <w:rPr/>
      </w:pPr>
      <w:r>
        <w:rPr>
          <w:rFonts w:ascii="Times New Roman;serif" w:hAnsi="Times New Roman;serif"/>
          <w:b w:val="false"/>
          <w:color w:val="000000"/>
          <w:sz w:val="20"/>
        </w:rPr>
        <w:t>(2)To qualify as an “</w:t>
      </w:r>
      <w:r>
        <w:rPr>
          <w:rFonts w:ascii="Times New Roman;serif" w:hAnsi="Times New Roman;serif"/>
          <w:b w:val="false"/>
          <w:color w:val="000000"/>
          <w:sz w:val="20"/>
          <w:u w:val="single"/>
        </w:rPr>
        <w:t>Eligible Stockholder</w:t>
      </w:r>
      <w:r>
        <w:rPr>
          <w:rFonts w:ascii="Times New Roman;serif" w:hAnsi="Times New Roman;serif"/>
          <w:b w:val="false"/>
          <w:color w:val="000000"/>
          <w:sz w:val="20"/>
        </w:rPr>
        <w:t>,” a stockholder or a group as described in this Section 1.11 must: (i) Own and have Owned (as defined below), continuously for at least three years as of the date of the Stockholder Notice, a number of shares (as adjusted to account for any stock dividend, stock split, subdivision, combination, reclassification or recapitalization of shares of stock of the corporation that are entitled to vote generally in the election of directors) that represents at least 3% of the outstanding shares of stock of the corporation that are entitled to vote generally in the election of directors as of the date of the Stockholder Notice (the “</w:t>
      </w:r>
      <w:r>
        <w:rPr>
          <w:rFonts w:ascii="Times New Roman;serif" w:hAnsi="Times New Roman;serif"/>
          <w:b w:val="false"/>
          <w:color w:val="000000"/>
          <w:sz w:val="20"/>
          <w:u w:val="single"/>
        </w:rPr>
        <w:t>Required Shares</w:t>
      </w:r>
      <w:r>
        <w:rPr>
          <w:color w:val="000000"/>
        </w:rPr>
        <w:t>”</w:t>
      </w:r>
      <w:r>
        <w:rPr>
          <w:rFonts w:ascii="Times New Roman;serif" w:hAnsi="Times New Roman;serif"/>
          <w:b w:val="false"/>
          <w:color w:val="000000"/>
          <w:sz w:val="20"/>
        </w:rPr>
        <w:t>), and (ii) thereafter continue to Own the Required Shares through such annual meeting of stockholders.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satisfying the ownership requirements of this Section 1.11(b)(2), a group of not more than 20 stockholders and/or beneficial owners may aggregate the number of shares of stock of the corporation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1.11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1.11. A group of any two or more funds shall be treated as only one stockholder or beneficial owner for this purpose if they are (a) under common management and investment control, (b) under common management and funded primarily by a single employer or (c) part of a “group of investment companies,” as such term is defined in Section 12(d)(1)(G)(ii) of the Investment Company Act of 1940. For purposes of this Section 1.11, the term “affiliate” or “affiliates” shall have the meanings ascribed thereto under the rules and regulations promulgated under the Exchange Act. </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(3)For purposes of this Section 1.11:</w:t>
      </w:r>
    </w:p>
    <w:p>
      <w:pPr>
        <w:pStyle w:val="TextBody"/>
        <w:bidi w:val="0"/>
        <w:spacing w:lineRule="auto" w:line="240" w:before="0" w:after="240"/>
        <w:ind w:left="0" w:right="0" w:firstLine="720"/>
        <w:jc w:val="left"/>
        <w:rPr/>
      </w:pPr>
      <w:r>
        <w:rPr>
          <w:rFonts w:ascii="Times New Roman;serif" w:hAnsi="Times New Roman;serif"/>
          <w:b w:val="false"/>
          <w:color w:val="000000"/>
          <w:sz w:val="20"/>
        </w:rPr>
        <w:t>(i)     A stockholder or beneficial owner is deemed to “</w:t>
      </w:r>
      <w:r>
        <w:rPr>
          <w:rFonts w:ascii="Times New Roman;serif" w:hAnsi="Times New Roman;serif"/>
          <w:b w:val="false"/>
          <w:color w:val="000000"/>
          <w:sz w:val="20"/>
          <w:u w:val="single"/>
        </w:rPr>
        <w:t>Own</w:t>
      </w:r>
      <w:r>
        <w:rPr>
          <w:color w:val="000000"/>
        </w:rPr>
        <w:t xml:space="preserve">” </w:t>
      </w:r>
      <w:r>
        <w:rPr>
          <w:rFonts w:ascii="Times New Roman;serif" w:hAnsi="Times New Roman;serif"/>
          <w:b w:val="false"/>
          <w:color w:val="000000"/>
          <w:sz w:val="20"/>
        </w:rPr>
        <w:t xml:space="preserve">only those outstanding shares of stock of the corporation that are entitled to vote generally in the election of directors as to which the person possesses both: (A) the full voting and investment rights pertaining to the shares; and (B) the full economic interest in (including the opportunity for profit and risk of loss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on) such shares, except that the number of shares calculated in accordance with clauses (A) and (B) shall not include any shares: (i) sold by such person in any transaction that has not been settled or closed; (ii) borrowed by the person for any purposes or purchased by the person pursuant to an agreement to resell; or (iii) subject to any option, warrant, forward contract, swap, contract of sale, or other derivative or similar agreement entered into by the person, whether the instrument or agreement is to be settled with shares or with cash based on the notional amount or value of outstanding shares of stock of the corporation that are entitled to vote generally in the election of directors, if the instrument or agreement has, or is intended to have, or if exercised would have, the purpose or effect of: (x) reducing in any manner, to any extent or at any time in the future, the person’s full right to vote or direct the voting of the shares; and/or (y) hedging, offsetting or altering to any degree any gain or loss arising from the full economic ownership of the shares by the person. The terms “Owned,” “Owning” and other variations of the word “Own,” when used with respect to a stockholder or beneficial owner, have correlative meanings. For purposes of clauses (i) through (iii), the term “person” includes its affiliates (as such term is defined in Rule 12b-2 promulgated under the Exchange Act).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A stockholder or beneficial owner “Owns” shares held in the name of a nominee or other intermediary so long as the person retains both: (A) the full voting and investment rights pertaining to the shares; and (B)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A stockholder or beneficial owner’s Ownership of shares shall be deemed to continue during any period in which the person has loaned the shares if the person has the power to recall the loaned shares on not more than five business days’ notice and (A) the person recalls the loaned shares within five business days of being notified that its Stockholder Nominee shall be included in the Corporation’s proxy materials for the relevant annual meeting; and (B) the person holds the recalled shares through the annual meeting.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(4)    For purposes of this Section 1.11, the “</w:t>
      </w:r>
      <w:r>
        <w:rPr>
          <w:rFonts w:ascii="Times New Roman;serif" w:hAnsi="Times New Roman;serif"/>
          <w:b w:val="false"/>
          <w:color w:val="000000"/>
          <w:sz w:val="20"/>
          <w:u w:val="single"/>
        </w:rPr>
        <w:t>Additional Information</w:t>
      </w:r>
      <w:r>
        <w:rPr>
          <w:color w:val="000000"/>
        </w:rPr>
        <w:t xml:space="preserve">” </w:t>
      </w:r>
      <w:r>
        <w:rPr>
          <w:rFonts w:ascii="Times New Roman;serif" w:hAnsi="Times New Roman;serif"/>
          <w:b w:val="false"/>
          <w:color w:val="000000"/>
          <w:sz w:val="20"/>
        </w:rPr>
        <w:t>referred to in Article I, Section 1.11(a)(2) that the corporation will include in its proxy statement is:</w:t>
      </w:r>
    </w:p>
    <w:p>
      <w:pPr>
        <w:pStyle w:val="TextBody"/>
        <w:bidi w:val="0"/>
        <w:spacing w:lineRule="auto" w:line="240" w:before="0" w:after="240"/>
        <w:ind w:left="0" w:right="0" w:firstLine="720"/>
        <w:jc w:val="left"/>
        <w:rPr/>
      </w:pPr>
      <w:r>
        <w:rPr>
          <w:rFonts w:ascii="Times New Roman;serif" w:hAnsi="Times New Roman;serif"/>
          <w:b w:val="false"/>
          <w:color w:val="000000"/>
          <w:sz w:val="20"/>
        </w:rPr>
        <w:t>(i)    the information set forth in the Schedule 14N provided with the Stockholder Notice</w:t>
      </w:r>
      <w:r>
        <w:rPr>
          <w:color w:val="000000"/>
        </w:rPr>
        <w:t xml:space="preserve"> </w:t>
      </w:r>
      <w:r>
        <w:rPr>
          <w:rFonts w:ascii="Times New Roman;serif" w:hAnsi="Times New Roman;serif"/>
          <w:b w:val="false"/>
          <w:color w:val="000000"/>
          <w:sz w:val="20"/>
        </w:rPr>
        <w:t>concerning each Stockholder Nominee and the Eligible Stockholder that is required to be disclosed in the corporation’s proxy statement by the applicable requirements of the Exchange Act and the rules and regulations thereunder; and</w:t>
      </w:r>
    </w:p>
    <w:p>
      <w:pPr>
        <w:pStyle w:val="TextBody"/>
        <w:bidi w:val="0"/>
        <w:spacing w:lineRule="auto" w:line="240" w:before="0" w:after="240"/>
        <w:ind w:left="0" w:right="0" w:firstLine="720"/>
        <w:jc w:val="left"/>
        <w:rPr/>
      </w:pPr>
      <w:r>
        <w:rPr>
          <w:rFonts w:ascii="Times New Roman;serif" w:hAnsi="Times New Roman;serif"/>
          <w:b w:val="false"/>
          <w:color w:val="000000"/>
          <w:sz w:val="20"/>
        </w:rPr>
        <w:t>(ii)    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corporation’s proxy statement for the annual meeting (the “</w:t>
      </w:r>
      <w:r>
        <w:rPr>
          <w:rFonts w:ascii="Times New Roman;serif" w:hAnsi="Times New Roman;serif"/>
          <w:b w:val="false"/>
          <w:color w:val="000000"/>
          <w:sz w:val="20"/>
          <w:u w:val="single"/>
        </w:rPr>
        <w:t>Statement</w:t>
      </w:r>
      <w:r>
        <w:rPr>
          <w:color w:val="000000"/>
        </w:rPr>
        <w:t>”</w:t>
      </w:r>
      <w:r>
        <w:rPr>
          <w:rFonts w:ascii="Times New Roman;serif" w:hAnsi="Times New Roman;serif"/>
          <w:b w:val="false"/>
          <w:color w:val="000000"/>
          <w:sz w:val="20"/>
        </w:rPr>
        <w: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contained in this Section 1.11, the corporation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1.11 shall limit the corporation’s ability to solicit against and include in its proxy materials its own statements relating to any Eligible Stockholder or Stockholder Nominee.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Stockholder Notice and Other Informational Requirements.</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(1)The Stockholder Notice shall set forth:</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all information required under Article I, Section 1.1(b)(2)(C) and (D) of these bylaws (and for such purposes, references in Article I, Section 1.1(b)(2) of these bylaws to the “Proposing Person” shall be deemed to refer to the “Eligible Stockholder” on whose behalf the Stockholder Notice is delivered);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a copy of the Schedule 14N that has been or concurrently is filed with the SEC under the Exchange Act;</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(A) setting forth and certifying to the number of shares of stock of the corporation that are entitled to vote generally in the election of directors the Eligible Stockholder Owns and has Owned (as defined in Article I, Section 1.11(b)(3) above) continuously for at least three years as of the date of the Stockholder Notice; (B) agreeing to continue to Own such shares through the annual meeting; and (C) regarding whether or not it intends to maintain Ownership of the Required Shares for at least one year following the annual meeting;</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the written agreement of the Eligible Stockholder (and in the case of a group, the written agreement of each stockholder or beneficial owner whose shares are aggregated for purposes of constituting an Eligible Stockholder) addressed to the corporation, setting forth the following additional agreements, representations, and warranties: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it shall provide: (i) within five business days after the date of the Stockholder Notice,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1.11; (ii) within the time period specified in Article I, Section 1.1(b)(3) of these bylaws, an updated or supplemental notice so that the information provided or required to be provided pursuant to clause (c)(1) of this Section 1.11 shall be true and correct as of the dates specified in Article I, Section 1.1(b)(3); and (iii) immediate notice to the corporation if the Eligible Stockholder ceases to own any of the Required Shares prior to the annual meeting;</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it: (i) acquired the Required Shares in the ordinary course of business and not with the intent to change or influence control at the corporation, and does not presently have this intent; (ii) has not nominated and shall not nominate for election to the Board of Directors at the annual meeting any person other than the Stockholder Nominee(s) being nominated pursuant to this Section 1.11; (iii)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nominee(s) of the Board of Directors; and (iv) shall not distribute to any stockholder any form of proxy for the annual meeting other than the form distributed by the corporation; and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it will: (i) assume all liability stemming from any legal or regulatory violation arising out of the Eligible Stockholder’s communications with the stockholders of the corporation or out of the information that the Eligible Stockholder provided to the corporation; (ii)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the nomination or solicitation process pursuant to this Section 1.11; (iii) comply with all laws, rules, regulations and listing standards applicable to its nomination or any solicitation in connection with the annual meeting; (iv) file with the SEC any solicitation or other communication by or on behalf of the Eligible Stockholder relating to the corporation’s annual meeting of stockholders, one or more of the corporation’s directors or director nominees or any Stockholder Nominee, regardless of whether the filing is required under Exchange Act Regulation 14A, or whether any exemption from filing is available for the materials under Exchange Act Regulation 14A; and (v) at the request of the corporation, promptly, but in any event within five business days after such request (or by the day prior to the day of the annual meeting, if earlier), provide to the corporation such additional information as reasonably requested by the corporation; and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    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satisfactory to the corporation demonstrating that the number of stockholders and/or beneficial owners within such group does not exceed 20, including whether a group of funds qualifies as one stockholder or beneficial owner within the meaning of Section 1.11(b)(2) of these bylaws.</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(2)Within the time period for delivery of the Stockholder Notice, the Eligible Stockholder shall deliver to the Secretary at the principal executive offices of the Corporation the information as to each Stockholder Nominee required to be submitted by nominees under Article I, Section 1.12 of these bylaws with respect to any nominee for election as a director, which information shall be deemed part of the Stockholder Notice. The corporation may request such additional information as necessary to permit the Board of Directors to determine if each Stockholder Nominee satisfies the requirements of this Section 1.11. </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(3)To be timely under this Section 1.11, the Stockholder Notice must be delivered by a stockholder to the Secretary of the corporation at the principal executive offices of the corporation not later than the close of business on the 120th day nor earlier than the close of business on the 150th day prior to the first anniversary of the date (as stated in the corporation’s proxy materials) the definitive proxy statement was first released to stockholders in connection with the preceding year’s annual meeting of stockholders; provided, however, that in the event that the date of the annual meeting is more than 30 days before or after the anniversary of the previous year’s annual meeting, or if no annual meeting was held in the preceding year, to be timely, the Stockholder Notice must be so delivered not earlier than the close of business on the 150th day prior to such annual meeting and not later than the close of business on the later of the 120th day prior to such annual meeting or the 10th day following the day on which public announcement (as defined in Article I, Section 1.1(c)(3)) of the date of such meeting is first made by the corporation.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the Stockholder Notice as described above.</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(4)In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corporation’s right to omit a Stockholder Nominee from its proxy materials as provided in this Section 1.11.</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information provided pursuant to this Section 1.11(c) shall be deemed part of the Stockholder Notice for purposes of this Section 1.11(c). </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color w:val="000000"/>
          <w:sz w:val="20"/>
        </w:rPr>
        <w:t>Proxy Access Procedures.</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(1)Notwithstanding anything to the contrary contained in this Article I, Section 1.11, the corporation may omit from its proxy materials any Stockholder Nominee, and such nomination and any proxies or votes in respect of any such nomination shall be disregarded and no vote on such Stockholder Nominee shall occur, notwithstanding that proxies or votes in respect of any such nomination may have been received by the corporation, if:</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Eligible Stockholder or Stockholder Nominee breaches any of its agreements, representations or warranties set forth in the Stockholder Notice or otherwise submitted pursuant to this Section 1.11, any of the information in the Stockholder Notice or otherwise submitted pursuant to this Section 1.11 was not, when provided, true, correct and complete, or the Eligible Stockholder or applicable Stockholder Nominee otherwise fails to comply with its obligations pursuant to these bylaws, including, but not limited to, its obligations under this Section 1.11;</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(ii)    the Stockholder Nominee: (A) is not independent under any applicable listing standards, any applicable rules of the SEC and any publicly disclosed standards used by the Board of Directors in determining and disclosing the independence of the corporation’s directors; (B) is or has been, within the past three years, an officer or director of a competitor, as defined for the purposes of Section 8 of the Clayton Antitrust Act of 1914; (C) is a named subject of a pending criminal proceeding (excluding traffic violations and other minor offenses) or has been convicted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in a criminal proceeding (excluding traffic violations and other minor offenses) within the past ten years; or (D) is subject to any order of the type specified in Rule 506(d) of Regulation D promulgated under the Securities Act of 1933;</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    the corporation receives a notice (whether or not subsequently withdrawn) that a stockholder intends to nominate any candidate for election to the Board of Directors pursuant to the advance notice requirements for stockholder nominees for director in Article I, Section 1.1(b); or</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    the election of the Stockholder Nominee to the Board of Directors would cause the corporation to violate the Certificate of Incorporation, these bylaws, or any applicable law, rule, regulation or listing standard.</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(2)An Eligible Stockholder submitting more than one Stockholder Nominee for inclusion in the corporation’s proxy materials pursuant to Section 1.11 shall rank such Stockholder Nominees based on the order that the Eligible Stockholder desires such Stockholder Nominees to be selected for inclusion in the corporation’s proxy materials and include such assigned rank in its Stockholder Notice submitted to the corporation. In the event that the number of Stockholder Nominees submitted by Eligible Stockholders pursuant to this Section 1.11 exceeds the Authorized Number, the Stockholder Nominees to be included in the corporation’s proxy materials shall be determined in accordance with the following provisions: one Stockholder Nominee who satisfies the eligibility requirements in this Section 1.11 shall be selected from each Eligible Stockholder for inclusion in the corporation’s proxy materials until the Authorized Number is reached, going in order of the amount (largest to smallest) of shares of the corporation each Eligible Stockholder disclosed as Owned in its Stockholder Notice submitted to the corporation and going in the order of the rank (highest to lowest) assigned to each Stockholder Nominee by such Eligible Stockholder. If the Authorized Number is not reached after one Stockholder Nominee who satisfies the eligibility requirements in this Section 1.11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1.11 thereafter is nominated by the Board of Directors, thereafter is not included in the corporation’s proxy materials or thereafter is not submitted for director election for any reason (including the Eligible Stockholder’s or Stockholder Nominee’s failure to comply with this Section 1.11), no other nominee or nominees shall be included in the corporation’s proxy materials or otherwise submitted for election as a director at the applicable annual meeting in substitution for such Stockholder Nominee.</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(3)Any Stockholder Nominee who is included in the corporation’s proxy materials for a particular annual meeting of stockholders but either: (i)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(ii) does not receive a number of votes cast in favor of his or her election that is at least equal to 25% of the shares present in person or represented by proxy and entitled to vote in the election of directors, shall be ineligible to be a Stockholder Nominee pursuant to this Section 1.11 for the next two annual meetings. </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(4)Notwithstanding the foregoing provisions of this Section 1.11, unless otherwise required by law or otherwise determined by the chairman of the meeting or the Board of Directors, if the stockholder delivering the Stockholder Notice (or a qualified representative of the stockholder, as defined in Article I, Section 1.1(c)(2) of these bylaws) does not appear at the annual meeting of stockholders of the corporation to present its Stockholder Nominee or Stockholder Nominees, such nomination or nominations shall be disregarded, notwithstanding that proxies in respect of the election of the Stockholder Nominee or Stockholder Nominees may have been received by the corporation. Without limiting the Board of Directors’ power and authority to interpret any other provisions of these bylaws, the Board of Directors (and any other person or body authorized by the Board of Directors) shall have the power and authority to interpret this Section 1.11 and to make any and all determinations necessary or advisable to apply this Section 1.11 to any persons, facts or circumstances, in each case acting in good faith. Except for a nomination made in accordance with Article I, Section 1.1(b) of these bylaws, this Section 1.11 shall be the exclusive method for stockholders to include nominees for director election in the corporation’s proxy materials.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1.12</w:t>
      </w:r>
      <w:r>
        <w:rPr>
          <w:rFonts w:ascii="Times New Roman;serif" w:hAnsi="Times New Roman;serif"/>
          <w:b w:val="false"/>
          <w:color w:val="000000"/>
          <w:sz w:val="20"/>
          <w:u w:val="single"/>
        </w:rPr>
        <w:t>Information Regarding Director Nominees</w:t>
      </w:r>
      <w:r>
        <w:rPr>
          <w:rFonts w:ascii="Times New Roman;serif" w:hAnsi="Times New Roman;serif"/>
          <w:b w:val="false"/>
          <w:color w:val="000000"/>
          <w:sz w:val="20"/>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As to each person whom the stockholder proposes to nominate for election or reelection as a director of the corporation pursuant to Section 1.1(b) or Section 1.11 of these bylaws, the stockholder must deliver to the Secretary at the principal executive offices of the corporation the following information: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(1)a written representation and agreement, which shall be signed by the person proposed to be nominated and pursuant to which such person shall represent and agree that such person: (i) </w:t>
      </w:r>
      <w:r>
        <w:rPr>
          <w:rFonts w:ascii="Times New Roman;serif" w:hAnsi="Times New Roman;serif"/>
          <w:b w:val="false"/>
          <w:color w:val="000000"/>
          <w:sz w:val="20"/>
          <w:shd w:fill="FFFFFF" w:val="clear"/>
        </w:rPr>
        <w:t>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(ii) </w:t>
      </w:r>
      <w:r>
        <w:rPr>
          <w:rFonts w:ascii="Times New Roman;serif" w:hAnsi="Times New Roman;serif"/>
          <w:b w:val="false"/>
          <w:color w:val="000000"/>
          <w:sz w:val="20"/>
        </w:rPr>
        <w:t xml:space="preserve">is not and will not become a party to any agreement, arrangement or understanding with, and has not given any commitment or assurance to, any person or entity: (A) as to how the person, if elected as a director, will act or vote on any issue or question, except as disclosed in such representation and agreement or (B) that could limit or interfere with the person’s ability to comply, if elected as a director, with such person’s fiduciary duties under applicable law; (iii)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except as disclosed in such representation and agreement; and (iv) if elected as a director, will comply with all of the corporation’s corporate governance policies and guidelines related to conflict of interest, confidentiality, stock ownership and trading policies and guidelines, and any other policies and guidelines applicable to directors (which will be promptly provided following a request therefor); </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(2)a fully completed and signed questionnaire in the same form required of the corporation’s director nominees (which form will be promptly provided following a request therefor); and </w:t>
      </w:r>
    </w:p>
    <w:p>
      <w:pPr>
        <w:pStyle w:val="TextBody"/>
        <w:bidi w:val="0"/>
        <w:spacing w:lineRule="auto" w:line="240" w:before="0" w:after="24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(3)a representation that such person will provide to the corporation such other information as the corporation may reasonably request, including such information reasonably necessary for the corporation to determine whether a nominee will satisfy any qualifications or requirements imposed by the Certificate of Incorporation or these bylaws, any law, rule, regulation or listing standard that may be applicable to the corporation, or relevant to a determination whether such person can be considered an independent director, which information shall be promptly provided following a request therefor.</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The written and signed representations and agreements and fully completed and signed questionnaires described in Article I, Section 1.12(a)(2) above shall be provided to the corporation at the time specified pursuant to Article I, Section 1.1(b) or Article I, Section 1.11 of these bylaws, and the additional information described in Article I, Section 1.12(a)(3) above shall be provided to the corporation promptly upon request by the corporation, but in any event within five business days after such request. All information provided pursuant to this Section 1.12 shall be deemed part of the stockholder’s notice submitted pursuant to Article I, Section 1.1(b) of these bylaws or a Stockholder Notice submitted pursuant to Article I, Section 1.11 of these bylaws as applicable.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 xml:space="preserve">Notwithstanding the foregoing, if any information or communication submitted pursuant to this Section 1.12 is inaccurate or incomplete in any material respect (as determined by the Board of Directors (or any designated committee thereof)) such information shall be deemed not to have been provided in accordance with this Section 1.12. Any stockholder providing information pursuant to this Section 1.12 shall promptly notify the Secretary of the corporation in writing at the principal executive office of the corporation of any inaccuracy or change in any previously provided information within two business days after becoming aware of such inaccuracy or change. Upon written request of the Secretary, such stockholder shall provide, within seven business days after delivery of such request (or such longer period as may be specified in such request), (i) written verification, reasonably satisfactory to the corporation, to demonstrate the accuracy of any information submitted and (ii) a written affirmation of any information submitted as of an earlier date. If the stockholder giving notice of an intent to nominate a candidate for election fails to provide such written verification or affirmation within such period, the information as to which written verification or affirmation was requested may be deemed not to have been provided in accordance with this Section 1.12. </w:t>
      </w:r>
    </w:p>
    <w:p>
      <w:pPr>
        <w:pStyle w:val="TextBody"/>
        <w:bidi w:val="0"/>
        <w:spacing w:lineRule="auto" w:line="240" w:before="0" w:after="240"/>
        <w:jc w:val="center"/>
        <w:rPr/>
      </w:pPr>
      <w:r>
        <w:rPr>
          <w:rFonts w:ascii="Times New Roman;serif" w:hAnsi="Times New Roman;serif"/>
          <w:b w:val="false"/>
          <w:color w:val="000000"/>
          <w:sz w:val="20"/>
        </w:rPr>
        <w:t>ARTICLE II</w:t>
      </w:r>
      <w:r>
        <w:rPr>
          <w:rFonts w:ascii="Times New Roman;serif" w:hAnsi="Times New Roman;serif"/>
          <w:b w:val="false"/>
          <w:color w:val="000000"/>
          <w:sz w:val="20"/>
        </w:rPr>
        <w:br/>
        <w:t>BOARD OF DIRECTORS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w:t>
      </w:r>
      <w:r>
        <w:rPr>
          <w:rFonts w:ascii="Times New Roman;serif" w:hAnsi="Times New Roman;serif"/>
          <w:b w:val="false"/>
          <w:color w:val="000000"/>
          <w:sz w:val="20"/>
          <w:u w:val="single"/>
        </w:rPr>
        <w:t>Number</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Qualifications</w:t>
      </w:r>
      <w:r>
        <w:rPr>
          <w:rFonts w:ascii="Times New Roman;serif" w:hAnsi="Times New Roman;serif"/>
          <w:b w:val="false"/>
          <w:color w:val="000000"/>
          <w:sz w:val="20"/>
        </w:rPr>
        <w:t>. The Board of Directors shall consist of one or more members, the number thereof to be determined from time to time by resolution of the Board of Directors. Directors need not be stockholders.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1.2</w:t>
      </w:r>
      <w:r>
        <w:rPr>
          <w:rFonts w:ascii="Times New Roman;serif" w:hAnsi="Times New Roman;serif"/>
          <w:b w:val="false"/>
          <w:color w:val="000000"/>
          <w:sz w:val="20"/>
          <w:u w:val="single"/>
        </w:rPr>
        <w:t>Election</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Resignation</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Removal</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Vacancies</w:t>
      </w:r>
      <w:r>
        <w:rPr>
          <w:rFonts w:ascii="Times New Roman;serif" w:hAnsi="Times New Roman;serif"/>
          <w:b w:val="false"/>
          <w:color w:val="000000"/>
          <w:sz w:val="20"/>
        </w:rPr>
        <w:t xml:space="preserve">. The Board of Directors shall initially consist of the persons named as Directors by the Incorporator, and each Director so elected shall hold office until the first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annual meeting of stockholders or until his/her successor is elected and qualified. At the first annual meeting of stockholders and at each annual meeting thereafter, the stockholders shall elect Directors each of whom shall hold office for a term of one year or until his/her successor is elected and qualified. Any Director may resign at any time upon written notice to the corporation. Any vacancy occurring in the Board of Directors for any cause may be filled by a majority of the remaining members of the Board of Directors, although such majority is less than a quorum, or by a plurality of the votes cast at a meeting of stockholders, and each Director so elected shall hold office until the expiration of the term of office of the Director whom he has replaced or until his/her successor is elected and qualified.</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1.3</w:t>
      </w:r>
      <w:r>
        <w:rPr>
          <w:rFonts w:ascii="Times New Roman;serif" w:hAnsi="Times New Roman;serif"/>
          <w:b w:val="false"/>
          <w:color w:val="000000"/>
          <w:sz w:val="20"/>
          <w:u w:val="single"/>
        </w:rPr>
        <w:t>Regular Meetings</w:t>
      </w:r>
      <w:r>
        <w:rPr>
          <w:rFonts w:ascii="Times New Roman;serif" w:hAnsi="Times New Roman;serif"/>
          <w:b w:val="false"/>
          <w:color w:val="000000"/>
          <w:sz w:val="20"/>
        </w:rPr>
        <w:t>. Regular meetings of the Board of Directors may be held at such places within or without the State of Delaware and at such times as the Board of Directors may from time to time determine, and if so determined notices thereof need not be given.</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1.4</w:t>
      </w:r>
      <w:r>
        <w:rPr>
          <w:rFonts w:ascii="Times New Roman;serif" w:hAnsi="Times New Roman;serif"/>
          <w:b w:val="false"/>
          <w:color w:val="000000"/>
          <w:sz w:val="20"/>
          <w:u w:val="single"/>
        </w:rPr>
        <w:t>Special Meetings</w:t>
      </w:r>
      <w:r>
        <w:rPr>
          <w:rFonts w:ascii="Times New Roman;serif" w:hAnsi="Times New Roman;serif"/>
          <w:b w:val="false"/>
          <w:color w:val="000000"/>
          <w:sz w:val="20"/>
        </w:rPr>
        <w:t>. Special meetings of the Board of Directors may be held at any time or place within or without the State of Delaware whenever called by the President, any Vice President, the Secretary, or by any member of the Board of Directors. Reasonable notice thereof shall be given by the person or persons calling the meeting, not later than the second day before the date of the special meeting.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1.5</w:t>
      </w:r>
      <w:r>
        <w:rPr>
          <w:rFonts w:ascii="Times New Roman;serif" w:hAnsi="Times New Roman;serif"/>
          <w:b w:val="false"/>
          <w:color w:val="000000"/>
          <w:sz w:val="20"/>
          <w:u w:val="single"/>
        </w:rPr>
        <w:t>Telephonic Meetings Permitted</w:t>
      </w:r>
      <w:r>
        <w:rPr>
          <w:rFonts w:ascii="Times New Roman;serif" w:hAnsi="Times New Roman;serif"/>
          <w:b w:val="false"/>
          <w:color w:val="000000"/>
          <w:sz w:val="20"/>
        </w:rPr>
        <w:t>. Members of the Board of Directors, or any committee designated by the Board, may participate in a meeting of such Board or committee by means of conference telephone or similar communications equipment by means of which all persons participating in the meeting can hear each other, and participation in a meeting pursuant to this bylaw shall constitute presence in person at such meeting.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1.6</w:t>
      </w:r>
      <w:r>
        <w:rPr>
          <w:rFonts w:ascii="Times New Roman;serif" w:hAnsi="Times New Roman;serif"/>
          <w:b w:val="false"/>
          <w:color w:val="000000"/>
          <w:sz w:val="20"/>
          <w:u w:val="single"/>
        </w:rPr>
        <w:t>Quorum</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Vote Required for Action</w:t>
      </w:r>
      <w:r>
        <w:rPr>
          <w:rFonts w:ascii="Times New Roman;serif" w:hAnsi="Times New Roman;serif"/>
          <w:b w:val="false"/>
          <w:color w:val="000000"/>
          <w:sz w:val="20"/>
        </w:rPr>
        <w:t>. At all meetings of the Board of Directors a majority of the directors then in office shall constitute a quorum for the transaction of business. Except in cases in which the Certificate of Incorporation or these bylaws otherwise provide, the vote of a majority of the directors present at a meeting at which a quorum is present shall be the act of the Board of Directors.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1.7</w:t>
      </w:r>
      <w:r>
        <w:rPr>
          <w:rFonts w:ascii="Times New Roman;serif" w:hAnsi="Times New Roman;serif"/>
          <w:b w:val="false"/>
          <w:color w:val="000000"/>
          <w:sz w:val="20"/>
          <w:u w:val="single"/>
        </w:rPr>
        <w:t>Organization</w:t>
      </w:r>
      <w:r>
        <w:rPr>
          <w:rFonts w:ascii="Times New Roman;serif" w:hAnsi="Times New Roman;serif"/>
          <w:b w:val="false"/>
          <w:color w:val="000000"/>
          <w:sz w:val="20"/>
        </w:rPr>
        <w:t>. Meetings of the Board of Directors shall be presided over by the Chairman of the Board, if any, or in his/her absence by the Vice Chairman of the Board, if any, or in his/her absence by the President, or in their absence by a chairman chosen at the meeting. The Secretary shall act as secretary of the meeting, but in his/her absence the chairman of the meeting may appoint any person to act as secretary of the meeting.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1.8</w:t>
      </w:r>
      <w:r>
        <w:rPr>
          <w:rFonts w:ascii="Times New Roman;serif" w:hAnsi="Times New Roman;serif"/>
          <w:b w:val="false"/>
          <w:color w:val="000000"/>
          <w:sz w:val="20"/>
          <w:u w:val="single"/>
        </w:rPr>
        <w:t>Informal Action by Directors</w:t>
      </w:r>
      <w:r>
        <w:rPr>
          <w:rFonts w:ascii="Times New Roman;serif" w:hAnsi="Times New Roman;serif"/>
          <w:b w:val="false"/>
          <w:color w:val="000000"/>
          <w:sz w:val="20"/>
        </w:rPr>
        <w:t>. 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and the writing or writings are filed with the minutes of proceedings of the Board or committee.</w:t>
      </w:r>
    </w:p>
    <w:p>
      <w:pPr>
        <w:pStyle w:val="TextBody"/>
        <w:bidi w:val="0"/>
        <w:spacing w:lineRule="auto" w:line="240" w:before="0" w:after="240"/>
        <w:jc w:val="center"/>
        <w:rPr/>
      </w:pPr>
      <w:r>
        <w:rPr>
          <w:rFonts w:ascii="Times New Roman;serif" w:hAnsi="Times New Roman;serif"/>
          <w:b w:val="false"/>
          <w:color w:val="000000"/>
          <w:sz w:val="20"/>
        </w:rPr>
        <w:t>ARTICLE III</w:t>
      </w:r>
      <w:r>
        <w:rPr>
          <w:rFonts w:ascii="Times New Roman;serif" w:hAnsi="Times New Roman;serif"/>
          <w:b w:val="false"/>
          <w:color w:val="000000"/>
          <w:sz w:val="20"/>
        </w:rPr>
        <w:br/>
        <w:t>COMMITTEES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w:t>
      </w:r>
      <w:r>
        <w:rPr>
          <w:rFonts w:ascii="Times New Roman;serif" w:hAnsi="Times New Roman;serif"/>
          <w:b w:val="false"/>
          <w:color w:val="000000"/>
          <w:sz w:val="20"/>
          <w:u w:val="single"/>
        </w:rPr>
        <w:t>Committees</w:t>
      </w:r>
      <w:r>
        <w:rPr>
          <w:rFonts w:ascii="Times New Roman;serif" w:hAnsi="Times New Roman;serif"/>
          <w:b w:val="false"/>
          <w:color w:val="000000"/>
          <w:sz w:val="20"/>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or they constitute a quorum, may unanimously appoint another member of the Board of Directors to act at the meeting in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that any such committee may, to the extent authorized in the resolution or resolutions providing for the issuance of shares of Preferred Stock adopted by the Board of Directors pursuant to Article Fourth of the Certificate of Incorporation, fix any of the preferences or rights of such shares relating to dividends, redemption, dissolution, any distribution of the assets of the corporation or the conversion into, or the exchange of such shares for, shares of any other class or classes or any other series of the same or any other class or classes of stock of the corporation), adopting an agreement of merger or consolidation under Sections 251 or 252 of the General Corporation Law of the State of Delaware (the “</w:t>
      </w:r>
      <w:r>
        <w:rPr>
          <w:rFonts w:ascii="Times New Roman;serif" w:hAnsi="Times New Roman;serif"/>
          <w:b w:val="false"/>
          <w:color w:val="000000"/>
          <w:sz w:val="20"/>
          <w:u w:val="single"/>
        </w:rPr>
        <w:t>DGCL</w:t>
      </w:r>
      <w:r>
        <w:rPr>
          <w:color w:val="000000"/>
        </w:rPr>
        <w:t>”</w:t>
      </w:r>
      <w:r>
        <w:rPr>
          <w:rFonts w:ascii="Times New Roman;serif" w:hAnsi="Times New Roman;serif"/>
          <w:b w:val="false"/>
          <w:color w:val="000000"/>
          <w:sz w:val="20"/>
        </w:rPr>
        <w:t xml:space="preserve">), recommending to the stockholders the sale, lease or exchange of all or substantially all of the corporation’s property and assets, recommending to the stockholders a dissolution of the corporation or a revocation of a dissolution, or amending these bylaws; and unless the resolution or the Certificate of Incorporation expressly so provides, no such committee shall have the power or authority to declare a dividend, to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authorize the issuance of stock, or to adopt a certificate of ownership and merger pursuant to Section 253 of the DGCL.</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1.2</w:t>
      </w:r>
      <w:r>
        <w:rPr>
          <w:rFonts w:ascii="Times New Roman;serif" w:hAnsi="Times New Roman;serif"/>
          <w:b w:val="false"/>
          <w:color w:val="000000"/>
          <w:sz w:val="20"/>
          <w:u w:val="single"/>
        </w:rPr>
        <w:t>Committee Rules</w:t>
      </w:r>
      <w:r>
        <w:rPr>
          <w:rFonts w:ascii="Times New Roman;serif" w:hAnsi="Times New Roman;serif"/>
          <w:b w:val="false"/>
          <w:color w:val="000000"/>
          <w:sz w:val="20"/>
        </w:rPr>
        <w:t>. Unless the Board of Directors otherwise provides, each committee designated by the Board may make, alter and repeal rules for the conduct of its business. In the absence of such rules each committee shall conduct its business in the same manner as the Board of Directors conducts its business pursuant to Article II of these bylaws.</w:t>
      </w:r>
    </w:p>
    <w:p>
      <w:pPr>
        <w:pStyle w:val="TextBody"/>
        <w:bidi w:val="0"/>
        <w:spacing w:lineRule="auto" w:line="240" w:before="0" w:after="240"/>
        <w:jc w:val="center"/>
        <w:rPr/>
      </w:pPr>
      <w:r>
        <w:rPr>
          <w:rFonts w:ascii="Times New Roman;serif" w:hAnsi="Times New Roman;serif"/>
          <w:b w:val="false"/>
          <w:color w:val="000000"/>
          <w:sz w:val="20"/>
        </w:rPr>
        <w:t>ARTICLE IV</w:t>
      </w:r>
      <w:r>
        <w:rPr>
          <w:rFonts w:ascii="Times New Roman;serif" w:hAnsi="Times New Roman;serif"/>
          <w:b w:val="false"/>
          <w:color w:val="000000"/>
          <w:sz w:val="20"/>
        </w:rPr>
        <w:br/>
        <w:t>OFFICERS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w:t>
      </w:r>
      <w:r>
        <w:rPr>
          <w:rFonts w:ascii="Times New Roman;serif" w:hAnsi="Times New Roman;serif"/>
          <w:b w:val="false"/>
          <w:color w:val="000000"/>
          <w:sz w:val="20"/>
          <w:u w:val="single"/>
        </w:rPr>
        <w:t>Executive Officers</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Election</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Qualifications</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Term of Office</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Resignation</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Removal</w:t>
      </w:r>
      <w:r>
        <w:rPr>
          <w:rFonts w:ascii="Times New Roman;serif" w:hAnsi="Times New Roman;serif"/>
          <w:b w:val="false"/>
          <w:color w:val="000000"/>
          <w:sz w:val="20"/>
        </w:rPr>
        <w:t>;</w:t>
      </w:r>
      <w:r>
        <w:rPr>
          <w:color w:val="000000"/>
          <w:u w:val="single"/>
        </w:rPr>
        <w:t xml:space="preserve"> </w:t>
      </w:r>
      <w:r>
        <w:rPr>
          <w:rFonts w:ascii="Times New Roman;serif" w:hAnsi="Times New Roman;serif"/>
          <w:b w:val="false"/>
          <w:color w:val="000000"/>
          <w:sz w:val="20"/>
          <w:u w:val="single"/>
        </w:rPr>
        <w:t>Vacancies</w:t>
      </w:r>
      <w:r>
        <w:rPr>
          <w:rFonts w:ascii="Times New Roman;serif" w:hAnsi="Times New Roman;serif"/>
          <w:b w:val="false"/>
          <w:color w:val="000000"/>
          <w:sz w:val="20"/>
        </w:rPr>
        <w:t>. The Board of Directors shall choose a President and Secretary, and it may, if it so determines, choose a Chairman of the Board and a Vice Chairman of the Board from among its members. The Board of Directors may also choose one or more Vice Presidents, one or more Assistant Secretaries, a Treasurer and one or more Assistant Treasurers. Each such officer shall hold office until the first meeting of the Board of Directors after the annual meeting of stockholders next succeeding this election, and until his/her successor is elected and qualified or until his/her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1.2</w:t>
      </w:r>
      <w:r>
        <w:rPr>
          <w:rFonts w:ascii="Times New Roman;serif" w:hAnsi="Times New Roman;serif"/>
          <w:b w:val="false"/>
          <w:color w:val="000000"/>
          <w:sz w:val="20"/>
          <w:u w:val="single"/>
        </w:rPr>
        <w:t>Powers and Duties of Executive Officers</w:t>
      </w:r>
      <w:r>
        <w:rPr>
          <w:rFonts w:ascii="Times New Roman;serif" w:hAnsi="Times New Roman;serif"/>
          <w:b w:val="false"/>
          <w:color w:val="000000"/>
          <w:sz w:val="20"/>
        </w:rPr>
        <w:t>. The officers of the corporation shall have such powers and duties in the management of the corporation as may be prescribed by the Board of Directors and, to the extent not so provided, as generally pertain to their respective offices, subject to the control of the Board of Directors. The Board of Directors may require any officer, agent or employee to give security for the faithful performance of his/her duties.</w:t>
      </w:r>
    </w:p>
    <w:p>
      <w:pPr>
        <w:pStyle w:val="TextBody"/>
        <w:bidi w:val="0"/>
        <w:spacing w:lineRule="auto" w:line="240" w:before="0" w:after="240"/>
        <w:jc w:val="center"/>
        <w:rPr/>
      </w:pPr>
      <w:r>
        <w:rPr>
          <w:rFonts w:ascii="Times New Roman;serif" w:hAnsi="Times New Roman;serif"/>
          <w:b w:val="false"/>
          <w:color w:val="000000"/>
          <w:sz w:val="20"/>
        </w:rPr>
        <w:t>ARTICLE V</w:t>
      </w:r>
      <w:r>
        <w:rPr>
          <w:rFonts w:ascii="Times New Roman;serif" w:hAnsi="Times New Roman;serif"/>
          <w:b w:val="false"/>
          <w:color w:val="000000"/>
          <w:sz w:val="20"/>
        </w:rPr>
        <w:br/>
        <w:t>STOCK</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w:t>
      </w:r>
      <w:r>
        <w:rPr>
          <w:rFonts w:ascii="Times New Roman;serif" w:hAnsi="Times New Roman;serif"/>
          <w:b w:val="false"/>
          <w:color w:val="000000"/>
          <w:sz w:val="20"/>
          <w:u w:val="single"/>
        </w:rPr>
        <w:t>Certificates</w:t>
      </w:r>
      <w:r>
        <w:rPr>
          <w:rFonts w:ascii="Times New Roman;serif" w:hAnsi="Times New Roman;serif"/>
          <w:b w:val="false"/>
          <w:color w:val="000000"/>
          <w:sz w:val="20"/>
        </w:rPr>
        <w:t>. The Board may provide by resolution or resolutions that some or all of any or all classes or series of the stock of the Company shall be uncertificated shares. Certificates, if any, representing shares of stock of the Company will be in such form as is determined by the Board, subject to applicable legal requirements. Each such certificate shall be numbered and shall be signed by or in the name of the corporation by the Chairman or Vice Chairman of the Board of Directors, if any, or the President or a Vice President, and by the Treasurer or an Assistant Treasurer, or the Secretary or an Assistant Secretary, of the corporation, certifying the number of shares owned by him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Records shall be kept of the amount of stock of the corporation issued and outstanding, the manner in which and the time when such stock was paid for, the respective names, alphabetically arranged, and the addresses, of the persons, firms or corporations owning of record the stock represented by certificates for stock of the corporation, the number, class and series of shares represented by such certificates, respectively, the time when each became an owner of record thereof, and the respective dates of such certificates, and in case of cancellation, the respective dates of cancellation.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1.2</w:t>
      </w:r>
      <w:r>
        <w:rPr>
          <w:rFonts w:ascii="Times New Roman;serif" w:hAnsi="Times New Roman;serif"/>
          <w:b w:val="false"/>
          <w:color w:val="000000"/>
          <w:sz w:val="20"/>
          <w:u w:val="single"/>
        </w:rPr>
        <w:t>Lost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Stolen or Destroyed Stock Certificates</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Issuance of New Certificates</w:t>
      </w:r>
      <w:r>
        <w:rPr>
          <w:rFonts w:ascii="Times New Roman;serif" w:hAnsi="Times New Roman;serif"/>
          <w:b w:val="false"/>
          <w:color w:val="000000"/>
          <w:sz w:val="20"/>
        </w:rPr>
        <w:t>. The corporation may issue a new certificate of stock in the place of any certificate theretofore issued by it, alleged to have been lost, stolen or destroyed, and the corporation may require the owner of the lost, stolen or destroyed certificate, or his/her legal representative, to give the corporation a bond sufficient to indemnify it against any claim that may be made against it on account of the alleged loss, theft or destruction of any such certificate or the issuance of such new certificate.</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1.3</w:t>
      </w:r>
      <w:r>
        <w:rPr>
          <w:rFonts w:ascii="Times New Roman;serif" w:hAnsi="Times New Roman;serif"/>
          <w:b w:val="false"/>
          <w:color w:val="000000"/>
          <w:sz w:val="20"/>
          <w:u w:val="single"/>
        </w:rPr>
        <w:t>Transfers of Stock</w:t>
      </w:r>
      <w:r>
        <w:rPr>
          <w:rFonts w:ascii="Times New Roman;serif" w:hAnsi="Times New Roman;serif"/>
          <w:b w:val="false"/>
          <w:color w:val="000000"/>
          <w:sz w:val="20"/>
        </w:rPr>
        <w:t xml:space="preserve">. Transfers of shares shall be made upon the books of the Company (i) only by the holder of record thereof, or by a duly authorized agent, transferee or legal representative and (ii) in the case of certificated shares, upon the surrender to the Company of the certificate or certificates for such shares. No transfer shall be made that is inconsistent with the provisions of applicable law. The person in whose name shares of stock stand on the books of the corporation shall be deemed the owner thereof for all purposes as regards the corporation. Whenever any transfer of shares shall be made for collateral security and not absolutely, such fact shall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be so expressed in the entry of transfer if, when the certificate of certificates shall be presented to the corporation for transfer, both the transferor and the transferee request the corporation to do so.</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1.4</w:t>
      </w:r>
      <w:r>
        <w:rPr>
          <w:rFonts w:ascii="Times New Roman;serif" w:hAnsi="Times New Roman;serif"/>
          <w:b w:val="false"/>
          <w:color w:val="000000"/>
          <w:sz w:val="20"/>
          <w:u w:val="single"/>
        </w:rPr>
        <w:t>Regulations Concerning Transfer of Stock</w:t>
      </w:r>
      <w:r>
        <w:rPr>
          <w:rFonts w:ascii="Times New Roman;serif" w:hAnsi="Times New Roman;serif"/>
          <w:b w:val="false"/>
          <w:color w:val="000000"/>
          <w:sz w:val="20"/>
        </w:rPr>
        <w:t>. The Board of Directors may make such rules and regulations as it may deem expedient, not inconsistent with these bylaws, concerning the issue, transfer and registration of certificates for stock of the corporation. The Board of Directors may appoint, or authorize any officer or officers to appoint, one or more transfer agents and one or more registrars, and may require all certificates for stock to bear the signature or signatures of any of them.</w:t>
      </w:r>
    </w:p>
    <w:p>
      <w:pPr>
        <w:pStyle w:val="TextBody"/>
        <w:bidi w:val="0"/>
        <w:spacing w:lineRule="auto" w:line="240" w:before="0" w:after="240"/>
        <w:jc w:val="center"/>
        <w:rPr/>
      </w:pPr>
      <w:r>
        <w:rPr>
          <w:rFonts w:ascii="Times New Roman;serif" w:hAnsi="Times New Roman;serif"/>
          <w:b w:val="false"/>
          <w:color w:val="000000"/>
          <w:sz w:val="20"/>
        </w:rPr>
        <w:t>ARTICLE VI</w:t>
      </w:r>
      <w:r>
        <w:rPr>
          <w:rFonts w:ascii="Times New Roman;serif" w:hAnsi="Times New Roman;serif"/>
          <w:b w:val="false"/>
          <w:color w:val="000000"/>
          <w:sz w:val="20"/>
        </w:rPr>
        <w:br/>
        <w:t xml:space="preserve">INDEMNIFICATION OF DIRECTORS, </w:t>
        <w:br/>
        <w:t>OFFICERS, EMPLOYEES AND AGENTS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w:t>
      </w:r>
      <w:r>
        <w:rPr>
          <w:rFonts w:ascii="Times New Roman;serif" w:hAnsi="Times New Roman;serif"/>
          <w:b w:val="false"/>
          <w:color w:val="000000"/>
          <w:sz w:val="20"/>
          <w:u w:val="single"/>
        </w:rPr>
        <w:t>Right to Indemnification</w:t>
      </w:r>
      <w:r>
        <w:rPr>
          <w:rFonts w:ascii="Times New Roman;serif" w:hAnsi="Times New Roman;serif"/>
          <w:b w:val="false"/>
          <w:color w:val="000000"/>
          <w:sz w:val="20"/>
        </w:rPr>
        <w:t>. The corporation shall indemnify and hold harmless, to the fullest extent permitted by applicable law as it presently exists or may hereafter be amended, any person who was or is made or is threatened to be made a party or is otherwise involved in any action, suit, or proceeding, whether brought by or in the right of the corporation or otherwise, including civil, criminal, administrative, or investigative (a “proceeding”) by reason of the fact that he, or a person for whom he is the legal representative, is or was a director, officer,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The corporation shall indemnify a person in connection with a proceeding initiated by such person only if the proceeding was authorized by the Board of Directors of the corporation.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1.2</w:t>
      </w:r>
      <w:r>
        <w:rPr>
          <w:rFonts w:ascii="Times New Roman;serif" w:hAnsi="Times New Roman;serif"/>
          <w:b w:val="false"/>
          <w:color w:val="000000"/>
          <w:sz w:val="20"/>
          <w:u w:val="single"/>
        </w:rPr>
        <w:t>Prepayment of Expenses</w:t>
      </w:r>
      <w:r>
        <w:rPr>
          <w:rFonts w:ascii="Times New Roman;serif" w:hAnsi="Times New Roman;serif"/>
          <w:b w:val="false"/>
          <w:color w:val="000000"/>
          <w:sz w:val="20"/>
        </w:rPr>
        <w:t>. The corporation shall pay the expenses incurred in defending any proceeding in advance of its final disposition, provided, however, that the payment of expenses incurred by a director or officer in his/her capacity as a director or officer (except with regard to service to an employee benefit plan or non-profit organization) in advance of the final disposition of the proceeding shall be made only upon receipt of an undertaking by the director or officer to repay all amounts advanced if it should be determined that the director or officer is not entitled to be indemnified under this Article VI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1.3</w:t>
      </w:r>
      <w:r>
        <w:rPr>
          <w:rFonts w:ascii="Times New Roman;serif" w:hAnsi="Times New Roman;serif"/>
          <w:b w:val="false"/>
          <w:color w:val="000000"/>
          <w:sz w:val="20"/>
          <w:u w:val="single"/>
        </w:rPr>
        <w:t>Claims</w:t>
      </w:r>
      <w:r>
        <w:rPr>
          <w:rFonts w:ascii="Times New Roman;serif" w:hAnsi="Times New Roman;serif"/>
          <w:b w:val="false"/>
          <w:color w:val="000000"/>
          <w:sz w:val="20"/>
        </w:rPr>
        <w:t>. If a claim for indemnification or payment of expenses under this Article VI is not paid in full within 90 days after a written claim therefor has been received by the corporation, the claimant may file suit to recover the unpaid amount of such claims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1.4</w:t>
      </w:r>
      <w:r>
        <w:rPr>
          <w:rFonts w:ascii="Times New Roman;serif" w:hAnsi="Times New Roman;serif"/>
          <w:b w:val="false"/>
          <w:color w:val="000000"/>
          <w:sz w:val="20"/>
          <w:u w:val="single"/>
        </w:rPr>
        <w:t>Non-Exclusivity of Rights</w:t>
      </w:r>
      <w:r>
        <w:rPr>
          <w:rFonts w:ascii="Times New Roman;serif" w:hAnsi="Times New Roman;serif"/>
          <w:b w:val="false"/>
          <w:color w:val="000000"/>
          <w:sz w:val="20"/>
        </w:rPr>
        <w:t>. The rights conferred on any person by this Article VI shall not be exclusive of any other rights which such person may have or hereafter acquire under any statute, provision of the Certificate of Incorporation, these Bylaws, agreement, vote of stockholders or disinterested directors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1.5</w:t>
      </w:r>
      <w:r>
        <w:rPr>
          <w:rFonts w:ascii="Times New Roman;serif" w:hAnsi="Times New Roman;serif"/>
          <w:b w:val="false"/>
          <w:color w:val="000000"/>
          <w:sz w:val="20"/>
          <w:u w:val="single"/>
        </w:rPr>
        <w:t>Amendment or Repeal</w:t>
      </w:r>
      <w:r>
        <w:rPr>
          <w:rFonts w:ascii="Times New Roman;serif" w:hAnsi="Times New Roman;serif"/>
          <w:b w:val="false"/>
          <w:color w:val="000000"/>
          <w:sz w:val="20"/>
        </w:rPr>
        <w:t>. Any repeal or modification of the foregoing provisions of this Article VI shall not adversely affect any right or protection of a director, officer or employee of the corporation in respect of any act or omission occurring prior to the time of such repeal or modification.</w:t>
      </w:r>
    </w:p>
    <w:p>
      <w:pPr>
        <w:pStyle w:val="TextBody"/>
        <w:bidi w:val="0"/>
        <w:spacing w:lineRule="auto" w:line="240" w:before="0" w:after="240"/>
        <w:jc w:val="center"/>
        <w:rPr/>
      </w:pPr>
      <w:r>
        <w:rPr>
          <w:rFonts w:ascii="Times New Roman;serif" w:hAnsi="Times New Roman;serif"/>
          <w:b w:val="false"/>
          <w:color w:val="000000"/>
          <w:sz w:val="20"/>
        </w:rPr>
        <w:t>ARTICLE VII</w:t>
      </w:r>
      <w:r>
        <w:rPr>
          <w:rFonts w:ascii="Times New Roman;serif" w:hAnsi="Times New Roman;serif"/>
          <w:b w:val="false"/>
          <w:color w:val="000000"/>
          <w:sz w:val="20"/>
        </w:rPr>
        <w:br/>
        <w:t>MISCELLANEOUS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1.1</w:t>
      </w:r>
      <w:r>
        <w:rPr>
          <w:rFonts w:ascii="Times New Roman;serif" w:hAnsi="Times New Roman;serif"/>
          <w:b w:val="false"/>
          <w:color w:val="000000"/>
          <w:sz w:val="20"/>
          <w:u w:val="single"/>
        </w:rPr>
        <w:t>Fiscal Year</w:t>
      </w:r>
      <w:r>
        <w:rPr>
          <w:rFonts w:ascii="Times New Roman;serif" w:hAnsi="Times New Roman;serif"/>
          <w:b w:val="false"/>
          <w:color w:val="000000"/>
          <w:sz w:val="20"/>
        </w:rPr>
        <w:t>. The fiscal year of the corporation shall be determined by resolution of the Board of Directors.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1.2</w:t>
      </w:r>
      <w:r>
        <w:rPr>
          <w:rFonts w:ascii="Times New Roman;serif" w:hAnsi="Times New Roman;serif"/>
          <w:b w:val="false"/>
          <w:color w:val="000000"/>
          <w:sz w:val="20"/>
          <w:u w:val="single"/>
        </w:rPr>
        <w:t>Seal</w:t>
      </w:r>
      <w:r>
        <w:rPr>
          <w:rFonts w:ascii="Times New Roman;serif" w:hAnsi="Times New Roman;serif"/>
          <w:b w:val="false"/>
          <w:color w:val="000000"/>
          <w:sz w:val="20"/>
        </w:rPr>
        <w:t>. The Board of Directors may, but need not, adopt a corporate seal. If adopted, the corporate seal shall have the name of the corporation inscribed thereon and shall be in such form as may be approved from time to time by the Board of Directors.</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1.3</w:t>
      </w:r>
      <w:r>
        <w:rPr>
          <w:rFonts w:ascii="Times New Roman;serif" w:hAnsi="Times New Roman;serif"/>
          <w:b w:val="false"/>
          <w:color w:val="000000"/>
          <w:sz w:val="20"/>
          <w:u w:val="single"/>
        </w:rPr>
        <w:t>Waiver of Notice of Meetings of Stockholders, Directors and Committees</w:t>
      </w:r>
      <w:r>
        <w:rPr>
          <w:rFonts w:ascii="Times New Roman;serif" w:hAnsi="Times New Roman;serif"/>
          <w:b w:val="false"/>
          <w:color w:val="000000"/>
          <w:sz w:val="20"/>
        </w:rPr>
        <w:t xml:space="preserve">. Any written waiver of notice,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business to be transacted at, nor the purpose of any regular or special meeting of the stockholders, directors, or members of a committee of directors need be specified in any written waiver of notice.</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1.4</w:t>
      </w:r>
      <w:r>
        <w:rPr>
          <w:rFonts w:ascii="Times New Roman;serif" w:hAnsi="Times New Roman;serif"/>
          <w:b w:val="false"/>
          <w:color w:val="000000"/>
          <w:sz w:val="20"/>
          <w:u w:val="single"/>
        </w:rPr>
        <w:t>Interested Directors</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Quorum</w:t>
      </w:r>
      <w:r>
        <w:rPr>
          <w:rFonts w:ascii="Times New Roman;serif" w:hAnsi="Times New Roman;serif"/>
          <w:b w:val="false"/>
          <w:color w:val="000000"/>
          <w:sz w:val="20"/>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his/her or their votes are counted for such purpose, if: (a) the material facts as to his/her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(b) the material facts as to his/her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1.5</w:t>
      </w:r>
      <w:r>
        <w:rPr>
          <w:rFonts w:ascii="Times New Roman;serif" w:hAnsi="Times New Roman;serif"/>
          <w:b w:val="false"/>
          <w:color w:val="000000"/>
          <w:sz w:val="20"/>
          <w:u w:val="single"/>
        </w:rPr>
        <w:t>Form of Records</w:t>
      </w:r>
      <w:r>
        <w:rPr>
          <w:rFonts w:ascii="Times New Roman;serif" w:hAnsi="Times New Roman;serif"/>
          <w:b w:val="false"/>
          <w:color w:val="000000"/>
          <w:sz w:val="20"/>
        </w:rPr>
        <w:t>. Any records maintained by the corporation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form within a reasonable time. The corporation shall so convert any records so kept upon the request of any person entitled to inspect the same.</w:t>
      </w:r>
    </w:p>
    <w:p>
      <w:pPr>
        <w:pStyle w:val="TextBody"/>
        <w:bidi w:val="0"/>
        <w:spacing w:lineRule="auto" w:line="240" w:before="0" w:after="240"/>
        <w:ind w:left="0" w:right="0" w:firstLine="720"/>
        <w:jc w:val="left"/>
        <w:rPr/>
      </w:pPr>
      <w:r>
        <w:rPr>
          <w:rFonts w:ascii="Times New Roman;serif" w:hAnsi="Times New Roman;serif"/>
          <w:b w:val="false"/>
          <w:color w:val="000000"/>
          <w:sz w:val="20"/>
        </w:rPr>
        <w:t>Section 1.6</w:t>
      </w:r>
      <w:r>
        <w:rPr>
          <w:rFonts w:ascii="Times New Roman;serif" w:hAnsi="Times New Roman;serif"/>
          <w:b w:val="false"/>
          <w:color w:val="000000"/>
          <w:sz w:val="20"/>
          <w:u w:val="single"/>
        </w:rPr>
        <w:t>Amendment of Bylaws</w:t>
      </w:r>
      <w:r>
        <w:rPr>
          <w:rFonts w:ascii="Times New Roman;serif" w:hAnsi="Times New Roman;serif"/>
          <w:b w:val="false"/>
          <w:color w:val="000000"/>
          <w:sz w:val="20"/>
        </w:rPr>
        <w:t>. These Bylaws may be altered or repealed, and new bylaws made, by the Board of Directors, but the stockholders may make additional bylaws and may alter and repeal any bylaws whether adopted by them or otherwise.</w:t>
      </w:r>
    </w:p>
    <w:p>
      <w:pPr>
        <w:pStyle w:val="TextBody"/>
        <w:bidi w:val="0"/>
        <w:spacing w:lineRule="auto" w:line="285" w:before="23" w:after="208"/>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CERTAIN INFORMATION IN THIS DOCUMENT, MARKED BY [**], HAS BEEN EXCLUDED PURSUANT TO REGULATION S-K, ITEM 601(b)(10)(iv). SUCH EXCLUDED INFORMATION IS NOT MATERIAL AND IS THE TYPE THAT THE REGISTRANT TREATS AS PRIVATE OR CONFIDENTIAL.</w:t>
      </w:r>
    </w:p>
    <w:p>
      <w:pPr>
        <w:pStyle w:val="TextBody"/>
        <w:bidi w:val="0"/>
        <w:spacing w:lineRule="auto" w:line="288" w:before="0" w:after="240"/>
        <w:jc w:val="center"/>
        <w:rPr/>
      </w:pPr>
      <w:r>
        <w:rPr/>
        <w:drawing>
          <wp:inline distT="0" distB="0" distL="0" distR="0">
            <wp:extent cx="5600700" cy="266700"/>
            <wp:effectExtent l="0" t="0" r="0" b="0"/>
            <wp:docPr id="6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 descr=""/>
                    <pic:cNvPicPr>
                      <a:picLocks noChangeAspect="1" noChangeArrowheads="1"/>
                    </pic:cNvPicPr>
                  </pic:nvPicPr>
                  <pic:blipFill>
                    <a:blip r:embed="rId4"/>
                    <a:stretch>
                      <a:fillRect/>
                    </a:stretch>
                  </pic:blipFill>
                  <pic:spPr bwMode="auto">
                    <a:xfrm>
                      <a:off x="0" y="0"/>
                      <a:ext cx="5600700" cy="266700"/>
                    </a:xfrm>
                    <a:prstGeom prst="rect">
                      <a:avLst/>
                    </a:prstGeom>
                  </pic:spPr>
                </pic:pic>
              </a:graphicData>
            </a:graphic>
          </wp:inline>
        </w:drawing>
      </w:r>
      <w:r>
        <w:rPr>
          <w:rFonts w:ascii="Times New Roman;serif" w:hAnsi="Times New Roman;serif"/>
          <w:b/>
          <w:color w:val="000000"/>
          <w:sz w:val="24"/>
        </w:rPr>
        <w:t>AMENDMENT NO. 2 TO FINANCING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AMENDMENT NO. 2 TO FINANCING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August 13, 2025, is entered into by and among ARROWHEAD PHARMACEUTICALS, INC., a Delaware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Guarantor Subsidiary, SIXTH STREET LENDING PARTNERS, as administrative agent (in such capacity, together with its successors and assigns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and the Lenders (as defined below) party to this Agreement. Unless otherwise indicated herein, all capitalized terms used herein and not otherwise defined herein shall have the respective meanings provided to such terms in the Financing Agreement referred to below.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Borrower, the Subsidiary Guarantor, the lenders party thereto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(which Lenders constitute the Required Lenders under the Existing Financing Agreement), and the Administrative Agent have entered into that certain Financing Agreement, dated as of August 7, 2024 (as amended by that certain Amendment No. 1 to Financing Agreement, dated as of November 26, 2024, the “</w:t>
      </w:r>
      <w:r>
        <w:rPr>
          <w:rFonts w:ascii="Times New Roman;serif" w:hAnsi="Times New Roman;serif"/>
          <w:b w:val="false"/>
          <w:color w:val="000000"/>
          <w:sz w:val="24"/>
          <w:u w:val="single"/>
        </w:rPr>
        <w:t>Existing Financing Agreement</w:t>
      </w:r>
      <w:r>
        <w:rPr>
          <w:color w:val="000000"/>
        </w:rPr>
        <w:t xml:space="preserve">” </w:t>
      </w:r>
      <w:r>
        <w:rPr>
          <w:rFonts w:ascii="Times New Roman;serif" w:hAnsi="Times New Roman;serif"/>
          <w:b w:val="false"/>
          <w:color w:val="000000"/>
          <w:sz w:val="24"/>
        </w:rPr>
        <w:t>and, the Existing Financing Agreement after giving effect to this Agreement, the “</w:t>
      </w:r>
      <w:r>
        <w:rPr>
          <w:rFonts w:ascii="Times New Roman;serif" w:hAnsi="Times New Roman;serif"/>
          <w:b w:val="false"/>
          <w:color w:val="000000"/>
          <w:sz w:val="24"/>
          <w:u w:val="single"/>
        </w:rPr>
        <w:t>Financing Agreement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Borrower has requested that the Administrative Agent and the Lenders agree to amend certain provisions of the Existing Financing Agreement as more particularly set forth below, and the Administrative Agent and the Lenders are willing, subject to the occurrence of the Agreement Effective Date, to effect such amendment as provided in, and on the terms and conditions contained in, this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Borrower has requested that the Administrative Agent and the Lenders agree to amend and restate the Fee Letter, and the Administrative Agent and the Lenders are willing, subject to the occurrence of the Amendment No. 2 Effective Date, to effect such amendment and restatement of the Fee Letter.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and sufficiency of which are hereby acknowledged, it is agreed as follows:</w:t>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Amendment to the Existing Financing Agreement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7665"/>
                <wp:effectExtent l="0" t="0" r="0" b="0"/>
                <wp:wrapNone/>
                <wp:docPr id="62" name="Frame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 Subject to the terms and conditions of this Agreement, including, without limitation, the conditions to effectiveness set forth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below: the Existing Credit Agreement is hereby amended to delete the stricken text (indicated textually in the same manner as the following example: </w:t>
      </w:r>
      <w:r>
        <w:rPr>
          <w:rFonts w:ascii="Times New Roman;serif" w:hAnsi="Times New Roman;serif"/>
          <w:b w:val="false"/>
          <w:strike/>
          <w:color w:val="FF0000"/>
          <w:sz w:val="24"/>
        </w:rPr>
        <w:t>stricken text</w:t>
      </w:r>
      <w:r>
        <w:rPr>
          <w:rFonts w:ascii="Times New Roman;serif" w:hAnsi="Times New Roman;serif"/>
          <w:b w:val="false"/>
          <w:color w:val="000000"/>
          <w:sz w:val="24"/>
        </w:rPr>
        <w:t xml:space="preserve">) and to add the underlined text (indicated textually in the same manner as the following example: </w:t>
      </w:r>
      <w:r>
        <w:rPr>
          <w:rFonts w:ascii="Times New Roman;serif" w:hAnsi="Times New Roman;serif"/>
          <w:b w:val="false"/>
          <w:color w:val="0000FF"/>
          <w:sz w:val="24"/>
          <w:u w:val="single"/>
        </w:rPr>
        <w:t>underlined text</w:t>
      </w:r>
      <w:r>
        <w:rPr>
          <w:rFonts w:ascii="Times New Roman;serif" w:hAnsi="Times New Roman;serif"/>
          <w:b w:val="false"/>
          <w:color w:val="000000"/>
          <w:sz w:val="24"/>
        </w:rPr>
        <w:t xml:space="preserve">) as set forth in the pages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Effectiveness</w:t>
      </w:r>
    </w:p>
    <w:p>
      <w:pPr>
        <w:pStyle w:val="TextBody"/>
        <w:bidi w:val="0"/>
        <w:spacing w:lineRule="auto" w:line="288" w:before="0" w:after="240"/>
        <w:jc w:val="both"/>
        <w:rPr/>
      </w:pPr>
      <w:r>
        <w:rPr>
          <w:rFonts w:ascii="Times New Roman;serif" w:hAnsi="Times New Roman;serif"/>
          <w:b w:val="false"/>
          <w:color w:val="000000"/>
          <w:sz w:val="24"/>
        </w:rPr>
        <w:t xml:space="preserve">. This Agreement (including the amendments contained in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of this Agreement) shall become effective on the date when the following conditions shall have been satisfied or waived (such date, the “</w:t>
      </w:r>
      <w:r>
        <w:rPr>
          <w:rFonts w:ascii="Times New Roman;serif" w:hAnsi="Times New Roman;serif"/>
          <w:b w:val="false"/>
          <w:color w:val="000000"/>
          <w:sz w:val="24"/>
          <w:u w:val="single"/>
        </w:rPr>
        <w:t>Amendment No. 2 Effective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Loan Documents</w:t>
      </w:r>
      <w:r>
        <w:rPr>
          <w:rFonts w:ascii="Times New Roman;serif" w:hAnsi="Times New Roman;serif"/>
          <w:b w:val="false"/>
          <w:color w:val="000000"/>
          <w:sz w:val="24"/>
        </w:rPr>
        <w:t>. The Administrative Agent and the Lenders shall have received this Agreement, executed and delivered by the Administrative Agent, the Borrower, the Guarantor and the Lenders.</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No Default or Event of Default</w:t>
      </w:r>
      <w:r>
        <w:rPr>
          <w:rFonts w:ascii="Times New Roman;serif" w:hAnsi="Times New Roman;serif"/>
          <w:b w:val="false"/>
          <w:color w:val="000000"/>
          <w:sz w:val="24"/>
        </w:rPr>
        <w:t>. As of the Amendment No. 2 Effective Date, immediately prior to or after giving effect to the transactions contemplated by this Agreement, no event shall have occurred and be continuing or would result from the consummation of the transactions contemplated by this Agreement that would constitute an Event of Default or a Default.</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Sarepta Closing Date</w:t>
      </w:r>
      <w:r>
        <w:rPr>
          <w:rFonts w:ascii="Times New Roman;serif" w:hAnsi="Times New Roman;serif"/>
          <w:b w:val="false"/>
          <w:color w:val="000000"/>
          <w:sz w:val="24"/>
        </w:rPr>
        <w:t xml:space="preserve">. The Closing Date (as defined in the Sarepta Side Letter) shall have occurred.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Fees</w:t>
      </w:r>
      <w:r>
        <w:rPr>
          <w:rFonts w:ascii="Times New Roman;serif" w:hAnsi="Times New Roman;serif"/>
          <w:b w:val="false"/>
          <w:color w:val="000000"/>
          <w:sz w:val="24"/>
        </w:rPr>
        <w:t xml:space="preserve">. The Borrower shall have paid all fees required to be paid on the Amendment No. 2 Effective Date pursuant to the Fee Letter. </w:t>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Miscellaneous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and after the Amendment No. 2 Effective Date, each reference in the Financing Agreement to “this Agreement,” “herein,” “hereto”, “hereof” and “hereunder” or words of like import referring to the Financing Agreement, and each reference in the Notes and each of the other Loan Documents to “the Financing Agreement”, “thereunder”, “thereof” or words of like import referring to the Financing Agreement, shall mean and be a reference to the Financing Agreement, as modified by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Financing Agreement and each of the other Loan Documents, as specifically modified by this Agreement, are and shall continue to be in full force and effect and are hereby in all respects ratified and confirmed.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is a Loan Document as defined in the Financing Agreement.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31470"/>
                <wp:effectExtent l="0" t="0" r="0" b="0"/>
                <wp:wrapNone/>
                <wp:docPr id="63" name="Frame62"/>
                <a:graphic xmlns:a="http://schemas.openxmlformats.org/drawingml/2006/main">
                  <a:graphicData uri="http://schemas.microsoft.com/office/word/2010/wordprocessingShape">
                    <wps:wsp>
                      <wps:cNvSpPr txBox="1"/>
                      <wps:spPr>
                        <a:xfrm>
                          <a:off x="0" y="0"/>
                          <a:ext cx="6480175" cy="331470"/>
                        </a:xfrm>
                        <a:prstGeom prst="rect"/>
                        <a:solidFill>
                          <a:srgbClr val="FFFFFF"/>
                        </a:solidFill>
                      </wps:spPr>
                      <wps:txbx>
                        <w:txbxContent>
                          <w:p>
                            <w:pPr>
                              <w:pStyle w:val="TextBody"/>
                              <w:bidi w:val="0"/>
                              <w:spacing w:lineRule="atLeast" w:line="214" w:before="0" w:after="0"/>
                              <w:jc w:val="center"/>
                              <w:rPr>
                                <w:rFonts w:ascii="Times New Roman;serif" w:hAnsi="Times New Roman;serif"/>
                                <w:b w:val="false"/>
                                <w:color w:val="000000"/>
                                <w:sz w:val="21"/>
                              </w:rPr>
                            </w:pPr>
                            <w:r>
                              <w:rPr>
                                <w:rFonts w:ascii="Times New Roman;serif" w:hAnsi="Times New Roman;serif"/>
                                <w:b w:val="false"/>
                                <w:color w:val="000000"/>
                                <w:sz w:val="21"/>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4" w:before="0" w:after="0"/>
                        <w:jc w:val="center"/>
                        <w:rPr>
                          <w:rFonts w:ascii="Times New Roman;serif" w:hAnsi="Times New Roman;serif"/>
                          <w:b w:val="false"/>
                          <w:color w:val="000000"/>
                          <w:sz w:val="21"/>
                        </w:rPr>
                      </w:pPr>
                      <w:r>
                        <w:rPr>
                          <w:rFonts w:ascii="Times New Roman;serif" w:hAnsi="Times New Roman;serif"/>
                          <w:b w:val="false"/>
                          <w:color w:val="000000"/>
                          <w:sz w:val="21"/>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AND THE RIGHTS AND OBLIGATIONS OF THE PARTIES UNDER THIS AGREEMENT SHALL BE GOVERNED BY, AND SHALL BE CONSTRUED AND ENFORCED IN ACCORDANCE WITH, THE LAWS OF THE STATE OF NEW YORK APPLICABLE TO CONTRACTS MADE AND TO BE PERFORMED IN THE STATE OF NEW YORK.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and subsection headings in this Agreement are included for convenience of reference only and shall not constitute a part of this Agreement for any other purpose or be given any substantive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may be executed in any number of counterparts and by the different parties hereto on separate counterparts, each of which counterparts when executed and delivered shall be an original, but all of which shall together constitute one and the same instrument. Delivery by e-mail or other electronic transmission of an executed counterpart of a signature page to this Agreement shall be effective as delivery of an original executed counterpart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Lenders hereby consents to the execution and delivery by the Administrative Agent of, and hereby directs the Administrative Agent to so execute and deliver, this Agreement.</w:t>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Incorporation by Reference</w:t>
      </w:r>
    </w:p>
    <w:p>
      <w:pPr>
        <w:pStyle w:val="TextBody"/>
        <w:bidi w:val="0"/>
        <w:spacing w:lineRule="auto" w:line="288" w:before="0" w:after="240"/>
        <w:jc w:val="both"/>
        <w:rPr/>
      </w:pPr>
      <w:r>
        <w:rPr>
          <w:rFonts w:ascii="Times New Roman;serif" w:hAnsi="Times New Roman;serif"/>
          <w:b w:val="false"/>
          <w:color w:val="000000"/>
          <w:sz w:val="24"/>
        </w:rPr>
        <w:t xml:space="preserve">. The terms and provisions of Sections 10.11, 10.16, 10.18 and 10.19 of the Existing Financing Agreement are hereby incorporated herein by reference, </w:t>
      </w:r>
      <w:r>
        <w:rPr>
          <w:rFonts w:ascii="Times New Roman;serif" w:hAnsi="Times New Roman;serif"/>
          <w:b w:val="false"/>
          <w:i/>
          <w:color w:val="000000"/>
          <w:sz w:val="24"/>
        </w:rPr>
        <w:t>mutatis mutandis</w:t>
      </w:r>
      <w:r>
        <w:rPr>
          <w:rFonts w:ascii="Times New Roman;serif" w:hAnsi="Times New Roman;serif"/>
          <w:b w:val="false"/>
          <w:color w:val="000000"/>
          <w:sz w:val="24"/>
        </w:rPr>
        <w:t>, with the same force and effect as if fully set forth herein, and the parties hereto agree to such terms.</w:t>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Entirety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This Agreement shall embody the entire agreement among the parties hereto and supersede all prior agreements and understandings, oral or written, if any, relating to the subject matter hereof</w:t>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Counterparts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 This Agreement may be executed in any number of counterparts, each of which when so executed and delivered shall be deemed an original, but all such counterparts together shall constitute but one and the same instrument. This Agreement shall become effective upon the execution of a counterpart hereof by each of the parties hereto.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transactions contemplated hereby and thereby shall be deemed to include electronic signatures, the electronic matching of assignment terms and contract formations 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31470"/>
                <wp:effectExtent l="0" t="0" r="0" b="0"/>
                <wp:wrapNone/>
                <wp:docPr id="64" name="Frame63"/>
                <a:graphic xmlns:a="http://schemas.openxmlformats.org/drawingml/2006/main">
                  <a:graphicData uri="http://schemas.microsoft.com/office/word/2010/wordprocessingShape">
                    <wps:wsp>
                      <wps:cNvSpPr txBox="1"/>
                      <wps:spPr>
                        <a:xfrm>
                          <a:off x="0" y="0"/>
                          <a:ext cx="6480175" cy="331470"/>
                        </a:xfrm>
                        <a:prstGeom prst="rect"/>
                        <a:solidFill>
                          <a:srgbClr val="FFFFFF"/>
                        </a:solidFill>
                      </wps:spPr>
                      <wps:txbx>
                        <w:txbxContent>
                          <w:p>
                            <w:pPr>
                              <w:pStyle w:val="TextBody"/>
                              <w:bidi w:val="0"/>
                              <w:spacing w:lineRule="atLeast" w:line="214" w:before="0" w:after="0"/>
                              <w:jc w:val="center"/>
                              <w:rPr>
                                <w:rFonts w:ascii="Times New Roman;serif" w:hAnsi="Times New Roman;serif"/>
                                <w:b w:val="false"/>
                                <w:color w:val="000000"/>
                                <w:sz w:val="21"/>
                              </w:rPr>
                            </w:pPr>
                            <w:r>
                              <w:rPr>
                                <w:rFonts w:ascii="Times New Roman;serif" w:hAnsi="Times New Roman;serif"/>
                                <w:b w:val="false"/>
                                <w:color w:val="000000"/>
                                <w:sz w:val="21"/>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4" w:before="0" w:after="0"/>
                        <w:jc w:val="center"/>
                        <w:rPr>
                          <w:rFonts w:ascii="Times New Roman;serif" w:hAnsi="Times New Roman;serif"/>
                          <w:b w:val="false"/>
                          <w:color w:val="000000"/>
                          <w:sz w:val="21"/>
                        </w:rPr>
                      </w:pPr>
                      <w:r>
                        <w:rPr>
                          <w:rFonts w:ascii="Times New Roman;serif" w:hAnsi="Times New Roman;serif"/>
                          <w:b w:val="false"/>
                          <w:color w:val="000000"/>
                          <w:sz w:val="21"/>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Tax Treatment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The parties hereto agree that the modification of the Loans does not give rise to a “significant modification” within the meaning of Section 1.1001-3 of the Treasury Regulations for U.S. federal income and any other applicable Tax purposes, unless otherwise required by a “final determination” within the meaning of Section 1313(a)(1) of the Code.</w:t>
      </w:r>
      <w:r>
        <w:rPr>
          <w:color w:val="000000"/>
        </w:rPr>
        <w:t> </w:t>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Release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By its execution hereof and in consideration of the agreements contained in this Agreement and other good and valuable consideration, each Loan Party (for itself and its Subsidiaries and Affiliates and the successors, assigns, heirs and representatives of each of the foregoing) (collectively, the “</w:t>
      </w:r>
      <w:r>
        <w:rPr>
          <w:rFonts w:ascii="Times New Roman;serif" w:hAnsi="Times New Roman;serif"/>
          <w:b w:val="false"/>
          <w:color w:val="000000"/>
          <w:sz w:val="24"/>
          <w:u w:val="single"/>
        </w:rPr>
        <w:t>Releasors</w:t>
      </w:r>
      <w:r>
        <w:rPr>
          <w:color w:val="000000"/>
        </w:rPr>
        <w:t>”</w:t>
      </w:r>
      <w:r>
        <w:rPr>
          <w:rFonts w:ascii="Times New Roman;serif" w:hAnsi="Times New Roman;serif"/>
          <w:b w:val="false"/>
          <w:color w:val="000000"/>
          <w:sz w:val="24"/>
        </w:rPr>
        <w:t>) does hereby fully, finally, unconditionally and irrevocably release, waive and forever discharge the Administrative Agent and the Lenders, together with their respective Affiliates, and each of the directors, officers, employees, agents, attorneys and consultants of each of the foregoing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from any and all debts, claims, allegations,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in each case, on or prior to the date of this Agreement first set forth above directly arising out of, connected with or related to this Agreement or any other Loan Document, or any act, event or transaction related or attendant thereto, or the agreements of the Administrative Agent or any Lender contained therein, or the possession, use, operation or control of any of the assets of any Loan Party, or the making of any Loans or other advances, or the management of such Loans or other advances or the Collateral.  Each Loan Party represents and warrants that it has no knowledge of any claim by any Releasor against any Released Party or of any facts or acts or omissions of any Released Party which on the date hereof would be the basis of a claim, in each case, on or prior to the date of this Agreement first set forth above directly arising out of, connected with or related to this Agreement or any other Loan Document, by any Releasor against any Released Party which would not be released hereby.</w:t>
      </w:r>
      <w:r>
        <w:rPr>
          <w:color w:val="000000"/>
        </w:rPr>
        <w:t>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31470"/>
                <wp:effectExtent l="0" t="0" r="0" b="0"/>
                <wp:wrapNone/>
                <wp:docPr id="65" name="Frame64"/>
                <a:graphic xmlns:a="http://schemas.openxmlformats.org/drawingml/2006/main">
                  <a:graphicData uri="http://schemas.microsoft.com/office/word/2010/wordprocessingShape">
                    <wps:wsp>
                      <wps:cNvSpPr txBox="1"/>
                      <wps:spPr>
                        <a:xfrm>
                          <a:off x="0" y="0"/>
                          <a:ext cx="6480175" cy="331470"/>
                        </a:xfrm>
                        <a:prstGeom prst="rect"/>
                        <a:solidFill>
                          <a:srgbClr val="FFFFFF"/>
                        </a:solidFill>
                      </wps:spPr>
                      <wps:txbx>
                        <w:txbxContent>
                          <w:p>
                            <w:pPr>
                              <w:pStyle w:val="TextBody"/>
                              <w:bidi w:val="0"/>
                              <w:spacing w:lineRule="atLeast" w:line="214" w:before="0" w:after="0"/>
                              <w:jc w:val="center"/>
                              <w:rPr>
                                <w:rFonts w:ascii="Times New Roman;serif" w:hAnsi="Times New Roman;serif"/>
                                <w:b w:val="false"/>
                                <w:color w:val="000000"/>
                                <w:sz w:val="21"/>
                              </w:rPr>
                            </w:pPr>
                            <w:r>
                              <w:rPr>
                                <w:rFonts w:ascii="Times New Roman;serif" w:hAnsi="Times New Roman;serif"/>
                                <w:b w:val="false"/>
                                <w:color w:val="000000"/>
                                <w:sz w:val="21"/>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4" w:before="0" w:after="0"/>
                        <w:jc w:val="center"/>
                        <w:rPr>
                          <w:rFonts w:ascii="Times New Roman;serif" w:hAnsi="Times New Roman;serif"/>
                          <w:b w:val="false"/>
                          <w:color w:val="000000"/>
                          <w:sz w:val="21"/>
                        </w:rPr>
                      </w:pPr>
                      <w:r>
                        <w:rPr>
                          <w:rFonts w:ascii="Times New Roman;serif" w:hAnsi="Times New Roman;serif"/>
                          <w:b w:val="false"/>
                          <w:color w:val="000000"/>
                          <w:sz w:val="21"/>
                        </w:rPr>
                        <w:t>4</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31470"/>
                <wp:effectExtent l="0" t="0" r="0" b="0"/>
                <wp:wrapNone/>
                <wp:docPr id="66" name="Frame65"/>
                <a:graphic xmlns:a="http://schemas.openxmlformats.org/drawingml/2006/main">
                  <a:graphicData uri="http://schemas.microsoft.com/office/word/2010/wordprocessingShape">
                    <wps:wsp>
                      <wps:cNvSpPr txBox="1"/>
                      <wps:spPr>
                        <a:xfrm>
                          <a:off x="0" y="0"/>
                          <a:ext cx="6480175" cy="331470"/>
                        </a:xfrm>
                        <a:prstGeom prst="rect"/>
                        <a:solidFill>
                          <a:srgbClr val="FFFFFF"/>
                        </a:solidFill>
                      </wps:spPr>
                      <wps:txbx>
                        <w:txbxContent>
                          <w:p>
                            <w:pPr>
                              <w:pStyle w:val="TextBody"/>
                              <w:bidi w:val="0"/>
                              <w:spacing w:lineRule="atLeast" w:line="214" w:before="0" w:after="0"/>
                              <w:jc w:val="center"/>
                              <w:rPr>
                                <w:rFonts w:ascii="Times New Roman;serif" w:hAnsi="Times New Roman;serif"/>
                                <w:b w:val="false"/>
                                <w:color w:val="000000"/>
                                <w:sz w:val="21"/>
                              </w:rPr>
                            </w:pPr>
                            <w:r>
                              <w:rPr>
                                <w:rFonts w:ascii="Times New Roman;serif" w:hAnsi="Times New Roman;serif"/>
                                <w:b w:val="false"/>
                                <w:color w:val="000000"/>
                                <w:sz w:val="21"/>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4" w:before="0" w:after="0"/>
                        <w:jc w:val="center"/>
                        <w:rPr>
                          <w:rFonts w:ascii="Times New Roman;serif" w:hAnsi="Times New Roman;serif"/>
                          <w:b w:val="false"/>
                          <w:color w:val="000000"/>
                          <w:sz w:val="21"/>
                        </w:rPr>
                      </w:pPr>
                      <w:r>
                        <w:rPr>
                          <w:rFonts w:ascii="Times New Roman;serif" w:hAnsi="Times New Roman;serif"/>
                          <w:b w:val="false"/>
                          <w:color w:val="000000"/>
                          <w:sz w:val="21"/>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undersigned has caused this Agreement to be duly executed and delivered as of the date first above written.</w:t>
      </w:r>
    </w:p>
    <w:p>
      <w:pPr>
        <w:pStyle w:val="TextBody"/>
        <w:bidi w:val="0"/>
        <w:spacing w:before="0" w:after="240"/>
        <w:jc w:val="left"/>
        <w:rPr/>
      </w:pPr>
      <w:r>
        <w:rPr/>
      </w:r>
    </w:p>
    <w:tbl>
      <w:tblPr>
        <w:tblW w:w="5382" w:type="dxa"/>
        <w:jc w:val="left"/>
        <w:tblInd w:w="0" w:type="dxa"/>
        <w:tblLayout w:type="fixed"/>
        <w:tblCellMar>
          <w:top w:w="28" w:type="dxa"/>
          <w:left w:w="28" w:type="dxa"/>
          <w:bottom w:w="28" w:type="dxa"/>
          <w:right w:w="28" w:type="dxa"/>
        </w:tblCellMar>
      </w:tblPr>
      <w:tblGrid>
        <w:gridCol w:w="124"/>
        <w:gridCol w:w="109"/>
        <w:gridCol w:w="109"/>
        <w:gridCol w:w="782"/>
        <w:gridCol w:w="782"/>
        <w:gridCol w:w="782"/>
        <w:gridCol w:w="782"/>
        <w:gridCol w:w="782"/>
        <w:gridCol w:w="11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ARROWHEAD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69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Christopher Anzalone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Name: Christopher Anzalone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Title: Chief Executive Officer and President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GUARANTOR SUBSIDIARY: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ARROWHEAD MADISON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Christopher Anzalone</w:t>
            </w:r>
            <w:r>
              <w:rPr>
                <w:rFonts w:ascii="Times New Roman;serif" w:hAnsi="Times New Roman;serif"/>
                <w:b w:val="false"/>
                <w:color w:val="000000"/>
                <w:sz w:val="24"/>
              </w:rPr>
              <w:t>___________</w:t>
              <w:br/>
              <w:t xml:space="preserve">Name: Christopher Anzalone </w:t>
              <w:br/>
              <w:t xml:space="preserve">Title: Chief Executive Officer and President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4929" w:type="dxa"/>
        <w:jc w:val="left"/>
        <w:tblInd w:w="0" w:type="dxa"/>
        <w:tblLayout w:type="fixed"/>
        <w:tblCellMar>
          <w:top w:w="28" w:type="dxa"/>
          <w:left w:w="28" w:type="dxa"/>
          <w:bottom w:w="28" w:type="dxa"/>
          <w:right w:w="28" w:type="dxa"/>
        </w:tblCellMar>
      </w:tblPr>
      <w:tblGrid>
        <w:gridCol w:w="124"/>
        <w:gridCol w:w="109"/>
        <w:gridCol w:w="109"/>
        <w:gridCol w:w="713"/>
        <w:gridCol w:w="713"/>
        <w:gridCol w:w="713"/>
        <w:gridCol w:w="713"/>
        <w:gridCol w:w="713"/>
        <w:gridCol w:w="1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4"/>
              </w:rPr>
              <w:t>SIXTH STREET LENDING PARTNERS</w:t>
            </w:r>
            <w:r>
              <w:rPr>
                <w:rFonts w:ascii="Times New Roman;serif" w:hAnsi="Times New Roman;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44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Robert (Bo) Stanley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Robert (Bo) Stanley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p>
                  </w:txbxContent>
                </v:textbox>
                <w10:wrap type="none"/>
              </v:rect>
            </w:pict>
          </mc:Fallback>
        </mc:AlternateContent>
      </w:r>
    </w:p>
    <w:tbl>
      <w:tblPr>
        <w:tblW w:w="4929" w:type="dxa"/>
        <w:jc w:val="left"/>
        <w:tblInd w:w="0" w:type="dxa"/>
        <w:tblLayout w:type="fixed"/>
        <w:tblCellMar>
          <w:top w:w="28" w:type="dxa"/>
          <w:left w:w="28" w:type="dxa"/>
          <w:bottom w:w="28" w:type="dxa"/>
          <w:right w:w="28" w:type="dxa"/>
        </w:tblCellMar>
      </w:tblPr>
      <w:tblGrid>
        <w:gridCol w:w="124"/>
        <w:gridCol w:w="109"/>
        <w:gridCol w:w="109"/>
        <w:gridCol w:w="713"/>
        <w:gridCol w:w="713"/>
        <w:gridCol w:w="713"/>
        <w:gridCol w:w="713"/>
        <w:gridCol w:w="713"/>
        <w:gridCol w:w="10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4"/>
              </w:rPr>
              <w:t>SIXTH STREET LENDING PARTNERS</w:t>
            </w:r>
            <w:r>
              <w:rPr>
                <w:rFonts w:ascii="Times New Roman;serif" w:hAnsi="Times New Roman;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Lender</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44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Robert (Bo) Stanley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Robert (Bo) Stanley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0"/>
        <w:jc w:val="both"/>
        <w:rPr/>
      </w:pPr>
      <w:r>
        <w:rPr/>
      </w:r>
    </w:p>
    <w:tbl>
      <w:tblPr>
        <w:tblW w:w="3167" w:type="dxa"/>
        <w:jc w:val="left"/>
        <w:tblInd w:w="0" w:type="dxa"/>
        <w:tblLayout w:type="fixed"/>
        <w:tblCellMar>
          <w:top w:w="28" w:type="dxa"/>
          <w:left w:w="28" w:type="dxa"/>
          <w:bottom w:w="28" w:type="dxa"/>
          <w:right w:w="28" w:type="dxa"/>
        </w:tblCellMar>
      </w:tblPr>
      <w:tblGrid>
        <w:gridCol w:w="124"/>
        <w:gridCol w:w="109"/>
        <w:gridCol w:w="109"/>
        <w:gridCol w:w="402"/>
        <w:gridCol w:w="402"/>
        <w:gridCol w:w="402"/>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4"/>
              </w:rPr>
              <w:t>TAO LATENTS, LLC</w:t>
            </w:r>
            <w:r>
              <w:rPr>
                <w:rFonts w:ascii="Times New Roman;serif" w:hAnsi="Times New Roman;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Lender</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16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Steven Pluss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Steven Pluss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0"/>
        <w:jc w:val="both"/>
        <w:rPr/>
      </w:pPr>
      <w:r>
        <w:rPr/>
      </w:r>
    </w:p>
    <w:tbl>
      <w:tblPr>
        <w:tblW w:w="3320" w:type="dxa"/>
        <w:jc w:val="left"/>
        <w:tblInd w:w="0" w:type="dxa"/>
        <w:tblLayout w:type="fixed"/>
        <w:tblCellMar>
          <w:top w:w="28" w:type="dxa"/>
          <w:left w:w="28" w:type="dxa"/>
          <w:bottom w:w="28" w:type="dxa"/>
          <w:right w:w="28" w:type="dxa"/>
        </w:tblCellMar>
      </w:tblPr>
      <w:tblGrid>
        <w:gridCol w:w="124"/>
        <w:gridCol w:w="109"/>
        <w:gridCol w:w="109"/>
        <w:gridCol w:w="453"/>
        <w:gridCol w:w="453"/>
        <w:gridCol w:w="453"/>
        <w:gridCol w:w="474"/>
        <w:gridCol w:w="474"/>
        <w:gridCol w:w="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4"/>
              </w:rPr>
              <w:t>OPPS V TALENTS, LLC</w:t>
            </w:r>
            <w:r>
              <w:rPr>
                <w:rFonts w:ascii="Times New Roman;serif" w:hAnsi="Times New Roman;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Lender</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16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Steven Pluss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Steven Pluss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0"/>
        <w:jc w:val="both"/>
        <w:rPr/>
      </w:pPr>
      <w:r>
        <w:rPr/>
      </w:r>
    </w:p>
    <w:tbl>
      <w:tblPr>
        <w:tblW w:w="5577" w:type="dxa"/>
        <w:jc w:val="left"/>
        <w:tblInd w:w="0" w:type="dxa"/>
        <w:tblLayout w:type="fixed"/>
        <w:tblCellMar>
          <w:top w:w="28" w:type="dxa"/>
          <w:left w:w="28" w:type="dxa"/>
          <w:bottom w:w="28" w:type="dxa"/>
          <w:right w:w="28" w:type="dxa"/>
        </w:tblCellMar>
      </w:tblPr>
      <w:tblGrid>
        <w:gridCol w:w="124"/>
        <w:gridCol w:w="109"/>
        <w:gridCol w:w="109"/>
        <w:gridCol w:w="815"/>
        <w:gridCol w:w="815"/>
        <w:gridCol w:w="815"/>
        <w:gridCol w:w="815"/>
        <w:gridCol w:w="815"/>
        <w:gridCol w:w="1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SIXTH STREET SPECIALTY LENDING,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Lender</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7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Robert (Bo) Stanley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Robert (Bo) Stanley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w:t>
            </w:r>
          </w:p>
        </w:tc>
      </w:tr>
    </w:tbl>
    <w:p>
      <w:pPr>
        <w:pStyle w:val="TextBody"/>
        <w:bidi w:val="0"/>
        <w:spacing w:before="0" w:after="0"/>
        <w:ind w:left="0" w:right="0" w:hanging="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p>
                  </w:txbxContent>
                </v:textbox>
                <w10:wrap type="none"/>
              </v:rect>
            </w:pict>
          </mc:Fallback>
        </mc:AlternateContent>
      </w:r>
    </w:p>
    <w:tbl>
      <w:tblPr>
        <w:tblW w:w="1439" w:type="dxa"/>
        <w:jc w:val="left"/>
        <w:tblInd w:w="0" w:type="dxa"/>
        <w:tblLayout w:type="fixed"/>
        <w:tblCellMar>
          <w:top w:w="28" w:type="dxa"/>
          <w:left w:w="28" w:type="dxa"/>
          <w:bottom w:w="28" w:type="dxa"/>
          <w:right w:w="28" w:type="dxa"/>
        </w:tblCellMar>
      </w:tblPr>
      <w:tblGrid>
        <w:gridCol w:w="460"/>
        <w:gridCol w:w="405"/>
        <w:gridCol w:w="574"/>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4"/>
              </w:rPr>
              <w:t>EXHIBIT A</w:t>
            </w:r>
            <w:r>
              <w:rPr>
                <w:rFonts w:ascii="Times New Roman;serif" w:hAnsi="Times New Roman;serif"/>
                <w:b w:val="false"/>
                <w:color w:val="000000"/>
                <w:sz w:val="24"/>
              </w:rPr>
              <w:br/>
              <w:t>[</w:t>
            </w:r>
            <w:r>
              <w:rPr>
                <w:rFonts w:ascii="Times New Roman;serif" w:hAnsi="Times New Roman;serif"/>
                <w:b w:val="false"/>
                <w:i/>
                <w:color w:val="000000"/>
                <w:sz w:val="24"/>
              </w:rPr>
              <w:t>Attached</w:t>
            </w:r>
            <w:r>
              <w:rPr>
                <w:rFonts w:ascii="Times New Roman;serif" w:hAnsi="Times New Roman;serif"/>
                <w:b w:val="false"/>
                <w:color w:val="000000"/>
                <w:sz w:val="24"/>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A</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7.2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Amendment No. 2 to Financing Agreement]</w:t>
                      </w:r>
                    </w:p>
                  </w:txbxContent>
                </v:textbox>
                <w10:wrap type="none"/>
              </v:rect>
            </w:pict>
          </mc:Fallback>
        </mc:AlternateContent>
      </w:r>
    </w:p>
    <w:p>
      <w:pPr>
        <w:pStyle w:val="TextBody"/>
        <w:bidi w:val="0"/>
        <w:spacing w:lineRule="auto" w:line="288" w:before="0" w:after="240"/>
        <w:jc w:val="both"/>
        <w:rPr/>
      </w:pPr>
      <w:r>
        <w:rPr/>
        <w:drawing>
          <wp:inline distT="0" distB="0" distL="0" distR="0">
            <wp:extent cx="5943600" cy="266700"/>
            <wp:effectExtent l="0" t="0" r="0" b="0"/>
            <wp:docPr id="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 descr=""/>
                    <pic:cNvPicPr>
                      <a:picLocks noChangeAspect="1" noChangeArrowheads="1"/>
                    </pic:cNvPicPr>
                  </pic:nvPicPr>
                  <pic:blipFill>
                    <a:blip r:embed="rId5"/>
                    <a:stretch>
                      <a:fillRect/>
                    </a:stretch>
                  </pic:blipFill>
                  <pic:spPr bwMode="auto">
                    <a:xfrm>
                      <a:off x="0" y="0"/>
                      <a:ext cx="5943600" cy="266700"/>
                    </a:xfrm>
                    <a:prstGeom prst="rect">
                      <a:avLst/>
                    </a:prstGeom>
                  </pic:spPr>
                </pic:pic>
              </a:graphicData>
            </a:graphic>
          </wp:inline>
        </w:drawing>
      </w:r>
      <w:r>
        <w:rPr>
          <w:rFonts w:ascii="Times New Roman;serif" w:hAnsi="Times New Roman;serif"/>
          <w:b/>
          <w:color w:val="000000"/>
          <w:sz w:val="22"/>
        </w:rPr>
        <w:t>THE FOLLOWING INFORMATION IS SUPPLIED SOLELY FOR U.S. FEDERAL INCOME TAX PURPOSES. THE LOANS UNDER THIS AGREEMENT ARE TREATED AS HAVING BEEN ISSUED WITH ORIGINAL ISSUE DISCOUNT (“OID”) WITHIN THE MEANING OF SECTION 1273 OF THE INTERNAL REVENUE CODE OF 1986, AS AMENDED (THE “CODE”), AND THIS LEGEND IS REQUIRED BY SECTION 1275(c) OF THE CODE. INFORMATION INCLUDING THE ISSUE PRICE, THE AMOUNT OF ORIGINAL ISSUE DISCOUNT, THE ISSUE DATE AND THE YIELD TO MATURITY WILL BE PROVIDED IN WRITING TO A LENDER PROMPTLY UPON REQUEST TO THE BORROWER AT 177 E. COLORADO BLVD, SUITE 700, PASADENA, CALIFORNIA 91105, ATTN: CHIEF FINANCIAL OFFICER, EMAIL: CFO@arrowheadpharma.com.</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FINANCING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as of August 7, 2024,</w:t>
        <w:br/>
        <w:t>as amended by Amendment No. 1 to Financing Agreement, dated as of November 26, 2024,</w:t>
        <w:br/>
        <w:t>as amended by Amendment No. 2 to Financing Agreement, dated as of August 13, 2025,</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among</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ARROWHEAD PHARMACEUTICALS, INC.,</w:t>
        <w:br/>
        <w:t>as Borrower,</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CERTAIN SUBSIDIARIES OF BORROWER,</w:t>
        <w:br/>
        <w:t>as Guarantors,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VARIOUS LENDERS FROM TIME TO TIME PARTY HERETO,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SIXTH STREET LENDING PARTNERS,</w:t>
        <w:br/>
        <w:t>as Administrative Agent</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0" w:after="240"/>
        <w:jc w:val="right"/>
        <w:rPr>
          <w:rFonts w:ascii="Times New Roman;serif" w:hAnsi="Times New Roman;serif"/>
          <w:b/>
          <w:color w:val="000000"/>
          <w:sz w:val="22"/>
          <w:u w:val="single"/>
        </w:rPr>
      </w:pPr>
      <w:r>
        <w:rPr>
          <w:rFonts w:ascii="Times New Roman;serif" w:hAnsi="Times New Roman;serif"/>
          <w:b/>
          <w:color w:val="000000"/>
          <w:sz w:val="22"/>
          <w:u w:val="single"/>
        </w:rPr>
        <w:t>Page</w:t>
      </w:r>
    </w:p>
    <w:p>
      <w:pPr>
        <w:pStyle w:val="TextBody"/>
        <w:bidi w:val="0"/>
        <w:spacing w:lineRule="auto" w:line="288" w:before="0" w:after="0"/>
        <w:ind w:left="0" w:right="0" w:hanging="1440"/>
        <w:jc w:val="left"/>
        <w:rPr/>
      </w:pPr>
      <w:r>
        <w:rPr>
          <w:rFonts w:ascii="Times New Roman;serif" w:hAnsi="Times New Roman;serif"/>
          <w:b w:val="false"/>
          <w:color w:val="010000"/>
          <w:sz w:val="22"/>
        </w:rPr>
        <w:t>Section 1.1</w:t>
      </w:r>
      <w:r>
        <w:rPr>
          <w:color w:val="000000"/>
        </w:rPr>
        <w:t>    </w:t>
      </w:r>
      <w:r>
        <w:rPr>
          <w:rFonts w:ascii="Times New Roman;serif" w:hAnsi="Times New Roman;serif"/>
          <w:b w:val="false"/>
          <w:color w:val="000000"/>
          <w:sz w:val="22"/>
        </w:rPr>
        <w:t>Definitions    </w:t>
      </w:r>
      <w:hyperlink w:anchor="i13c63cf5431f4e559495cca437e2ab9a_25">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1.2</w:t>
      </w:r>
      <w:r>
        <w:rPr>
          <w:color w:val="000000"/>
        </w:rPr>
        <w:t>    </w:t>
      </w:r>
      <w:r>
        <w:rPr>
          <w:rFonts w:ascii="Times New Roman;serif" w:hAnsi="Times New Roman;serif"/>
          <w:b w:val="false"/>
          <w:color w:val="000000"/>
          <w:sz w:val="22"/>
        </w:rPr>
        <w:t>Accounting and Other Terms    </w:t>
      </w:r>
      <w:hyperlink w:anchor="i13c63cf5431f4e559495cca437e2ab9a_25">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1.3</w:t>
      </w:r>
      <w:r>
        <w:rPr>
          <w:color w:val="000000"/>
        </w:rPr>
        <w:t>    </w:t>
      </w:r>
      <w:r>
        <w:rPr>
          <w:rFonts w:ascii="Times New Roman;serif" w:hAnsi="Times New Roman;serif"/>
          <w:b w:val="false"/>
          <w:color w:val="000000"/>
          <w:sz w:val="22"/>
        </w:rPr>
        <w:t>Interpretation, Etc.    </w:t>
      </w:r>
      <w:hyperlink w:anchor="i13c63cf5431f4e559495cca437e2ab9a_25">
        <w:r>
          <w:rPr>
            <w:rStyle w:val="InternetLink"/>
            <w:rFonts w:ascii="Times New Roman;serif" w:hAnsi="Times New Roman;serif"/>
            <w:b w:val="false"/>
            <w:strike w:val="false"/>
            <w:dstrike w:val="false"/>
            <w:color w:val="000000"/>
            <w:sz w:val="22"/>
            <w:u w:val="none"/>
            <w:effect w:val="none"/>
          </w:rPr>
          <w:t>50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1.4</w:t>
      </w:r>
      <w:r>
        <w:rPr>
          <w:color w:val="000000"/>
        </w:rPr>
        <w:t>    </w:t>
      </w:r>
      <w:r>
        <w:rPr>
          <w:rFonts w:ascii="Times New Roman;serif" w:hAnsi="Times New Roman;serif"/>
          <w:b w:val="false"/>
          <w:color w:val="000000"/>
          <w:sz w:val="22"/>
        </w:rPr>
        <w:t>Time References    </w:t>
      </w:r>
      <w:hyperlink w:anchor="i13c63cf5431f4e559495cca437e2ab9a_25">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1.5</w:t>
      </w:r>
      <w:r>
        <w:rPr>
          <w:color w:val="000000"/>
        </w:rPr>
        <w:t>    </w:t>
      </w:r>
      <w:r>
        <w:rPr>
          <w:rFonts w:ascii="Times New Roman;serif" w:hAnsi="Times New Roman;serif"/>
          <w:b w:val="false"/>
          <w:color w:val="000000"/>
          <w:sz w:val="22"/>
        </w:rPr>
        <w:t>Certain Matters of Construction    </w:t>
      </w:r>
      <w:hyperlink w:anchor="i13c63cf5431f4e559495cca437e2ab9a_25">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240" w:after="283"/>
        <w:ind w:left="0" w:right="0" w:hanging="720"/>
        <w:jc w:val="left"/>
        <w:rPr/>
      </w:pPr>
      <w:r>
        <w:rPr>
          <w:color w:val="010000"/>
        </w:rPr>
        <w:t>    </w:t>
      </w:r>
      <w:r>
        <w:rPr>
          <w:rFonts w:ascii="Times New Roman;serif" w:hAnsi="Times New Roman;serif"/>
          <w:b/>
          <w:color w:val="010000"/>
          <w:sz w:val="22"/>
        </w:rPr>
        <w:t>ARTICLE II</w:t>
      </w:r>
      <w:r>
        <w:rPr>
          <w:color w:val="000000"/>
        </w:rPr>
        <w:t xml:space="preserve"> </w:t>
      </w:r>
      <w:r>
        <w:rPr>
          <w:rFonts w:ascii="Times New Roman;serif" w:hAnsi="Times New Roman;serif"/>
          <w:b/>
          <w:color w:val="000000"/>
          <w:sz w:val="22"/>
        </w:rPr>
        <w:t>LOANS    </w:t>
      </w:r>
      <w:hyperlink w:anchor="i13c63cf5431f4e559495cca437e2ab9a_25">
        <w:r>
          <w:rPr>
            <w:rStyle w:val="InternetLink"/>
            <w:rFonts w:ascii="Times New Roman;serif" w:hAnsi="Times New Roman;serif"/>
            <w:b/>
            <w:strike w:val="false"/>
            <w:dstrike w:val="false"/>
            <w:color w:val="000000"/>
            <w:sz w:val="22"/>
            <w:u w:val="none"/>
            <w:effect w:val="none"/>
          </w:rPr>
          <w:t>52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w:t>
      </w:r>
      <w:r>
        <w:rPr>
          <w:color w:val="000000"/>
        </w:rPr>
        <w:t>    </w:t>
      </w:r>
      <w:r>
        <w:rPr>
          <w:rFonts w:ascii="Times New Roman;serif" w:hAnsi="Times New Roman;serif"/>
          <w:b w:val="false"/>
          <w:color w:val="000000"/>
          <w:sz w:val="22"/>
        </w:rPr>
        <w:t>Term Loans    </w:t>
      </w:r>
      <w:hyperlink w:anchor="i13c63cf5431f4e559495cca437e2ab9a_25">
        <w:r>
          <w:rPr>
            <w:rStyle w:val="InternetLink"/>
            <w:rFonts w:ascii="Times New Roman;serif" w:hAnsi="Times New Roman;serif"/>
            <w:b w:val="false"/>
            <w:strike w:val="false"/>
            <w:dstrike w:val="false"/>
            <w:color w:val="000000"/>
            <w:sz w:val="22"/>
            <w:u w:val="none"/>
            <w:effect w:val="none"/>
          </w:rPr>
          <w:t>52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2.2</w:t>
      </w:r>
      <w:r>
        <w:rPr>
          <w:color w:val="000000"/>
        </w:rPr>
        <w:t>    </w:t>
      </w:r>
      <w:r>
        <w:rPr>
          <w:rFonts w:ascii="Times New Roman;serif" w:hAnsi="Times New Roman;serif"/>
          <w:b w:val="false"/>
          <w:color w:val="000000"/>
          <w:sz w:val="22"/>
        </w:rPr>
        <w:t>Use of Proceeds    </w:t>
      </w:r>
      <w:hyperlink w:anchor="i13c63cf5431f4e559495cca437e2ab9a_25">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2.3</w:t>
      </w:r>
      <w:r>
        <w:rPr>
          <w:color w:val="000000"/>
        </w:rPr>
        <w:t>    </w:t>
      </w:r>
      <w:r>
        <w:rPr>
          <w:rFonts w:ascii="Times New Roman;serif" w:hAnsi="Times New Roman;serif"/>
          <w:b w:val="false"/>
          <w:color w:val="000000"/>
          <w:sz w:val="22"/>
        </w:rPr>
        <w:t>Evidence of Debt; Register; Lenders’ Books and Records; Notes    </w:t>
      </w:r>
      <w:hyperlink w:anchor="i13c63cf5431f4e559495cca437e2ab9a_25">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2.4</w:t>
      </w:r>
      <w:r>
        <w:rPr>
          <w:color w:val="000000"/>
        </w:rPr>
        <w:t>    </w:t>
      </w:r>
      <w:r>
        <w:rPr>
          <w:rFonts w:ascii="Times New Roman;serif" w:hAnsi="Times New Roman;serif"/>
          <w:b w:val="false"/>
          <w:color w:val="000000"/>
          <w:sz w:val="22"/>
        </w:rPr>
        <w:t>Interest    </w:t>
      </w:r>
      <w:hyperlink w:anchor="i13c63cf5431f4e559495cca437e2ab9a_25">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2.5</w:t>
      </w:r>
      <w:r>
        <w:rPr>
          <w:color w:val="000000"/>
        </w:rPr>
        <w:t>    </w:t>
      </w:r>
      <w:r>
        <w:rPr>
          <w:rFonts w:ascii="Times New Roman;serif" w:hAnsi="Times New Roman;serif"/>
          <w:b w:val="false"/>
          <w:color w:val="000000"/>
          <w:sz w:val="22"/>
        </w:rPr>
        <w:t>[Reserved]    </w:t>
      </w:r>
      <w:hyperlink w:anchor="i13c63cf5431f4e559495cca437e2ab9a_25">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2.6</w:t>
      </w:r>
      <w:r>
        <w:rPr>
          <w:color w:val="000000"/>
        </w:rPr>
        <w:t>    </w:t>
      </w:r>
      <w:r>
        <w:rPr>
          <w:rFonts w:ascii="Times New Roman;serif" w:hAnsi="Times New Roman;serif"/>
          <w:b w:val="false"/>
          <w:color w:val="000000"/>
          <w:sz w:val="22"/>
        </w:rPr>
        <w:t>Default Interest    </w:t>
      </w:r>
      <w:hyperlink w:anchor="i13c63cf5431f4e559495cca437e2ab9a_25">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2.7</w:t>
      </w:r>
      <w:r>
        <w:rPr>
          <w:color w:val="000000"/>
        </w:rPr>
        <w:t>    </w:t>
      </w:r>
      <w:r>
        <w:rPr>
          <w:rFonts w:ascii="Times New Roman;serif" w:hAnsi="Times New Roman;serif"/>
          <w:b w:val="false"/>
          <w:color w:val="000000"/>
          <w:sz w:val="22"/>
        </w:rPr>
        <w:t>Fees    </w:t>
      </w:r>
      <w:hyperlink w:anchor="i13c63cf5431f4e559495cca437e2ab9a_25">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2.8</w:t>
      </w:r>
      <w:r>
        <w:rPr>
          <w:color w:val="000000"/>
        </w:rPr>
        <w:t>    </w:t>
      </w:r>
      <w:r>
        <w:rPr>
          <w:rFonts w:ascii="Times New Roman;serif" w:hAnsi="Times New Roman;serif"/>
          <w:b w:val="false"/>
          <w:color w:val="000000"/>
          <w:sz w:val="22"/>
        </w:rPr>
        <w:t>Repayment of Term Loans    </w:t>
      </w:r>
      <w:hyperlink w:anchor="i13c63cf5431f4e559495cca437e2ab9a_25">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2.9</w:t>
      </w:r>
      <w:r>
        <w:rPr>
          <w:color w:val="000000"/>
        </w:rPr>
        <w:t>    </w:t>
      </w:r>
      <w:r>
        <w:rPr>
          <w:rFonts w:ascii="Times New Roman;serif" w:hAnsi="Times New Roman;serif"/>
          <w:b w:val="false"/>
          <w:color w:val="000000"/>
          <w:sz w:val="22"/>
        </w:rPr>
        <w:t>Voluntary Prepayments and Commitment Reductions    </w:t>
      </w:r>
      <w:hyperlink w:anchor="i13c63cf5431f4e559495cca437e2ab9a_25">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2.10</w:t>
      </w:r>
      <w:r>
        <w:rPr>
          <w:color w:val="000000"/>
        </w:rPr>
        <w:t>    </w:t>
      </w:r>
      <w:r>
        <w:rPr>
          <w:rFonts w:ascii="Times New Roman;serif" w:hAnsi="Times New Roman;serif"/>
          <w:b w:val="false"/>
          <w:color w:val="000000"/>
          <w:sz w:val="22"/>
        </w:rPr>
        <w:t>Mandatory Prepayments    </w:t>
      </w:r>
      <w:hyperlink w:anchor="i13c63cf5431f4e559495cca437e2ab9a_25">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2.11</w:t>
      </w:r>
      <w:r>
        <w:rPr>
          <w:color w:val="000000"/>
        </w:rPr>
        <w:t>    </w:t>
      </w:r>
      <w:r>
        <w:rPr>
          <w:rFonts w:ascii="Times New Roman;serif" w:hAnsi="Times New Roman;serif"/>
          <w:b w:val="false"/>
          <w:color w:val="000000"/>
          <w:sz w:val="22"/>
        </w:rPr>
        <w:t>Application of Prepayments    </w:t>
      </w:r>
      <w:hyperlink w:anchor="i13c63cf5431f4e559495cca437e2ab9a_25">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2.12</w:t>
      </w:r>
      <w:r>
        <w:rPr>
          <w:color w:val="000000"/>
        </w:rPr>
        <w:t>    </w:t>
      </w:r>
      <w:r>
        <w:rPr>
          <w:rFonts w:ascii="Times New Roman;serif" w:hAnsi="Times New Roman;serif"/>
          <w:b w:val="false"/>
          <w:color w:val="000000"/>
          <w:sz w:val="22"/>
        </w:rPr>
        <w:t>General Provisions Regarding Payments    </w:t>
      </w:r>
      <w:hyperlink w:anchor="i13c63cf5431f4e559495cca437e2ab9a_25">
        <w:r>
          <w:rPr>
            <w:rStyle w:val="InternetLink"/>
            <w:rFonts w:ascii="Times New Roman;serif" w:hAnsi="Times New Roman;serif"/>
            <w:b w:val="false"/>
            <w:strike w:val="false"/>
            <w:dstrike w:val="false"/>
            <w:color w:val="000000"/>
            <w:sz w:val="22"/>
            <w:u w:val="none"/>
            <w:effect w:val="none"/>
          </w:rPr>
          <w:t>61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2.13</w:t>
      </w:r>
      <w:r>
        <w:rPr>
          <w:color w:val="000000"/>
        </w:rPr>
        <w:t>    </w:t>
      </w:r>
      <w:r>
        <w:rPr>
          <w:rFonts w:ascii="Times New Roman;serif" w:hAnsi="Times New Roman;serif"/>
          <w:b w:val="false"/>
          <w:color w:val="000000"/>
          <w:sz w:val="22"/>
        </w:rPr>
        <w:t>Ratable Sharing    </w:t>
      </w:r>
      <w:hyperlink w:anchor="i13c63cf5431f4e559495cca437e2ab9a_25">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2.14</w:t>
      </w:r>
      <w:r>
        <w:rPr>
          <w:color w:val="000000"/>
        </w:rPr>
        <w:t>    </w:t>
      </w:r>
      <w:r>
        <w:rPr>
          <w:rFonts w:ascii="Times New Roman;serif" w:hAnsi="Times New Roman;serif"/>
          <w:b w:val="false"/>
          <w:color w:val="000000"/>
          <w:sz w:val="22"/>
        </w:rPr>
        <w:t>Increased Costs; Capital Adequacy    </w:t>
      </w:r>
      <w:hyperlink w:anchor="i13c63cf5431f4e559495cca437e2ab9a_25">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2.15</w:t>
      </w:r>
      <w:r>
        <w:rPr>
          <w:color w:val="000000"/>
        </w:rPr>
        <w:t>    </w:t>
      </w:r>
      <w:r>
        <w:rPr>
          <w:rFonts w:ascii="Times New Roman;serif" w:hAnsi="Times New Roman;serif"/>
          <w:b w:val="false"/>
          <w:color w:val="000000"/>
          <w:sz w:val="22"/>
        </w:rPr>
        <w:t>Taxes; Withholding, Etc.    </w:t>
      </w:r>
      <w:hyperlink w:anchor="i13c63cf5431f4e559495cca437e2ab9a_25">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2.16</w:t>
      </w:r>
      <w:r>
        <w:rPr>
          <w:color w:val="000000"/>
        </w:rPr>
        <w:t>    </w:t>
      </w:r>
      <w:r>
        <w:rPr>
          <w:rFonts w:ascii="Times New Roman;serif" w:hAnsi="Times New Roman;serif"/>
          <w:b w:val="false"/>
          <w:color w:val="000000"/>
          <w:sz w:val="22"/>
        </w:rPr>
        <w:t>Obligation to Mitigate    </w:t>
      </w:r>
      <w:hyperlink w:anchor="i13c63cf5431f4e559495cca437e2ab9a_25">
        <w:r>
          <w:rPr>
            <w:rStyle w:val="InternetLink"/>
            <w:rFonts w:ascii="Times New Roman;serif" w:hAnsi="Times New Roman;serif"/>
            <w:b w:val="false"/>
            <w:strike w:val="false"/>
            <w:dstrike w:val="false"/>
            <w:color w:val="000000"/>
            <w:sz w:val="22"/>
            <w:u w:val="none"/>
            <w:effect w:val="none"/>
          </w:rPr>
          <w:t>68</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2.17</w:t>
      </w:r>
      <w:r>
        <w:rPr>
          <w:color w:val="000000"/>
        </w:rPr>
        <w:t>    </w:t>
      </w:r>
      <w:r>
        <w:rPr>
          <w:rFonts w:ascii="Times New Roman;serif" w:hAnsi="Times New Roman;serif"/>
          <w:b w:val="false"/>
          <w:color w:val="000000"/>
          <w:sz w:val="22"/>
        </w:rPr>
        <w:t>Defaulting Lenders    </w:t>
      </w:r>
      <w:hyperlink w:anchor="i13c63cf5431f4e559495cca437e2ab9a_25">
        <w:r>
          <w:rPr>
            <w:rStyle w:val="InternetLink"/>
            <w:rFonts w:ascii="Times New Roman;serif" w:hAnsi="Times New Roman;serif"/>
            <w:b w:val="false"/>
            <w:strike w:val="false"/>
            <w:dstrike w:val="false"/>
            <w:color w:val="000000"/>
            <w:sz w:val="22"/>
            <w:u w:val="none"/>
            <w:effect w:val="none"/>
          </w:rPr>
          <w:t>68</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2.18</w:t>
      </w:r>
      <w:r>
        <w:rPr>
          <w:color w:val="000000"/>
        </w:rPr>
        <w:t>    </w:t>
      </w:r>
      <w:r>
        <w:rPr>
          <w:rFonts w:ascii="Times New Roman;serif" w:hAnsi="Times New Roman;serif"/>
          <w:b w:val="false"/>
          <w:color w:val="000000"/>
          <w:sz w:val="22"/>
        </w:rPr>
        <w:t>Removal or Replacement of a Lender    </w:t>
      </w:r>
      <w:hyperlink w:anchor="i13c63cf5431f4e559495cca437e2ab9a_25">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240" w:after="283"/>
        <w:ind w:left="0" w:right="0" w:hanging="720"/>
        <w:jc w:val="left"/>
        <w:rPr/>
      </w:pPr>
      <w:r>
        <w:rPr>
          <w:color w:val="010000"/>
        </w:rPr>
        <w:t>    </w:t>
      </w:r>
      <w:r>
        <w:rPr>
          <w:rFonts w:ascii="Times New Roman;serif" w:hAnsi="Times New Roman;serif"/>
          <w:b/>
          <w:color w:val="010000"/>
          <w:sz w:val="22"/>
        </w:rPr>
        <w:t>ARTICLE III</w:t>
      </w:r>
      <w:r>
        <w:rPr>
          <w:color w:val="000000"/>
        </w:rPr>
        <w:t xml:space="preserve"> </w:t>
      </w:r>
      <w:r>
        <w:rPr>
          <w:rFonts w:ascii="Times New Roman;serif" w:hAnsi="Times New Roman;serif"/>
          <w:b/>
          <w:color w:val="000000"/>
          <w:sz w:val="22"/>
        </w:rPr>
        <w:t>CONDITIONS PRECEDENT    </w:t>
      </w:r>
      <w:hyperlink w:anchor="i13c63cf5431f4e559495cca437e2ab9a_25">
        <w:r>
          <w:rPr>
            <w:rStyle w:val="InternetLink"/>
            <w:rFonts w:ascii="Times New Roman;serif" w:hAnsi="Times New Roman;serif"/>
            <w:b/>
            <w:strike w:val="false"/>
            <w:dstrike w:val="false"/>
            <w:color w:val="000000"/>
            <w:sz w:val="22"/>
            <w:u w:val="none"/>
            <w:effect w:val="none"/>
          </w:rPr>
          <w:t>69</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3.1</w:t>
      </w:r>
      <w:r>
        <w:rPr>
          <w:color w:val="000000"/>
        </w:rPr>
        <w:t>    </w:t>
      </w:r>
      <w:r>
        <w:rPr>
          <w:rFonts w:ascii="Times New Roman;serif" w:hAnsi="Times New Roman;serif"/>
          <w:b w:val="false"/>
          <w:color w:val="000000"/>
          <w:sz w:val="22"/>
        </w:rPr>
        <w:t>Closing Date    </w:t>
      </w:r>
      <w:hyperlink w:anchor="i13c63cf5431f4e559495cca437e2ab9a_25">
        <w:r>
          <w:rPr>
            <w:rStyle w:val="InternetLink"/>
            <w:rFonts w:ascii="Times New Roman;serif" w:hAnsi="Times New Roman;serif"/>
            <w:b w:val="false"/>
            <w:strike w:val="false"/>
            <w:dstrike w:val="false"/>
            <w:color w:val="000000"/>
            <w:sz w:val="22"/>
            <w:u w:val="none"/>
            <w:effect w:val="none"/>
          </w:rPr>
          <w:t>69</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3.2</w:t>
      </w:r>
      <w:r>
        <w:rPr>
          <w:color w:val="000000"/>
        </w:rPr>
        <w:t>    </w:t>
      </w:r>
      <w:r>
        <w:rPr>
          <w:rFonts w:ascii="Times New Roman;serif" w:hAnsi="Times New Roman;serif"/>
          <w:b w:val="false"/>
          <w:color w:val="000000"/>
          <w:sz w:val="22"/>
        </w:rPr>
        <w:t>Conditions to Each Credit Extension    </w:t>
      </w:r>
      <w:hyperlink w:anchor="i13c63cf5431f4e559495cca437e2ab9a_25">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240" w:after="283"/>
        <w:ind w:left="0" w:right="0" w:hanging="720"/>
        <w:jc w:val="left"/>
        <w:rPr/>
      </w:pPr>
      <w:r>
        <w:rPr>
          <w:color w:val="010000"/>
        </w:rPr>
        <w:t>    </w:t>
      </w:r>
      <w:r>
        <w:rPr>
          <w:rFonts w:ascii="Times New Roman;serif" w:hAnsi="Times New Roman;serif"/>
          <w:b/>
          <w:color w:val="010000"/>
          <w:sz w:val="22"/>
        </w:rPr>
        <w:t>ARTICLE IV</w:t>
      </w:r>
      <w:r>
        <w:rPr>
          <w:color w:val="000000"/>
        </w:rPr>
        <w:t xml:space="preserve"> </w:t>
      </w:r>
      <w:r>
        <w:rPr>
          <w:rFonts w:ascii="Times New Roman;serif" w:hAnsi="Times New Roman;serif"/>
          <w:b/>
          <w:color w:val="000000"/>
          <w:sz w:val="22"/>
        </w:rPr>
        <w:t>REPRESENTATIONS AND WARRANTIES    </w:t>
      </w:r>
      <w:hyperlink w:anchor="i13c63cf5431f4e559495cca437e2ab9a_25">
        <w:r>
          <w:rPr>
            <w:rStyle w:val="InternetLink"/>
            <w:rFonts w:ascii="Times New Roman;serif" w:hAnsi="Times New Roman;serif"/>
            <w:b/>
            <w:strike w:val="false"/>
            <w:dstrike w:val="false"/>
            <w:color w:val="000000"/>
            <w:sz w:val="22"/>
            <w:u w:val="none"/>
            <w:effect w:val="none"/>
          </w:rPr>
          <w:t>73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4.1</w:t>
      </w:r>
      <w:r>
        <w:rPr>
          <w:color w:val="000000"/>
        </w:rPr>
        <w:t>    </w:t>
      </w:r>
      <w:r>
        <w:rPr>
          <w:rFonts w:ascii="Times New Roman;serif" w:hAnsi="Times New Roman;serif"/>
          <w:b w:val="false"/>
          <w:color w:val="000000"/>
          <w:sz w:val="22"/>
        </w:rPr>
        <w:t>Organization; Requisite Power and Authority; Qualification    </w:t>
      </w:r>
      <w:hyperlink w:anchor="i13c63cf5431f4e559495cca437e2ab9a_25">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w:t>
      </w:r>
      <w:r>
        <w:rPr>
          <w:color w:val="000000"/>
        </w:rPr>
        <w:t>    </w:t>
      </w:r>
      <w:r>
        <w:rPr>
          <w:rFonts w:ascii="Times New Roman;serif" w:hAnsi="Times New Roman;serif"/>
          <w:b w:val="false"/>
          <w:color w:val="000000"/>
          <w:sz w:val="22"/>
        </w:rPr>
        <w:t>Capital Stock and Ownership    </w:t>
      </w:r>
      <w:hyperlink w:anchor="i13c63cf5431f4e559495cca437e2ab9a_25">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4.3</w:t>
      </w:r>
      <w:r>
        <w:rPr>
          <w:color w:val="000000"/>
        </w:rPr>
        <w:t>    </w:t>
      </w:r>
      <w:r>
        <w:rPr>
          <w:rFonts w:ascii="Times New Roman;serif" w:hAnsi="Times New Roman;serif"/>
          <w:b w:val="false"/>
          <w:color w:val="000000"/>
          <w:sz w:val="22"/>
        </w:rPr>
        <w:t>Due Authorization    </w:t>
      </w:r>
      <w:hyperlink w:anchor="i13c63cf5431f4e559495cca437e2ab9a_25">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4.4</w:t>
      </w:r>
      <w:r>
        <w:rPr>
          <w:color w:val="000000"/>
        </w:rPr>
        <w:t>    </w:t>
      </w:r>
      <w:r>
        <w:rPr>
          <w:rFonts w:ascii="Times New Roman;serif" w:hAnsi="Times New Roman;serif"/>
          <w:b w:val="false"/>
          <w:color w:val="000000"/>
          <w:sz w:val="22"/>
        </w:rPr>
        <w:t>No Conflict    </w:t>
      </w:r>
      <w:hyperlink w:anchor="i13c63cf5431f4e559495cca437e2ab9a_25">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4.5</w:t>
      </w:r>
      <w:r>
        <w:rPr>
          <w:color w:val="000000"/>
        </w:rPr>
        <w:t>    </w:t>
      </w:r>
      <w:r>
        <w:rPr>
          <w:rFonts w:ascii="Times New Roman;serif" w:hAnsi="Times New Roman;serif"/>
          <w:b w:val="false"/>
          <w:color w:val="000000"/>
          <w:sz w:val="22"/>
        </w:rPr>
        <w:t>Governmental Consents    </w:t>
      </w:r>
      <w:hyperlink w:anchor="i13c63cf5431f4e559495cca437e2ab9a_25">
        <w:r>
          <w:rPr>
            <w:rStyle w:val="InternetLink"/>
            <w:rFonts w:ascii="Times New Roman;serif" w:hAnsi="Times New Roman;serif"/>
            <w:b w:val="false"/>
            <w:strike w:val="false"/>
            <w:dstrike w:val="false"/>
            <w:color w:val="000000"/>
            <w:sz w:val="22"/>
            <w:u w:val="none"/>
            <w:effect w:val="none"/>
          </w:rPr>
          <w:t>74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4.6</w:t>
      </w:r>
      <w:r>
        <w:rPr>
          <w:color w:val="000000"/>
        </w:rPr>
        <w:t>    </w:t>
      </w:r>
      <w:r>
        <w:rPr>
          <w:rFonts w:ascii="Times New Roman;serif" w:hAnsi="Times New Roman;serif"/>
          <w:b w:val="false"/>
          <w:color w:val="000000"/>
          <w:sz w:val="22"/>
        </w:rPr>
        <w:t>Binding Obligation    </w:t>
      </w:r>
      <w:hyperlink w:anchor="i13c63cf5431f4e559495cca437e2ab9a_25">
        <w:r>
          <w:rPr>
            <w:rStyle w:val="InternetLink"/>
            <w:rFonts w:ascii="Times New Roman;serif" w:hAnsi="Times New Roman;serif"/>
            <w:b w:val="false"/>
            <w:strike w:val="false"/>
            <w:dstrike w:val="false"/>
            <w:color w:val="000000"/>
            <w:sz w:val="22"/>
            <w:u w:val="none"/>
            <w:effect w:val="none"/>
          </w:rPr>
          <w:t>74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4.7</w:t>
      </w:r>
      <w:r>
        <w:rPr>
          <w:color w:val="000000"/>
        </w:rPr>
        <w:t>    </w:t>
      </w:r>
      <w:r>
        <w:rPr>
          <w:rFonts w:ascii="Times New Roman;serif" w:hAnsi="Times New Roman;serif"/>
          <w:b w:val="false"/>
          <w:color w:val="000000"/>
          <w:sz w:val="22"/>
        </w:rPr>
        <w:t>Historical Financial Statements    </w:t>
      </w:r>
      <w:hyperlink w:anchor="i13c63cf5431f4e559495cca437e2ab9a_25">
        <w:r>
          <w:rPr>
            <w:rStyle w:val="InternetLink"/>
            <w:rFonts w:ascii="Times New Roman;serif" w:hAnsi="Times New Roman;serif"/>
            <w:b w:val="false"/>
            <w:strike w:val="false"/>
            <w:dstrike w:val="false"/>
            <w:color w:val="000000"/>
            <w:sz w:val="22"/>
            <w:u w:val="none"/>
            <w:effect w:val="none"/>
          </w:rPr>
          <w:t>74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4.8</w:t>
      </w:r>
      <w:r>
        <w:rPr>
          <w:color w:val="000000"/>
        </w:rPr>
        <w:t>    </w:t>
      </w:r>
      <w:r>
        <w:rPr>
          <w:rFonts w:ascii="Times New Roman;serif" w:hAnsi="Times New Roman;serif"/>
          <w:b w:val="false"/>
          <w:color w:val="000000"/>
          <w:sz w:val="22"/>
        </w:rPr>
        <w:t>Projections    </w:t>
      </w:r>
      <w:hyperlink w:anchor="i13c63cf5431f4e559495cca437e2ab9a_25">
        <w:r>
          <w:rPr>
            <w:rStyle w:val="InternetLink"/>
            <w:rFonts w:ascii="Times New Roman;serif" w:hAnsi="Times New Roman;serif"/>
            <w:b w:val="false"/>
            <w:strike w:val="false"/>
            <w:dstrike w:val="false"/>
            <w:color w:val="000000"/>
            <w:sz w:val="22"/>
            <w:u w:val="none"/>
            <w:effect w:val="none"/>
          </w:rPr>
          <w:t>74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4.9</w:t>
      </w:r>
      <w:r>
        <w:rPr>
          <w:color w:val="000000"/>
        </w:rPr>
        <w:t>    </w:t>
      </w:r>
      <w:r>
        <w:rPr>
          <w:rFonts w:ascii="Times New Roman;serif" w:hAnsi="Times New Roman;serif"/>
          <w:b w:val="false"/>
          <w:color w:val="000000"/>
          <w:sz w:val="22"/>
        </w:rPr>
        <w:t>No Material Adverse Effect    </w:t>
      </w:r>
      <w:hyperlink w:anchor="i13c63cf5431f4e559495cca437e2ab9a_25">
        <w:r>
          <w:rPr>
            <w:rStyle w:val="InternetLink"/>
            <w:rFonts w:ascii="Times New Roman;serif" w:hAnsi="Times New Roman;serif"/>
            <w:b w:val="false"/>
            <w:strike w:val="false"/>
            <w:dstrike w:val="false"/>
            <w:color w:val="000000"/>
            <w:sz w:val="22"/>
            <w:u w:val="none"/>
            <w:effect w:val="none"/>
          </w:rPr>
          <w:t>74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4.10</w:t>
      </w:r>
      <w:r>
        <w:rPr>
          <w:color w:val="000000"/>
        </w:rPr>
        <w:t>    </w:t>
      </w:r>
      <w:r>
        <w:rPr>
          <w:rFonts w:ascii="Times New Roman;serif" w:hAnsi="Times New Roman;serif"/>
          <w:b w:val="false"/>
          <w:color w:val="000000"/>
          <w:sz w:val="22"/>
        </w:rPr>
        <w:t>Adverse Proceedings, Etc.    </w:t>
      </w:r>
      <w:hyperlink w:anchor="i13c63cf5431f4e559495cca437e2ab9a_25">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4.11</w:t>
      </w:r>
      <w:r>
        <w:rPr>
          <w:color w:val="000000"/>
        </w:rPr>
        <w:t>    </w:t>
      </w:r>
      <w:r>
        <w:rPr>
          <w:rFonts w:ascii="Times New Roman;serif" w:hAnsi="Times New Roman;serif"/>
          <w:b w:val="false"/>
          <w:color w:val="000000"/>
          <w:sz w:val="22"/>
        </w:rPr>
        <w:t>Payment of Taxes    </w:t>
      </w:r>
      <w:hyperlink w:anchor="i13c63cf5431f4e559495cca437e2ab9a_25">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4.12</w:t>
      </w:r>
      <w:r>
        <w:rPr>
          <w:color w:val="000000"/>
        </w:rPr>
        <w:t>    </w:t>
      </w:r>
      <w:r>
        <w:rPr>
          <w:rFonts w:ascii="Times New Roman;serif" w:hAnsi="Times New Roman;serif"/>
          <w:b w:val="false"/>
          <w:color w:val="000000"/>
          <w:sz w:val="22"/>
        </w:rPr>
        <w:t>Properties, Title    </w:t>
      </w:r>
      <w:hyperlink w:anchor="i13c63cf5431f4e559495cca437e2ab9a_25">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4.13</w:t>
      </w:r>
      <w:r>
        <w:rPr>
          <w:color w:val="000000"/>
        </w:rPr>
        <w:t>    </w:t>
      </w:r>
      <w:r>
        <w:rPr>
          <w:rFonts w:ascii="Times New Roman;serif" w:hAnsi="Times New Roman;serif"/>
          <w:b w:val="false"/>
          <w:color w:val="000000"/>
          <w:sz w:val="22"/>
        </w:rPr>
        <w:t>Environmental Matters    </w:t>
      </w:r>
      <w:hyperlink w:anchor="i13c63cf5431f4e559495cca437e2ab9a_25">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ind w:left="0" w:right="0" w:hanging="1440"/>
        <w:jc w:val="left"/>
        <w:rPr/>
      </w:pPr>
      <w:r>
        <w:rPr>
          <w:rFonts w:ascii="Times New Roman;serif" w:hAnsi="Times New Roman;serif"/>
          <w:b w:val="false"/>
          <w:color w:val="010000"/>
          <w:sz w:val="22"/>
        </w:rPr>
        <w:t>Section 4.14</w:t>
      </w:r>
      <w:r>
        <w:rPr>
          <w:color w:val="000000"/>
        </w:rPr>
        <w:t>    </w:t>
      </w:r>
      <w:r>
        <w:rPr>
          <w:rFonts w:ascii="Times New Roman;serif" w:hAnsi="Times New Roman;serif"/>
          <w:b w:val="false"/>
          <w:color w:val="000000"/>
          <w:sz w:val="22"/>
        </w:rPr>
        <w:t>No Defaults    </w:t>
      </w:r>
      <w:hyperlink w:anchor="i13c63cf5431f4e559495cca437e2ab9a_25">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8650"/>
                <wp:effectExtent l="0" t="0" r="0" b="0"/>
                <wp:wrapNone/>
                <wp:docPr id="75" name="Frame7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49"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i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49"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i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10000"/>
          <w:sz w:val="22"/>
        </w:rPr>
        <w:t>Section 4.15</w:t>
      </w:r>
      <w:r>
        <w:rPr>
          <w:color w:val="000000"/>
        </w:rPr>
        <w:t>    </w:t>
      </w:r>
      <w:r>
        <w:rPr>
          <w:rFonts w:ascii="Times New Roman;serif" w:hAnsi="Times New Roman;serif"/>
          <w:b w:val="false"/>
          <w:color w:val="000000"/>
          <w:sz w:val="22"/>
        </w:rPr>
        <w:t>Material Contracts    </w:t>
      </w:r>
      <w:hyperlink w:anchor="i13c63cf5431f4e559495cca437e2ab9a_25">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4.16</w:t>
      </w:r>
      <w:r>
        <w:rPr>
          <w:color w:val="000000"/>
        </w:rPr>
        <w:t>    </w:t>
      </w:r>
      <w:r>
        <w:rPr>
          <w:rFonts w:ascii="Times New Roman;serif" w:hAnsi="Times New Roman;serif"/>
          <w:b w:val="false"/>
          <w:color w:val="000000"/>
          <w:sz w:val="22"/>
        </w:rPr>
        <w:t>Governmental Regulation    </w:t>
      </w:r>
      <w:hyperlink w:anchor="i13c63cf5431f4e559495cca437e2ab9a_25">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4.17</w:t>
      </w:r>
      <w:r>
        <w:rPr>
          <w:color w:val="000000"/>
        </w:rPr>
        <w:t>    </w:t>
      </w:r>
      <w:r>
        <w:rPr>
          <w:rFonts w:ascii="Times New Roman;serif" w:hAnsi="Times New Roman;serif"/>
          <w:b w:val="false"/>
          <w:color w:val="000000"/>
          <w:sz w:val="22"/>
        </w:rPr>
        <w:t>Margin Stock    </w:t>
      </w:r>
      <w:hyperlink w:anchor="i13c63cf5431f4e559495cca437e2ab9a_25">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4.18</w:t>
      </w:r>
      <w:r>
        <w:rPr>
          <w:color w:val="000000"/>
        </w:rPr>
        <w:t>    </w:t>
      </w:r>
      <w:r>
        <w:rPr>
          <w:rFonts w:ascii="Times New Roman;serif" w:hAnsi="Times New Roman;serif"/>
          <w:b w:val="false"/>
          <w:color w:val="000000"/>
          <w:sz w:val="22"/>
        </w:rPr>
        <w:t>Employee Benefit Plans    </w:t>
      </w:r>
      <w:hyperlink w:anchor="i13c63cf5431f4e559495cca437e2ab9a_25">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4.19</w:t>
      </w:r>
      <w:r>
        <w:rPr>
          <w:color w:val="000000"/>
        </w:rPr>
        <w:t>    </w:t>
      </w:r>
      <w:r>
        <w:rPr>
          <w:rFonts w:ascii="Times New Roman;serif" w:hAnsi="Times New Roman;serif"/>
          <w:b w:val="false"/>
          <w:color w:val="000000"/>
          <w:sz w:val="22"/>
        </w:rPr>
        <w:t>Certain Fees    </w:t>
      </w:r>
      <w:hyperlink w:anchor="i13c63cf5431f4e559495cca437e2ab9a_25">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4.20</w:t>
      </w:r>
      <w:r>
        <w:rPr>
          <w:color w:val="000000"/>
        </w:rPr>
        <w:t>    </w:t>
      </w:r>
      <w:r>
        <w:rPr>
          <w:rFonts w:ascii="Times New Roman;serif" w:hAnsi="Times New Roman;serif"/>
          <w:b w:val="false"/>
          <w:color w:val="000000"/>
          <w:sz w:val="22"/>
        </w:rPr>
        <w:t>Solvency    </w:t>
      </w:r>
      <w:hyperlink w:anchor="i13c63cf5431f4e559495cca437e2ab9a_25">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4.21</w:t>
      </w:r>
      <w:r>
        <w:rPr>
          <w:color w:val="000000"/>
        </w:rPr>
        <w:t>    </w:t>
      </w:r>
      <w:r>
        <w:rPr>
          <w:rFonts w:ascii="Times New Roman;serif" w:hAnsi="Times New Roman;serif"/>
          <w:b w:val="false"/>
          <w:color w:val="000000"/>
          <w:sz w:val="22"/>
        </w:rPr>
        <w:t>ERISA    </w:t>
      </w:r>
      <w:hyperlink w:anchor="i13c63cf5431f4e559495cca437e2ab9a_25">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4.22</w:t>
      </w:r>
      <w:r>
        <w:rPr>
          <w:color w:val="000000"/>
        </w:rPr>
        <w:t>    </w:t>
      </w:r>
      <w:r>
        <w:rPr>
          <w:rFonts w:ascii="Times New Roman;serif" w:hAnsi="Times New Roman;serif"/>
          <w:b w:val="false"/>
          <w:color w:val="000000"/>
          <w:sz w:val="22"/>
        </w:rPr>
        <w:t>Compliance with Statutes, Etc.    </w:t>
      </w:r>
      <w:hyperlink w:anchor="i13c63cf5431f4e559495cca437e2ab9a_25">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4.23</w:t>
      </w:r>
      <w:r>
        <w:rPr>
          <w:color w:val="000000"/>
        </w:rPr>
        <w:t>    </w:t>
      </w:r>
      <w:r>
        <w:rPr>
          <w:rFonts w:ascii="Times New Roman;serif" w:hAnsi="Times New Roman;serif"/>
          <w:b w:val="false"/>
          <w:color w:val="000000"/>
          <w:sz w:val="22"/>
        </w:rPr>
        <w:t>Intellectual Property    </w:t>
      </w:r>
      <w:hyperlink w:anchor="i13c63cf5431f4e559495cca437e2ab9a_25">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4.24</w:t>
      </w:r>
      <w:r>
        <w:rPr>
          <w:color w:val="000000"/>
        </w:rPr>
        <w:t>    </w:t>
      </w:r>
      <w:r>
        <w:rPr>
          <w:rFonts w:ascii="Times New Roman;serif" w:hAnsi="Times New Roman;serif"/>
          <w:b w:val="false"/>
          <w:color w:val="000000"/>
          <w:sz w:val="22"/>
        </w:rPr>
        <w:t>Insurance    </w:t>
      </w:r>
      <w:hyperlink w:anchor="i13c63cf5431f4e559495cca437e2ab9a_25">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4.25</w:t>
      </w:r>
      <w:r>
        <w:rPr>
          <w:color w:val="000000"/>
        </w:rPr>
        <w:t>    </w:t>
      </w:r>
      <w:r>
        <w:rPr>
          <w:rFonts w:ascii="Times New Roman;serif" w:hAnsi="Times New Roman;serif"/>
          <w:b w:val="false"/>
          <w:color w:val="000000"/>
          <w:sz w:val="22"/>
        </w:rPr>
        <w:t>Permits, Etc.    </w:t>
      </w:r>
      <w:hyperlink w:anchor="i13c63cf5431f4e559495cca437e2ab9a_25">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4.26</w:t>
      </w:r>
      <w:r>
        <w:rPr>
          <w:color w:val="000000"/>
        </w:rPr>
        <w:t>    </w:t>
      </w:r>
      <w:r>
        <w:rPr>
          <w:rFonts w:ascii="Times New Roman;serif" w:hAnsi="Times New Roman;serif"/>
          <w:b w:val="false"/>
          <w:color w:val="000000"/>
          <w:sz w:val="22"/>
        </w:rPr>
        <w:t>Bank Accounts and Securities Accounts    </w:t>
      </w:r>
      <w:hyperlink w:anchor="i13c63cf5431f4e559495cca437e2ab9a_25">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4.27</w:t>
      </w:r>
      <w:r>
        <w:rPr>
          <w:color w:val="000000"/>
        </w:rPr>
        <w:t>    </w:t>
      </w:r>
      <w:r>
        <w:rPr>
          <w:rFonts w:ascii="Times New Roman;serif" w:hAnsi="Times New Roman;serif"/>
          <w:b w:val="false"/>
          <w:color w:val="000000"/>
          <w:sz w:val="22"/>
        </w:rPr>
        <w:t>Security Interests    </w:t>
      </w:r>
      <w:hyperlink w:anchor="i13c63cf5431f4e559495cca437e2ab9a_25">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4.28</w:t>
      </w:r>
      <w:r>
        <w:rPr>
          <w:color w:val="000000"/>
        </w:rPr>
        <w:t>    </w:t>
      </w:r>
      <w:r>
        <w:rPr>
          <w:rFonts w:ascii="Times New Roman;serif" w:hAnsi="Times New Roman;serif"/>
          <w:b w:val="false"/>
          <w:color w:val="000000"/>
          <w:sz w:val="22"/>
        </w:rPr>
        <w:t>PATRIOT ACT and FCPA    </w:t>
      </w:r>
      <w:hyperlink w:anchor="i13c63cf5431f4e559495cca437e2ab9a_25">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4.29</w:t>
      </w:r>
      <w:r>
        <w:rPr>
          <w:color w:val="000000"/>
        </w:rPr>
        <w:t>    </w:t>
      </w:r>
      <w:r>
        <w:rPr>
          <w:rFonts w:ascii="Times New Roman;serif" w:hAnsi="Times New Roman;serif"/>
          <w:b w:val="false"/>
          <w:color w:val="000000"/>
          <w:sz w:val="22"/>
        </w:rPr>
        <w:t>Disclosure    </w:t>
      </w:r>
      <w:hyperlink w:anchor="i13c63cf5431f4e559495cca437e2ab9a_25">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4.30</w:t>
      </w:r>
      <w:r>
        <w:rPr>
          <w:color w:val="000000"/>
        </w:rPr>
        <w:t>    </w:t>
      </w:r>
      <w:r>
        <w:rPr>
          <w:rFonts w:ascii="Times New Roman;serif" w:hAnsi="Times New Roman;serif"/>
          <w:b w:val="false"/>
          <w:color w:val="000000"/>
          <w:sz w:val="22"/>
        </w:rPr>
        <w:t>Use of Proceeds    </w:t>
      </w:r>
      <w:hyperlink w:anchor="i13c63cf5431f4e559495cca437e2ab9a_25">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4.31</w:t>
      </w:r>
      <w:r>
        <w:rPr>
          <w:color w:val="000000"/>
        </w:rPr>
        <w:t>    </w:t>
      </w:r>
      <w:r>
        <w:rPr>
          <w:rFonts w:ascii="Times New Roman;serif" w:hAnsi="Times New Roman;serif"/>
          <w:b w:val="false"/>
          <w:color w:val="000000"/>
          <w:sz w:val="22"/>
        </w:rPr>
        <w:t>Regulatory Compliance    </w:t>
      </w:r>
      <w:hyperlink w:anchor="i13c63cf5431f4e559495cca437e2ab9a_25">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4.32</w:t>
      </w:r>
      <w:r>
        <w:rPr>
          <w:color w:val="000000"/>
        </w:rPr>
        <w:t>    </w:t>
      </w:r>
      <w:r>
        <w:rPr>
          <w:rFonts w:ascii="Times New Roman;serif" w:hAnsi="Times New Roman;serif"/>
          <w:b w:val="false"/>
          <w:color w:val="000000"/>
          <w:sz w:val="22"/>
        </w:rPr>
        <w:t>Government Contracts    </w:t>
      </w:r>
      <w:hyperlink w:anchor="i13c63cf5431f4e559495cca437e2ab9a_25">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4.33</w:t>
      </w:r>
      <w:r>
        <w:rPr>
          <w:color w:val="000000"/>
        </w:rPr>
        <w:t>    </w:t>
      </w:r>
      <w:r>
        <w:rPr>
          <w:rFonts w:ascii="Times New Roman;serif" w:hAnsi="Times New Roman;serif"/>
          <w:b w:val="false"/>
          <w:color w:val="000000"/>
          <w:sz w:val="22"/>
        </w:rPr>
        <w:t>Healthcare Regulatory Laws.    </w:t>
      </w:r>
      <w:hyperlink w:anchor="i13c63cf5431f4e559495cca437e2ab9a_25">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4.34</w:t>
      </w:r>
      <w:r>
        <w:rPr>
          <w:color w:val="000000"/>
        </w:rPr>
        <w:t>    </w:t>
      </w:r>
      <w:r>
        <w:rPr>
          <w:rFonts w:ascii="Times New Roman;serif" w:hAnsi="Times New Roman;serif"/>
          <w:b w:val="false"/>
          <w:color w:val="000000"/>
          <w:sz w:val="22"/>
        </w:rPr>
        <w:t>Data Protection    </w:t>
      </w:r>
      <w:hyperlink w:anchor="i13c63cf5431f4e559495cca437e2ab9a_25">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4.35</w:t>
      </w:r>
      <w:r>
        <w:rPr>
          <w:color w:val="000000"/>
        </w:rPr>
        <w:t>    </w:t>
      </w:r>
      <w:r>
        <w:rPr>
          <w:rFonts w:ascii="Times New Roman;serif" w:hAnsi="Times New Roman;serif"/>
          <w:b w:val="false"/>
          <w:color w:val="000000"/>
          <w:sz w:val="22"/>
        </w:rPr>
        <w:t>Customers and Suppliers    </w:t>
      </w:r>
      <w:hyperlink w:anchor="i13c63cf5431f4e559495cca437e2ab9a_25">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240" w:after="283"/>
        <w:ind w:left="0" w:right="0" w:hanging="720"/>
        <w:jc w:val="left"/>
        <w:rPr/>
      </w:pPr>
      <w:r>
        <w:rPr>
          <w:color w:val="010000"/>
        </w:rPr>
        <w:t>    </w:t>
      </w:r>
      <w:r>
        <w:rPr>
          <w:rFonts w:ascii="Times New Roman;serif" w:hAnsi="Times New Roman;serif"/>
          <w:b/>
          <w:color w:val="010000"/>
          <w:sz w:val="22"/>
        </w:rPr>
        <w:t>ARTICLE V</w:t>
      </w:r>
      <w:r>
        <w:rPr>
          <w:color w:val="000000"/>
        </w:rPr>
        <w:t xml:space="preserve"> </w:t>
      </w:r>
      <w:r>
        <w:rPr>
          <w:rFonts w:ascii="Times New Roman;serif" w:hAnsi="Times New Roman;serif"/>
          <w:b/>
          <w:color w:val="000000"/>
          <w:sz w:val="22"/>
        </w:rPr>
        <w:t>AFFIRMATIVE COVENANTS    </w:t>
      </w:r>
      <w:hyperlink w:anchor="i13c63cf5431f4e559495cca437e2ab9a_25">
        <w:r>
          <w:rPr>
            <w:rStyle w:val="InternetLink"/>
            <w:rFonts w:ascii="Times New Roman;serif" w:hAnsi="Times New Roman;serif"/>
            <w:b/>
            <w:strike w:val="false"/>
            <w:dstrike w:val="false"/>
            <w:color w:val="000000"/>
            <w:sz w:val="22"/>
            <w:u w:val="none"/>
            <w:effect w:val="none"/>
          </w:rPr>
          <w:t>84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5.1</w:t>
      </w:r>
      <w:r>
        <w:rPr>
          <w:color w:val="000000"/>
        </w:rPr>
        <w:t>    </w:t>
      </w:r>
      <w:r>
        <w:rPr>
          <w:rFonts w:ascii="Times New Roman;serif" w:hAnsi="Times New Roman;serif"/>
          <w:b w:val="false"/>
          <w:color w:val="000000"/>
          <w:sz w:val="22"/>
        </w:rPr>
        <w:t>Financial Statements and Other Reports    </w:t>
      </w:r>
      <w:hyperlink w:anchor="i13c63cf5431f4e559495cca437e2ab9a_25">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5.2</w:t>
      </w:r>
      <w:r>
        <w:rPr>
          <w:color w:val="000000"/>
        </w:rPr>
        <w:t>    </w:t>
      </w:r>
      <w:r>
        <w:rPr>
          <w:rFonts w:ascii="Times New Roman;serif" w:hAnsi="Times New Roman;serif"/>
          <w:b w:val="false"/>
          <w:color w:val="000000"/>
          <w:sz w:val="22"/>
        </w:rPr>
        <w:t>Existence    </w:t>
      </w:r>
      <w:hyperlink w:anchor="i13c63cf5431f4e559495cca437e2ab9a_25">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5.3</w:t>
      </w:r>
      <w:r>
        <w:rPr>
          <w:color w:val="000000"/>
        </w:rPr>
        <w:t>    </w:t>
      </w:r>
      <w:r>
        <w:rPr>
          <w:rFonts w:ascii="Times New Roman;serif" w:hAnsi="Times New Roman;serif"/>
          <w:b w:val="false"/>
          <w:color w:val="000000"/>
          <w:sz w:val="22"/>
        </w:rPr>
        <w:t>Payment of Taxes and Claims    </w:t>
      </w:r>
      <w:hyperlink w:anchor="i13c63cf5431f4e559495cca437e2ab9a_25">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5.4</w:t>
      </w:r>
      <w:r>
        <w:rPr>
          <w:color w:val="000000"/>
        </w:rPr>
        <w:t>    </w:t>
      </w:r>
      <w:r>
        <w:rPr>
          <w:rFonts w:ascii="Times New Roman;serif" w:hAnsi="Times New Roman;serif"/>
          <w:b w:val="false"/>
          <w:color w:val="000000"/>
          <w:sz w:val="22"/>
        </w:rPr>
        <w:t>Maintenance of Properties    </w:t>
      </w:r>
      <w:hyperlink w:anchor="i13c63cf5431f4e559495cca437e2ab9a_25">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5.5</w:t>
      </w:r>
      <w:r>
        <w:rPr>
          <w:color w:val="000000"/>
        </w:rPr>
        <w:t>    </w:t>
      </w:r>
      <w:r>
        <w:rPr>
          <w:rFonts w:ascii="Times New Roman;serif" w:hAnsi="Times New Roman;serif"/>
          <w:b w:val="false"/>
          <w:color w:val="000000"/>
          <w:sz w:val="22"/>
        </w:rPr>
        <w:t>Insurance    </w:t>
      </w:r>
      <w:hyperlink w:anchor="i13c63cf5431f4e559495cca437e2ab9a_25">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5.6</w:t>
      </w:r>
      <w:r>
        <w:rPr>
          <w:color w:val="000000"/>
        </w:rPr>
        <w:t>    </w:t>
      </w:r>
      <w:r>
        <w:rPr>
          <w:rFonts w:ascii="Times New Roman;serif" w:hAnsi="Times New Roman;serif"/>
          <w:b w:val="false"/>
          <w:color w:val="000000"/>
          <w:sz w:val="22"/>
        </w:rPr>
        <w:t>Books and Records; Inspections    </w:t>
      </w:r>
      <w:hyperlink w:anchor="i13c63cf5431f4e559495cca437e2ab9a_25">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5.7</w:t>
      </w:r>
      <w:r>
        <w:rPr>
          <w:color w:val="000000"/>
        </w:rPr>
        <w:t>    </w:t>
      </w:r>
      <w:r>
        <w:rPr>
          <w:rFonts w:ascii="Times New Roman;serif" w:hAnsi="Times New Roman;serif"/>
          <w:b w:val="false"/>
          <w:color w:val="000000"/>
          <w:sz w:val="22"/>
        </w:rPr>
        <w:t>Lenders Meetings    </w:t>
      </w:r>
      <w:hyperlink w:anchor="i13c63cf5431f4e559495cca437e2ab9a_25">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5.8</w:t>
      </w:r>
      <w:r>
        <w:rPr>
          <w:color w:val="000000"/>
        </w:rPr>
        <w:t>    </w:t>
      </w:r>
      <w:r>
        <w:rPr>
          <w:rFonts w:ascii="Times New Roman;serif" w:hAnsi="Times New Roman;serif"/>
          <w:b w:val="false"/>
          <w:color w:val="000000"/>
          <w:sz w:val="22"/>
        </w:rPr>
        <w:t>Compliance with Laws    </w:t>
      </w:r>
      <w:hyperlink w:anchor="i13c63cf5431f4e559495cca437e2ab9a_25">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5.9</w:t>
      </w:r>
      <w:r>
        <w:rPr>
          <w:color w:val="000000"/>
        </w:rPr>
        <w:t>    </w:t>
      </w:r>
      <w:r>
        <w:rPr>
          <w:rFonts w:ascii="Times New Roman;serif" w:hAnsi="Times New Roman;serif"/>
          <w:b w:val="false"/>
          <w:color w:val="000000"/>
          <w:sz w:val="22"/>
        </w:rPr>
        <w:t>Environmental    </w:t>
      </w:r>
      <w:hyperlink w:anchor="i13c63cf5431f4e559495cca437e2ab9a_25">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5.10</w:t>
      </w:r>
      <w:r>
        <w:rPr>
          <w:color w:val="000000"/>
        </w:rPr>
        <w:t>    </w:t>
      </w:r>
      <w:r>
        <w:rPr>
          <w:rFonts w:ascii="Times New Roman;serif" w:hAnsi="Times New Roman;serif"/>
          <w:b w:val="false"/>
          <w:color w:val="000000"/>
          <w:sz w:val="22"/>
        </w:rPr>
        <w:t>Subsidiaries    </w:t>
      </w:r>
      <w:hyperlink w:anchor="i13c63cf5431f4e559495cca437e2ab9a_25">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5.11</w:t>
      </w:r>
      <w:r>
        <w:rPr>
          <w:color w:val="000000"/>
        </w:rPr>
        <w:t>    </w:t>
      </w:r>
      <w:r>
        <w:rPr>
          <w:rFonts w:ascii="Times New Roman;serif" w:hAnsi="Times New Roman;serif"/>
          <w:b w:val="false"/>
          <w:color w:val="000000"/>
          <w:sz w:val="22"/>
        </w:rPr>
        <w:t>Real Estate Assets    </w:t>
      </w:r>
      <w:hyperlink w:anchor="i13c63cf5431f4e559495cca437e2ab9a_25">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5.12</w:t>
      </w:r>
      <w:r>
        <w:rPr>
          <w:color w:val="000000"/>
        </w:rPr>
        <w:t>    </w:t>
      </w:r>
      <w:r>
        <w:rPr>
          <w:rFonts w:ascii="Times New Roman;serif" w:hAnsi="Times New Roman;serif"/>
          <w:b w:val="false"/>
          <w:color w:val="000000"/>
          <w:sz w:val="22"/>
        </w:rPr>
        <w:t>Further Assurances    </w:t>
      </w:r>
      <w:hyperlink w:anchor="i13c63cf5431f4e559495cca437e2ab9a_25">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5.13</w:t>
      </w:r>
      <w:r>
        <w:rPr>
          <w:color w:val="000000"/>
        </w:rPr>
        <w:t>    </w:t>
      </w:r>
      <w:r>
        <w:rPr>
          <w:rFonts w:ascii="Times New Roman;serif" w:hAnsi="Times New Roman;serif"/>
          <w:b w:val="false"/>
          <w:color w:val="000000"/>
          <w:sz w:val="22"/>
        </w:rPr>
        <w:t>Control Agreements    </w:t>
      </w:r>
      <w:hyperlink w:anchor="i13c63cf5431f4e559495cca437e2ab9a_25">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5.14</w:t>
      </w:r>
      <w:r>
        <w:rPr>
          <w:color w:val="000000"/>
        </w:rPr>
        <w:t>    </w:t>
      </w:r>
      <w:r>
        <w:rPr>
          <w:rFonts w:ascii="Times New Roman;serif" w:hAnsi="Times New Roman;serif"/>
          <w:b w:val="false"/>
          <w:color w:val="000000"/>
          <w:sz w:val="22"/>
        </w:rPr>
        <w:t>Post-Closing Matters    </w:t>
      </w:r>
      <w:hyperlink w:anchor="i13c63cf5431f4e559495cca437e2ab9a_25">
        <w:r>
          <w:rPr>
            <w:rStyle w:val="InternetLink"/>
            <w:rFonts w:ascii="Times New Roman;serif" w:hAnsi="Times New Roman;serif"/>
            <w:b w:val="false"/>
            <w:strike w:val="false"/>
            <w:dstrike w:val="false"/>
            <w:color w:val="000000"/>
            <w:sz w:val="22"/>
            <w:u w:val="none"/>
            <w:effect w:val="none"/>
          </w:rPr>
          <w:t>94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5.15</w:t>
      </w:r>
      <w:r>
        <w:rPr>
          <w:color w:val="000000"/>
        </w:rPr>
        <w:t>    </w:t>
      </w:r>
      <w:r>
        <w:rPr>
          <w:rFonts w:ascii="Times New Roman;serif" w:hAnsi="Times New Roman;serif"/>
          <w:b w:val="false"/>
          <w:color w:val="000000"/>
          <w:sz w:val="22"/>
        </w:rPr>
        <w:t>Commercially Reasonably Efforts    </w:t>
      </w:r>
      <w:hyperlink w:anchor="i13c63cf5431f4e559495cca437e2ab9a_25">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240" w:after="283"/>
        <w:ind w:left="0" w:right="0" w:hanging="720"/>
        <w:jc w:val="left"/>
        <w:rPr/>
      </w:pPr>
      <w:r>
        <w:rPr>
          <w:color w:val="010000"/>
        </w:rPr>
        <w:t>    </w:t>
      </w:r>
      <w:r>
        <w:rPr>
          <w:rFonts w:ascii="Times New Roman;serif" w:hAnsi="Times New Roman;serif"/>
          <w:b/>
          <w:color w:val="010000"/>
          <w:sz w:val="22"/>
        </w:rPr>
        <w:t>ARTICLE VI</w:t>
      </w:r>
      <w:r>
        <w:rPr>
          <w:color w:val="000000"/>
        </w:rPr>
        <w:t xml:space="preserve"> </w:t>
      </w:r>
      <w:r>
        <w:rPr>
          <w:rFonts w:ascii="Times New Roman;serif" w:hAnsi="Times New Roman;serif"/>
          <w:b/>
          <w:color w:val="000000"/>
          <w:sz w:val="22"/>
        </w:rPr>
        <w:t>NEGATIVE COVENANTS    </w:t>
      </w:r>
      <w:hyperlink w:anchor="i13c63cf5431f4e559495cca437e2ab9a_25">
        <w:r>
          <w:rPr>
            <w:rStyle w:val="InternetLink"/>
            <w:rFonts w:ascii="Times New Roman;serif" w:hAnsi="Times New Roman;serif"/>
            <w:b/>
            <w:strike w:val="false"/>
            <w:dstrike w:val="false"/>
            <w:color w:val="000000"/>
            <w:sz w:val="22"/>
            <w:u w:val="none"/>
            <w:effect w:val="none"/>
          </w:rPr>
          <w:t>95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w:t>
      </w:r>
      <w:r>
        <w:rPr>
          <w:color w:val="000000"/>
        </w:rPr>
        <w:t>    </w:t>
      </w:r>
      <w:r>
        <w:rPr>
          <w:rFonts w:ascii="Times New Roman;serif" w:hAnsi="Times New Roman;serif"/>
          <w:b w:val="false"/>
          <w:color w:val="000000"/>
          <w:sz w:val="22"/>
        </w:rPr>
        <w:t>Indebtedness    </w:t>
      </w:r>
      <w:hyperlink w:anchor="i13c63cf5431f4e559495cca437e2ab9a_25">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6.2</w:t>
      </w:r>
      <w:r>
        <w:rPr>
          <w:color w:val="000000"/>
        </w:rPr>
        <w:t>    </w:t>
      </w:r>
      <w:r>
        <w:rPr>
          <w:rFonts w:ascii="Times New Roman;serif" w:hAnsi="Times New Roman;serif"/>
          <w:b w:val="false"/>
          <w:color w:val="000000"/>
          <w:sz w:val="22"/>
        </w:rPr>
        <w:t>Liens    </w:t>
      </w:r>
      <w:hyperlink w:anchor="i13c63cf5431f4e559495cca437e2ab9a_25">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6.3</w:t>
      </w:r>
      <w:r>
        <w:rPr>
          <w:color w:val="000000"/>
        </w:rPr>
        <w:t>    </w:t>
      </w:r>
      <w:r>
        <w:rPr>
          <w:rFonts w:ascii="Times New Roman;serif" w:hAnsi="Times New Roman;serif"/>
          <w:b w:val="false"/>
          <w:color w:val="000000"/>
          <w:sz w:val="22"/>
        </w:rPr>
        <w:t>Material Contracts    </w:t>
      </w:r>
      <w:hyperlink w:anchor="i13c63cf5431f4e559495cca437e2ab9a_25">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6.4</w:t>
      </w:r>
      <w:r>
        <w:rPr>
          <w:color w:val="000000"/>
        </w:rPr>
        <w:t>    </w:t>
      </w:r>
      <w:r>
        <w:rPr>
          <w:rFonts w:ascii="Times New Roman;serif" w:hAnsi="Times New Roman;serif"/>
          <w:b w:val="false"/>
          <w:color w:val="000000"/>
          <w:sz w:val="22"/>
        </w:rPr>
        <w:t>No Further Negative Pledges    </w:t>
      </w:r>
      <w:hyperlink w:anchor="i13c63cf5431f4e559495cca437e2ab9a_25">
        <w:r>
          <w:rPr>
            <w:rStyle w:val="InternetLink"/>
            <w:rFonts w:ascii="Times New Roman;serif" w:hAnsi="Times New Roman;serif"/>
            <w:b w:val="false"/>
            <w:strike w:val="false"/>
            <w:dstrike w:val="false"/>
            <w:color w:val="000000"/>
            <w:sz w:val="22"/>
            <w:u w:val="none"/>
            <w:effect w:val="none"/>
          </w:rPr>
          <w:t>95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6.5</w:t>
      </w:r>
      <w:r>
        <w:rPr>
          <w:color w:val="000000"/>
        </w:rPr>
        <w:t>    </w:t>
      </w:r>
      <w:r>
        <w:rPr>
          <w:rFonts w:ascii="Times New Roman;serif" w:hAnsi="Times New Roman;serif"/>
          <w:b w:val="false"/>
          <w:color w:val="000000"/>
          <w:sz w:val="22"/>
        </w:rPr>
        <w:t>Restricted Junior Payments    </w:t>
      </w:r>
      <w:hyperlink w:anchor="i13c63cf5431f4e559495cca437e2ab9a_25">
        <w:r>
          <w:rPr>
            <w:rStyle w:val="InternetLink"/>
            <w:rFonts w:ascii="Times New Roman;serif" w:hAnsi="Times New Roman;serif"/>
            <w:b w:val="false"/>
            <w:strike w:val="false"/>
            <w:dstrike w:val="false"/>
            <w:color w:val="000000"/>
            <w:sz w:val="22"/>
            <w:u w:val="none"/>
            <w:effect w:val="none"/>
          </w:rPr>
          <w:t>96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6.6</w:t>
      </w:r>
      <w:r>
        <w:rPr>
          <w:color w:val="000000"/>
        </w:rPr>
        <w:t>    </w:t>
      </w:r>
      <w:r>
        <w:rPr>
          <w:rFonts w:ascii="Times New Roman;serif" w:hAnsi="Times New Roman;serif"/>
          <w:b w:val="false"/>
          <w:color w:val="000000"/>
          <w:sz w:val="22"/>
        </w:rPr>
        <w:t>Restrictions on Subsidiary Distributions    </w:t>
      </w:r>
      <w:hyperlink w:anchor="i13c63cf5431f4e559495cca437e2ab9a_25">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6.7</w:t>
      </w:r>
      <w:r>
        <w:rPr>
          <w:color w:val="000000"/>
        </w:rPr>
        <w:t>    </w:t>
      </w:r>
      <w:r>
        <w:rPr>
          <w:rFonts w:ascii="Times New Roman;serif" w:hAnsi="Times New Roman;serif"/>
          <w:b w:val="false"/>
          <w:color w:val="000000"/>
          <w:sz w:val="22"/>
        </w:rPr>
        <w:t>Investments    </w:t>
      </w:r>
      <w:hyperlink w:anchor="i13c63cf5431f4e559495cca437e2ab9a_25">
        <w:r>
          <w:rPr>
            <w:rStyle w:val="InternetLink"/>
            <w:rFonts w:ascii="Times New Roman;serif" w:hAnsi="Times New Roman;serif"/>
            <w:b w:val="false"/>
            <w:strike w:val="false"/>
            <w:dstrike w:val="false"/>
            <w:color w:val="000000"/>
            <w:sz w:val="22"/>
            <w:u w:val="none"/>
            <w:effect w:val="none"/>
          </w:rPr>
          <w:t>97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6.8</w:t>
      </w:r>
      <w:r>
        <w:rPr>
          <w:color w:val="000000"/>
        </w:rPr>
        <w:t>    </w:t>
      </w:r>
      <w:r>
        <w:rPr>
          <w:rFonts w:ascii="Times New Roman;serif" w:hAnsi="Times New Roman;serif"/>
          <w:b w:val="false"/>
          <w:color w:val="000000"/>
          <w:sz w:val="22"/>
        </w:rPr>
        <w:t>Minimum Qualified Cash    </w:t>
      </w:r>
      <w:hyperlink w:anchor="i13c63cf5431f4e559495cca437e2ab9a_25">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ind w:left="0" w:right="0" w:hanging="1440"/>
        <w:jc w:val="left"/>
        <w:rPr/>
      </w:pPr>
      <w:r>
        <w:rPr>
          <w:rFonts w:ascii="Times New Roman;serif" w:hAnsi="Times New Roman;serif"/>
          <w:b w:val="false"/>
          <w:color w:val="010000"/>
          <w:sz w:val="22"/>
        </w:rPr>
        <w:t>Section 6.9</w:t>
      </w:r>
      <w:r>
        <w:rPr>
          <w:color w:val="000000"/>
        </w:rPr>
        <w:t>    </w:t>
      </w:r>
      <w:r>
        <w:rPr>
          <w:rFonts w:ascii="Times New Roman;serif" w:hAnsi="Times New Roman;serif"/>
          <w:b w:val="false"/>
          <w:color w:val="000000"/>
          <w:sz w:val="22"/>
        </w:rPr>
        <w:t>Fundamental Changes; Disposition of Assets    </w:t>
      </w:r>
      <w:hyperlink w:anchor="i13c63cf5431f4e559495cca437e2ab9a_25">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8650"/>
                <wp:effectExtent l="0" t="0" r="0" b="0"/>
                <wp:wrapNone/>
                <wp:docPr id="76" name="Frame7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ii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ii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10000"/>
          <w:sz w:val="22"/>
        </w:rPr>
        <w:t>Section 6.10</w:t>
      </w:r>
      <w:r>
        <w:rPr>
          <w:color w:val="000000"/>
        </w:rPr>
        <w:t>    </w:t>
      </w:r>
      <w:r>
        <w:rPr>
          <w:rFonts w:ascii="Times New Roman;serif" w:hAnsi="Times New Roman;serif"/>
          <w:b w:val="false"/>
          <w:color w:val="000000"/>
          <w:sz w:val="22"/>
        </w:rPr>
        <w:t>Disposal of Subsidiary Interests    </w:t>
      </w:r>
      <w:hyperlink w:anchor="i13c63cf5431f4e559495cca437e2ab9a_25">
        <w:r>
          <w:rPr>
            <w:rStyle w:val="InternetLink"/>
            <w:rFonts w:ascii="Times New Roman;serif" w:hAnsi="Times New Roman;serif"/>
            <w:b w:val="false"/>
            <w:strike w:val="false"/>
            <w:dstrike w:val="false"/>
            <w:color w:val="000000"/>
            <w:sz w:val="22"/>
            <w:u w:val="none"/>
            <w:effect w:val="none"/>
          </w:rPr>
          <w:t>100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6.11</w:t>
      </w:r>
      <w:r>
        <w:rPr>
          <w:color w:val="000000"/>
        </w:rPr>
        <w:t>    </w:t>
      </w:r>
      <w:r>
        <w:rPr>
          <w:rFonts w:ascii="Times New Roman;serif" w:hAnsi="Times New Roman;serif"/>
          <w:b w:val="false"/>
          <w:color w:val="000000"/>
          <w:sz w:val="22"/>
        </w:rPr>
        <w:t>Sales and Lease Backs    </w:t>
      </w:r>
      <w:hyperlink w:anchor="i13c63cf5431f4e559495cca437e2ab9a_25">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6.12</w:t>
      </w:r>
      <w:r>
        <w:rPr>
          <w:color w:val="000000"/>
        </w:rPr>
        <w:t>    </w:t>
      </w:r>
      <w:r>
        <w:rPr>
          <w:rFonts w:ascii="Times New Roman;serif" w:hAnsi="Times New Roman;serif"/>
          <w:b w:val="false"/>
          <w:color w:val="000000"/>
          <w:sz w:val="22"/>
        </w:rPr>
        <w:t>Transactions with Shareholders and Affiliates    </w:t>
      </w:r>
      <w:hyperlink w:anchor="i13c63cf5431f4e559495cca437e2ab9a_25">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6.13</w:t>
      </w:r>
      <w:r>
        <w:rPr>
          <w:color w:val="000000"/>
        </w:rPr>
        <w:t>    </w:t>
      </w:r>
      <w:r>
        <w:rPr>
          <w:rFonts w:ascii="Times New Roman;serif" w:hAnsi="Times New Roman;serif"/>
          <w:b w:val="false"/>
          <w:color w:val="000000"/>
          <w:sz w:val="22"/>
        </w:rPr>
        <w:t>Conduct of Business    </w:t>
      </w:r>
      <w:hyperlink w:anchor="i13c63cf5431f4e559495cca437e2ab9a_25">
        <w:r>
          <w:rPr>
            <w:rStyle w:val="InternetLink"/>
            <w:rFonts w:ascii="Times New Roman;serif" w:hAnsi="Times New Roman;serif"/>
            <w:b w:val="false"/>
            <w:strike w:val="false"/>
            <w:dstrike w:val="false"/>
            <w:color w:val="000000"/>
            <w:sz w:val="22"/>
            <w:u w:val="none"/>
            <w:effect w:val="none"/>
          </w:rPr>
          <w:t>101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6.14</w:t>
      </w:r>
      <w:r>
        <w:rPr>
          <w:color w:val="000000"/>
        </w:rPr>
        <w:t>    </w:t>
      </w:r>
      <w:r>
        <w:rPr>
          <w:rFonts w:ascii="Times New Roman;serif" w:hAnsi="Times New Roman;serif"/>
          <w:b w:val="false"/>
          <w:color w:val="000000"/>
          <w:sz w:val="22"/>
        </w:rPr>
        <w:t>Changes to Certain Agreements and Organizational Documents    </w:t>
      </w:r>
      <w:hyperlink w:anchor="i13c63cf5431f4e559495cca437e2ab9a_25">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6.15</w:t>
      </w:r>
      <w:r>
        <w:rPr>
          <w:color w:val="000000"/>
        </w:rPr>
        <w:t>    </w:t>
      </w:r>
      <w:r>
        <w:rPr>
          <w:rFonts w:ascii="Times New Roman;serif" w:hAnsi="Times New Roman;serif"/>
          <w:b w:val="false"/>
          <w:color w:val="000000"/>
          <w:sz w:val="22"/>
        </w:rPr>
        <w:t>Accounting Methods    </w:t>
      </w:r>
      <w:hyperlink w:anchor="i13c63cf5431f4e559495cca437e2ab9a_25">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6.16</w:t>
      </w:r>
      <w:r>
        <w:rPr>
          <w:color w:val="000000"/>
        </w:rPr>
        <w:t>    </w:t>
      </w:r>
      <w:r>
        <w:rPr>
          <w:rFonts w:ascii="Times New Roman;serif" w:hAnsi="Times New Roman;serif"/>
          <w:b w:val="false"/>
          <w:color w:val="000000"/>
          <w:sz w:val="22"/>
        </w:rPr>
        <w:t>Deposit Accounts and Securities Accounts    </w:t>
      </w:r>
      <w:hyperlink w:anchor="i13c63cf5431f4e559495cca437e2ab9a_25">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6.17</w:t>
      </w:r>
      <w:r>
        <w:rPr>
          <w:color w:val="000000"/>
        </w:rPr>
        <w:t>    </w:t>
      </w:r>
      <w:r>
        <w:rPr>
          <w:rFonts w:ascii="Times New Roman;serif" w:hAnsi="Times New Roman;serif"/>
          <w:b w:val="false"/>
          <w:color w:val="000000"/>
          <w:sz w:val="22"/>
        </w:rPr>
        <w:t>Anti-Terrorism Laws    </w:t>
      </w:r>
      <w:hyperlink w:anchor="i13c63cf5431f4e559495cca437e2ab9a_25">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6.18</w:t>
      </w:r>
      <w:r>
        <w:rPr>
          <w:color w:val="000000"/>
        </w:rPr>
        <w:t>    </w:t>
      </w:r>
      <w:r>
        <w:rPr>
          <w:rFonts w:ascii="Times New Roman;serif" w:hAnsi="Times New Roman;serif"/>
          <w:b w:val="false"/>
          <w:color w:val="000000"/>
          <w:sz w:val="22"/>
        </w:rPr>
        <w:t>Anti-Corruption Laws    </w:t>
      </w:r>
      <w:hyperlink w:anchor="i13c63cf5431f4e559495cca437e2ab9a_25">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6.19</w:t>
      </w:r>
      <w:r>
        <w:rPr>
          <w:color w:val="000000"/>
        </w:rPr>
        <w:t>    </w:t>
      </w:r>
      <w:r>
        <w:rPr>
          <w:rFonts w:ascii="Times New Roman;serif" w:hAnsi="Times New Roman;serif"/>
          <w:b w:val="false"/>
          <w:color w:val="000000"/>
          <w:sz w:val="22"/>
        </w:rPr>
        <w:t>Use of Proceeds    </w:t>
      </w:r>
      <w:hyperlink w:anchor="i13c63cf5431f4e559495cca437e2ab9a_25">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6.20</w:t>
      </w:r>
      <w:r>
        <w:rPr>
          <w:color w:val="000000"/>
        </w:rPr>
        <w:t>    </w:t>
      </w:r>
      <w:r>
        <w:rPr>
          <w:rFonts w:ascii="Times New Roman;serif" w:hAnsi="Times New Roman;serif"/>
          <w:b w:val="false"/>
          <w:color w:val="000000"/>
          <w:sz w:val="22"/>
        </w:rPr>
        <w:t>Termination of Any License Agreement    </w:t>
      </w:r>
      <w:hyperlink w:anchor="i13c63cf5431f4e559495cca437e2ab9a_25">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240" w:after="283"/>
        <w:ind w:left="0" w:right="0" w:hanging="720"/>
        <w:jc w:val="left"/>
        <w:rPr/>
      </w:pPr>
      <w:r>
        <w:rPr>
          <w:color w:val="010000"/>
        </w:rPr>
        <w:t>    </w:t>
      </w:r>
      <w:r>
        <w:rPr>
          <w:rFonts w:ascii="Times New Roman;serif" w:hAnsi="Times New Roman;serif"/>
          <w:b/>
          <w:color w:val="010000"/>
          <w:sz w:val="22"/>
        </w:rPr>
        <w:t>ARTICLE VII</w:t>
      </w:r>
      <w:r>
        <w:rPr>
          <w:color w:val="000000"/>
        </w:rPr>
        <w:t xml:space="preserve"> </w:t>
      </w:r>
      <w:r>
        <w:rPr>
          <w:rFonts w:ascii="Times New Roman;serif" w:hAnsi="Times New Roman;serif"/>
          <w:b/>
          <w:color w:val="000000"/>
          <w:sz w:val="22"/>
        </w:rPr>
        <w:t>GUARANTY    </w:t>
      </w:r>
      <w:hyperlink w:anchor="i13c63cf5431f4e559495cca437e2ab9a_25">
        <w:r>
          <w:rPr>
            <w:rStyle w:val="InternetLink"/>
            <w:rFonts w:ascii="Times New Roman;serif" w:hAnsi="Times New Roman;serif"/>
            <w:b/>
            <w:strike w:val="false"/>
            <w:dstrike w:val="false"/>
            <w:color w:val="000000"/>
            <w:sz w:val="22"/>
            <w:u w:val="none"/>
            <w:effect w:val="none"/>
          </w:rPr>
          <w:t>103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7.1</w:t>
      </w:r>
      <w:r>
        <w:rPr>
          <w:color w:val="000000"/>
        </w:rPr>
        <w:t>    </w:t>
      </w:r>
      <w:r>
        <w:rPr>
          <w:rFonts w:ascii="Times New Roman;serif" w:hAnsi="Times New Roman;serif"/>
          <w:b w:val="false"/>
          <w:color w:val="000000"/>
          <w:sz w:val="22"/>
        </w:rPr>
        <w:t>Guaranty of the Obligations    </w:t>
      </w:r>
      <w:hyperlink w:anchor="i13c63cf5431f4e559495cca437e2ab9a_25">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7.2</w:t>
      </w:r>
      <w:r>
        <w:rPr>
          <w:color w:val="000000"/>
        </w:rPr>
        <w:t>    </w:t>
      </w:r>
      <w:r>
        <w:rPr>
          <w:rFonts w:ascii="Times New Roman;serif" w:hAnsi="Times New Roman;serif"/>
          <w:b w:val="false"/>
          <w:color w:val="000000"/>
          <w:sz w:val="22"/>
        </w:rPr>
        <w:t>Contribution by Guarantors    </w:t>
      </w:r>
      <w:hyperlink w:anchor="i13c63cf5431f4e559495cca437e2ab9a_25">
        <w:r>
          <w:rPr>
            <w:rStyle w:val="InternetLink"/>
            <w:rFonts w:ascii="Times New Roman;serif" w:hAnsi="Times New Roman;serif"/>
            <w:b w:val="false"/>
            <w:strike w:val="false"/>
            <w:dstrike w:val="false"/>
            <w:color w:val="000000"/>
            <w:sz w:val="22"/>
            <w:u w:val="none"/>
            <w:effect w:val="none"/>
          </w:rPr>
          <w:t>103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7.3</w:t>
      </w:r>
      <w:r>
        <w:rPr>
          <w:color w:val="000000"/>
        </w:rPr>
        <w:t>    </w:t>
      </w:r>
      <w:r>
        <w:rPr>
          <w:rFonts w:ascii="Times New Roman;serif" w:hAnsi="Times New Roman;serif"/>
          <w:b w:val="false"/>
          <w:color w:val="000000"/>
          <w:sz w:val="22"/>
        </w:rPr>
        <w:t>Payment by Guarantors    </w:t>
      </w:r>
      <w:hyperlink w:anchor="i13c63cf5431f4e559495cca437e2ab9a_25">
        <w:r>
          <w:rPr>
            <w:rStyle w:val="InternetLink"/>
            <w:rFonts w:ascii="Times New Roman;serif" w:hAnsi="Times New Roman;serif"/>
            <w:b w:val="false"/>
            <w:strike w:val="false"/>
            <w:dstrike w:val="false"/>
            <w:color w:val="000000"/>
            <w:sz w:val="22"/>
            <w:u w:val="none"/>
            <w:effect w:val="none"/>
          </w:rPr>
          <w:t>104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7.4</w:t>
      </w:r>
      <w:r>
        <w:rPr>
          <w:color w:val="000000"/>
        </w:rPr>
        <w:t>    </w:t>
      </w:r>
      <w:r>
        <w:rPr>
          <w:rFonts w:ascii="Times New Roman;serif" w:hAnsi="Times New Roman;serif"/>
          <w:b w:val="false"/>
          <w:color w:val="000000"/>
          <w:sz w:val="22"/>
        </w:rPr>
        <w:t>Liability of Guarantors Absolute    </w:t>
      </w:r>
      <w:hyperlink w:anchor="i13c63cf5431f4e559495cca437e2ab9a_25">
        <w:r>
          <w:rPr>
            <w:rStyle w:val="InternetLink"/>
            <w:rFonts w:ascii="Times New Roman;serif" w:hAnsi="Times New Roman;serif"/>
            <w:b w:val="false"/>
            <w:strike w:val="false"/>
            <w:dstrike w:val="false"/>
            <w:color w:val="000000"/>
            <w:sz w:val="22"/>
            <w:u w:val="none"/>
            <w:effect w:val="none"/>
          </w:rPr>
          <w:t>104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7.5</w:t>
      </w:r>
      <w:r>
        <w:rPr>
          <w:color w:val="000000"/>
        </w:rPr>
        <w:t>    </w:t>
      </w:r>
      <w:r>
        <w:rPr>
          <w:rFonts w:ascii="Times New Roman;serif" w:hAnsi="Times New Roman;serif"/>
          <w:b w:val="false"/>
          <w:color w:val="000000"/>
          <w:sz w:val="22"/>
        </w:rPr>
        <w:t>Waivers by Guarantors    </w:t>
      </w:r>
      <w:hyperlink w:anchor="i13c63cf5431f4e559495cca437e2ab9a_25">
        <w:r>
          <w:rPr>
            <w:rStyle w:val="InternetLink"/>
            <w:rFonts w:ascii="Times New Roman;serif" w:hAnsi="Times New Roman;serif"/>
            <w:b w:val="false"/>
            <w:strike w:val="false"/>
            <w:dstrike w:val="false"/>
            <w:color w:val="000000"/>
            <w:sz w:val="22"/>
            <w:u w:val="none"/>
            <w:effect w:val="none"/>
          </w:rPr>
          <w:t>106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7.6</w:t>
      </w:r>
      <w:r>
        <w:rPr>
          <w:color w:val="000000"/>
        </w:rPr>
        <w:t>    </w:t>
      </w:r>
      <w:r>
        <w:rPr>
          <w:rFonts w:ascii="Times New Roman;serif" w:hAnsi="Times New Roman;serif"/>
          <w:b w:val="false"/>
          <w:color w:val="000000"/>
          <w:sz w:val="22"/>
        </w:rPr>
        <w:t>Guarantors’ Rights of Subrogation, Contribution, Etc.    </w:t>
      </w:r>
      <w:hyperlink w:anchor="i13c63cf5431f4e559495cca437e2ab9a_25">
        <w:r>
          <w:rPr>
            <w:rStyle w:val="InternetLink"/>
            <w:rFonts w:ascii="Times New Roman;serif" w:hAnsi="Times New Roman;serif"/>
            <w:b w:val="false"/>
            <w:strike w:val="false"/>
            <w:dstrike w:val="false"/>
            <w:color w:val="000000"/>
            <w:sz w:val="22"/>
            <w:u w:val="none"/>
            <w:effect w:val="none"/>
          </w:rPr>
          <w:t>106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7.7</w:t>
      </w:r>
      <w:r>
        <w:rPr>
          <w:color w:val="000000"/>
        </w:rPr>
        <w:t>    </w:t>
      </w:r>
      <w:r>
        <w:rPr>
          <w:rFonts w:ascii="Times New Roman;serif" w:hAnsi="Times New Roman;serif"/>
          <w:b w:val="false"/>
          <w:color w:val="000000"/>
          <w:sz w:val="22"/>
        </w:rPr>
        <w:t>Subordination of Other Obligations    </w:t>
      </w:r>
      <w:hyperlink w:anchor="i13c63cf5431f4e559495cca437e2ab9a_25">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7.8</w:t>
      </w:r>
      <w:r>
        <w:rPr>
          <w:color w:val="000000"/>
        </w:rPr>
        <w:t>    </w:t>
      </w:r>
      <w:r>
        <w:rPr>
          <w:rFonts w:ascii="Times New Roman;serif" w:hAnsi="Times New Roman;serif"/>
          <w:b w:val="false"/>
          <w:color w:val="000000"/>
          <w:sz w:val="22"/>
        </w:rPr>
        <w:t>Continuing Guaranty    </w:t>
      </w:r>
      <w:hyperlink w:anchor="i13c63cf5431f4e559495cca437e2ab9a_25">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7.9</w:t>
      </w:r>
      <w:r>
        <w:rPr>
          <w:color w:val="000000"/>
        </w:rPr>
        <w:t>    </w:t>
      </w:r>
      <w:r>
        <w:rPr>
          <w:rFonts w:ascii="Times New Roman;serif" w:hAnsi="Times New Roman;serif"/>
          <w:b w:val="false"/>
          <w:color w:val="000000"/>
          <w:sz w:val="22"/>
        </w:rPr>
        <w:t>Authority of Guarantors or Company    </w:t>
      </w:r>
      <w:hyperlink w:anchor="i13c63cf5431f4e559495cca437e2ab9a_25">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7.10</w:t>
      </w:r>
      <w:r>
        <w:rPr>
          <w:color w:val="000000"/>
        </w:rPr>
        <w:t>    </w:t>
      </w:r>
      <w:r>
        <w:rPr>
          <w:rFonts w:ascii="Times New Roman;serif" w:hAnsi="Times New Roman;serif"/>
          <w:b w:val="false"/>
          <w:color w:val="000000"/>
          <w:sz w:val="22"/>
        </w:rPr>
        <w:t>Financial Condition of Company    </w:t>
      </w:r>
      <w:hyperlink w:anchor="i13c63cf5431f4e559495cca437e2ab9a_25">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7.11</w:t>
      </w:r>
      <w:r>
        <w:rPr>
          <w:color w:val="000000"/>
        </w:rPr>
        <w:t>    </w:t>
      </w:r>
      <w:r>
        <w:rPr>
          <w:rFonts w:ascii="Times New Roman;serif" w:hAnsi="Times New Roman;serif"/>
          <w:b w:val="false"/>
          <w:color w:val="000000"/>
          <w:sz w:val="22"/>
        </w:rPr>
        <w:t>Bankruptcy, Etc.    </w:t>
      </w:r>
      <w:hyperlink w:anchor="i13c63cf5431f4e559495cca437e2ab9a_25">
        <w:r>
          <w:rPr>
            <w:rStyle w:val="InternetLink"/>
            <w:rFonts w:ascii="Times New Roman;serif" w:hAnsi="Times New Roman;serif"/>
            <w:b w:val="false"/>
            <w:strike w:val="false"/>
            <w:dstrike w:val="false"/>
            <w:color w:val="000000"/>
            <w:sz w:val="22"/>
            <w:u w:val="none"/>
            <w:effect w:val="none"/>
          </w:rPr>
          <w:t>107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7.12</w:t>
      </w:r>
      <w:r>
        <w:rPr>
          <w:color w:val="000000"/>
        </w:rPr>
        <w:t>    </w:t>
      </w:r>
      <w:r>
        <w:rPr>
          <w:rFonts w:ascii="Times New Roman;serif" w:hAnsi="Times New Roman;serif"/>
          <w:b w:val="false"/>
          <w:color w:val="000000"/>
          <w:sz w:val="22"/>
        </w:rPr>
        <w:t>Discharge of Guaranty Upon Sale of Guarantor    </w:t>
      </w:r>
      <w:hyperlink w:anchor="i13c63cf5431f4e559495cca437e2ab9a_25">
        <w:r>
          <w:rPr>
            <w:rStyle w:val="InternetLink"/>
            <w:rFonts w:ascii="Times New Roman;serif" w:hAnsi="Times New Roman;serif"/>
            <w:b w:val="false"/>
            <w:strike w:val="false"/>
            <w:dstrike w:val="false"/>
            <w:color w:val="000000"/>
            <w:sz w:val="22"/>
            <w:u w:val="none"/>
            <w:effect w:val="none"/>
          </w:rPr>
          <w:t>108</w:t>
        </w:r>
      </w:hyperlink>
    </w:p>
    <w:p>
      <w:pPr>
        <w:pStyle w:val="TextBody"/>
        <w:bidi w:val="0"/>
        <w:spacing w:lineRule="auto" w:line="288" w:before="240" w:after="283"/>
        <w:ind w:left="0" w:right="0" w:hanging="720"/>
        <w:jc w:val="left"/>
        <w:rPr/>
      </w:pPr>
      <w:r>
        <w:rPr>
          <w:color w:val="010000"/>
        </w:rPr>
        <w:t>    </w:t>
      </w:r>
      <w:r>
        <w:rPr>
          <w:rFonts w:ascii="Times New Roman;serif" w:hAnsi="Times New Roman;serif"/>
          <w:b/>
          <w:color w:val="010000"/>
          <w:sz w:val="22"/>
        </w:rPr>
        <w:t>ARTICLE VIII</w:t>
      </w:r>
      <w:r>
        <w:rPr>
          <w:color w:val="000000"/>
        </w:rPr>
        <w:t xml:space="preserve"> </w:t>
      </w:r>
      <w:r>
        <w:rPr>
          <w:rFonts w:ascii="Times New Roman;serif" w:hAnsi="Times New Roman;serif"/>
          <w:b/>
          <w:color w:val="000000"/>
          <w:sz w:val="22"/>
        </w:rPr>
        <w:t>EVENTS OF DEFAULT    </w:t>
      </w:r>
      <w:hyperlink w:anchor="i13c63cf5431f4e559495cca437e2ab9a_25">
        <w:r>
          <w:rPr>
            <w:rStyle w:val="InternetLink"/>
            <w:rFonts w:ascii="Times New Roman;serif" w:hAnsi="Times New Roman;serif"/>
            <w:b/>
            <w:strike w:val="false"/>
            <w:dstrike w:val="false"/>
            <w:color w:val="000000"/>
            <w:sz w:val="22"/>
            <w:u w:val="none"/>
            <w:effect w:val="none"/>
          </w:rPr>
          <w:t>108</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8.1</w:t>
      </w:r>
      <w:r>
        <w:rPr>
          <w:color w:val="000000"/>
        </w:rPr>
        <w:t>    </w:t>
      </w:r>
      <w:r>
        <w:rPr>
          <w:rFonts w:ascii="Times New Roman;serif" w:hAnsi="Times New Roman;serif"/>
          <w:b w:val="false"/>
          <w:color w:val="000000"/>
          <w:sz w:val="22"/>
        </w:rPr>
        <w:t>Events of Default    </w:t>
      </w:r>
      <w:hyperlink w:anchor="i13c63cf5431f4e559495cca437e2ab9a_25">
        <w:r>
          <w:rPr>
            <w:rStyle w:val="InternetLink"/>
            <w:rFonts w:ascii="Times New Roman;serif" w:hAnsi="Times New Roman;serif"/>
            <w:b w:val="false"/>
            <w:strike w:val="false"/>
            <w:dstrike w:val="false"/>
            <w:color w:val="000000"/>
            <w:sz w:val="22"/>
            <w:u w:val="none"/>
            <w:effect w:val="none"/>
          </w:rPr>
          <w:t>108</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8.2</w:t>
      </w:r>
      <w:r>
        <w:rPr>
          <w:color w:val="000000"/>
        </w:rPr>
        <w:t>    </w:t>
      </w:r>
      <w:r>
        <w:rPr>
          <w:rFonts w:ascii="Times New Roman;serif" w:hAnsi="Times New Roman;serif"/>
          <w:b w:val="false"/>
          <w:color w:val="000000"/>
          <w:sz w:val="22"/>
        </w:rPr>
        <w:t>Remedies    </w:t>
      </w:r>
      <w:hyperlink w:anchor="i13c63cf5431f4e559495cca437e2ab9a_25">
        <w:r>
          <w:rPr>
            <w:rStyle w:val="InternetLink"/>
            <w:rFonts w:ascii="Times New Roman;serif" w:hAnsi="Times New Roman;serif"/>
            <w:b w:val="false"/>
            <w:strike w:val="false"/>
            <w:dstrike w:val="false"/>
            <w:color w:val="000000"/>
            <w:sz w:val="22"/>
            <w:u w:val="none"/>
            <w:effect w:val="none"/>
          </w:rPr>
          <w:t>111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8.3</w:t>
      </w:r>
      <w:r>
        <w:rPr>
          <w:color w:val="000000"/>
        </w:rPr>
        <w:t>    </w:t>
      </w:r>
      <w:r>
        <w:rPr>
          <w:rFonts w:ascii="Times New Roman;serif" w:hAnsi="Times New Roman;serif"/>
          <w:b w:val="false"/>
          <w:color w:val="000000"/>
          <w:sz w:val="22"/>
        </w:rPr>
        <w:t>Rights Not Exclusive    </w:t>
      </w:r>
      <w:hyperlink w:anchor="i13c63cf5431f4e559495cca437e2ab9a_25">
        <w:r>
          <w:rPr>
            <w:rStyle w:val="InternetLink"/>
            <w:rFonts w:ascii="Times New Roman;serif" w:hAnsi="Times New Roman;serif"/>
            <w:b w:val="false"/>
            <w:strike w:val="false"/>
            <w:dstrike w:val="false"/>
            <w:color w:val="000000"/>
            <w:sz w:val="22"/>
            <w:u w:val="none"/>
            <w:effect w:val="none"/>
          </w:rPr>
          <w:t>111</w:t>
        </w:r>
      </w:hyperlink>
    </w:p>
    <w:p>
      <w:pPr>
        <w:pStyle w:val="TextBody"/>
        <w:bidi w:val="0"/>
        <w:spacing w:lineRule="auto" w:line="288" w:before="240" w:after="283"/>
        <w:ind w:left="0" w:right="0" w:hanging="720"/>
        <w:jc w:val="left"/>
        <w:rPr/>
      </w:pPr>
      <w:r>
        <w:rPr>
          <w:color w:val="010000"/>
        </w:rPr>
        <w:t>    </w:t>
      </w:r>
      <w:r>
        <w:rPr>
          <w:rFonts w:ascii="Times New Roman;serif" w:hAnsi="Times New Roman;serif"/>
          <w:b/>
          <w:color w:val="010000"/>
          <w:sz w:val="22"/>
        </w:rPr>
        <w:t>ARTICLE IX</w:t>
      </w:r>
      <w:r>
        <w:rPr>
          <w:color w:val="000000"/>
        </w:rPr>
        <w:t xml:space="preserve"> </w:t>
      </w:r>
      <w:r>
        <w:rPr>
          <w:rFonts w:ascii="Times New Roman;serif" w:hAnsi="Times New Roman;serif"/>
          <w:b/>
          <w:color w:val="000000"/>
          <w:sz w:val="22"/>
        </w:rPr>
        <w:t>ADMINISTRATIVE AGENT    </w:t>
      </w:r>
      <w:hyperlink w:anchor="i13c63cf5431f4e559495cca437e2ab9a_25">
        <w:r>
          <w:rPr>
            <w:rStyle w:val="InternetLink"/>
            <w:rFonts w:ascii="Times New Roman;serif" w:hAnsi="Times New Roman;serif"/>
            <w:b/>
            <w:strike w:val="false"/>
            <w:dstrike w:val="false"/>
            <w:color w:val="000000"/>
            <w:sz w:val="22"/>
            <w:u w:val="none"/>
            <w:effect w:val="none"/>
          </w:rPr>
          <w:t>111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9.1</w:t>
      </w:r>
      <w:r>
        <w:rPr>
          <w:color w:val="000000"/>
        </w:rPr>
        <w:t>    </w:t>
      </w:r>
      <w:r>
        <w:rPr>
          <w:rFonts w:ascii="Times New Roman;serif" w:hAnsi="Times New Roman;serif"/>
          <w:b w:val="false"/>
          <w:color w:val="000000"/>
          <w:sz w:val="22"/>
        </w:rPr>
        <w:t>Appointment of Administrative Agent    </w:t>
      </w:r>
      <w:hyperlink w:anchor="i13c63cf5431f4e559495cca437e2ab9a_25">
        <w:r>
          <w:rPr>
            <w:rStyle w:val="InternetLink"/>
            <w:rFonts w:ascii="Times New Roman;serif" w:hAnsi="Times New Roman;serif"/>
            <w:b w:val="false"/>
            <w:strike w:val="false"/>
            <w:dstrike w:val="false"/>
            <w:color w:val="000000"/>
            <w:sz w:val="22"/>
            <w:u w:val="none"/>
            <w:effect w:val="none"/>
          </w:rPr>
          <w:t>111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9.2</w:t>
      </w:r>
      <w:r>
        <w:rPr>
          <w:color w:val="000000"/>
        </w:rPr>
        <w:t>    </w:t>
      </w:r>
      <w:r>
        <w:rPr>
          <w:rFonts w:ascii="Times New Roman;serif" w:hAnsi="Times New Roman;serif"/>
          <w:b w:val="false"/>
          <w:color w:val="000000"/>
          <w:sz w:val="22"/>
        </w:rPr>
        <w:t>Powers and Duties    </w:t>
      </w:r>
      <w:hyperlink w:anchor="i13c63cf5431f4e559495cca437e2ab9a_25">
        <w:r>
          <w:rPr>
            <w:rStyle w:val="InternetLink"/>
            <w:rFonts w:ascii="Times New Roman;serif" w:hAnsi="Times New Roman;serif"/>
            <w:b w:val="false"/>
            <w:strike w:val="false"/>
            <w:dstrike w:val="false"/>
            <w:color w:val="000000"/>
            <w:sz w:val="22"/>
            <w:u w:val="none"/>
            <w:effect w:val="none"/>
          </w:rPr>
          <w:t>111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9.3</w:t>
      </w:r>
      <w:r>
        <w:rPr>
          <w:color w:val="000000"/>
        </w:rPr>
        <w:t>    </w:t>
      </w:r>
      <w:r>
        <w:rPr>
          <w:rFonts w:ascii="Times New Roman;serif" w:hAnsi="Times New Roman;serif"/>
          <w:b w:val="false"/>
          <w:color w:val="000000"/>
          <w:sz w:val="22"/>
        </w:rPr>
        <w:t>General Immunity    </w:t>
      </w:r>
      <w:hyperlink w:anchor="i13c63cf5431f4e559495cca437e2ab9a_25">
        <w:r>
          <w:rPr>
            <w:rStyle w:val="InternetLink"/>
            <w:rFonts w:ascii="Times New Roman;serif" w:hAnsi="Times New Roman;serif"/>
            <w:b w:val="false"/>
            <w:strike w:val="false"/>
            <w:dstrike w:val="false"/>
            <w:color w:val="000000"/>
            <w:sz w:val="22"/>
            <w:u w:val="none"/>
            <w:effect w:val="none"/>
          </w:rPr>
          <w:t>112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9.4</w:t>
      </w:r>
      <w:r>
        <w:rPr>
          <w:color w:val="000000"/>
        </w:rPr>
        <w:t>    </w:t>
      </w:r>
      <w:r>
        <w:rPr>
          <w:rFonts w:ascii="Times New Roman;serif" w:hAnsi="Times New Roman;serif"/>
          <w:b w:val="false"/>
          <w:color w:val="000000"/>
          <w:sz w:val="22"/>
        </w:rPr>
        <w:t>Administrative Agent Entitled to Act as Lender    </w:t>
      </w:r>
      <w:hyperlink w:anchor="i13c63cf5431f4e559495cca437e2ab9a_25">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9.5</w:t>
      </w:r>
      <w:r>
        <w:rPr>
          <w:color w:val="000000"/>
        </w:rPr>
        <w:t>    </w:t>
      </w:r>
      <w:r>
        <w:rPr>
          <w:rFonts w:ascii="Times New Roman;serif" w:hAnsi="Times New Roman;serif"/>
          <w:b w:val="false"/>
          <w:color w:val="000000"/>
          <w:sz w:val="22"/>
        </w:rPr>
        <w:t>Lenders’ Representations, Warranties and Acknowledgment    </w:t>
      </w:r>
      <w:hyperlink w:anchor="i13c63cf5431f4e559495cca437e2ab9a_25">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9.6</w:t>
      </w:r>
      <w:r>
        <w:rPr>
          <w:color w:val="000000"/>
        </w:rPr>
        <w:t>    </w:t>
      </w:r>
      <w:r>
        <w:rPr>
          <w:rFonts w:ascii="Times New Roman;serif" w:hAnsi="Times New Roman;serif"/>
          <w:b w:val="false"/>
          <w:color w:val="000000"/>
          <w:sz w:val="22"/>
        </w:rPr>
        <w:t>Right to Indemnity    </w:t>
      </w:r>
      <w:hyperlink w:anchor="i13c63cf5431f4e559495cca437e2ab9a_25">
        <w:r>
          <w:rPr>
            <w:rStyle w:val="InternetLink"/>
            <w:rFonts w:ascii="Times New Roman;serif" w:hAnsi="Times New Roman;serif"/>
            <w:b w:val="false"/>
            <w:strike w:val="false"/>
            <w:dstrike w:val="false"/>
            <w:color w:val="000000"/>
            <w:sz w:val="22"/>
            <w:u w:val="none"/>
            <w:effect w:val="none"/>
          </w:rPr>
          <w:t>113</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9.7</w:t>
      </w:r>
      <w:r>
        <w:rPr>
          <w:color w:val="000000"/>
        </w:rPr>
        <w:t>    </w:t>
      </w:r>
      <w:r>
        <w:rPr>
          <w:rFonts w:ascii="Times New Roman;serif" w:hAnsi="Times New Roman;serif"/>
          <w:b w:val="false"/>
          <w:color w:val="000000"/>
          <w:sz w:val="22"/>
        </w:rPr>
        <w:t>Successor Administrative Agent    </w:t>
      </w:r>
      <w:hyperlink w:anchor="i13c63cf5431f4e559495cca437e2ab9a_25">
        <w:r>
          <w:rPr>
            <w:rStyle w:val="InternetLink"/>
            <w:rFonts w:ascii="Times New Roman;serif" w:hAnsi="Times New Roman;serif"/>
            <w:b w:val="false"/>
            <w:strike w:val="false"/>
            <w:dstrike w:val="false"/>
            <w:color w:val="000000"/>
            <w:sz w:val="22"/>
            <w:u w:val="none"/>
            <w:effect w:val="none"/>
          </w:rPr>
          <w:t>114</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9.8</w:t>
      </w:r>
      <w:r>
        <w:rPr>
          <w:color w:val="000000"/>
        </w:rPr>
        <w:t>    </w:t>
      </w:r>
      <w:r>
        <w:rPr>
          <w:rFonts w:ascii="Times New Roman;serif" w:hAnsi="Times New Roman;serif"/>
          <w:b w:val="false"/>
          <w:color w:val="000000"/>
          <w:sz w:val="22"/>
        </w:rPr>
        <w:t>Collateral Documents and Guaranty    </w:t>
      </w:r>
      <w:hyperlink w:anchor="i13c63cf5431f4e559495cca437e2ab9a_25">
        <w:r>
          <w:rPr>
            <w:rStyle w:val="InternetLink"/>
            <w:rFonts w:ascii="Times New Roman;serif" w:hAnsi="Times New Roman;serif"/>
            <w:b w:val="false"/>
            <w:strike w:val="false"/>
            <w:dstrike w:val="false"/>
            <w:color w:val="000000"/>
            <w:sz w:val="22"/>
            <w:u w:val="none"/>
            <w:effect w:val="none"/>
          </w:rPr>
          <w:t>115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9.9</w:t>
      </w:r>
      <w:r>
        <w:rPr>
          <w:color w:val="000000"/>
        </w:rPr>
        <w:t>    </w:t>
      </w:r>
      <w:r>
        <w:rPr>
          <w:rFonts w:ascii="Times New Roman;serif" w:hAnsi="Times New Roman;serif"/>
          <w:b w:val="false"/>
          <w:color w:val="000000"/>
          <w:sz w:val="22"/>
        </w:rPr>
        <w:t>Agency for Perfection    </w:t>
      </w:r>
      <w:hyperlink w:anchor="i13c63cf5431f4e559495cca437e2ab9a_25">
        <w:r>
          <w:rPr>
            <w:rStyle w:val="InternetLink"/>
            <w:rFonts w:ascii="Times New Roman;serif" w:hAnsi="Times New Roman;serif"/>
            <w:b w:val="false"/>
            <w:strike w:val="false"/>
            <w:dstrike w:val="false"/>
            <w:color w:val="000000"/>
            <w:sz w:val="22"/>
            <w:u w:val="none"/>
            <w:effect w:val="none"/>
          </w:rPr>
          <w:t>117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9.10</w:t>
      </w:r>
      <w:r>
        <w:rPr>
          <w:color w:val="000000"/>
        </w:rPr>
        <w:t>    </w:t>
      </w:r>
      <w:r>
        <w:rPr>
          <w:rFonts w:ascii="Times New Roman;serif" w:hAnsi="Times New Roman;serif"/>
          <w:b w:val="false"/>
          <w:color w:val="000000"/>
          <w:sz w:val="22"/>
        </w:rPr>
        <w:t>Reports and Other Information; Confidentiality; Disclaimers    </w:t>
      </w:r>
      <w:hyperlink w:anchor="i13c63cf5431f4e559495cca437e2ab9a_25">
        <w:r>
          <w:rPr>
            <w:rStyle w:val="InternetLink"/>
            <w:rFonts w:ascii="Times New Roman;serif" w:hAnsi="Times New Roman;serif"/>
            <w:b w:val="false"/>
            <w:strike w:val="false"/>
            <w:dstrike w:val="false"/>
            <w:color w:val="000000"/>
            <w:sz w:val="22"/>
            <w:u w:val="none"/>
            <w:effect w:val="none"/>
          </w:rPr>
          <w:t>117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9.11</w:t>
      </w:r>
      <w:r>
        <w:rPr>
          <w:color w:val="000000"/>
        </w:rPr>
        <w:t>    </w:t>
      </w:r>
      <w:r>
        <w:rPr>
          <w:rFonts w:ascii="Times New Roman;serif" w:hAnsi="Times New Roman;serif"/>
          <w:b w:val="false"/>
          <w:color w:val="000000"/>
          <w:sz w:val="22"/>
        </w:rPr>
        <w:t>Protective Advances    </w:t>
      </w:r>
      <w:hyperlink w:anchor="i13c63cf5431f4e559495cca437e2ab9a_25">
        <w:r>
          <w:rPr>
            <w:rStyle w:val="InternetLink"/>
            <w:rFonts w:ascii="Times New Roman;serif" w:hAnsi="Times New Roman;serif"/>
            <w:b w:val="false"/>
            <w:strike w:val="false"/>
            <w:dstrike w:val="false"/>
            <w:color w:val="000000"/>
            <w:sz w:val="22"/>
            <w:u w:val="none"/>
            <w:effect w:val="none"/>
          </w:rPr>
          <w:t>118</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9.12</w:t>
      </w:r>
      <w:r>
        <w:rPr>
          <w:color w:val="000000"/>
        </w:rPr>
        <w:t>    </w:t>
      </w:r>
      <w:r>
        <w:rPr>
          <w:rFonts w:ascii="Times New Roman;serif" w:hAnsi="Times New Roman;serif"/>
          <w:b w:val="false"/>
          <w:color w:val="000000"/>
          <w:sz w:val="22"/>
        </w:rPr>
        <w:t>Erroneous Distribution    </w:t>
      </w:r>
      <w:hyperlink w:anchor="i13c63cf5431f4e559495cca437e2ab9a_25">
        <w:r>
          <w:rPr>
            <w:rStyle w:val="InternetLink"/>
            <w:rFonts w:ascii="Times New Roman;serif" w:hAnsi="Times New Roman;serif"/>
            <w:b w:val="false"/>
            <w:strike w:val="false"/>
            <w:dstrike w:val="false"/>
            <w:color w:val="000000"/>
            <w:sz w:val="22"/>
            <w:u w:val="none"/>
            <w:effect w:val="none"/>
          </w:rPr>
          <w:t>119</w:t>
        </w:r>
      </w:hyperlink>
    </w:p>
    <w:p>
      <w:pPr>
        <w:pStyle w:val="TextBody"/>
        <w:bidi w:val="0"/>
        <w:spacing w:lineRule="auto" w:line="288" w:before="240" w:after="283"/>
        <w:ind w:left="0" w:right="0" w:hanging="720"/>
        <w:jc w:val="left"/>
        <w:rPr/>
      </w:pPr>
      <w:r>
        <w:rPr>
          <w:color w:val="010000"/>
        </w:rPr>
        <w:t>    </w:t>
      </w:r>
      <w:r>
        <w:rPr>
          <w:rFonts w:ascii="Times New Roman;serif" w:hAnsi="Times New Roman;serif"/>
          <w:b/>
          <w:color w:val="010000"/>
          <w:sz w:val="22"/>
        </w:rPr>
        <w:t>ARTICLE X</w:t>
      </w:r>
      <w:r>
        <w:rPr>
          <w:color w:val="000000"/>
        </w:rPr>
        <w:t xml:space="preserve"> </w:t>
      </w:r>
      <w:r>
        <w:rPr>
          <w:rFonts w:ascii="Times New Roman;serif" w:hAnsi="Times New Roman;serif"/>
          <w:b/>
          <w:color w:val="000000"/>
          <w:sz w:val="22"/>
        </w:rPr>
        <w:t>MISCELLANEOUS    </w:t>
      </w:r>
      <w:hyperlink w:anchor="i13c63cf5431f4e559495cca437e2ab9a_25">
        <w:r>
          <w:rPr>
            <w:rStyle w:val="InternetLink"/>
            <w:rFonts w:ascii="Times New Roman;serif" w:hAnsi="Times New Roman;serif"/>
            <w:b/>
            <w:strike w:val="false"/>
            <w:dstrike w:val="false"/>
            <w:color w:val="000000"/>
            <w:sz w:val="22"/>
            <w:u w:val="none"/>
            <w:effect w:val="none"/>
          </w:rPr>
          <w:t>119</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w:t>
      </w:r>
      <w:r>
        <w:rPr>
          <w:color w:val="000000"/>
        </w:rPr>
        <w:t>    </w:t>
      </w:r>
      <w:r>
        <w:rPr>
          <w:rFonts w:ascii="Times New Roman;serif" w:hAnsi="Times New Roman;serif"/>
          <w:b w:val="false"/>
          <w:color w:val="000000"/>
          <w:sz w:val="22"/>
        </w:rPr>
        <w:t>Notices    </w:t>
      </w:r>
      <w:hyperlink w:anchor="i13c63cf5431f4e559495cca437e2ab9a_25">
        <w:r>
          <w:rPr>
            <w:rStyle w:val="InternetLink"/>
            <w:rFonts w:ascii="Times New Roman;serif" w:hAnsi="Times New Roman;serif"/>
            <w:b w:val="false"/>
            <w:strike w:val="false"/>
            <w:dstrike w:val="false"/>
            <w:color w:val="000000"/>
            <w:sz w:val="22"/>
            <w:u w:val="none"/>
            <w:effect w:val="none"/>
          </w:rPr>
          <w:t>119</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10.2</w:t>
      </w:r>
      <w:r>
        <w:rPr>
          <w:color w:val="000000"/>
        </w:rPr>
        <w:t>    </w:t>
      </w:r>
      <w:r>
        <w:rPr>
          <w:rFonts w:ascii="Times New Roman;serif" w:hAnsi="Times New Roman;serif"/>
          <w:b w:val="false"/>
          <w:color w:val="000000"/>
          <w:sz w:val="22"/>
        </w:rPr>
        <w:t>Expenses    </w:t>
      </w:r>
      <w:hyperlink w:anchor="i13c63cf5431f4e559495cca437e2ab9a_25">
        <w:r>
          <w:rPr>
            <w:rStyle w:val="InternetLink"/>
            <w:rFonts w:ascii="Times New Roman;serif" w:hAnsi="Times New Roman;serif"/>
            <w:b w:val="false"/>
            <w:strike w:val="false"/>
            <w:dstrike w:val="false"/>
            <w:color w:val="000000"/>
            <w:sz w:val="22"/>
            <w:u w:val="none"/>
            <w:effect w:val="none"/>
          </w:rPr>
          <w:t>120</w:t>
        </w:r>
      </w:hyperlink>
    </w:p>
    <w:p>
      <w:pPr>
        <w:pStyle w:val="TextBody"/>
        <w:bidi w:val="0"/>
        <w:spacing w:lineRule="auto" w:line="288"/>
        <w:ind w:left="0" w:right="0" w:hanging="1440"/>
        <w:jc w:val="left"/>
        <w:rPr/>
      </w:pPr>
      <w:r>
        <w:rPr>
          <w:rFonts w:ascii="Times New Roman;serif" w:hAnsi="Times New Roman;serif"/>
          <w:b w:val="false"/>
          <w:color w:val="010000"/>
          <w:sz w:val="22"/>
        </w:rPr>
        <w:t>Section 10.3</w:t>
      </w:r>
      <w:r>
        <w:rPr>
          <w:color w:val="000000"/>
        </w:rPr>
        <w:t>    </w:t>
      </w:r>
      <w:r>
        <w:rPr>
          <w:rFonts w:ascii="Times New Roman;serif" w:hAnsi="Times New Roman;serif"/>
          <w:b w:val="false"/>
          <w:color w:val="000000"/>
          <w:sz w:val="22"/>
        </w:rPr>
        <w:t>Indemnity    </w:t>
      </w:r>
      <w:hyperlink w:anchor="i13c63cf5431f4e559495cca437e2ab9a_25">
        <w:r>
          <w:rPr>
            <w:rStyle w:val="InternetLink"/>
            <w:rFonts w:ascii="Times New Roman;serif" w:hAnsi="Times New Roman;serif"/>
            <w:b w:val="false"/>
            <w:strike w:val="false"/>
            <w:dstrike w:val="false"/>
            <w:color w:val="000000"/>
            <w:sz w:val="22"/>
            <w:u w:val="none"/>
            <w:effect w:val="none"/>
          </w:rPr>
          <w:t>120</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8650"/>
                <wp:effectExtent l="0" t="0" r="0" b="0"/>
                <wp:wrapNone/>
                <wp:docPr id="77" name="Frame7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68" w:type="dxa"/>
                              <w:jc w:val="left"/>
                              <w:tblInd w:w="0" w:type="dxa"/>
                              <w:tblLayout w:type="fixed"/>
                              <w:tblCellMar>
                                <w:top w:w="28" w:type="dxa"/>
                                <w:left w:w="28" w:type="dxa"/>
                                <w:bottom w:w="28" w:type="dxa"/>
                                <w:right w:w="28" w:type="dxa"/>
                              </w:tblCellMar>
                            </w:tblPr>
                            <w:tblGrid>
                              <w:gridCol w:w="124"/>
                              <w:gridCol w:w="109"/>
                              <w:gridCol w:w="109"/>
                              <w:gridCol w:w="184"/>
                              <w:gridCol w:w="184"/>
                              <w:gridCol w:w="1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iii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68" w:type="dxa"/>
                        <w:jc w:val="left"/>
                        <w:tblInd w:w="0" w:type="dxa"/>
                        <w:tblLayout w:type="fixed"/>
                        <w:tblCellMar>
                          <w:top w:w="28" w:type="dxa"/>
                          <w:left w:w="28" w:type="dxa"/>
                          <w:bottom w:w="28" w:type="dxa"/>
                          <w:right w:w="28" w:type="dxa"/>
                        </w:tblCellMar>
                      </w:tblPr>
                      <w:tblGrid>
                        <w:gridCol w:w="124"/>
                        <w:gridCol w:w="109"/>
                        <w:gridCol w:w="109"/>
                        <w:gridCol w:w="184"/>
                        <w:gridCol w:w="184"/>
                        <w:gridCol w:w="1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iii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10000"/>
          <w:sz w:val="22"/>
        </w:rPr>
        <w:t>Section 10.4</w:t>
      </w:r>
      <w:r>
        <w:rPr>
          <w:color w:val="000000"/>
        </w:rPr>
        <w:t>    </w:t>
      </w:r>
      <w:r>
        <w:rPr>
          <w:rFonts w:ascii="Times New Roman;serif" w:hAnsi="Times New Roman;serif"/>
          <w:b w:val="false"/>
          <w:color w:val="000000"/>
          <w:sz w:val="22"/>
        </w:rPr>
        <w:t>Set-Off    </w:t>
      </w:r>
      <w:hyperlink w:anchor="i13c63cf5431f4e559495cca437e2ab9a_25">
        <w:r>
          <w:rPr>
            <w:rStyle w:val="InternetLink"/>
            <w:rFonts w:ascii="Times New Roman;serif" w:hAnsi="Times New Roman;serif"/>
            <w:b w:val="false"/>
            <w:strike w:val="false"/>
            <w:dstrike w:val="false"/>
            <w:color w:val="000000"/>
            <w:sz w:val="22"/>
            <w:u w:val="none"/>
            <w:effect w:val="none"/>
          </w:rPr>
          <w:t>121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10.5</w:t>
      </w:r>
      <w:r>
        <w:rPr>
          <w:color w:val="000000"/>
        </w:rPr>
        <w:t>    </w:t>
      </w:r>
      <w:r>
        <w:rPr>
          <w:rFonts w:ascii="Times New Roman;serif" w:hAnsi="Times New Roman;serif"/>
          <w:b w:val="false"/>
          <w:color w:val="000000"/>
          <w:sz w:val="22"/>
        </w:rPr>
        <w:t>Amendments and Waivers    </w:t>
      </w:r>
      <w:hyperlink w:anchor="i13c63cf5431f4e559495cca437e2ab9a_25">
        <w:r>
          <w:rPr>
            <w:rStyle w:val="InternetLink"/>
            <w:rFonts w:ascii="Times New Roman;serif" w:hAnsi="Times New Roman;serif"/>
            <w:b w:val="false"/>
            <w:strike w:val="false"/>
            <w:dstrike w:val="false"/>
            <w:color w:val="000000"/>
            <w:sz w:val="22"/>
            <w:u w:val="none"/>
            <w:effect w:val="none"/>
          </w:rPr>
          <w:t>121</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10.6</w:t>
      </w:r>
      <w:r>
        <w:rPr>
          <w:color w:val="000000"/>
        </w:rPr>
        <w:t>    </w:t>
      </w:r>
      <w:r>
        <w:rPr>
          <w:rFonts w:ascii="Times New Roman;serif" w:hAnsi="Times New Roman;serif"/>
          <w:b w:val="false"/>
          <w:color w:val="000000"/>
          <w:sz w:val="22"/>
        </w:rPr>
        <w:t>Successors and Assigns; Participations    </w:t>
      </w:r>
      <w:hyperlink w:anchor="i13c63cf5431f4e559495cca437e2ab9a_25">
        <w:r>
          <w:rPr>
            <w:rStyle w:val="InternetLink"/>
            <w:rFonts w:ascii="Times New Roman;serif" w:hAnsi="Times New Roman;serif"/>
            <w:b w:val="false"/>
            <w:strike w:val="false"/>
            <w:dstrike w:val="false"/>
            <w:color w:val="000000"/>
            <w:sz w:val="22"/>
            <w:u w:val="none"/>
            <w:effect w:val="none"/>
          </w:rPr>
          <w:t>122</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10.7</w:t>
      </w:r>
      <w:r>
        <w:rPr>
          <w:color w:val="000000"/>
        </w:rPr>
        <w:t>    </w:t>
      </w:r>
      <w:r>
        <w:rPr>
          <w:rFonts w:ascii="Times New Roman;serif" w:hAnsi="Times New Roman;serif"/>
          <w:b w:val="false"/>
          <w:color w:val="000000"/>
          <w:sz w:val="22"/>
        </w:rPr>
        <w:t>Independence of Covenants    </w:t>
      </w:r>
      <w:hyperlink w:anchor="i13c63cf5431f4e559495cca437e2ab9a_25">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10.8</w:t>
      </w:r>
      <w:r>
        <w:rPr>
          <w:color w:val="000000"/>
        </w:rPr>
        <w:t>    </w:t>
      </w:r>
      <w:r>
        <w:rPr>
          <w:rFonts w:ascii="Times New Roman;serif" w:hAnsi="Times New Roman;serif"/>
          <w:b w:val="false"/>
          <w:color w:val="000000"/>
          <w:sz w:val="22"/>
        </w:rPr>
        <w:t>Survival of Representations, Warranties and Agreements    </w:t>
      </w:r>
      <w:hyperlink w:anchor="i13c63cf5431f4e559495cca437e2ab9a_25">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10.9</w:t>
      </w:r>
      <w:r>
        <w:rPr>
          <w:color w:val="000000"/>
        </w:rPr>
        <w:t>    </w:t>
      </w:r>
      <w:r>
        <w:rPr>
          <w:rFonts w:ascii="Times New Roman;serif" w:hAnsi="Times New Roman;serif"/>
          <w:b w:val="false"/>
          <w:color w:val="000000"/>
          <w:sz w:val="22"/>
        </w:rPr>
        <w:t>No Waiver; Remedies Cumulative    </w:t>
      </w:r>
      <w:hyperlink w:anchor="i13c63cf5431f4e559495cca437e2ab9a_25">
        <w:r>
          <w:rPr>
            <w:rStyle w:val="InternetLink"/>
            <w:rFonts w:ascii="Times New Roman;serif" w:hAnsi="Times New Roman;serif"/>
            <w:b w:val="false"/>
            <w:strike w:val="false"/>
            <w:dstrike w:val="false"/>
            <w:color w:val="000000"/>
            <w:sz w:val="22"/>
            <w:u w:val="none"/>
            <w:effect w:val="none"/>
          </w:rPr>
          <w:t>126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10.10</w:t>
      </w:r>
      <w:r>
        <w:rPr>
          <w:color w:val="000000"/>
        </w:rPr>
        <w:t>    </w:t>
      </w:r>
      <w:r>
        <w:rPr>
          <w:rFonts w:ascii="Times New Roman;serif" w:hAnsi="Times New Roman;serif"/>
          <w:b w:val="false"/>
          <w:color w:val="000000"/>
          <w:sz w:val="22"/>
        </w:rPr>
        <w:t>Marshalling; Payments Set Aside    </w:t>
      </w:r>
      <w:hyperlink w:anchor="i13c63cf5431f4e559495cca437e2ab9a_25">
        <w:r>
          <w:rPr>
            <w:rStyle w:val="InternetLink"/>
            <w:rFonts w:ascii="Times New Roman;serif" w:hAnsi="Times New Roman;serif"/>
            <w:b w:val="false"/>
            <w:strike w:val="false"/>
            <w:dstrike w:val="false"/>
            <w:color w:val="000000"/>
            <w:sz w:val="22"/>
            <w:u w:val="none"/>
            <w:effect w:val="none"/>
          </w:rPr>
          <w:t>126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10.11</w:t>
      </w:r>
      <w:r>
        <w:rPr>
          <w:color w:val="000000"/>
        </w:rPr>
        <w:t>    </w:t>
      </w:r>
      <w:r>
        <w:rPr>
          <w:rFonts w:ascii="Times New Roman;serif" w:hAnsi="Times New Roman;serif"/>
          <w:b w:val="false"/>
          <w:color w:val="000000"/>
          <w:sz w:val="22"/>
        </w:rPr>
        <w:t>Severability    </w:t>
      </w:r>
      <w:hyperlink w:anchor="i13c63cf5431f4e559495cca437e2ab9a_25">
        <w:r>
          <w:rPr>
            <w:rStyle w:val="InternetLink"/>
            <w:rFonts w:ascii="Times New Roman;serif" w:hAnsi="Times New Roman;serif"/>
            <w:b w:val="false"/>
            <w:strike w:val="false"/>
            <w:dstrike w:val="false"/>
            <w:color w:val="000000"/>
            <w:sz w:val="22"/>
            <w:u w:val="none"/>
            <w:effect w:val="none"/>
          </w:rPr>
          <w:t>126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10.12</w:t>
      </w:r>
      <w:r>
        <w:rPr>
          <w:color w:val="000000"/>
        </w:rPr>
        <w:t>    </w:t>
      </w:r>
      <w:r>
        <w:rPr>
          <w:rFonts w:ascii="Times New Roman;serif" w:hAnsi="Times New Roman;serif"/>
          <w:b w:val="false"/>
          <w:color w:val="000000"/>
          <w:sz w:val="22"/>
        </w:rPr>
        <w:t>Obligations Several; Independent Nature of Lenders’ Rights    </w:t>
      </w:r>
      <w:hyperlink w:anchor="i13c63cf5431f4e559495cca437e2ab9a_25">
        <w:r>
          <w:rPr>
            <w:rStyle w:val="InternetLink"/>
            <w:rFonts w:ascii="Times New Roman;serif" w:hAnsi="Times New Roman;serif"/>
            <w:b w:val="false"/>
            <w:strike w:val="false"/>
            <w:dstrike w:val="false"/>
            <w:color w:val="000000"/>
            <w:sz w:val="22"/>
            <w:u w:val="none"/>
            <w:effect w:val="none"/>
          </w:rPr>
          <w:t>126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10.13</w:t>
      </w:r>
      <w:r>
        <w:rPr>
          <w:color w:val="000000"/>
        </w:rPr>
        <w:t>    </w:t>
      </w:r>
      <w:r>
        <w:rPr>
          <w:rFonts w:ascii="Times New Roman;serif" w:hAnsi="Times New Roman;serif"/>
          <w:b w:val="false"/>
          <w:color w:val="000000"/>
          <w:sz w:val="22"/>
        </w:rPr>
        <w:t>AHYDO.    </w:t>
      </w:r>
      <w:hyperlink w:anchor="i13c63cf5431f4e559495cca437e2ab9a_25">
        <w:r>
          <w:rPr>
            <w:rStyle w:val="InternetLink"/>
            <w:rFonts w:ascii="Times New Roman;serif" w:hAnsi="Times New Roman;serif"/>
            <w:b w:val="false"/>
            <w:strike w:val="false"/>
            <w:dstrike w:val="false"/>
            <w:color w:val="000000"/>
            <w:sz w:val="22"/>
            <w:u w:val="none"/>
            <w:effect w:val="none"/>
          </w:rPr>
          <w:t>126</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10.14</w:t>
      </w:r>
      <w:r>
        <w:rPr>
          <w:color w:val="000000"/>
        </w:rPr>
        <w:t>    </w:t>
      </w:r>
      <w:r>
        <w:rPr>
          <w:rFonts w:ascii="Times New Roman;serif" w:hAnsi="Times New Roman;serif"/>
          <w:b w:val="false"/>
          <w:color w:val="000000"/>
          <w:sz w:val="22"/>
        </w:rPr>
        <w:t>Tax Treatment    </w:t>
      </w:r>
      <w:hyperlink w:anchor="i13c63cf5431f4e559495cca437e2ab9a_25">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10.15</w:t>
      </w:r>
      <w:r>
        <w:rPr>
          <w:color w:val="000000"/>
        </w:rPr>
        <w:t>    </w:t>
      </w:r>
      <w:r>
        <w:rPr>
          <w:rFonts w:ascii="Times New Roman;serif" w:hAnsi="Times New Roman;serif"/>
          <w:b w:val="false"/>
          <w:color w:val="000000"/>
          <w:sz w:val="22"/>
        </w:rPr>
        <w:t>Original Issue Discount    </w:t>
      </w:r>
      <w:hyperlink w:anchor="i13c63cf5431f4e559495cca437e2ab9a_25">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10.16</w:t>
      </w:r>
      <w:r>
        <w:rPr>
          <w:color w:val="000000"/>
        </w:rPr>
        <w:t>    </w:t>
      </w:r>
      <w:r>
        <w:rPr>
          <w:rFonts w:ascii="Times New Roman;serif" w:hAnsi="Times New Roman;serif"/>
          <w:b w:val="false"/>
          <w:color w:val="000000"/>
          <w:sz w:val="22"/>
        </w:rPr>
        <w:t>Headings    </w:t>
      </w:r>
      <w:hyperlink w:anchor="i13c63cf5431f4e559495cca437e2ab9a_25">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10.17</w:t>
      </w:r>
      <w:r>
        <w:rPr>
          <w:color w:val="000000"/>
        </w:rPr>
        <w:t>    </w:t>
      </w:r>
      <w:r>
        <w:rPr>
          <w:rFonts w:ascii="Times New Roman;serif" w:hAnsi="Times New Roman;serif"/>
          <w:b w:val="false"/>
          <w:color w:val="000000"/>
          <w:sz w:val="22"/>
        </w:rPr>
        <w:t>APPLICABLE LAW    </w:t>
      </w:r>
      <w:hyperlink w:anchor="i13c63cf5431f4e559495cca437e2ab9a_25">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10.18</w:t>
      </w:r>
      <w:r>
        <w:rPr>
          <w:color w:val="000000"/>
        </w:rPr>
        <w:t>    </w:t>
      </w:r>
      <w:r>
        <w:rPr>
          <w:rFonts w:ascii="Times New Roman;serif" w:hAnsi="Times New Roman;serif"/>
          <w:b w:val="false"/>
          <w:color w:val="000000"/>
          <w:sz w:val="22"/>
        </w:rPr>
        <w:t>CONSENT TO JURISDICTION    </w:t>
      </w:r>
      <w:hyperlink w:anchor="i13c63cf5431f4e559495cca437e2ab9a_25">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10.19</w:t>
      </w:r>
      <w:r>
        <w:rPr>
          <w:color w:val="000000"/>
        </w:rPr>
        <w:t>    </w:t>
      </w:r>
      <w:r>
        <w:rPr>
          <w:rFonts w:ascii="Times New Roman;serif" w:hAnsi="Times New Roman;serif"/>
          <w:b w:val="false"/>
          <w:color w:val="000000"/>
          <w:sz w:val="22"/>
        </w:rPr>
        <w:t>WAIVER OF JURY TRIAL    </w:t>
      </w:r>
      <w:hyperlink w:anchor="i13c63cf5431f4e559495cca437e2ab9a_25">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10.20</w:t>
      </w:r>
      <w:r>
        <w:rPr>
          <w:color w:val="000000"/>
        </w:rPr>
        <w:t>    </w:t>
      </w:r>
      <w:r>
        <w:rPr>
          <w:rFonts w:ascii="Times New Roman;serif" w:hAnsi="Times New Roman;serif"/>
          <w:b w:val="false"/>
          <w:color w:val="000000"/>
          <w:sz w:val="22"/>
        </w:rPr>
        <w:t>Confidentiality    </w:t>
      </w:r>
      <w:hyperlink w:anchor="i13c63cf5431f4e559495cca437e2ab9a_25">
        <w:r>
          <w:rPr>
            <w:rStyle w:val="InternetLink"/>
            <w:rFonts w:ascii="Times New Roman;serif" w:hAnsi="Times New Roman;serif"/>
            <w:b w:val="false"/>
            <w:strike w:val="false"/>
            <w:dstrike w:val="false"/>
            <w:color w:val="000000"/>
            <w:sz w:val="22"/>
            <w:u w:val="none"/>
            <w:effect w:val="none"/>
          </w:rPr>
          <w:t>128</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10.21</w:t>
      </w:r>
      <w:r>
        <w:rPr>
          <w:color w:val="000000"/>
        </w:rPr>
        <w:t>    </w:t>
      </w:r>
      <w:r>
        <w:rPr>
          <w:rFonts w:ascii="Times New Roman;serif" w:hAnsi="Times New Roman;serif"/>
          <w:b w:val="false"/>
          <w:color w:val="000000"/>
          <w:sz w:val="22"/>
        </w:rPr>
        <w:t>Usury Savings Clause    </w:t>
      </w:r>
      <w:hyperlink w:anchor="i13c63cf5431f4e559495cca437e2ab9a_25">
        <w:r>
          <w:rPr>
            <w:rStyle w:val="InternetLink"/>
            <w:rFonts w:ascii="Times New Roman;serif" w:hAnsi="Times New Roman;serif"/>
            <w:b w:val="false"/>
            <w:strike w:val="false"/>
            <w:dstrike w:val="false"/>
            <w:color w:val="000000"/>
            <w:sz w:val="22"/>
            <w:u w:val="none"/>
            <w:effect w:val="none"/>
          </w:rPr>
          <w:t>129</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10.22</w:t>
      </w:r>
      <w:r>
        <w:rPr>
          <w:color w:val="000000"/>
        </w:rPr>
        <w:t>    </w:t>
      </w:r>
      <w:r>
        <w:rPr>
          <w:rFonts w:ascii="Times New Roman;serif" w:hAnsi="Times New Roman;serif"/>
          <w:b w:val="false"/>
          <w:color w:val="000000"/>
          <w:sz w:val="22"/>
        </w:rPr>
        <w:t>Counterparts    </w:t>
      </w:r>
      <w:hyperlink w:anchor="i13c63cf5431f4e559495cca437e2ab9a_25">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10.23</w:t>
      </w:r>
      <w:r>
        <w:rPr>
          <w:color w:val="000000"/>
        </w:rPr>
        <w:t>    </w:t>
      </w:r>
      <w:r>
        <w:rPr>
          <w:rFonts w:ascii="Times New Roman;serif" w:hAnsi="Times New Roman;serif"/>
          <w:b w:val="false"/>
          <w:color w:val="000000"/>
          <w:sz w:val="22"/>
        </w:rPr>
        <w:t>Effectiveness    </w:t>
      </w:r>
      <w:hyperlink w:anchor="i13c63cf5431f4e559495cca437e2ab9a_25">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10.24</w:t>
      </w:r>
      <w:r>
        <w:rPr>
          <w:color w:val="000000"/>
        </w:rPr>
        <w:t>    </w:t>
      </w:r>
      <w:r>
        <w:rPr>
          <w:rFonts w:ascii="Times New Roman;serif" w:hAnsi="Times New Roman;serif"/>
          <w:b w:val="false"/>
          <w:color w:val="000000"/>
          <w:sz w:val="22"/>
        </w:rPr>
        <w:t>PATRIOT Act Notice    </w:t>
      </w:r>
      <w:hyperlink w:anchor="i13c63cf5431f4e559495cca437e2ab9a_25">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lineRule="auto" w:line="288" w:before="0" w:after="0"/>
        <w:ind w:left="0" w:right="0" w:hanging="1440"/>
        <w:jc w:val="left"/>
        <w:rPr/>
      </w:pPr>
      <w:r>
        <w:rPr>
          <w:rFonts w:ascii="Times New Roman;serif" w:hAnsi="Times New Roman;serif"/>
          <w:b w:val="false"/>
          <w:color w:val="010000"/>
          <w:sz w:val="22"/>
        </w:rPr>
        <w:t>Section 10.25</w:t>
      </w:r>
      <w:r>
        <w:rPr>
          <w:color w:val="000000"/>
        </w:rPr>
        <w:t>    </w:t>
      </w:r>
      <w:r>
        <w:rPr>
          <w:rFonts w:ascii="Times New Roman;serif" w:hAnsi="Times New Roman;serif"/>
          <w:b w:val="false"/>
          <w:color w:val="000000"/>
          <w:sz w:val="22"/>
        </w:rPr>
        <w:t>Waiver of Immunity    </w:t>
      </w:r>
      <w:hyperlink w:anchor="i13c63cf5431f4e559495cca437e2ab9a_25">
        <w:r>
          <w:rPr>
            <w:rStyle w:val="InternetLink"/>
            <w:rFonts w:ascii="Times New Roman;serif" w:hAnsi="Times New Roman;serif"/>
            <w:b w:val="false"/>
            <w:strike w:val="false"/>
            <w:dstrike w:val="false"/>
            <w:color w:val="000000"/>
            <w:sz w:val="22"/>
            <w:u w:val="none"/>
            <w:effect w:val="none"/>
          </w:rPr>
          <w:t>130</w:t>
        </w:r>
      </w:hyperlink>
    </w:p>
    <w:p>
      <w:pPr>
        <w:pStyle w:val="TextBody"/>
        <w:bidi w:val="0"/>
        <w:spacing w:before="0" w:after="0"/>
        <w:jc w:val="left"/>
        <w:rPr/>
      </w:pPr>
      <w:r>
        <w:rPr/>
      </w:r>
    </w:p>
    <w:p>
      <w:pPr>
        <w:pStyle w:val="TextBody"/>
        <w:bidi w:val="0"/>
        <w:spacing w:before="0" w:after="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28650"/>
                <wp:effectExtent l="0" t="0" r="0" b="0"/>
                <wp:wrapNone/>
                <wp:docPr id="78" name="Frame7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68" w:type="dxa"/>
                              <w:jc w:val="left"/>
                              <w:tblInd w:w="0" w:type="dxa"/>
                              <w:tblLayout w:type="fixed"/>
                              <w:tblCellMar>
                                <w:top w:w="28" w:type="dxa"/>
                                <w:left w:w="28" w:type="dxa"/>
                                <w:bottom w:w="28" w:type="dxa"/>
                                <w:right w:w="28" w:type="dxa"/>
                              </w:tblCellMar>
                            </w:tblPr>
                            <w:tblGrid>
                              <w:gridCol w:w="124"/>
                              <w:gridCol w:w="109"/>
                              <w:gridCol w:w="109"/>
                              <w:gridCol w:w="184"/>
                              <w:gridCol w:w="184"/>
                              <w:gridCol w:w="1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iv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68" w:type="dxa"/>
                        <w:jc w:val="left"/>
                        <w:tblInd w:w="0" w:type="dxa"/>
                        <w:tblLayout w:type="fixed"/>
                        <w:tblCellMar>
                          <w:top w:w="28" w:type="dxa"/>
                          <w:left w:w="28" w:type="dxa"/>
                          <w:bottom w:w="28" w:type="dxa"/>
                          <w:right w:w="28" w:type="dxa"/>
                        </w:tblCellMar>
                      </w:tblPr>
                      <w:tblGrid>
                        <w:gridCol w:w="124"/>
                        <w:gridCol w:w="109"/>
                        <w:gridCol w:w="109"/>
                        <w:gridCol w:w="184"/>
                        <w:gridCol w:w="184"/>
                        <w:gridCol w:w="1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iv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7227" w:type="dxa"/>
        <w:jc w:val="left"/>
        <w:tblInd w:w="0" w:type="dxa"/>
        <w:tblLayout w:type="fixed"/>
        <w:tblCellMar>
          <w:top w:w="28" w:type="dxa"/>
          <w:left w:w="28" w:type="dxa"/>
          <w:bottom w:w="28" w:type="dxa"/>
          <w:right w:w="28" w:type="dxa"/>
        </w:tblCellMar>
      </w:tblPr>
      <w:tblGrid>
        <w:gridCol w:w="592"/>
        <w:gridCol w:w="520"/>
        <w:gridCol w:w="522"/>
        <w:gridCol w:w="352"/>
        <w:gridCol w:w="352"/>
        <w:gridCol w:w="360"/>
        <w:gridCol w:w="1324"/>
        <w:gridCol w:w="1324"/>
        <w:gridCol w:w="1881"/>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APPENDICES:</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A-1</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Initial Term Loan Commitments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A-2</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Delayed Draw Term Loan Commitments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Notice Addresses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SCHEDULES:</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1.1(a)</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Chemical Structure of Products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1.1(b)</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Excluded Subsidiaries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4.1</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Jurisdictions of Organization and Qualification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4.2</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Capital Stock and Ownership</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4.12</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Real Property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4.15</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Material Contracts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4.23(b)(i)</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Intellectual Property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4.23(b)(ii)</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Outbound Licenses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4.23(c)(i)</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Product Intellectual Property Rights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4.23(c)(ii)</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Platform Intellectual Property Rights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4.23(f)</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Contractual Obligations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4.24</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Insurance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4.27</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Bank Accounts and Securities Accounts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4.34</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Government Contracts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5.14</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Certain Post Closing Matters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6.1</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Certain Indebtedness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6.2</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Certain Liens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6.6</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Certain Loans and Advances to Employees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6.7</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Certain Investments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6.12</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Certain Affiliate Transactions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EXHIBITS:</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Funding Notice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Compliance Certificate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Assignment Agreement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Closing Date Certificate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Solvency Certificate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Counterpart Agreement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U.S. Tax Compliance Certificate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29920"/>
                <wp:effectExtent l="0" t="0" r="0" b="0"/>
                <wp:wrapNone/>
                <wp:docPr id="79" name="Frame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v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v -</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FINANCING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FINANCING AGREEMENT, dated as of August 7, 2024, is entered into by and among ARROWHEAD PHARMACEUTICALS, INC., a Delaware corporation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and certain Subsidiaries of Borrower, as Guarantors, the Lenders from time to time party hereto, and SIXTH STREET LENDING PARTNERS, (“</w:t>
      </w:r>
      <w:r>
        <w:rPr>
          <w:rFonts w:ascii="Times New Roman;serif" w:hAnsi="Times New Roman;serif"/>
          <w:b w:val="false"/>
          <w:color w:val="000000"/>
          <w:sz w:val="22"/>
          <w:u w:val="single"/>
        </w:rPr>
        <w:t>Sixth Street</w:t>
      </w:r>
      <w:r>
        <w:rPr>
          <w:color w:val="000000"/>
        </w:rPr>
        <w:t>”</w:t>
      </w:r>
      <w:r>
        <w:rPr>
          <w:rFonts w:ascii="Times New Roman;serif" w:hAnsi="Times New Roman;serif"/>
          <w:b w:val="false"/>
          <w:color w:val="000000"/>
          <w:sz w:val="22"/>
        </w:rPr>
        <w:t>), as administrative agent for the Lenders (in such capacity,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pPr>
      <w:r>
        <w:rPr>
          <w:rFonts w:ascii="Times New Roman;serif" w:hAnsi="Times New Roman;serif"/>
          <w:b w:val="false"/>
          <w:color w:val="000000"/>
          <w:sz w:val="22"/>
          <w:u w:val="single"/>
        </w:rPr>
        <w:t>W</w:t>
      </w:r>
      <w:r>
        <w:rPr>
          <w:color w:val="000000"/>
        </w:rPr>
        <w:t xml:space="preserve">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u w:val="single"/>
        </w:rPr>
        <w:t>T</w:t>
      </w:r>
      <w:r>
        <w:rPr>
          <w:color w:val="000000"/>
        </w:rPr>
        <w:t xml:space="preserve"> </w:t>
      </w:r>
      <w:r>
        <w:rPr>
          <w:rFonts w:ascii="Times New Roman;serif" w:hAnsi="Times New Roman;serif"/>
          <w:b w:val="false"/>
          <w:color w:val="000000"/>
          <w:sz w:val="22"/>
          <w:u w:val="single"/>
        </w:rPr>
        <w:t>N</w:t>
      </w:r>
      <w:r>
        <w:rPr>
          <w:color w:val="000000"/>
        </w:rPr>
        <w:t xml:space="preserve">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u w:val="single"/>
        </w:rPr>
        <w:t>S</w:t>
      </w:r>
      <w:r>
        <w:rPr>
          <w:color w:val="000000"/>
        </w:rPr>
        <w:t xml:space="preserve">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u w:val="single"/>
        </w:rPr>
        <w:t>T</w:t>
      </w:r>
      <w:r>
        <w:rPr>
          <w:color w:val="000000"/>
        </w:rPr>
        <w:t xml:space="preserve"> </w:t>
      </w:r>
      <w:r>
        <w:rPr>
          <w:rFonts w:ascii="Times New Roman;serif" w:hAnsi="Times New Roman;serif"/>
          <w:b w:val="false"/>
          <w:color w:val="000000"/>
          <w:sz w:val="22"/>
          <w:u w:val="single"/>
        </w:rPr>
        <w:t>H</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WHEREAS, capitalized terms used in these Recitals shall have the respective meanings set forth for such terms in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WHEREAS, Lenders have agreed to extend certain senior secured credit facilities to Company, in an aggregate principal amount not to exceed $935,261,000, consisting of (a) an initial term loan in an aggregate principal amount not exceeding $400,000,000, (b) a delayed draw term loan an aggregate principal amount not exceeding $435,261,000 and (c) an uncommitted incremental facility in an aggregate principal amount not to exceed $100,000,000, in each case, the proceeds of which will be used as described in </w:t>
      </w:r>
      <w:r>
        <w:rPr>
          <w:rFonts w:ascii="Times New Roman;serif" w:hAnsi="Times New Roman;serif"/>
          <w:b w:val="false"/>
          <w:color w:val="000000"/>
          <w:sz w:val="22"/>
          <w:u w:val="single"/>
        </w:rPr>
        <w:t>Section 2.2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Company has agreed to secure all of its Obligations by granting to Administrative Agent, for the benefit of Secured Parties, a first priority Lien on all of its assets (except as otherwise set forth in the Collateral Documents), including a pledge of all of the Capital Stock of each of its Subsidiaries;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Guarantors have agreed to guarantee the Obligations of Company hereunder and to secure their respective Obligations by granting to Administrative Agent, for the benefit of Secured Parties, a first priority Lien on all of their respective assets (except as otherwise set forth in the Collateral Documents), including a pledge or mortgage of all of the Capital Stock of each of their respective Subsidiaries.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agreements, provisions and covenants herein contained, the parties hereto agree as follows:</w:t>
      </w:r>
    </w:p>
    <w:p>
      <w:pPr>
        <w:pStyle w:val="TextBody"/>
        <w:bidi w:val="0"/>
        <w:spacing w:lineRule="auto" w:line="240" w:before="0" w:after="240"/>
        <w:jc w:val="center"/>
        <w:rPr/>
      </w:pPr>
      <w:r>
        <w:rPr>
          <w:rFonts w:ascii="Times New Roman;serif" w:hAnsi="Times New Roman;serif"/>
          <w:b w:val="false"/>
          <w:color w:val="010000"/>
          <w:sz w:val="22"/>
        </w:rPr>
        <w:t>Article I</w:t>
      </w:r>
      <w:r>
        <w:rPr>
          <w:rFonts w:ascii="Times New Roman;serif" w:hAnsi="Times New Roman;serif"/>
          <w:b w:val="false"/>
          <w:color w:val="000000"/>
          <w:sz w:val="22"/>
        </w:rPr>
        <w:br/>
        <w:br/>
        <w:t>DEFINITIONS AND INTERPRETATION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1.1</w:t>
      </w:r>
      <w:r>
        <w:rPr>
          <w:rFonts w:ascii="Times New Roman;serif" w:hAnsi="Times New Roman;serif"/>
          <w:b w:val="false"/>
          <w:color w:val="000000"/>
          <w:sz w:val="22"/>
          <w:u w:val="single"/>
        </w:rPr>
        <w:t>Definitions</w:t>
      </w:r>
      <w:r>
        <w:rPr>
          <w:rFonts w:ascii="Times New Roman;serif" w:hAnsi="Times New Roman;serif"/>
          <w:b w:val="false"/>
          <w:color w:val="000000"/>
          <w:sz w:val="22"/>
        </w:rPr>
        <w:t>. The following terms used herein, including in the preamble, recitals, exhibits and schedules hereto, shall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has the meaning specified in the preamble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Agent’s Account</w:t>
      </w:r>
      <w:r>
        <w:rPr>
          <w:color w:val="000000"/>
        </w:rPr>
        <w:t xml:space="preserve">” </w:t>
      </w:r>
      <w:r>
        <w:rPr>
          <w:rFonts w:ascii="Times New Roman;serif" w:hAnsi="Times New Roman;serif"/>
          <w:b w:val="false"/>
          <w:color w:val="000000"/>
          <w:sz w:val="22"/>
        </w:rPr>
        <w:t>means an account at a bank designated by Administrative Agent from time to time as the account into which the Loan Parties shall make all payments to Administrative Agent under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Adverse Proceeding</w:t>
      </w:r>
      <w:r>
        <w:rPr>
          <w:color w:val="000000"/>
        </w:rPr>
        <w:t xml:space="preserve">” </w:t>
      </w:r>
      <w:r>
        <w:rPr>
          <w:rFonts w:ascii="Times New Roman;serif" w:hAnsi="Times New Roman;serif"/>
          <w:b w:val="false"/>
          <w:color w:val="000000"/>
          <w:sz w:val="22"/>
        </w:rPr>
        <w:t xml:space="preserve">means any action, suit, claim, proceeding (whether administrative, judicial or otherwise), governmental investigation or arbitration (whether or not purportedly on behalf of Borrower or any of its Subsidiaries) at law or in equity, or before or by any Governmental Authority, domestic or foreign (including any Environmental Claims) or other regulatory body or any mediator or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arbitrator, whether pending or, to the knowledge of the Loan Parties, threatened in writing against Borrower or any of its Subsidiaries or any property of Borrower or any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(a) to vote 15% or more of the securities having ordinary voting power for the election of directors of such Person, or (b) to direct or cause the direction of the management and policies of that Person, whether through the ownership of voting securities or Capital Stock, by contract or otherwise. Notwithstanding anything herein to the contrary, in no event shall Administrative Agent or any Lender or any of their Affiliates or Related Funds be considered an “Affiliate” of any Loan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Aggregate Amounts Due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Aggregate Payments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Agreed Security Principles</w:t>
      </w:r>
      <w:r>
        <w:rPr>
          <w:color w:val="000000"/>
        </w:rPr>
        <w:t xml:space="preserve">” </w:t>
      </w:r>
      <w:r>
        <w:rPr>
          <w:rFonts w:ascii="Times New Roman;serif" w:hAnsi="Times New Roman;serif"/>
          <w:b w:val="false"/>
          <w:color w:val="000000"/>
          <w:sz w:val="22"/>
        </w:rPr>
        <w:t>has the meaning specified in Section 5.12(a).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means this Financing Agreement and any annexes, exhibits and schedules attached hereto, as it may be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Amendment No. 1</w:t>
      </w:r>
      <w:r>
        <w:rPr>
          <w:color w:val="000000"/>
        </w:rPr>
        <w:t xml:space="preserve">” </w:t>
      </w:r>
      <w:r>
        <w:rPr>
          <w:rFonts w:ascii="Times New Roman;serif" w:hAnsi="Times New Roman;serif"/>
          <w:b w:val="false"/>
          <w:color w:val="000000"/>
          <w:sz w:val="22"/>
        </w:rPr>
        <w:t>means that certain Amendment No. 1 to Financing Agreement, dated as of the Amendment No. 1 Closing Date, by and among the Borrower, the Administrative Agent and the Lenders party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Amendment No. 1 Closing Date</w:t>
      </w:r>
      <w:r>
        <w:rPr>
          <w:color w:val="000000"/>
        </w:rPr>
        <w:t xml:space="preserve">” </w:t>
      </w:r>
      <w:r>
        <w:rPr>
          <w:rFonts w:ascii="Times New Roman;serif" w:hAnsi="Times New Roman;serif"/>
          <w:b w:val="false"/>
          <w:color w:val="000000"/>
          <w:sz w:val="22"/>
        </w:rPr>
        <w:t>means November 26, 2024.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Amendment No. 1 Effective Date</w:t>
      </w:r>
      <w:r>
        <w:rPr>
          <w:color w:val="000000"/>
        </w:rPr>
        <w:t xml:space="preserve">” </w:t>
      </w:r>
      <w:r>
        <w:rPr>
          <w:rFonts w:ascii="Times New Roman;serif" w:hAnsi="Times New Roman;serif"/>
          <w:b w:val="false"/>
          <w:color w:val="000000"/>
          <w:sz w:val="22"/>
        </w:rPr>
        <w:t>means the date when the conditions set forth in Amendment No. 1 have been satisfied or waived.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Amendment No. 2</w:t>
      </w:r>
      <w:r>
        <w:rPr>
          <w:color w:val="000000"/>
        </w:rPr>
        <w:t xml:space="preserve">” </w:t>
      </w:r>
      <w:r>
        <w:rPr>
          <w:rFonts w:ascii="Times New Roman;serif" w:hAnsi="Times New Roman;serif"/>
          <w:b w:val="false"/>
          <w:color w:val="000000"/>
          <w:sz w:val="22"/>
        </w:rPr>
        <w:t>means that certain Amendment No. 2 to Financing Agreement, dated as of the Amendment No. 2 Closing Date, by and among the Borrower, the Administrative Agent and the Lenders party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Amendment No. 2 Closing Date</w:t>
      </w:r>
      <w:r>
        <w:rPr>
          <w:color w:val="000000"/>
        </w:rPr>
        <w:t xml:space="preserve">” </w:t>
      </w:r>
      <w:r>
        <w:rPr>
          <w:rFonts w:ascii="Times New Roman;serif" w:hAnsi="Times New Roman;serif"/>
          <w:b w:val="false"/>
          <w:color w:val="000000"/>
          <w:sz w:val="22"/>
        </w:rPr>
        <w:t>means August 13, 2025.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Amendment No. 2 Effective Date</w:t>
      </w:r>
      <w:r>
        <w:rPr>
          <w:color w:val="000000"/>
        </w:rPr>
        <w:t xml:space="preserve">” </w:t>
      </w:r>
      <w:r>
        <w:rPr>
          <w:rFonts w:ascii="Times New Roman;serif" w:hAnsi="Times New Roman;serif"/>
          <w:b w:val="false"/>
          <w:color w:val="000000"/>
          <w:sz w:val="22"/>
        </w:rPr>
        <w:t>means the date when the conditions set forth in Amendment No. 2 have been satisfied or waived.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means all Requirements of Law concerning or relating to bribery or corruption, including, without limitation, the United States Foreign Corrupt Practices Act of 1977, and the anti-bribery and anti-corruption laws and regulations of those jurisdictions in which the Loan Parties do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Anti-Terrorism Laws</w:t>
      </w:r>
      <w:r>
        <w:rPr>
          <w:color w:val="000000"/>
        </w:rPr>
        <w:t xml:space="preserve">” </w:t>
      </w:r>
      <w:r>
        <w:rPr>
          <w:rFonts w:ascii="Times New Roman;serif" w:hAnsi="Times New Roman;serif"/>
          <w:b w:val="false"/>
          <w:color w:val="000000"/>
          <w:sz w:val="22"/>
        </w:rPr>
        <w:t>means any Requirement of Law relating to terrorism or money laundering, including, without limitation, (a) the Money Laundering Control Act of 1986 (</w:t>
      </w:r>
      <w:r>
        <w:rPr>
          <w:rFonts w:ascii="Times New Roman;serif" w:hAnsi="Times New Roman;serif"/>
          <w:b w:val="false"/>
          <w:i/>
          <w:color w:val="000000"/>
          <w:sz w:val="22"/>
        </w:rPr>
        <w:t>i.e.</w:t>
      </w:r>
      <w:r>
        <w:rPr>
          <w:rFonts w:ascii="Times New Roman;serif" w:hAnsi="Times New Roman;serif"/>
          <w:b w:val="false"/>
          <w:color w:val="000000"/>
          <w:sz w:val="22"/>
        </w:rPr>
        <w:t>, 18 U.S.C. §§ 1956 and 1957), (b) the Currency and Foreign Transactions Reporting Act (31 U.S.C. §§ 5311-5330 and 12 U.S.C. §§ 1818(s), 1820(b) and 1951-1959) (the “</w:t>
      </w:r>
      <w:r>
        <w:rPr>
          <w:rFonts w:ascii="Times New Roman;serif" w:hAnsi="Times New Roman;serif"/>
          <w:b w:val="false"/>
          <w:color w:val="000000"/>
          <w:sz w:val="22"/>
          <w:u w:val="single"/>
        </w:rPr>
        <w:t>Bank Secrecy Act</w:t>
      </w:r>
      <w:r>
        <w:rPr>
          <w:color w:val="000000"/>
        </w:rPr>
        <w:t>”</w:t>
      </w:r>
      <w:r>
        <w:rPr>
          <w:rFonts w:ascii="Times New Roman;serif" w:hAnsi="Times New Roman;serif"/>
          <w:b w:val="false"/>
          <w:color w:val="000000"/>
          <w:sz w:val="22"/>
        </w:rPr>
        <w:t xml:space="preserve">), (c) the USA PATRIOT Act, (d) the laws, regulations and Executive Orders administered by the United States Department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28650"/>
                <wp:effectExtent l="0" t="0" r="0" b="0"/>
                <wp:wrapNone/>
                <wp:docPr id="81" name="Frame7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Treasury’s Office of Foreign Assets Control (“</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(e) the Comprehensive Iran Sanctions, Accountability, and Divestment Act of 2010 and implementing regulations by the United States Department of the Treasury, (f) any law prohibiting or directed against terrorist activities or the financing of terrorist activities (</w:t>
      </w:r>
      <w:r>
        <w:rPr>
          <w:rFonts w:ascii="Times New Roman;serif" w:hAnsi="Times New Roman;serif"/>
          <w:b w:val="false"/>
          <w:i/>
          <w:color w:val="000000"/>
          <w:sz w:val="22"/>
        </w:rPr>
        <w:t>e.g.</w:t>
      </w:r>
      <w:r>
        <w:rPr>
          <w:rFonts w:ascii="Times New Roman;serif" w:hAnsi="Times New Roman;serif"/>
          <w:b w:val="false"/>
          <w:color w:val="000000"/>
          <w:sz w:val="22"/>
        </w:rPr>
        <w:t>, 18 U.S.C. §§ 2339A and 2339B), or (g) any similar laws enacted in the United States or any other jurisdictions in which the parties to this Agreement operate, as any of the foregoing laws may from time to time be amended, renewed, extended, or replaced and all other present and future legal requirements of any Governmental Authority governing, addressing, relating to, or attempting to eliminate, terrorist acts and acts of war and any regulations promulgated pursuant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Application Event</w:t>
      </w:r>
      <w:r>
        <w:rPr>
          <w:color w:val="000000"/>
        </w:rPr>
        <w:t xml:space="preserve">” </w:t>
      </w:r>
      <w:r>
        <w:rPr>
          <w:rFonts w:ascii="Times New Roman;serif" w:hAnsi="Times New Roman;serif"/>
          <w:b w:val="false"/>
          <w:color w:val="000000"/>
          <w:sz w:val="22"/>
        </w:rPr>
        <w:t xml:space="preserve">means the (a) occurrence of an Event of Default and (b) the election by Administrative Agent or the Required Lenders during the continuance of such Event of Default to require that payments and proceeds of Collateral be applied pursuant to </w:t>
      </w:r>
      <w:r>
        <w:rPr>
          <w:rFonts w:ascii="Times New Roman;serif" w:hAnsi="Times New Roman;serif"/>
          <w:b w:val="false"/>
          <w:color w:val="000000"/>
          <w:sz w:val="22"/>
          <w:u w:val="single"/>
        </w:rPr>
        <w:t>Section 2.12(f)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ARO-HBV</w:t>
      </w:r>
      <w:r>
        <w:rPr>
          <w:color w:val="000000"/>
        </w:rPr>
        <w:t xml:space="preserve">” </w:t>
      </w:r>
      <w:r>
        <w:rPr>
          <w:rFonts w:ascii="Times New Roman;serif" w:hAnsi="Times New Roman;serif"/>
          <w:b w:val="false"/>
          <w:color w:val="000000"/>
          <w:sz w:val="22"/>
        </w:rPr>
        <w:t>means the pharmaceutical product candidate having the chemical structures set forth on Schedule 1.1(a), including all forms (including salt forms), presentations, strengths, doses, and formulations (including any method of delivery), either alone or as a Combination Product, and all other “Licensed Products” (as defined in the ARO-HBV License Agreement) licensed or sublicensed to one or more third parties under the ARO-HBV License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ARO-HBV License Agreement</w:t>
      </w:r>
      <w:r>
        <w:rPr>
          <w:color w:val="000000"/>
        </w:rPr>
        <w:t xml:space="preserve">” </w:t>
      </w:r>
      <w:r>
        <w:rPr>
          <w:rFonts w:ascii="Times New Roman;serif" w:hAnsi="Times New Roman;serif"/>
          <w:b w:val="false"/>
          <w:color w:val="000000"/>
          <w:sz w:val="22"/>
        </w:rPr>
        <w:t>means that certain Amended and Restated License Agreement by and between Arrowhead Pharmaceuticals, Inc. and GlaxoSmithKline Intellectual Property (No. 3) Limited dated as of December 11, 2023.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Asset Sale</w:t>
      </w:r>
      <w:r>
        <w:rPr>
          <w:color w:val="000000"/>
        </w:rPr>
        <w:t xml:space="preserve">” </w:t>
      </w:r>
      <w:r>
        <w:rPr>
          <w:rFonts w:ascii="Times New Roman;serif" w:hAnsi="Times New Roman;serif"/>
          <w:b w:val="false"/>
          <w:color w:val="000000"/>
          <w:sz w:val="22"/>
        </w:rPr>
        <w:t xml:space="preserve">means a sale, lease or sublease (as lessor or sublessor), sale and leaseback, assignment, conveyance, transfer, license or sublicense or other disposition to (other than to a Loan Party), or any exchange of property with, any Person (other than to a Loan Party), in one transaction or a series of transactions, in each case of all or any part of any Loan Party’s businesses, assets or properties of any kind, whether real, personal, or mixed and whether tangible or intangible, including but not limited to any Product Intellectual Property Rights, Platform Intellectual Property Rights, Registrations, Regulatory Documentation, or Collateral, whether now owned or hereafter acquired, including the Capital Stock of any Loan Party (but excluding any issuance, sale, transfer or other disposition of Capital Stock of the Borrower). For purposes of clarification, “Asset Sale” shall include the following transactions (other than with Loan Parties): (a) the sale or other disposition for value of any contracts to a third party, (b) any disposition of property through a “plan of division” under the Delaware Limited Liability Company Act or any comparable transaction under any similar law, (c) the early termination (other than in accordance with its terms) or modification of any contract resulting in the receipt by any Loan Party of a cash payment or other consideration (other than reversion of Intellectual Property) in exchange for such event, (d) any sale of accounts (or any rights thereto (including, without limitation, any rights to any residual payment stream with respect thereto)) by any Loan Party or Subsidiary of Borrower or (e) any sale, lease or sublease (as lessor or sublessor), sale and leaseback, assignment, conveyance, transfer, license or sublicense or other disposition (i) of Capital Stock pursuant to any Joint Venture, (ii) pursuant to any Product Agreement, (iii) pursuant to any Permitted Product Transaction, (iv) pursuant to any Royalty Monetization Transaction, (v) pursuant to any Permitted Zodasiran Agreement or (vi) of economic rights or Intellectual Property Rights related to the Products or Platform Technology of the Company and its Subsidiaries.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Assignment Agreement</w:t>
      </w:r>
      <w:r>
        <w:rPr>
          <w:color w:val="000000"/>
        </w:rPr>
        <w:t xml:space="preserve">” </w:t>
      </w:r>
      <w:r>
        <w:rPr>
          <w:rFonts w:ascii="Times New Roman;serif" w:hAnsi="Times New Roman;serif"/>
          <w:b w:val="false"/>
          <w:color w:val="000000"/>
          <w:sz w:val="22"/>
        </w:rPr>
        <w:t xml:space="preserve">means an Assignment and Assumption Agreement substantially in the form of </w:t>
      </w:r>
      <w:r>
        <w:rPr>
          <w:rFonts w:ascii="Times New Roman;serif" w:hAnsi="Times New Roman;serif"/>
          <w:b w:val="false"/>
          <w:color w:val="000000"/>
          <w:sz w:val="22"/>
          <w:u w:val="single"/>
        </w:rPr>
        <w:t>Exhibit C</w:t>
      </w:r>
      <w:r>
        <w:rPr>
          <w:rFonts w:ascii="Times New Roman;serif" w:hAnsi="Times New Roman;serif"/>
          <w:b w:val="false"/>
          <w:color w:val="000000"/>
          <w:sz w:val="22"/>
        </w:rPr>
        <w:t>, with such amendments or modifications as may be approved by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28650"/>
                <wp:effectExtent l="0" t="0" r="0" b="0"/>
                <wp:wrapNone/>
                <wp:docPr id="82" name="Frame8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Authorized Officer</w:t>
      </w:r>
      <w:r>
        <w:rPr>
          <w:color w:val="000000"/>
        </w:rPr>
        <w:t xml:space="preserve">” </w:t>
      </w:r>
      <w:r>
        <w:rPr>
          <w:rFonts w:ascii="Times New Roman;serif" w:hAnsi="Times New Roman;serif"/>
          <w:b w:val="false"/>
          <w:color w:val="000000"/>
          <w:sz w:val="22"/>
        </w:rPr>
        <w:t>means, as applied to any Person, any individual holding the position of chairman of the board (if an officer), director, chief executive officer, president or one of its vice presidents (or the equivalent thereof), and such Person’s chief financial officer or treasurer.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 Secrecy Act</w:t>
      </w:r>
      <w:r>
        <w:rPr>
          <w:color w:val="000000"/>
        </w:rPr>
        <w:t xml:space="preserve">” </w:t>
      </w:r>
      <w:r>
        <w:rPr>
          <w:rFonts w:ascii="Times New Roman;serif" w:hAnsi="Times New Roman;serif"/>
          <w:b w:val="false"/>
          <w:color w:val="000000"/>
          <w:sz w:val="22"/>
        </w:rPr>
        <w:t>has the meaning specified in the definition of “Anti-Terrorism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means Title 11 of the United States Code entitled “Bankruptcy,” as now and hereafter in effect, or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Beneficiary</w:t>
      </w:r>
      <w:r>
        <w:rPr>
          <w:color w:val="000000"/>
        </w:rPr>
        <w:t xml:space="preserve">” </w:t>
      </w:r>
      <w:r>
        <w:rPr>
          <w:rFonts w:ascii="Times New Roman;serif" w:hAnsi="Times New Roman;serif"/>
          <w:b w:val="false"/>
          <w:color w:val="000000"/>
          <w:sz w:val="22"/>
        </w:rPr>
        <w:t>means Administrative Agent and each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Section 3(3) of ERISA) that is subject to Title I of ERISA, (b) a “plan” as defined in Section 4975 of the Internal Revenue Code to which Section 4975 of the Internal Revenue Code applies and (c) any Person whose assets include (for purposes of the Plan Asset Regulations or otherwise for purposes of Title I of ERISA or Section 4975 of the Internal Revenue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Blocked Person</w:t>
      </w:r>
      <w:r>
        <w:rPr>
          <w:color w:val="000000"/>
        </w:rPr>
        <w:t xml:space="preserve">” </w:t>
      </w:r>
      <w:r>
        <w:rPr>
          <w:rFonts w:ascii="Times New Roman;serif" w:hAnsi="Times New Roman;serif"/>
          <w:b w:val="false"/>
          <w:color w:val="000000"/>
          <w:sz w:val="22"/>
        </w:rPr>
        <w:t>means any Person: (a) that is publicly identified (i) on the most current list of “Specially Designated Nationals and Blocked Persons” published by OFAC or resides, is organized or chartered, or has a place of business in a country or territory subject to OFAC sanctions or embargo program or (ii) as prohibited from doing business with the United States under the International Emergency Economic Powers Act, the Trading With the Enemy Act, or any other Anti-Terrorism Law; (b) that is owned or controlled by, or that owns or controls, or that is acting for or on behalf of, any Person described in clause (a) above; (c) which any Lender is prohibited from dealing or otherwise engaging in any transaction by any Anti-Terrorism Law; and (d) that is affiliated or associated with a Person described in clauses (a), (b), or (c) above.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Board of Directors</w:t>
      </w:r>
      <w:r>
        <w:rPr>
          <w:color w:val="000000"/>
        </w:rPr>
        <w:t xml:space="preserve">” </w:t>
      </w:r>
      <w:r>
        <w:rPr>
          <w:rFonts w:ascii="Times New Roman;serif" w:hAnsi="Times New Roman;serif"/>
          <w:b w:val="false"/>
          <w:color w:val="000000"/>
          <w:sz w:val="22"/>
        </w:rPr>
        <w:t>means, (a) with respect to any corporation or company, the board of directors of the corporation, company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 directors of such company or the sole member or the managing member thereof, and (d) with respect to any other Person, the board or committee of such Person serving a similar function.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has the meaning specified in the preamble hereto and is interchangeable with the term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that is not a Saturday, Sunday or other day on which the Federal Reserve Bank of New York is closed.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Capital Lease</w:t>
      </w:r>
      <w:r>
        <w:rPr>
          <w:color w:val="000000"/>
        </w:rPr>
        <w:t xml:space="preserve">” </w:t>
      </w:r>
      <w:r>
        <w:rPr>
          <w:rFonts w:ascii="Times New Roman;serif" w:hAnsi="Times New Roman;serif"/>
          <w:b w:val="false"/>
          <w:color w:val="000000"/>
          <w:sz w:val="22"/>
        </w:rPr>
        <w:t xml:space="preserve">means, as applied to any Person, and subject to </w:t>
      </w:r>
      <w:r>
        <w:rPr>
          <w:rFonts w:ascii="Times New Roman;serif" w:hAnsi="Times New Roman;serif"/>
          <w:b w:val="false"/>
          <w:color w:val="000000"/>
          <w:sz w:val="22"/>
          <w:u w:val="single"/>
        </w:rPr>
        <w:t>Section 1.2(a)</w:t>
      </w:r>
      <w:r>
        <w:rPr>
          <w:rFonts w:ascii="Times New Roman;serif" w:hAnsi="Times New Roman;serif"/>
          <w:b w:val="false"/>
          <w:color w:val="000000"/>
          <w:sz w:val="22"/>
        </w:rPr>
        <w:t xml:space="preserve">, any lease of any property (whether real, personal or mixed) by that Person (a) as lessee that, in conformity with GAAP, is or should be accounted for as a capital lease on the balance sheet of that Person or (b) as lessee which is a transaction of a type commonly known as a “synthetic lease” (i.e., a transaction that is treated as an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28650"/>
                <wp:effectExtent l="0" t="0" r="0" b="0"/>
                <wp:wrapNone/>
                <wp:docPr id="83" name="Frame8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operating lease for accounting purposes but with respect to which payments of rent are intended to be treated as payments of principal and interest on a loan for income tax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Capital Stock</w:t>
      </w:r>
      <w:r>
        <w:rPr>
          <w:color w:val="000000"/>
        </w:rPr>
        <w:t xml:space="preserve">” </w:t>
      </w:r>
      <w:r>
        <w:rPr>
          <w:rFonts w:ascii="Times New Roman;serif" w:hAnsi="Times New Roman;serif"/>
          <w:b w:val="false"/>
          <w:color w:val="000000"/>
          <w:sz w:val="22"/>
        </w:rPr>
        <w:t xml:space="preserve">means any and all shares, interests, participations or other equivalents (however designated) of capital stock of a corporation, any and all equivalent ownership interests in a Person (other than a corporation), including, without limitation, shares, partnership interests and membership interests, and any and all warrants, rights or options to purchase or other arrangements or rights to acquire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Capital Stock shall exclude debt securities and other Indebtedness convertible into or exchangeable for any of the foregoing (including without limitation, Permitted Convertible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w:t>
      </w:r>
      <w:r>
        <w:rPr>
          <w:color w:val="000000"/>
        </w:rPr>
        <w:t xml:space="preserve">” </w:t>
      </w:r>
      <w:r>
        <w:rPr>
          <w:rFonts w:ascii="Times New Roman;serif" w:hAnsi="Times New Roman;serif"/>
          <w:b w:val="false"/>
          <w:color w:val="000000"/>
          <w:sz w:val="22"/>
        </w:rPr>
        <w:t>means cash, money, currency or a credit balance in any demand or Deposit Account or in any Securities Account or other investment account.</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 xml:space="preserve">means, as at any date of determination,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year after such date, (b)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 1 from S&amp;P or at least P 1 from Moody’s, (c) commercial paper maturing no more than one year from the date of creation thereof and having, at the time of the acquisition thereof, a rating of at least A 1 from S&amp;P or at least P 1 from Moody’s, (d) certificates of deposit or bankers’ acceptances maturing within one year after such date and issued or accepted by any Lender or by any commercial bank organized under the laws of the United States of America or any state thereof or the District of Columbia that (i) is at least “adequately capitalized” (as defined in the regulations of its primary Federal banking regulator), and (ii) has Tier 1 capital (as defined in such regulations) of not less than $100,000,000, (e) shares of any money market mutual fund that (i) has substantially all of its assets invested continuously in the types of investments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(ii) has net assets of not less than $500,000,000, and (iii) has the highest rating obtainable from either S&amp;P or Moody’s, (f) securities that are consistent with the Borrower’s investment policy, a copy of which has been delivered to the Lenders (including any amendments thereto after the Closing Date consented to by the Administrative Agent, such consent not to be unreasonably withheld), and (g) in the case of any Foreign Subsidiary, cash and cash equivalents that are substantially equivalent in such jurisdiction to those described in clauses (a) through (f) above in respect of each country that is a member of the Organization for Economic Co-operation and Development.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means, at any time, any of the following occurrences: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any Person or “group” (within the meaning of Rules 13d-3 and 13d-5 under the Exchange Act) (i) shall have acquired beneficial ownership of [**]% or more on a fully diluted basis of the voting and/or economic interest in the securities or Capital Stock of Borrower or (ii) shall have obtained the power (whether or not exercised) to elect a majority of the members of the Board of Directors (or similar governing body) of Borrower; provided that for purposes of this provision, any Person or group shall not be deemed to beneficially own Capital Stock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28650"/>
                <wp:effectExtent l="0" t="0" r="0" b="0"/>
                <wp:wrapNone/>
                <wp:docPr id="84" name="Frame8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except pursuant to a transaction expressly permitted by this Agreement, Borrower shall cease to beneficially own and control, directly or indirectly, 100% on a fully diluted basis of the economic and voting interest in the Capital Stock of each Loan Party;</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the majority of the seats (other than vacant seats) on the Board of Directors (or similar governing body) of Borrower cease to be occupied by Persons who either (i) were members of the Board of Directors of Borrower on the Closing Date, or (ii) were nominated for election by the Board of Directors of Borrower, a majority of whom were directors on the Closing Date or whose election or nomination for election was previously approved by a majority of such directors, in each case, excluding any director that is an interim appointee due to death or retirement;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any “change of control” or similar event shall occur under, and as defined in or set forth in the documents evidencing or governing any Indebtedness in an individual principal amount in excess of the Threshold Amount owed by Borrower or any of its Subsidiaries;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the Common Stock fails to remain (i) registered with the SEC or (ii) publicly traded on and registered with a public securities exchange.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means the date on which the Initial Term Loans are made, which is August 7, 2024.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Date Certificate</w:t>
      </w:r>
      <w:r>
        <w:rPr>
          <w:color w:val="000000"/>
        </w:rPr>
        <w:t xml:space="preserve">” </w:t>
      </w:r>
      <w:r>
        <w:rPr>
          <w:rFonts w:ascii="Times New Roman;serif" w:hAnsi="Times New Roman;serif"/>
          <w:b w:val="false"/>
          <w:color w:val="000000"/>
          <w:sz w:val="22"/>
        </w:rPr>
        <w:t xml:space="preserve">means a Closing Date Certificate substantially in the form of </w:t>
      </w:r>
      <w:r>
        <w:rPr>
          <w:rFonts w:ascii="Times New Roman;serif" w:hAnsi="Times New Roman;serif"/>
          <w:b w:val="false"/>
          <w:color w:val="000000"/>
          <w:sz w:val="22"/>
          <w:u w:val="single"/>
        </w:rPr>
        <w:t>Exhibit 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collectively, all of the real, personal and mixed property (including Capital Stock) and all interests therein and proceeds thereof now owned or hereafter acquired by any Loan Party upon which a Lien is granted or purported to be granted by such Loan Party in favor of the Administrative Agent pursuant to the Collateral Documents as security for the Obligations; provided, however, that in no event shall Excluded Assets constitute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Access Agreement</w:t>
      </w:r>
      <w:r>
        <w:rPr>
          <w:color w:val="000000"/>
        </w:rPr>
        <w:t xml:space="preserve">” </w:t>
      </w:r>
      <w:r>
        <w:rPr>
          <w:rFonts w:ascii="Times New Roman;serif" w:hAnsi="Times New Roman;serif"/>
          <w:b w:val="false"/>
          <w:color w:val="000000"/>
          <w:sz w:val="22"/>
        </w:rPr>
        <w:t>means a collateral access agreement in form and substance reasonably satisfactory to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means the Pledge and Security Agreement, the Collateral Access Agreements, if any, any Control Agreement, any Mortgages and all other instruments, documents and agreements delivered by any Loan Party pursuant to this Agreement or any of the other Loan Documents in order to grant to Administrative Agent, for the benefit of Secured Parties, a Lien on any real, personal or mixed property of that Loan Party as security for the Obligations, in each case, as such Collateral Documents may be amended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Combination Product</w:t>
      </w:r>
      <w:r>
        <w:rPr>
          <w:color w:val="000000"/>
        </w:rPr>
        <w:t xml:space="preserve">” </w:t>
      </w:r>
      <w:r>
        <w:rPr>
          <w:rFonts w:ascii="Times New Roman;serif" w:hAnsi="Times New Roman;serif"/>
          <w:b w:val="false"/>
          <w:color w:val="000000"/>
          <w:sz w:val="22"/>
        </w:rPr>
        <w:t>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Commercialize</w:t>
      </w:r>
      <w:r>
        <w:rPr>
          <w:color w:val="000000"/>
        </w:rPr>
        <w:t xml:space="preserve">” </w:t>
      </w:r>
      <w:r>
        <w:rPr>
          <w:rFonts w:ascii="Times New Roman;serif" w:hAnsi="Times New Roman;serif"/>
          <w:b w:val="false"/>
          <w:color w:val="000000"/>
          <w:sz w:val="22"/>
        </w:rPr>
        <w:t>means any and all activities directed to (a) solely with respect to the Company and its Subsidiaries, the out-licensing of any Platform Technology or (b) the distribution, marketing, detailing, promotion, selling and securing of reimbursement of a Product (including the importing, selling and offering for sale of such Product), and shall include post-marketing approval studies to the extent required by a Governmental Authority, post-launch marketing, promoting, detailing, distributing, selling such Product, importing, exporting or transporting such Product for sale, and regulatory compliance with respect to the foregoing. When used as a verb, “Commercialize” shall mean to engage in Commercialization. Except with respect to post-marketing approval studies required by a Governmental Authority, Commercialization shall not include any activities directed to the research or development (including pre-clinical and clinical development) or manufacture of a Product.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28650"/>
                <wp:effectExtent l="0" t="0" r="0" b="0"/>
                <wp:wrapNone/>
                <wp:docPr id="85" name="Frame8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Commercially Reasonable Efforts</w:t>
      </w:r>
      <w:r>
        <w:rPr>
          <w:color w:val="000000"/>
        </w:rPr>
        <w:t xml:space="preserve">” </w:t>
      </w:r>
      <w:r>
        <w:rPr>
          <w:rFonts w:ascii="Times New Roman;serif" w:hAnsi="Times New Roman;serif"/>
          <w:b w:val="false"/>
          <w:color w:val="000000"/>
          <w:sz w:val="22"/>
        </w:rPr>
        <w:t>means, with respect to the Borrower’s development or Commercialization of a Material Product, that level of efforts and resources commonly dedicated in the research-based pharmaceutical industry by a similarly situated biotechnology company of similar resources to the development or commercialization, as the case may be, of a product of similar commercial potential at a similar stage of development or commercialization for a similar therapeutic and disease area and of similar market potential, in each case taking into account issues of safety and efficacy, product profile, the proprietary position (including patent and regulatory and data exclusivity), present and future market and commercial potential, the then current competitive environment for such product and the likely timing of such product’s entry into the market, the regulatory environment and status of such product (including likelihood of receiving regulatory approval or pricing and reimbursement approval), and other relevant scientific, technical and commercial factors. Notwithstanding the foregoing, Borrower’s Commercially Reasonable Efforts shall be determined on a Material Product-by-Material Product and country-by-country basis and it is anticipated that the level of effort and resources that constitute “Commercially Reasonable Efforts” with respect to a particular Material Product or country will change over time, reflecting changes in the status of such Material Product, as applicable, and the country involved.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means any Term Loan Commitment or Delayed Draw Term Loan Commitment.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Common Stock</w:t>
      </w:r>
      <w:r>
        <w:rPr>
          <w:color w:val="000000"/>
        </w:rPr>
        <w:t xml:space="preserve">” </w:t>
      </w:r>
      <w:r>
        <w:rPr>
          <w:rFonts w:ascii="Times New Roman;serif" w:hAnsi="Times New Roman;serif"/>
          <w:b w:val="false"/>
          <w:color w:val="000000"/>
          <w:sz w:val="22"/>
        </w:rPr>
        <w:t>means Borrower’s common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has the meaning specified in the preamble hereto and is interchangeable with the term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Compliance Certificate substantially in the form of </w:t>
      </w:r>
      <w:r>
        <w:rPr>
          <w:rFonts w:ascii="Times New Roman;serif" w:hAnsi="Times New Roman;serif"/>
          <w:b w:val="false"/>
          <w:color w:val="000000"/>
          <w:sz w:val="22"/>
          <w:u w:val="single"/>
        </w:rPr>
        <w:t>Exhibit 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has the meaning assigned to such term in Section 10.20.</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Total Cash</w:t>
      </w:r>
      <w:r>
        <w:rPr>
          <w:color w:val="000000"/>
        </w:rPr>
        <w:t xml:space="preserve">” </w:t>
      </w:r>
      <w:r>
        <w:rPr>
          <w:rFonts w:ascii="Times New Roman;serif" w:hAnsi="Times New Roman;serif"/>
          <w:b w:val="false"/>
          <w:color w:val="000000"/>
          <w:sz w:val="22"/>
        </w:rPr>
        <w:t>means, at any date of determination, total unrestricted cash and Cash Equivalents (other than restrictions created by the Collateral Documents and nonconsensual Permitted Liens described in clauses (u) and (v) of the definition thereof) as of such date, which, in connection with any determination under the definition of Permitted Acquisition, shall be determined on a pro forma basis, after giving effect to the applicable Permitted Acquisition, and in each case as certified by the chief financial officer or Authorized Officer of Borrower to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Contractual Obligation</w:t>
      </w:r>
      <w:r>
        <w:rPr>
          <w:color w:val="000000"/>
        </w:rPr>
        <w:t xml:space="preserve">” </w:t>
      </w:r>
      <w:r>
        <w:rPr>
          <w:rFonts w:ascii="Times New Roman;serif" w:hAnsi="Times New Roman;serif"/>
          <w:b w:val="false"/>
          <w:color w:val="000000"/>
          <w:sz w:val="22"/>
        </w:rPr>
        <w:t>means, as applied to any Person, any provision of any security issued by that Person or of any indenture, mortgage, deed of trust, contract (including, but not limited to, any Material Contract), undertaking, agreement, license or other instrument to which that Person is a party or by which it or any of its properties is bound or to which it or any of its properties is subject.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with respect to any Intellectual Property Right, that an entity (a) owns or (b) has the right to grant access, a license or a sublicense (as applicable) to such Intellectual Property Right.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 Agreement</w:t>
      </w:r>
      <w:r>
        <w:rPr>
          <w:color w:val="000000"/>
        </w:rPr>
        <w:t xml:space="preserve">” </w:t>
      </w:r>
      <w:r>
        <w:rPr>
          <w:rFonts w:ascii="Times New Roman;serif" w:hAnsi="Times New Roman;serif"/>
          <w:b w:val="false"/>
          <w:color w:val="000000"/>
          <w:sz w:val="22"/>
        </w:rPr>
        <w:t>means a “springing” control agreement, in form and substance reasonably satisfactory to Administrative Agent, executed and delivered by the applicable Loan Party, Administrative Agent, and the applicable securities intermediary (with respect to a Securities Account) or bank (with respect to a Deposit Account).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28650"/>
                <wp:effectExtent l="0" t="0" r="0" b="0"/>
                <wp:wrapNone/>
                <wp:docPr id="86" name="Frame8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Copyrights</w:t>
      </w:r>
      <w:r>
        <w:rPr>
          <w:color w:val="000000"/>
        </w:rPr>
        <w:t xml:space="preserve">” </w:t>
      </w:r>
      <w:r>
        <w:rPr>
          <w:rFonts w:ascii="Times New Roman;serif" w:hAnsi="Times New Roman;serif"/>
          <w:b w:val="false"/>
          <w:color w:val="000000"/>
          <w:sz w:val="22"/>
        </w:rPr>
        <w:t>has the meaning ascribed to such term in the definition of “Intellectual Property Rights.”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Core Markets</w:t>
      </w:r>
      <w:r>
        <w:rPr>
          <w:color w:val="000000"/>
        </w:rPr>
        <w:t xml:space="preserve">” </w:t>
      </w:r>
      <w:r>
        <w:rPr>
          <w:rFonts w:ascii="Times New Roman;serif" w:hAnsi="Times New Roman;serif"/>
          <w:b w:val="false"/>
          <w:color w:val="000000"/>
          <w:sz w:val="22"/>
        </w:rPr>
        <w:t>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Counterpart Agreement</w:t>
      </w:r>
      <w:r>
        <w:rPr>
          <w:color w:val="000000"/>
        </w:rPr>
        <w:t xml:space="preserve">” </w:t>
      </w:r>
      <w:r>
        <w:rPr>
          <w:rFonts w:ascii="Times New Roman;serif" w:hAnsi="Times New Roman;serif"/>
          <w:b w:val="false"/>
          <w:color w:val="000000"/>
          <w:sz w:val="22"/>
        </w:rPr>
        <w:t xml:space="preserve">means a Counterpart Agreement substantially in the form of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 xml:space="preserve">delivered by a Loan Party pursuant to </w:t>
      </w:r>
      <w:r>
        <w:rPr>
          <w:rFonts w:ascii="Times New Roman;serif" w:hAnsi="Times New Roman;serif"/>
          <w:b w:val="false"/>
          <w:color w:val="000000"/>
          <w:sz w:val="22"/>
          <w:u w:val="single"/>
        </w:rPr>
        <w:t>Section 5.10</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Date</w:t>
      </w:r>
      <w:r>
        <w:rPr>
          <w:color w:val="000000"/>
        </w:rPr>
        <w:t xml:space="preserve">” </w:t>
      </w:r>
      <w:r>
        <w:rPr>
          <w:rFonts w:ascii="Times New Roman;serif" w:hAnsi="Times New Roman;serif"/>
          <w:b w:val="false"/>
          <w:color w:val="000000"/>
          <w:sz w:val="22"/>
        </w:rPr>
        <w:t>means the date of a Credit Extension.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Extension</w:t>
      </w:r>
      <w:r>
        <w:rPr>
          <w:color w:val="000000"/>
        </w:rPr>
        <w:t xml:space="preserve">” </w:t>
      </w:r>
      <w:r>
        <w:rPr>
          <w:rFonts w:ascii="Times New Roman;serif" w:hAnsi="Times New Roman;serif"/>
          <w:b w:val="false"/>
          <w:color w:val="000000"/>
          <w:sz w:val="22"/>
        </w:rPr>
        <w:t>means the making of a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Data</w:t>
      </w:r>
      <w:r>
        <w:rPr>
          <w:color w:val="000000"/>
        </w:rPr>
        <w:t xml:space="preserve">” </w:t>
      </w:r>
      <w:r>
        <w:rPr>
          <w:rFonts w:ascii="Times New Roman;serif" w:hAnsi="Times New Roman;serif"/>
          <w:b w:val="false"/>
          <w:color w:val="000000"/>
          <w:sz w:val="22"/>
        </w:rPr>
        <w:t>means customer lists, correspondence, data, submissions and licensing and purchasing histories relating to customers of Borrower or any Subsidiary, and all other reports, information and documentation collected or maintained by Borrower or any Subsidiary regarding purchasers of Borrower’s or such Subsidiary’s products and the visitors to websites owned or controlled by Borrower or any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Data Protection Laws</w:t>
      </w:r>
      <w:r>
        <w:rPr>
          <w:color w:val="000000"/>
        </w:rPr>
        <w:t xml:space="preserve">” </w:t>
      </w:r>
      <w:r>
        <w:rPr>
          <w:rFonts w:ascii="Times New Roman;serif" w:hAnsi="Times New Roman;serif"/>
          <w:b w:val="false"/>
          <w:color w:val="000000"/>
          <w:sz w:val="22"/>
        </w:rPr>
        <w:t>means applicable Requirements of Law concerning the protection, privacy or security of Personal Information (including any applicable laws of jurisdictions where the Personal Information was collected or otherwise processed) and other applicable consumer protection laws, and all regulations promulgated thereunder, including, without limitation, the General Data Protection Regulation (and all laws implementing or supplementing it), the California Consumer Privacy Act, and Section 5 of the Federal Trade Commission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Debtor Relief Law</w:t>
      </w:r>
      <w:r>
        <w:rPr>
          <w:color w:val="000000"/>
        </w:rPr>
        <w:t xml:space="preserve">” </w:t>
      </w:r>
      <w:r>
        <w:rPr>
          <w:rFonts w:ascii="Times New Roman;serif" w:hAnsi="Times New Roman;serif"/>
          <w:b w:val="false"/>
          <w:color w:val="000000"/>
          <w:sz w:val="22"/>
        </w:rPr>
        <w:t>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 condition or event that, after notice or lapse of time or both, would constitute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 Excess</w:t>
      </w:r>
      <w:r>
        <w:rPr>
          <w:color w:val="000000"/>
        </w:rPr>
        <w:t xml:space="preserve">” </w:t>
      </w:r>
      <w:r>
        <w:rPr>
          <w:rFonts w:ascii="Times New Roman;serif" w:hAnsi="Times New Roman;serif"/>
          <w:b w:val="false"/>
          <w:color w:val="000000"/>
          <w:sz w:val="22"/>
        </w:rPr>
        <w:t>means, with respect to any Defaulting Lender, the excess, if any, of such Defaulting Lender’s Pro Rata Share of the aggregate outstanding principal amount of Term Loans of all Lenders (calculated as if all Defaulting Lenders (other than such Defaulting Lender) had funded all of their respective Defaulted Loans) over the aggregate outstanding principal amount of all Term Loans of such Defaulting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 Period</w:t>
      </w:r>
      <w:r>
        <w:rPr>
          <w:color w:val="000000"/>
        </w:rPr>
        <w:t xml:space="preserve">” </w:t>
      </w:r>
      <w:r>
        <w:rPr>
          <w:rFonts w:ascii="Times New Roman;serif" w:hAnsi="Times New Roman;serif"/>
          <w:b w:val="false"/>
          <w:color w:val="000000"/>
          <w:sz w:val="22"/>
        </w:rPr>
        <w:t xml:space="preserve">means, with respect to any Defaulting Lender, the period commencing on the date of the applicable Funding Default or violation of </w:t>
      </w:r>
      <w:r>
        <w:rPr>
          <w:rFonts w:ascii="Times New Roman;serif" w:hAnsi="Times New Roman;serif"/>
          <w:b w:val="false"/>
          <w:color w:val="000000"/>
          <w:sz w:val="22"/>
          <w:u w:val="single"/>
        </w:rPr>
        <w:t>Section 9.5(c)</w:t>
      </w:r>
      <w:r>
        <w:rPr>
          <w:rFonts w:ascii="Times New Roman;serif" w:hAnsi="Times New Roman;serif"/>
          <w:b w:val="false"/>
          <w:color w:val="000000"/>
          <w:sz w:val="22"/>
        </w:rPr>
        <w:t xml:space="preserve">, as applicable, and ending on the earliest of the following dates: (a) the date on which all Term Loan Commitments are cancelled or terminated and/or the Obligations are declared or become immediately due and payable, (b) the date on which (i) the Default Excess with respect to such Defaulting Lender shall have been reduced to zero (whether by the funding by such Defaulting Lender of any Defaulted Loans of such Defaulting Lender or by the non pro rata application of any voluntary or mandatory prepayments of the Loans in accordance with the terms of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or by a combination thereof), and (ii) such Defaulting Lender shall have delivered to Company and Administrative Agent a written reaffirmation of its intention to honor its obligations hereunder with respect to its Term Loan Commitments, (c) the date on which Company, Administrative Agent and Required Lenders waive all Funding Defaults of such Defaulting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28650"/>
                <wp:effectExtent l="0" t="0" r="0" b="0"/>
                <wp:wrapNone/>
                <wp:docPr id="87" name="Frame8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Lender in writing, and (d) the date on which Administrative Agent shall have waived all violations of </w:t>
      </w:r>
      <w:r>
        <w:rPr>
          <w:rFonts w:ascii="Times New Roman;serif" w:hAnsi="Times New Roman;serif"/>
          <w:b w:val="false"/>
          <w:color w:val="000000"/>
          <w:sz w:val="22"/>
          <w:u w:val="single"/>
        </w:rPr>
        <w:t>Section 9.5(c)</w:t>
      </w:r>
      <w:r>
        <w:rPr>
          <w:rFonts w:ascii="Times New Roman;serif" w:hAnsi="Times New Roman;serif"/>
          <w:b w:val="false"/>
          <w:color w:val="000000"/>
          <w:sz w:val="22"/>
        </w:rPr>
        <w:t>, by such Defaulting Lender in writing.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 Rate</w:t>
      </w:r>
      <w:r>
        <w:rPr>
          <w:color w:val="000000"/>
        </w:rPr>
        <w:t xml:space="preserve">” </w:t>
      </w:r>
      <w:r>
        <w:rPr>
          <w:rFonts w:ascii="Times New Roman;serif" w:hAnsi="Times New Roman;serif"/>
          <w:b w:val="false"/>
          <w:color w:val="000000"/>
          <w:sz w:val="22"/>
        </w:rPr>
        <w:t xml:space="preserve">means any interest payable pursuant to </w:t>
      </w:r>
      <w:r>
        <w:rPr>
          <w:rFonts w:ascii="Times New Roman;serif" w:hAnsi="Times New Roman;serif"/>
          <w:b w:val="false"/>
          <w:color w:val="000000"/>
          <w:sz w:val="22"/>
          <w:u w:val="single"/>
        </w:rPr>
        <w:t>Section 2.6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Defaulted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Delayed Draw Commitment Period</w:t>
      </w:r>
      <w:r>
        <w:rPr>
          <w:color w:val="000000"/>
        </w:rPr>
        <w:t xml:space="preserve">” </w:t>
      </w:r>
      <w:r>
        <w:rPr>
          <w:rFonts w:ascii="Times New Roman;serif" w:hAnsi="Times New Roman;serif"/>
          <w:b w:val="false"/>
          <w:color w:val="000000"/>
          <w:sz w:val="22"/>
        </w:rPr>
        <w:t>means the time period commencing on the Closing Date through and including the Delayed Draw Commitment Termination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Delayed Draw Commitment Termination Date</w:t>
      </w:r>
      <w:r>
        <w:rPr>
          <w:color w:val="000000"/>
        </w:rPr>
        <w:t xml:space="preserve">” </w:t>
      </w:r>
      <w:r>
        <w:rPr>
          <w:rFonts w:ascii="Times New Roman;serif" w:hAnsi="Times New Roman;serif"/>
          <w:b w:val="false"/>
          <w:color w:val="000000"/>
          <w:sz w:val="22"/>
        </w:rPr>
        <w:t>means the earliest to occur of (a) Term Loan Maturity Date,</w:t>
      </w:r>
      <w:r>
        <w:rPr>
          <w:color w:val="000000"/>
        </w:rPr>
        <w:t xml:space="preserve"> </w:t>
      </w:r>
      <w:r>
        <w:rPr>
          <w:rFonts w:ascii="Times New Roman;serif" w:hAnsi="Times New Roman;serif"/>
          <w:b w:val="false"/>
          <w:color w:val="000000"/>
          <w:sz w:val="22"/>
        </w:rPr>
        <w:t>(b) the date on which both the Initial Term Loan and the Initial Delayed Draw Term Loans are paid in full, and (c) the date on which the Delayed Draw Term Loan Commitments are reduced to zero.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Delayed Draw Term Loan Commitment</w:t>
      </w:r>
      <w:r>
        <w:rPr>
          <w:color w:val="000000"/>
        </w:rPr>
        <w:t xml:space="preserve">” </w:t>
      </w:r>
      <w:r>
        <w:rPr>
          <w:rFonts w:ascii="Times New Roman;serif" w:hAnsi="Times New Roman;serif"/>
          <w:b w:val="false"/>
          <w:color w:val="000000"/>
          <w:sz w:val="22"/>
        </w:rPr>
        <w:t xml:space="preserve">means the commitment of a Lender to make or otherwise fund the Initial Delayed Draw Term Loans. The amount of each Lender’s Delayed Draw Term Loan Commitment, if any, is set forth on </w:t>
      </w:r>
      <w:r>
        <w:rPr>
          <w:rFonts w:ascii="Times New Roman;serif" w:hAnsi="Times New Roman;serif"/>
          <w:b w:val="false"/>
          <w:color w:val="000000"/>
          <w:sz w:val="22"/>
          <w:u w:val="single"/>
        </w:rPr>
        <w:t>Appendix A-2</w:t>
      </w:r>
      <w:r>
        <w:rPr>
          <w:color w:val="000000"/>
        </w:rPr>
        <w:t xml:space="preserve"> </w:t>
      </w:r>
      <w:r>
        <w:rPr>
          <w:rFonts w:ascii="Times New Roman;serif" w:hAnsi="Times New Roman;serif"/>
          <w:b w:val="false"/>
          <w:color w:val="000000"/>
          <w:sz w:val="22"/>
        </w:rPr>
        <w:t>or in the applicable Assignment Agreement, subject to any adjustment or reduction pursuant to the terms and conditions hereof. The aggregate amount of the Delayed Draw Term Loan Commitments as of the Closing Date is $435,261,000.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Delayed Draw Term Loans</w:t>
      </w:r>
      <w:r>
        <w:rPr>
          <w:color w:val="000000"/>
        </w:rPr>
        <w:t xml:space="preserve">” </w:t>
      </w:r>
      <w:r>
        <w:rPr>
          <w:rFonts w:ascii="Times New Roman;serif" w:hAnsi="Times New Roman;serif"/>
          <w:b w:val="false"/>
          <w:color w:val="000000"/>
          <w:sz w:val="22"/>
        </w:rPr>
        <w:t>means the Initial Delayed Draw Term Loans and the Incremental Term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Deposit Account</w:t>
      </w:r>
      <w:r>
        <w:rPr>
          <w:color w:val="000000"/>
        </w:rPr>
        <w:t xml:space="preserve">” </w:t>
      </w:r>
      <w:r>
        <w:rPr>
          <w:rFonts w:ascii="Times New Roman;serif" w:hAnsi="Times New Roman;serif"/>
          <w:b w:val="false"/>
          <w:color w:val="000000"/>
          <w:sz w:val="22"/>
        </w:rPr>
        <w:t>means a demand, time, savings, passbook or like account with a bank, savings and loan association, credit union or like organization, other than an account evidenced by a negotiable certificate of deposit.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Designated Guarantor</w:t>
      </w:r>
      <w:r>
        <w:rPr>
          <w:color w:val="000000"/>
        </w:rPr>
        <w:t xml:space="preserve">” </w:t>
      </w:r>
      <w:r>
        <w:rPr>
          <w:rFonts w:ascii="Times New Roman;serif" w:hAnsi="Times New Roman;serif"/>
          <w:b w:val="false"/>
          <w:color w:val="000000"/>
          <w:sz w:val="22"/>
        </w:rPr>
        <w:t>shall have the meaning assigned to such term in the definition of Excluded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Disputes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4.23(d)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Disqualified Capital Stock</w:t>
      </w:r>
      <w:r>
        <w:rPr>
          <w:color w:val="000000"/>
        </w:rPr>
        <w:t xml:space="preserve">” </w:t>
      </w:r>
      <w:r>
        <w:rPr>
          <w:rFonts w:ascii="Times New Roman;serif" w:hAnsi="Times New Roman;serif"/>
          <w:b w:val="false"/>
          <w:color w:val="000000"/>
          <w:sz w:val="22"/>
        </w:rPr>
        <w:t xml:space="preserve">means any Capital Stock that, by its terms (or by the terms of any security or other Capital Stock into which it is convertible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or distributions in cash, or (d) is convertible into or exchangeable for (i) Indebtedness or (ii) any other Capital Stock that would constitute Disqualified Capital Stock, in each case of </w:t>
      </w:r>
      <w:r>
        <w:rPr>
          <w:rFonts w:ascii="Times New Roman;serif" w:hAnsi="Times New Roman;serif"/>
          <w:b w:val="false"/>
          <w:color w:val="000000"/>
          <w:sz w:val="22"/>
          <w:u w:val="single"/>
        </w:rPr>
        <w:t>clauses</w:t>
      </w:r>
      <w:r>
        <w:rPr>
          <w:color w:val="000000"/>
        </w:rPr>
        <w:t xml:space="preserve"> </w:t>
      </w:r>
      <w:r>
        <w:rPr>
          <w:rFonts w:ascii="Times New Roman;serif" w:hAnsi="Times New Roman;serif"/>
          <w:b w:val="false"/>
          <w:color w:val="000000"/>
          <w:sz w:val="22"/>
          <w:u w:val="single"/>
        </w:rPr>
        <w:t>(a)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prior to the date that is [**] after the Term Loan Maturity Date and other than solely for Qualified Capital Stock or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Term Loan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such Capital Stock is issued pursuant to a plan for the benefit of current or former employees, directors, independent contractors or other service providers of the Loan Parties or by any such plan to such current or former employees, directors, independent contractors or other service providers, such Capital Stock shall not constitute Disqualified Capital Stock solely because it may be required to be repurchased by a Loan Party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28650"/>
                <wp:effectExtent l="0" t="0" r="0" b="0"/>
                <wp:wrapNone/>
                <wp:docPr id="88" name="Frame8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order to satisfy applicable statutory or regulatory obligations, including tax withholding, or as a result of such current or former employee’s, director’s, independent contractor’s or other service provider’s termination, death or disability; provided further that Disqualified Capital Stock shall exclude Permitted Equity Derivatives.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Disqualified Institution</w:t>
      </w:r>
      <w:r>
        <w:rPr>
          <w:color w:val="000000"/>
        </w:rPr>
        <w:t xml:space="preserve">” </w:t>
      </w:r>
      <w:r>
        <w:rPr>
          <w:rFonts w:ascii="Times New Roman;serif" w:hAnsi="Times New Roman;serif"/>
          <w:b w:val="false"/>
          <w:color w:val="000000"/>
          <w:sz w:val="22"/>
        </w:rPr>
        <w:t>means (a) those Persons that are competitors of the Borrower and its Subsidiaries that are operating companies, (b) those banks, financial institutions, other institutional lenders (or related funds of such institutional lenders) and other Persons separately identified in writing from time to time by the Borrower to the Administrative Agent (and to the extent so identified after the Closing Date, reasonably acceptable to the Administrative Agent), or (c) in the case of clause (a) or (b), any of their respective Affiliates that are (x) readily identifiable as Affiliates on the basis of their name or (y) identified by name by the Borrower to the Administrative Agent in writing from time to time; provided that the foregoing shall not apply retroactively to disqualify any Person that previously acquired or agreed to acquire an assignment or participation interest in the Loans, solely with respect to such previously acquired Loans or participation interests, to the extent such Person was not a Disqualified Institution at the time of the applicable assignment or participation, as the case may be, but shall apply to disqualify any such Person from taking any prospective assignments of or participation interests in any Loans; provided, further, that the list of Disqualified Institutions shall not be delivered by the Administrative Agent to any other Person, except that, upon an inquiry by any Lender to the Administrative Agent as to whether a specific potential assignee or prospective participant is a Disqualified Institution, the Administrative Agent shall be permitted to disclose to such Lender whether such specific potential assignee or prospective participant is a Disqualified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and the sign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the lawful money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any Subsidiary organized under the laws of the United States of America,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means (a) any Lender, any Affiliate of any Lender and any Related Fund (any two or more Related Funds being treated as a single Eligible Assignee for all purposes hereof), (b) any commercial bank, insurance company, investment or mutual fund or other entity that is an “</w:t>
      </w:r>
      <w:r>
        <w:rPr>
          <w:rFonts w:ascii="Times New Roman;serif" w:hAnsi="Times New Roman;serif"/>
          <w:b w:val="false"/>
          <w:color w:val="000000"/>
          <w:sz w:val="22"/>
          <w:u w:val="single"/>
        </w:rPr>
        <w:t>accredited investor</w:t>
      </w:r>
      <w:r>
        <w:rPr>
          <w:color w:val="000000"/>
        </w:rPr>
        <w:t xml:space="preserve">” </w:t>
      </w:r>
      <w:r>
        <w:rPr>
          <w:rFonts w:ascii="Times New Roman;serif" w:hAnsi="Times New Roman;serif"/>
          <w:b w:val="false"/>
          <w:color w:val="000000"/>
          <w:sz w:val="22"/>
        </w:rPr>
        <w:t xml:space="preserve">(as defined in Regulation D under the Securities Act) and which extends credit or buys loans as one of its businesses, and (c) any other Person (other than a natural Person) approved by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none of (i) Borrower, (ii) any Affiliate of Borrower, (iii) any Person owning or controlling any trade debt or Indebtedness of any Loan Party (other than the Obligations) or any Capital Stock of any Loan Party (in each case, unless approved by Administrative Agent), (iv) so long as no Event of Default has occurred and is continuing, any competitor of Borrower or its Subsidiaries or (v) so long as no Event of Default has occurred and is continuing, any Disqualified Institution shall, in any event, be an Eligible Assignee without the written consent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EMA</w:t>
      </w:r>
      <w:r>
        <w:rPr>
          <w:color w:val="000000"/>
        </w:rPr>
        <w:t xml:space="preserve">” </w:t>
      </w:r>
      <w:r>
        <w:rPr>
          <w:rFonts w:ascii="Times New Roman;serif" w:hAnsi="Times New Roman;serif"/>
          <w:b w:val="false"/>
          <w:color w:val="000000"/>
          <w:sz w:val="22"/>
        </w:rPr>
        <w:t>means the European Medicines Agency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Employee Benefit Plan</w:t>
      </w:r>
      <w:r>
        <w:rPr>
          <w:color w:val="000000"/>
        </w:rPr>
        <w:t xml:space="preserve">” </w:t>
      </w:r>
      <w:r>
        <w:rPr>
          <w:rFonts w:ascii="Times New Roman;serif" w:hAnsi="Times New Roman;serif"/>
          <w:b w:val="false"/>
          <w:color w:val="000000"/>
          <w:sz w:val="22"/>
        </w:rPr>
        <w:t>means any “employee benefit plan” as defined in Section 3(3) of ERISA which is or was sponsored, maintained or contributed to by, or required to be contributed by, Borrower, any of its Subsidiaries or any of their respective ERISA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Claim</w:t>
      </w:r>
      <w:r>
        <w:rPr>
          <w:color w:val="000000"/>
        </w:rPr>
        <w:t xml:space="preserve">” </w:t>
      </w:r>
      <w:r>
        <w:rPr>
          <w:rFonts w:ascii="Times New Roman;serif" w:hAnsi="Times New Roman;serif"/>
          <w:b w:val="false"/>
          <w:color w:val="000000"/>
          <w:sz w:val="22"/>
        </w:rPr>
        <w:t xml:space="preserve">means any complaint, summons, citation, investigation, notice, directive, notice of violation, order, claim, demand, action, litigation, judicial or administrative proceeding, judgment, letter or other communication from any Governmental Authority or any other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28650"/>
                <wp:effectExtent l="0" t="0" r="0" b="0"/>
                <wp:wrapNone/>
                <wp:docPr id="89" name="Frame8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involving (a) any actual or alleged violation of any Environmental Law, (b) any Hazardous Material or any actual or alleged Hazardous Materials Activity, (c) injury to the environment, natural resource, any Person (including wrongful death) or property (real or personal) in connection with Hazardous Materials or actual or alleged violations of Environmental Laws, or (d) actual or alleged Releases or threatened Releases of Hazardous Materials either (i) on, at or migrating from any assets, properties or businesses currently or formerly owned or operated by any Loan Party or any of its Subsidiaries or any predecessor in interest, (ii) from adjoining properties or businesses, or (iii) onto any facilities which received Hazardous Materials generated by any Loan Party or any of its Subsidiaries or any predecessor in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any and all current or future foreign or domestic, federal or state (or any subdivision of either of them), statutes, ordinances, orders, rules, regulations, judgments, decrees, permits, licenses or binding determinations of any Governmental Authorizations, or any other requirements of Governmental Authorities relating to (a) the manufacture, generation, use, storage, transportation, treatment, disposal or Release of Hazardous Materials, or (b) occupational safety and health, industrial hygiene, land use or the protection of the environment, human, plant or animal health or welfare.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Liabilities and Costs</w:t>
      </w:r>
      <w:r>
        <w:rPr>
          <w:color w:val="000000"/>
        </w:rPr>
        <w:t xml:space="preserve">” </w:t>
      </w:r>
      <w:r>
        <w:rPr>
          <w:rFonts w:ascii="Times New Roman;serif" w:hAnsi="Times New Roman;serif"/>
          <w:b w:val="false"/>
          <w:color w:val="000000"/>
          <w:sz w:val="22"/>
        </w:rPr>
        <w:t>means all liabilities, monetary obligations, losses (including monies paid in settlement), damages, punitive damages, natural resources damages, consequential damages, treble damages, costs and expenses (including all reasonable fees, disbursements and expenses of counsel, experts and consultants and costs of investigations and feasibility studies), fines, penalties, sanctions and interest incurred in connection with any Remedial Action, any Environmental Claim, or any other claim or demand by any Governmental Authority or any Person that relates to any actual or alleged violation of Environmental Laws, actual or alleged exposure or threatened exposure to Hazardous Materials, or any actual or alleged Release or threatened Release of Hazardous Materials.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Lien</w:t>
      </w:r>
      <w:r>
        <w:rPr>
          <w:color w:val="000000"/>
        </w:rPr>
        <w:t xml:space="preserve">” </w:t>
      </w:r>
      <w:r>
        <w:rPr>
          <w:rFonts w:ascii="Times New Roman;serif" w:hAnsi="Times New Roman;serif"/>
          <w:b w:val="false"/>
          <w:color w:val="000000"/>
          <w:sz w:val="22"/>
        </w:rPr>
        <w:t>means any Lien in favor of any Governmental Authority for Environmental Liabilities and Costs.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as applied to any Person, (a) any corporation which is a member of a controlled group of corporations within the meaning of Section 414(b) of the Internal Revenue Code of which that Person is a member; (b) any trade or business (whether or not incorporated) which is a member of a group of trades or businesses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clause (a) above or any trade or business described in clause (b) above is a member. Any former ERISA Affiliate of Borrower or any of its Subsidiaries shall continue to be considered an ERISA Affiliate of Borrower or any such Subsidiary within the meaning of this definition with respect to the period such entity was an ERISA Affiliate of Borrower or such Subsidiary and with respect to liabilities arising after such period for which Borrower or such Subsidiary could be liable under the Internal Revenue Code or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 xml:space="preserve">means (a) a “reportable event” within the meaning of Section 4043 of ERISA and the regulations issued thereunder with respect to any Pension Plan (excluding those for which the provision for thirty day notice to the PBGC has been waived by regulation), (b) the failure to meet the minimum funding standard of Section 412 of the Internal Revenue Code with respect to any Pension Plan (whether or not waived in accordance with Section 412(d) of the Internal Revenue Code) or the failure to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28650"/>
                <wp:effectExtent l="0" t="0" r="0" b="0"/>
                <wp:wrapNone/>
                <wp:docPr id="90" name="Frame8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make by its due date a required installment under Section 412(m) of the Internal Revenue Code with respect to any Pension Plan or the failure to make any required contribution to a Multiemployer Plan, (c) the provision by the administrator of any Pension Plan pursuant to Section 4041(a)(2) of ERISA of a notice of intent to terminate such plan in a distress termination described in Section 4041(c) of ERISA, (d) the withdrawal by Borrower, any of its Subsidiaries or any of their respective ERISA Affiliates from any Pension Plan with two or more contributing sponsors or the termination of any such Pension Plan resulting in liability to Borrower, any of its Subsidiaries or any of their respective Affiliates pursuant to Section 4063 or 4064 of ERISA, (e) the institution by the PBGC of proceedings to terminate any Pension Plan, or the occurrence of any event or condition which might constitute grounds under ERISA for the termination of, or the appointment of a trustee to administer, any Pension Plan, (f) the imposition of liability on Borrower, any of its Subsidiaries or any of their respective ERISA Affiliates pursuant to Section 4062(e) or 4069 of ERISA or by reason of the application of Section 4212(c) of ERISA, (g) the withdrawal of Borrower, any of its Subsidiaries or any of their respective ERISA Affiliates in a complete or partial withdrawal (within the meaning of Sections 4203 and 4205 of ERISA) from any Multiemployer Plan if there is any potential liability therefor, or the receipt by Borrower, any of its Subsidiaries or any of their respective ERISA Affiliates of notice from any Multiemployer Plan that it is in reorganization or insolvency pursuant to Section 4241 or 4245 of ERISA, or that it intends to terminate or has terminated under Section 4041A or 4042 of ERISA, (h) the occurrence of an act or omission which could give rise to the imposition on Borrower, any of its Subsidiaries or any of their respective ERISA Affiliates of fines, penalties, taxes or related charges under Chapter 43 of the Internal Revenue Code or under Section 409, Section 502(c), (i) or (l), or Section 4071 of ERISA in respect of any Employee Benefit Plan, (i) the assertion of a material claim (other than routine claims for benefits) against any Employee Benefit Plan other than a Multiemployer Plan or the assets thereof, or against Borrower, any of its Subsidiaries or any of their respective ERISA Affiliates in connection with any Employee Benefit Plan, (j)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or (k) the imposition of a Lien pursuant to Section 401(a)(29) or 412(n) of the Internal Revenue Code or pursuant to ERISA with respect to any Pension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Distribution</w:t>
      </w:r>
      <w:r>
        <w:rPr>
          <w:color w:val="000000"/>
        </w:rPr>
        <w:t xml:space="preserve">” </w:t>
      </w:r>
      <w:r>
        <w:rPr>
          <w:rFonts w:ascii="Times New Roman;serif" w:hAnsi="Times New Roman;serif"/>
          <w:b w:val="false"/>
          <w:color w:val="000000"/>
          <w:sz w:val="22"/>
        </w:rPr>
        <w:t xml:space="preserve">has the meaning specified therefor in </w:t>
      </w:r>
      <w:r>
        <w:rPr>
          <w:rFonts w:ascii="Times New Roman;serif" w:hAnsi="Times New Roman;serif"/>
          <w:b w:val="false"/>
          <w:color w:val="000000"/>
          <w:sz w:val="22"/>
          <w:u w:val="single"/>
        </w:rPr>
        <w:t>Section 9.12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means each of the conditions or events set forth in </w:t>
      </w:r>
      <w:r>
        <w:rPr>
          <w:rFonts w:ascii="Times New Roman;serif" w:hAnsi="Times New Roman;serif"/>
          <w:b w:val="false"/>
          <w:color w:val="000000"/>
          <w:sz w:val="22"/>
          <w:u w:val="single"/>
        </w:rPr>
        <w:t>Section 8.1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means the Securities Exchange Act of 1934,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Account</w:t>
      </w:r>
      <w:r>
        <w:rPr>
          <w:color w:val="000000"/>
        </w:rPr>
        <w:t xml:space="preserve">” </w:t>
      </w:r>
      <w:r>
        <w:rPr>
          <w:rFonts w:ascii="Times New Roman;serif" w:hAnsi="Times New Roman;serif"/>
          <w:b w:val="false"/>
          <w:color w:val="000000"/>
          <w:sz w:val="22"/>
        </w:rPr>
        <w:t xml:space="preserve">means Deposit Accounts and/or Securities Accounts, (a) the balance of which consists exclusively of withheld income taxes and foreign, federal, state or local employment taxes in such amounts as are required to be paid to the Internal Revenue Service or any other government agencies within the following two months with respect to employees of Borrower or any of its Subsidiaries, (b) used exclusively for payroll to or for the benefit of employees of Borrower or any of its Subsidiaries in such amounts as are required to be paid to such employees within the immediately succeeding two payroll cycles, (c) which are exclusively health care reimbursement accounts or employee benefits accounts, including any accounts exclusively containing amounts required to be paid over to an employee benefit plan pursuant to DOL Reg. Sec. 2510.3-102 on behalf of or for the benefit of employees of Borrower or any of its Subsidiaries, (d) which are segregated accounts and constitute (and the balance of which consists solely of funds set aside in connection with) fiduciary accounts and trust accounts, (e)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28650"/>
                <wp:effectExtent l="0" t="0" r="0" b="0"/>
                <wp:wrapNone/>
                <wp:docPr id="91" name="Frame8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which are exclusively holding cash collateral or other deposits constituting Liens permitted by </w:t>
      </w:r>
      <w:r>
        <w:rPr>
          <w:rFonts w:ascii="Times New Roman;serif" w:hAnsi="Times New Roman;serif"/>
          <w:b w:val="false"/>
          <w:color w:val="000000"/>
          <w:sz w:val="22"/>
          <w:u w:val="single"/>
        </w:rPr>
        <w:t>clauses</w:t>
      </w:r>
      <w:r>
        <w:rPr>
          <w:color w:val="000000"/>
        </w:rPr>
        <w:t xml:space="preserve">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u w:val="single"/>
        </w:rPr>
        <w:t>(o)</w:t>
      </w:r>
      <w:r>
        <w:rPr>
          <w:color w:val="000000"/>
        </w:rPr>
        <w:t xml:space="preserve"> </w:t>
      </w:r>
      <w:r>
        <w:rPr>
          <w:rFonts w:ascii="Times New Roman;serif" w:hAnsi="Times New Roman;serif"/>
          <w:b w:val="false"/>
          <w:color w:val="000000"/>
          <w:sz w:val="22"/>
        </w:rPr>
        <w:t>and (ff) of Permitted Liens, (f) segregated accounts that hold cash proceeds of Royalties sold pursuant to a Permitted Royalty Transaction involving Plozasiran, (g) which are zero-balance accounts or (h) that have amounts on deposit that do not exceed $[**] individually or $[**] in the aggregate at any one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Assets</w:t>
      </w:r>
      <w:r>
        <w:rPr>
          <w:color w:val="000000"/>
        </w:rPr>
        <w:t xml:space="preserve">” </w:t>
      </w:r>
      <w:r>
        <w:rPr>
          <w:rFonts w:ascii="Times New Roman;serif" w:hAnsi="Times New Roman;serif"/>
          <w:b w:val="false"/>
          <w:color w:val="000000"/>
          <w:sz w:val="22"/>
        </w:rPr>
        <w:t>shall mean, with respect to any Loan Party, (a) Excluded Equity Interests and (b) “Excluded Assets” as defined in the applicable Security Agreement to which such Loan Party is a party and with respect to any Foreign Subsidiary subject to the Agreed Security Principles.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Equity Interests</w:t>
      </w:r>
      <w:r>
        <w:rPr>
          <w:color w:val="000000"/>
        </w:rPr>
        <w:t xml:space="preserve">” </w:t>
      </w:r>
      <w:r>
        <w:rPr>
          <w:rFonts w:ascii="Times New Roman;serif" w:hAnsi="Times New Roman;serif"/>
          <w:b w:val="false"/>
          <w:color w:val="000000"/>
          <w:sz w:val="22"/>
        </w:rPr>
        <w:t>means, collectively: (i) any Capital Stock in any Subsidiary with respect to which the grant to the Administrative Agent, for the benefit of Lenders and the other Secured Parties, of a security interest in and Lien upon, and the pledge to the Administrative Agent, for the benefit of Lenders and the other Secured Parties, of, such Capital Stock, to secure the Obligations (and any guaranty thereof) are validly prohibited by requirements of law; (ii) any Capital Stock in any Subsidiary with respect to which the grant to the Administrative Agent, for the benefit of Lenders and the other Secured Parties, of a security interest in and Lien upon, and the pledge to the Administrative Agent, for the benefit of Lenders and the other Secured Parties, of, such Capital Stock, to secure the Obligations (and any guaranty thereof) require the consent, approval or waiver of any Governmental Authority or other third party and such consent, approval or waiver has not been obtained by Borrower following Borrower’s commercially reasonable efforts to obtain the same; (iii) any Capital Stock in any Subsidiary that is a non-wholly-owned Subsidiary that the grant to the Administrative Agent, for the benefit of Lenders and the other Secured Parties, of a security interest in and Lien upon, and the pledge to the Administrative Agent, for the benefit of Lenders and the other Secured Parties, of, such Capital Stock, to secure the Obligations (and any guaranty thereof) are validly prohibited by, or would give any third party (other than Borrower or an Affiliate of Borrower) the right to terminate its obligations under, the operating or organizational documents or the joint venture agreement or shareholder agreement with respect 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(x) the Borrower used commercially reasonable efforts to prevent the prohibition of the pledge such Capital Stock in any non-wholly-owned Subsidiary hereunder and (y) for so long as such operating or organizational document, joint venture agreement, shareholder agreement or other contract is in effect; (iv) any Capital Stock in any other Subsidiary with respect to which, Borrower and the Administrative Agent reasonably determine by mutual agreement that granting the Administrative Agent, for the benefit of Lenders and the other Secured Parties, a security interest in and Lien upon, and pledging to the Administrative Agent, for the benefit of Lenders and the other Secured Parties, such Capital Stock, to secure the Obligations (and any guaranty thereof) could result in material adverse tax consequences to the Borrower or its Subsidiaries; (v) any Capital Stock in any other Subsidiary with respect to which, Borrower and the Administrative Agent reasonably determine by mutual agreement that the cost of granting the Administrative Agent, for the benefit of Lenders and the other Secured Parties, a security interest in and Lien upon, and pledging to the Administrative Agent, for the benefit of Lenders and the other Secured Parties, such Capital Stock, to secure the Obligations (and any guaranty thereof) are excessive, relative to the value to be afforded to the Secured Parties thereby; and (vi) any other Capital Stock expressly included in the definition of “Excluded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Perfection Action</w:t>
      </w:r>
      <w:r>
        <w:rPr>
          <w:color w:val="000000"/>
        </w:rPr>
        <w:t xml:space="preserve">” </w:t>
      </w:r>
      <w:r>
        <w:rPr>
          <w:rFonts w:ascii="Times New Roman;serif" w:hAnsi="Times New Roman;serif"/>
          <w:b w:val="false"/>
          <w:color w:val="000000"/>
          <w:sz w:val="22"/>
        </w:rPr>
        <w:t xml:space="preserve">means, collectively, (a) any filings or other action in any jurisdiction outside of the Specified Jurisdictions or required by the Laws of any jurisdiction outside of the Specified Jurisdictions to create or perfect any security interest in any assets located or titled outside of the Specified Jurisdictions, except any such filings or other actions with respect to Intellectual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28650"/>
                <wp:effectExtent l="0" t="0" r="0" b="0"/>
                <wp:wrapNone/>
                <wp:docPr id="92" name="Frame9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Rights registered in any jurisdiction outside the Specified Jurisdictions that Administrative Agent may reasonably request from time to time, (b) any bailee waivers, landlord waivers, estoppels or collateral access letters, in each case to the extent such waivers and letters are not capable of being obtained after the use of commercially reasonable efforts by the Borrower and its Subsidiaries, (c) any notices to be sent to account debtors or other contractual third parties (other than after the occurrence of an Event of Default), (d) any perfection action to the extent this Agreement or the Collateral Documents applicable to the relevant Loan Party expressly provides such action is not required, (e) any control agreements or arrangements with respect to any assets other than Deposit Accounts and Securities Accounts that are not Excluded Accounts and (f) delivery of any stock certificates of Persons other than Loan Parties and Material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Subsidiary</w:t>
      </w:r>
      <w:r>
        <w:rPr>
          <w:color w:val="000000"/>
        </w:rPr>
        <w:t xml:space="preserve">” </w:t>
      </w:r>
      <w:r>
        <w:rPr>
          <w:rFonts w:ascii="Times New Roman;serif" w:hAnsi="Times New Roman;serif"/>
          <w:b w:val="false"/>
          <w:color w:val="000000"/>
          <w:sz w:val="22"/>
        </w:rPr>
        <w:t>means, (a) any not-for-profit Subsidiary, (b) any captive insurance entity, (c) any merger Subsidiary formed in connection with a Permitted Acquisition so long as such merger Subsidiary is merged out of existence pursuant to such Permitted Acquisition or dissolved within [**] of its formation thereof or such later date as permitted by Administrative Agent in its reasonable discretion, (d) [reserved], (e) any Subsidiary that (i) had assets representing [**]% or less of the total assets of Company and its Subsidiaries, determined on a consolidated basis in accordance with GAAP, as of the last day of the most recent Fiscal Quarter for which financial statements have been, or were required to be, delivered pursuant to Section 3.1(f), Section 5.1(b) or (c), as applicable (the “</w:t>
      </w:r>
      <w:r>
        <w:rPr>
          <w:rFonts w:ascii="Times New Roman;serif" w:hAnsi="Times New Roman;serif"/>
          <w:b w:val="false"/>
          <w:color w:val="000000"/>
          <w:sz w:val="22"/>
          <w:u w:val="single"/>
        </w:rPr>
        <w:t>Test Date</w:t>
      </w:r>
      <w:r>
        <w:rPr>
          <w:color w:val="000000"/>
        </w:rPr>
        <w:t>”</w:t>
      </w:r>
      <w:r>
        <w:rPr>
          <w:rFonts w:ascii="Times New Roman;serif" w:hAnsi="Times New Roman;serif"/>
          <w:b w:val="false"/>
          <w:color w:val="000000"/>
          <w:sz w:val="22"/>
        </w:rPr>
        <w:t xml:space="preserve">), (ii) contributed [**]% or less of the total revenues of Borrower and its Subsidiaries, for the Fiscal Quarter ended on the Test Date, and (iii) had, as of the applicable Test Date, Cash and Cash Equivalents representing [**]% or less of the total Cash and Cash Equivalents of Company and its Subsidiaries, for the Fiscal Quarter ended on the Test Date; </w:t>
      </w:r>
      <w:r>
        <w:rPr>
          <w:rFonts w:ascii="Times New Roman;serif" w:hAnsi="Times New Roman;serif"/>
          <w:b w:val="false"/>
          <w:color w:val="000000"/>
          <w:sz w:val="22"/>
          <w:u w:val="single"/>
        </w:rPr>
        <w:t>provided</w:t>
      </w:r>
      <w:r>
        <w:rPr>
          <w:rFonts w:ascii="Times New Roman;serif" w:hAnsi="Times New Roman;serif"/>
          <w:b w:val="false"/>
          <w:color w:val="000000"/>
          <w:sz w:val="22"/>
        </w:rPr>
        <w:t>, if at any time and from time to time after the Closing Date, Subsidiaries that are not Loan Parties comprise in the aggregate more than [**]% of the total assets of Company and its Subsidiaries as of the Test Date, contribute more than [**]% of the total revenues of Company and its Subsidiaries for the Fiscal Quarter ended on the Test Date, and hold, as of the applicable Test Date, more than [**]% of the total Cash and Cash Equivalents of Company and its Subsidiaries for the Fiscal Quarter ended on the Test Date, then Borrower shall, not later than [**] after the date by which financial statements for such period are required to be delivered (or such longer period as the Administrative Agent may agree in its reasonable discretion), designate in writing to Administrative Agent that one or more of such Subsidiaries is no longer an Excluded Subsidiary for purposes of this Agreement to the extent required such that the foregoing condition ceases to be true, (f) [reserved], or (g) any Subsidiary that is prohibited or restricted by any Requirement of Law or by contractual obligations existing on the Closing Date (or, in the case of any newly acquired Subsidiary, in existence at the time of acquisition but not entered into in contemplation thereof (unless in connection with a Joint Venture otherwise permitted hereunder) or for the purpose of avoiding a guarantee of the Obligations) from guaranteeing the Obligations or if guaranteeing the Obligations would require governmental (including regulatory) consent, approval, license or authorization, unless such consent, approval, license or authorization has been obtained or Visirna and any of its Subsidiaries. The Excluded Subsidiaries on the Closing Date are set forth on Schedule 1.1(b).</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the Borrower may, in its reasonable discretion, designate any Subsidiary that otherwise qualifies as an “Excluded Subsidiary” pursuant to any one or more of clauses (a) through (g) above as not being an Excluded Subsidiary by written notice to the Administrative Agent (any such subsidiary as an Excluded Subsidiary, a “Designated Guarantor”) and, following such designation, may re-designate such Subsidiary as an Excluded Subsidiary with the consent of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28650"/>
                <wp:effectExtent l="0" t="0" r="0" b="0"/>
                <wp:wrapNone/>
                <wp:docPr id="93" name="Frame9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Extraordinary Receipts</w:t>
      </w:r>
      <w:r>
        <w:rPr>
          <w:color w:val="000000"/>
        </w:rPr>
        <w:t xml:space="preserve">” </w:t>
      </w:r>
      <w:r>
        <w:rPr>
          <w:rFonts w:ascii="Times New Roman;serif" w:hAnsi="Times New Roman;serif"/>
          <w:b w:val="false"/>
          <w:color w:val="000000"/>
          <w:sz w:val="22"/>
        </w:rPr>
        <w:t xml:space="preserve">means any cash received by Borrower or any of its Subsidiaries not in the ordinary course of business (and not consisting of proceeds of issuances of Capital Stock of the Borrower, other transactions described in </w:t>
      </w:r>
      <w:r>
        <w:rPr>
          <w:rFonts w:ascii="Times New Roman;serif" w:hAnsi="Times New Roman;serif"/>
          <w:b w:val="false"/>
          <w:color w:val="000000"/>
          <w:sz w:val="22"/>
          <w:u w:val="single"/>
        </w:rPr>
        <w:t>Section 2.10(b)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(k)</w:t>
      </w:r>
      <w:r>
        <w:rPr>
          <w:color w:val="000000"/>
        </w:rPr>
        <w:t xml:space="preserve"> </w:t>
      </w:r>
      <w:r>
        <w:rPr>
          <w:rFonts w:ascii="Times New Roman;serif" w:hAnsi="Times New Roman;serif"/>
          <w:b w:val="false"/>
          <w:color w:val="000000"/>
          <w:sz w:val="22"/>
        </w:rPr>
        <w:t>hereof or other Asset Sales not described in the foregoing), including, without limitation, (a) tax refunds, (b) pension plan reversions, (c) judgments, proceeds of settlements or other consideration of any kind in connection with any cause of action (including but not limited to infringement actions and breach of contract claims for the enforcement of Intellectual Property Rights), (d) condemnation awards (and payments in lieu thereof), (e) indemnity payments (excluding reimbursements for out-of-pocket costs and expenses actually incurred and paid to non-Affiliates of the Borrower or any of its Subsidiaries), and (f) any purchase price adjustment received in connection with any purchase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Fair Share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FASB ASC</w:t>
      </w:r>
      <w:r>
        <w:rPr>
          <w:color w:val="000000"/>
        </w:rPr>
        <w:t xml:space="preserve">” </w:t>
      </w:r>
      <w:r>
        <w:rPr>
          <w:rFonts w:ascii="Times New Roman;serif" w:hAnsi="Times New Roman;serif"/>
          <w:b w:val="false"/>
          <w:color w:val="000000"/>
          <w:sz w:val="22"/>
        </w:rPr>
        <w:t>means the Accounting Standards Codification of the Financial Accounting Standards Board.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Internal Revenue Code, in effect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Fazirsiran</w:t>
      </w:r>
      <w:r>
        <w:rPr>
          <w:color w:val="000000"/>
        </w:rPr>
        <w:t xml:space="preserve">” </w:t>
      </w:r>
      <w:r>
        <w:rPr>
          <w:rFonts w:ascii="Times New Roman;serif" w:hAnsi="Times New Roman;serif"/>
          <w:b w:val="false"/>
          <w:color w:val="000000"/>
          <w:sz w:val="22"/>
        </w:rPr>
        <w:t>means the pharmaceutical product candidate having the chemical structure set forth on Schedule 1.1(a), including all forms, presentations, strengths, doses, and formulations (including any method of delivery), either alone or as a Combination Product, and all other “Products” (as defined in the Fazirsiran License Agreement) licensed or sublicensed to one or more third parties under the Fazirsiran License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Fazirsiran License Agreement</w:t>
      </w:r>
      <w:r>
        <w:rPr>
          <w:color w:val="000000"/>
        </w:rPr>
        <w:t xml:space="preserve">” </w:t>
      </w:r>
      <w:r>
        <w:rPr>
          <w:rFonts w:ascii="Times New Roman;serif" w:hAnsi="Times New Roman;serif"/>
          <w:b w:val="false"/>
          <w:color w:val="000000"/>
          <w:sz w:val="22"/>
        </w:rPr>
        <w:t>means that certain Exclusive License and Co-Funding Agreement, by and between Takeda Pharmaceuticals U.S.A., Inc. and Arrowhead Pharmaceuticals Inc. dated as of October 7, 2020, as amended by that certain First Amendment entered into as of March 15, 2022 but effective retroactively as of October 7, 2020.</w:t>
      </w:r>
    </w:p>
    <w:p>
      <w:pPr>
        <w:pStyle w:val="TextBody"/>
        <w:bidi w:val="0"/>
        <w:spacing w:lineRule="auto" w:line="288" w:before="240" w:after="240"/>
        <w:ind w:left="0" w:right="0" w:firstLine="720"/>
        <w:jc w:val="both"/>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Fazirsiran Payments</w:t>
      </w:r>
      <w:r>
        <w:rPr>
          <w:color w:val="000000"/>
        </w:rPr>
        <w:t xml:space="preserve">” </w:t>
      </w:r>
      <w:r>
        <w:rPr>
          <w:rFonts w:ascii="Times New Roman;serif" w:hAnsi="Times New Roman;serif"/>
          <w:b w:val="false"/>
          <w:color w:val="000000"/>
          <w:sz w:val="22"/>
        </w:rPr>
        <w:t>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Fazirsiran Payment Adjustment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2.10(e)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Fazirsiran Payment Shortfall Amount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2.10(e)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FDA</w:t>
      </w:r>
      <w:r>
        <w:rPr>
          <w:color w:val="000000"/>
        </w:rPr>
        <w:t xml:space="preserve">” </w:t>
      </w:r>
      <w:r>
        <w:rPr>
          <w:rFonts w:ascii="Times New Roman;serif" w:hAnsi="Times New Roman;serif"/>
          <w:b w:val="false"/>
          <w:color w:val="000000"/>
          <w:sz w:val="22"/>
        </w:rPr>
        <w:t>means the U.S. Food and Drug Administration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FDA Laws</w:t>
      </w:r>
      <w:r>
        <w:rPr>
          <w:color w:val="000000"/>
        </w:rPr>
        <w:t xml:space="preserve">” </w:t>
      </w:r>
      <w:r>
        <w:rPr>
          <w:rFonts w:ascii="Times New Roman;serif" w:hAnsi="Times New Roman;serif"/>
          <w:b w:val="false"/>
          <w:color w:val="000000"/>
          <w:sz w:val="22"/>
        </w:rPr>
        <w:t>means the Federal Food, Drug, and Cosmetic Act (21 U.S.C. § 301 et seq.) and all applicable statutes, rules, regulations, and orders and Requirements of Law administered, implemented, enforced or issued thereunder by FDA, or any applicable statutes, rules, regulations, and orders and Requirements of Law administered, implemented, enforced or issued by any comparable Governmental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28650"/>
                <wp:effectExtent l="0" t="0" r="0" b="0"/>
                <wp:wrapNone/>
                <wp:docPr id="94" name="Frame9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Federal Health Care Program Laws</w:t>
      </w:r>
      <w:r>
        <w:rPr>
          <w:color w:val="000000"/>
        </w:rPr>
        <w:t xml:space="preserve">” </w:t>
      </w:r>
      <w:r>
        <w:rPr>
          <w:rFonts w:ascii="Times New Roman;serif" w:hAnsi="Times New Roman;serif"/>
          <w:b w:val="false"/>
          <w:color w:val="000000"/>
          <w:sz w:val="22"/>
        </w:rPr>
        <w:t>means collectively, federal Medicare or federal or state Medicaid statutes, Sections 1128, 1128A, 1128B, 1128C or 1877 of the Social Security Act (42 U.S.C. §§ 1320a-7, 1320a-7a, 1320a-7b, 1320a-7c, 1320a-7h and 1395nn), the federal TRICARE statute (10 U.S.C. § 1071 et seq.), the civil False Claims Act of 1863 (31 U.S.C. § 3729 et seq.), criminal false claims statutes (e.g., 18 U.S.C. §§ 287 and 1001), the Program Fraud Civil Remedies Act of 1986 (31 U.S.C. § 3801 et seq.), and related regulations or other Requirements of Law that directly or indirectly govern the health care industry, programs of Governmental Authorities related to healthcare, health care professionals or other health care participants, or relationships among health care providers, suppliers, distributors, manufacturers and patients, and the pricing, sale and reimbursement of health care items or services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Federal Health Care Programs</w:t>
      </w:r>
      <w:r>
        <w:rPr>
          <w:color w:val="000000"/>
        </w:rPr>
        <w:t xml:space="preserve">” </w:t>
      </w:r>
      <w:r>
        <w:rPr>
          <w:rFonts w:ascii="Times New Roman;serif" w:hAnsi="Times New Roman;serif"/>
          <w:b w:val="false"/>
          <w:color w:val="000000"/>
          <w:sz w:val="22"/>
        </w:rPr>
        <w:t>shall mean the Medicare, Medicaid and TRICARE programs and any other state or federal health care program, as defined in 42 U.S.C. § 1320a-7b(f).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Fee Letter</w:t>
      </w:r>
      <w:r>
        <w:rPr>
          <w:color w:val="000000"/>
        </w:rPr>
        <w:t xml:space="preserve">” </w:t>
      </w:r>
      <w:r>
        <w:rPr>
          <w:rFonts w:ascii="Times New Roman;serif" w:hAnsi="Times New Roman;serif"/>
          <w:b w:val="false"/>
          <w:color w:val="000000"/>
          <w:sz w:val="22"/>
        </w:rPr>
        <w:t>means the letter agreement, dated the Closing Date, between Company and Administrative Agent, as amended, amended and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Financial Officer Certification</w:t>
      </w:r>
      <w:r>
        <w:rPr>
          <w:color w:val="000000"/>
        </w:rPr>
        <w:t xml:space="preserve">” </w:t>
      </w:r>
      <w:r>
        <w:rPr>
          <w:rFonts w:ascii="Times New Roman;serif" w:hAnsi="Times New Roman;serif"/>
          <w:b w:val="false"/>
          <w:color w:val="000000"/>
          <w:sz w:val="22"/>
        </w:rPr>
        <w:t>means, with respect to the financial statements for which such certification is required, the certification of the chief financial officer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year-end adjustments.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First Commercial Sale</w:t>
      </w:r>
      <w:r>
        <w:rPr>
          <w:color w:val="000000"/>
        </w:rPr>
        <w:t xml:space="preserve">” </w:t>
      </w:r>
      <w:r>
        <w:rPr>
          <w:rFonts w:ascii="Times New Roman;serif" w:hAnsi="Times New Roman;serif"/>
          <w:b w:val="false"/>
          <w:color w:val="000000"/>
          <w:sz w:val="22"/>
        </w:rPr>
        <w:t>means, with respect to a Product and a country, the first sale for monetary value to a third party by the Borrower or its Subsidiaries for use or consumption by the end user of such Product in such country after regulatory approval for such Product has been obtained in such country. Sales prior to receipt of regulatory approval for such Product, such as so-called “treatment IND sales,” “named patient sales,” and “compassionate use sales,” shall not be construed as a First Commercial Sale.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Fiscal Quarter</w:t>
      </w:r>
      <w:r>
        <w:rPr>
          <w:color w:val="000000"/>
        </w:rPr>
        <w:t xml:space="preserve">” </w:t>
      </w:r>
      <w:r>
        <w:rPr>
          <w:rFonts w:ascii="Times New Roman;serif" w:hAnsi="Times New Roman;serif"/>
          <w:b w:val="false"/>
          <w:color w:val="000000"/>
          <w:sz w:val="22"/>
        </w:rPr>
        <w:t>means a fiscal quarter of any Fiscal Year.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Fiscal Year</w:t>
      </w:r>
      <w:r>
        <w:rPr>
          <w:color w:val="000000"/>
        </w:rPr>
        <w:t xml:space="preserve">” </w:t>
      </w:r>
      <w:r>
        <w:rPr>
          <w:rFonts w:ascii="Times New Roman;serif" w:hAnsi="Times New Roman;serif"/>
          <w:b w:val="false"/>
          <w:color w:val="000000"/>
          <w:sz w:val="22"/>
        </w:rPr>
        <w:t>means the fiscal year of Borrower and its Subsidiaries ending on September 30 of each calendar year.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Flow of Funds Agreement</w:t>
      </w:r>
      <w:r>
        <w:rPr>
          <w:color w:val="000000"/>
        </w:rPr>
        <w:t xml:space="preserve">” </w:t>
      </w:r>
      <w:r>
        <w:rPr>
          <w:rFonts w:ascii="Times New Roman;serif" w:hAnsi="Times New Roman;serif"/>
          <w:b w:val="false"/>
          <w:color w:val="000000"/>
          <w:sz w:val="22"/>
        </w:rPr>
        <w:t>means that certain Flow of Funds Agreement, dated as of the Closing Date, duly executed by Company, Administrative Agent, and any other person party thereto, in form and substance reasonably satisfactory to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Legal Reservations</w:t>
      </w:r>
      <w:r>
        <w:rPr>
          <w:color w:val="000000"/>
        </w:rPr>
        <w:t xml:space="preserve">” </w:t>
      </w:r>
      <w:r>
        <w:rPr>
          <w:rFonts w:ascii="Times New Roman;serif" w:hAnsi="Times New Roman;serif"/>
          <w:b w:val="false"/>
          <w:color w:val="000000"/>
          <w:sz w:val="22"/>
        </w:rPr>
        <w:t>shall mean: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principle that equitable remedies are remedies which may be granted or refused at the discretion of the court and principles of good faith and fair dealing;</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28650"/>
                <wp:effectExtent l="0" t="0" r="0" b="0"/>
                <wp:wrapNone/>
                <wp:docPr id="95" name="Frame9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application of bankruptcy, insolvency, liquidation, reorganization, court schemes, moratorium, administration, receivership, examinership or other similar laws affecting creditors’ rights generally and subject to general principles of equity, regardless of whether considered in a proceeding in equity or at law;</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existence of timing limitations with respect to the bringing of claims under applicable limitation laws and the defenses of acquiescence, set-off or counterclaim and the possibility that an undertaking to assume liability for, or to indemnify a Person against, non-payment of stamp duty may be void;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principle that in certain jurisdictions and under certain circumstances a Lien granted by way of fixed charge may be re-characterized as a floating charge or that security purported to be constituted as an assignment may be re-characterized as a charge;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the principle that additional interest imposed pursuant to any relevant agreement may be held to be unenforceable on the grounds that it is a penalty and thus void;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the principle that a court may not give effect to an indemnity for legal costs incurred by an unsuccessful litigant;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[reserved];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the principle that a court may not give effect to any parallel debt provisions, covenants to pay or other similar provisions;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the principle that certain remedies in relation to regulated entities may require further approval from government or regulatory bodies or pursuant to agreements with such bodies;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the principles of private and procedural laws which affect the enforcement of a foreign court judgment.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means (a) if Borrower is a U.S. Person, a Lender that is not a U.S. Person, and (b) if Borrower is not a U.S. Person, a Lender that is resident or organized under the laws of a jurisdiction other than that in which Borrower is resident for tax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Official</w:t>
      </w:r>
      <w:r>
        <w:rPr>
          <w:color w:val="000000"/>
        </w:rPr>
        <w:t xml:space="preserve">” </w:t>
      </w:r>
      <w:r>
        <w:rPr>
          <w:rFonts w:ascii="Times New Roman;serif" w:hAnsi="Times New Roman;serif"/>
          <w:b w:val="false"/>
          <w:color w:val="000000"/>
          <w:sz w:val="22"/>
        </w:rPr>
        <w:t>means any officer or employee of a non-U.S.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Sovereign Immunities Act</w:t>
      </w:r>
      <w:r>
        <w:rPr>
          <w:color w:val="000000"/>
        </w:rPr>
        <w:t xml:space="preserve">” </w:t>
      </w:r>
      <w:r>
        <w:rPr>
          <w:rFonts w:ascii="Times New Roman;serif" w:hAnsi="Times New Roman;serif"/>
          <w:b w:val="false"/>
          <w:color w:val="000000"/>
          <w:sz w:val="22"/>
        </w:rPr>
        <w:t>means the US Foreign Sovereign Immunities Act of 1976 (28 U.S.C. Sections 1602-1611),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any Subsidiary that is not a Domestic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FTC</w:t>
      </w:r>
      <w:r>
        <w:rPr>
          <w:color w:val="000000"/>
        </w:rPr>
        <w:t xml:space="preserve">” </w:t>
      </w:r>
      <w:r>
        <w:rPr>
          <w:rFonts w:ascii="Times New Roman;serif" w:hAnsi="Times New Roman;serif"/>
          <w:b w:val="false"/>
          <w:color w:val="000000"/>
          <w:sz w:val="22"/>
        </w:rPr>
        <w:t>means the U.S. Federal Trade Commission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Funding Default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Funding Notice</w:t>
      </w:r>
      <w:r>
        <w:rPr>
          <w:color w:val="000000"/>
        </w:rPr>
        <w:t xml:space="preserve">” </w:t>
      </w:r>
      <w:r>
        <w:rPr>
          <w:rFonts w:ascii="Times New Roman;serif" w:hAnsi="Times New Roman;serif"/>
          <w:b w:val="false"/>
          <w:color w:val="000000"/>
          <w:sz w:val="22"/>
        </w:rPr>
        <w:t xml:space="preserve">means a written notice substantially in the form of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28650"/>
                <wp:effectExtent l="0" t="0" r="0" b="0"/>
                <wp:wrapNone/>
                <wp:docPr id="96" name="Frame9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 xml:space="preserve">means, subject to the limitations on the application thereof set forth in </w:t>
      </w:r>
      <w:r>
        <w:rPr>
          <w:rFonts w:ascii="Times New Roman;serif" w:hAnsi="Times New Roman;serif"/>
          <w:b w:val="false"/>
          <w:color w:val="000000"/>
          <w:sz w:val="22"/>
          <w:u w:val="single"/>
        </w:rPr>
        <w:t>Section 1.2</w:t>
      </w:r>
      <w:r>
        <w:rPr>
          <w:rFonts w:ascii="Times New Roman;serif" w:hAnsi="Times New Roman;serif"/>
          <w:b w:val="false"/>
          <w:color w:val="000000"/>
          <w:sz w:val="22"/>
        </w:rPr>
        <w:t>, United States generally accepted accounting principles in effect as of the date of determination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Global Net Sales</w:t>
      </w:r>
      <w:r>
        <w:rPr>
          <w:color w:val="000000"/>
        </w:rPr>
        <w:t xml:space="preserve">” </w:t>
      </w:r>
      <w:r>
        <w:rPr>
          <w:rFonts w:ascii="Times New Roman;serif" w:hAnsi="Times New Roman;serif"/>
          <w:b w:val="false"/>
          <w:color w:val="000000"/>
          <w:sz w:val="22"/>
        </w:rPr>
        <w:t>means, with respect to any Product for any period (except with respect to any such Product that is the subject of a Product Agreement, in which case, the equivalent definition to this “Global Net Sales” definition included in such Product Agreement to the extent applicable to such revenues shall control), (a) the consolidated worldwide gross revenues generated by (a) the sale of such Product by the Borrower, its Affiliates, or Licensees, throughout the world during such period, less, without duplication, (i) customary trade, quantity and cash discounts allowed in the ordinary course, (ii) amounts repaid or credited due to refunds, credits, rebates, charge backs, retroactive price adjustments and any other similar allowances which effectively reduce the selling price, (iii) amounts repaid or credited due to product returns, (iv) an allowance for transportation, distribution, packaging, freight, postage, shipping and insurance expenses or other distribution expenses, to the extent not reimbursed by the purchaser of the Product, not to exceed [**] of gross invoiced sales, (v) rebates and similar payments made with respect to sales paid for by any governmental or regulatory authority such as, by way of non-limiting illustration, Federal or state Medicaid, Medicare or similar state program or equivalent foreign governmental program, (vi) the portion of administrative fees paid during the relevant time period to group purchasing organizations or pharmaceutical benefit managers relating to such Product, (vii) customs and excise duties and other non-recoverable taxes or duties levied or imposed on such revenues (excluding income or net profit taxes or franchise taxes of any kind), to the extent not reimbursed by the purchaser of the Product, (viii) that portion of the annual fee on prescription drug manufacturers imposed by the Patient Protection and Affordable Care Act, Pub. L. No. 111-148 (as amended) that is allocated to such sales (ix) [reserved], and (x) credit card charges (including processing fees) accrued on such sales of Product and not already taken as a gross-to-net deduction in accordance with GAAP in the calculation of sales of Product (collectively, the “</w:t>
      </w:r>
      <w:r>
        <w:rPr>
          <w:rFonts w:ascii="Times New Roman;serif" w:hAnsi="Times New Roman;serif"/>
          <w:b w:val="false"/>
          <w:color w:val="000000"/>
          <w:sz w:val="22"/>
          <w:u w:val="single"/>
        </w:rPr>
        <w:t>Permitted Deductions</w:t>
      </w:r>
      <w:r>
        <w:rPr>
          <w:color w:val="000000"/>
        </w:rPr>
        <w:t>”</w:t>
      </w:r>
      <w:r>
        <w:rPr>
          <w:rFonts w:ascii="Times New Roman;serif" w:hAnsi="Times New Roman;serif"/>
          <w:b w:val="false"/>
          <w:color w:val="000000"/>
          <w:sz w:val="22"/>
        </w:rPr>
        <w:t>), and (b) any additional consideration received by the Borrower, or any of its Subsidiaries in connection with the sale of such Product by the Borrower, its Subsidiaries, or Licensees to third parties (including any transfer price received from distributors with respect to such Product), all, in respect of clauses (a) and (b), as determined in accordance with GAAP (or applicable international accounting standards) and calculated on a basis consistent with the applicable financial statements of the Borrower, its Affiliates, or Licensees. For purposes of determining Global Net Sales of Products, a “sale” shall not include transfers or dispositions of such Product for pre-clinical or clinical purposes or as samples or for charitable, promotional, manufacturing, testing, qualification or regulatory purposes, in each case, to the extent at or below the Borrower’s, its Affiliates’, or Licensees’ cost of goods therefor. Global Net Sales shall not include sales or transfers between or among the Borrower, its Affiliates, or its or their or Licensees for subsequent resale by such selling entity.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Except with respect to any Product that is a Combination Product under its applicable Product Agreement, in which case, the definition of such Combination Product (or the provisions of such Product Agreement specifying the calculation of net sales with respect to a Combination Product) included in such Product Agreement shall control, if any Product is sold as a Combination Product in any country, then Global Net Sales for such Combination Product will be calculated by the following (such process, the “</w:t>
      </w:r>
      <w:r>
        <w:rPr>
          <w:rFonts w:ascii="Times New Roman;serif" w:hAnsi="Times New Roman;serif"/>
          <w:b w:val="false"/>
          <w:color w:val="000000"/>
          <w:sz w:val="22"/>
          <w:u w:val="single"/>
        </w:rPr>
        <w:t>Combination Product Calculation</w:t>
      </w:r>
      <w:r>
        <w:rPr>
          <w:color w:val="000000"/>
        </w:rPr>
        <w:t>”</w:t>
      </w:r>
      <w:r>
        <w:rPr>
          <w:rFonts w:ascii="Times New Roman;serif" w:hAnsi="Times New Roman;serif"/>
          <w:b w:val="false"/>
          <w:color w:val="000000"/>
          <w:sz w:val="22"/>
        </w:rPr>
        <w:t>): (1) multiplying the actual Global Net Sales of such Combination Product in such country by the fraction A/(A+B), where A is the weighted (by sales volume) average gross sales price in such country of the Product if sold separately in such country, and B is the weighted average gross sales price in such country of the ready for sale form of the other therapeutically active ingredient(s) in the Combination Product that are not a Product (the “</w:t>
      </w:r>
      <w:r>
        <w:rPr>
          <w:rFonts w:ascii="Times New Roman;serif" w:hAnsi="Times New Roman;serif"/>
          <w:b w:val="false"/>
          <w:color w:val="000000"/>
          <w:sz w:val="22"/>
          <w:u w:val="single"/>
        </w:rPr>
        <w:t>Other Components</w:t>
      </w:r>
      <w:r>
        <w:rPr>
          <w:color w:val="000000"/>
        </w:rPr>
        <w:t>”</w:t>
      </w:r>
      <w:r>
        <w:rPr>
          <w:rFonts w:ascii="Times New Roman;serif" w:hAnsi="Times New Roman;serif"/>
          <w:b w:val="false"/>
          <w:color w:val="000000"/>
          <w:sz w:val="22"/>
        </w:rPr>
        <w:t xml:space="preserve">), if sold separately in such country; (2) if, on a country-by-country basis, the Other Components are not sold separately in a country, Global Net Sales in such country for the purpose of determining royalty payments on Global Net Sales of the Combination Product shall be calculated by multiplying actual Global Net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28650"/>
                <wp:effectExtent l="0" t="0" r="0" b="0"/>
                <wp:wrapNone/>
                <wp:docPr id="97" name="Frame9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Sales of such Combination Product in such country by the fraction A/C where A is the weighted average gross sales price in such country of the Product, if sold separately in such country, and C is the weighted average gross sales price of the Combination Product in such country; (3) if, on a country-by-country basis, a Product is not sold separately, Global Net Sales in such country for the purpose of determining royalty payments on Global Net Sales of the Combination Product shall be calculated by multiplying the actual Global Net Sales of such Combination Product by the fraction (C-B)/C, where B is the weighted average gross sales price in such country of the Other Components, if sold separately in such country, and C is the weighted average gross sales price in such country of the Combination Product; or (4) if, on a country-by-country basis, neither a Product nor the Other Components are sold separately in such country, Global Net Sales of the Combination Product in such country for the purposes of determining royalty payments on such Global Net Sales of such Combination Product shall be determined by the Borrower based on the relative fair market value of such Product and Other Components, taking into account the medical contribution to the Other Components, and all other factors reasonably relevant to the relative value of, the Product, on the one hand, and all of the Other Components as applicable, collectively, on the other hand.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federal, state, municipal, national or other government, governmental department, commission, board, bureau, court, agency or instrumentality or political subdivision thereof or any entity or officer exercising executive, legislative, judicial, taxing, regulatory or administrative functions of or pertaining to any government or any court, including any patent office, in each case whether associated with a state of the United States, the United States or a foreign entity or government.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Governmental Authorization</w:t>
      </w:r>
      <w:r>
        <w:rPr>
          <w:color w:val="000000"/>
        </w:rPr>
        <w:t xml:space="preserve">” </w:t>
      </w:r>
      <w:r>
        <w:rPr>
          <w:rFonts w:ascii="Times New Roman;serif" w:hAnsi="Times New Roman;serif"/>
          <w:b w:val="false"/>
          <w:color w:val="000000"/>
          <w:sz w:val="22"/>
        </w:rPr>
        <w:t>means any permit, license, authorization, clearance, approval, Registration, plan, directive, administrative order, consent order or consent decree of or from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has the meaning specified in the Pledge and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GSK4532990</w:t>
      </w:r>
      <w:r>
        <w:rPr>
          <w:color w:val="000000"/>
        </w:rPr>
        <w:t xml:space="preserve">” </w:t>
      </w:r>
      <w:r>
        <w:rPr>
          <w:rFonts w:ascii="Times New Roman;serif" w:hAnsi="Times New Roman;serif"/>
          <w:b w:val="false"/>
          <w:color w:val="000000"/>
          <w:sz w:val="22"/>
        </w:rPr>
        <w:t>means the pharmaceutical product candidate having the chemical structure set forth on Schedule 1.1(a), including all forms (including salt forms), presentations, strengths, doses, and formulations (including any method of delivery), either alone or as a Combination Product, and all other “Products” (as defined in the GSK4532990 License Agreement) licensed or sublicensed to one or more third parties under the GSK4532990 License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GSK4532990 License Agreement</w:t>
      </w:r>
      <w:r>
        <w:rPr>
          <w:color w:val="000000"/>
        </w:rPr>
        <w:t xml:space="preserve">” </w:t>
      </w:r>
      <w:r>
        <w:rPr>
          <w:rFonts w:ascii="Times New Roman;serif" w:hAnsi="Times New Roman;serif"/>
          <w:b w:val="false"/>
          <w:color w:val="000000"/>
          <w:sz w:val="22"/>
        </w:rPr>
        <w:t>means that certain Exclusive License Agreement by and between Arrowhead Pharmaceuticals, Inc. and GlaxoSmithKline Intellectual Property (No. 3) Limited dated as of November 22, 2021.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Guaranteed Obligations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Guarantor</w:t>
      </w:r>
      <w:r>
        <w:rPr>
          <w:color w:val="000000"/>
        </w:rPr>
        <w:t xml:space="preserve">” </w:t>
      </w:r>
      <w:r>
        <w:rPr>
          <w:rFonts w:ascii="Times New Roman;serif" w:hAnsi="Times New Roman;serif"/>
          <w:b w:val="false"/>
          <w:color w:val="000000"/>
          <w:sz w:val="22"/>
        </w:rPr>
        <w:t xml:space="preserve">means each Subsidiary of Borrower and each other Person which guarantees, pursuant to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 xml:space="preserve">or otherwise, all or any part of the Obligations. For the avoidance of doubt, no Excluded Subsidiary shall be a Guarantor except at the election of Borrower in accordance with </w:t>
      </w:r>
      <w:r>
        <w:rPr>
          <w:rFonts w:ascii="Times New Roman;serif" w:hAnsi="Times New Roman;serif"/>
          <w:b w:val="false"/>
          <w:color w:val="000000"/>
          <w:sz w:val="22"/>
          <w:u w:val="single"/>
        </w:rPr>
        <w:t>Section 5.10</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Guarantor Subsidiary</w:t>
      </w:r>
      <w:r>
        <w:rPr>
          <w:color w:val="000000"/>
        </w:rPr>
        <w:t xml:space="preserve">” </w:t>
      </w:r>
      <w:r>
        <w:rPr>
          <w:rFonts w:ascii="Times New Roman;serif" w:hAnsi="Times New Roman;serif"/>
          <w:b w:val="false"/>
          <w:color w:val="000000"/>
          <w:sz w:val="22"/>
        </w:rPr>
        <w:t>means each Guarantor.</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28650"/>
                <wp:effectExtent l="0" t="0" r="0" b="0"/>
                <wp:wrapNone/>
                <wp:docPr id="98" name="Frame9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Guaranty</w:t>
      </w:r>
      <w:r>
        <w:rPr>
          <w:color w:val="000000"/>
        </w:rPr>
        <w:t xml:space="preserve">” </w:t>
      </w:r>
      <w:r>
        <w:rPr>
          <w:rFonts w:ascii="Times New Roman;serif" w:hAnsi="Times New Roman;serif"/>
          <w:b w:val="false"/>
          <w:color w:val="000000"/>
          <w:sz w:val="22"/>
        </w:rPr>
        <w:t xml:space="preserve">means (a) the guaranty of each Guarantor set forth in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and (b) each other guaranty, in form and substance satisfactory to Administrative Agent, made by any other Guarantor for the benefit of the Secured Parties guaranteeing all or part of the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regardless of amount or quantity, (a) any element, compound or chemical that is defined, listed or otherwise classified as a contaminant, pollutant, toxic pollutant, toxic or hazardous substance, extremely hazardous substance or chemical, hazardous waste, special waste, or solid waste under Environmental Laws or that is likely to cause immediately, or at some future time, harm to or have an adverse effect on, the environment or risk to human health or safety, including, without limitation, any pollutant, contaminant, waste, hazardous waste, toxic substance or dangerous good which is defined or identified in any Environmental Law and which is present in the environment in such quantity or state that it contravenes any Environmental Law, (b) petroleum and its refined products, (c) polychlorinated biphenyls, (d) any substance exhibiting a hazardous waste characteristic, including, without limitation, corrosivity, ignitability, toxicity or reactivity as well as any radioactive or explosive materials, (e) any raw materials, building components (including, without limitation, asbestos-containing materials) and manufactured products containing hazardous substances listed or classified as such under Environmental Laws, and (f) any substance or materials that are otherwise regulated under Environmental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Hazardous Materials Activity</w:t>
      </w:r>
      <w:r>
        <w:rPr>
          <w:color w:val="000000"/>
        </w:rPr>
        <w:t xml:space="preserve">” </w:t>
      </w:r>
      <w:r>
        <w:rPr>
          <w:rFonts w:ascii="Times New Roman;serif" w:hAnsi="Times New Roman;serif"/>
          <w:b w:val="false"/>
          <w:color w:val="000000"/>
          <w:sz w:val="22"/>
        </w:rPr>
        <w:t>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Hedging Agreement</w:t>
      </w:r>
      <w:r>
        <w:rPr>
          <w:color w:val="000000"/>
        </w:rPr>
        <w:t xml:space="preserve">” </w:t>
      </w:r>
      <w:r>
        <w:rPr>
          <w:rFonts w:ascii="Times New Roman;serif" w:hAnsi="Times New Roman;serif"/>
          <w:b w:val="false"/>
          <w:color w:val="000000"/>
          <w:sz w:val="22"/>
        </w:rPr>
        <w:t>means any interest or foreign exchange rate swap agreement, interest rate or foreign exchange cap agreement, interest rate or foreign exchange collar agreement, interest rate or foreign exchange hedging agreement or other similar agreement or arrangement, each of which is (a) for the purpose of hedging the interest rate exposure or foreign exchange exposure associated with Borrower’s and its Subsidiaries’ operations, and (b) not for speculative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Highest Lawful Rate</w:t>
      </w:r>
      <w:r>
        <w:rPr>
          <w:color w:val="000000"/>
        </w:rPr>
        <w:t xml:space="preserve">” </w:t>
      </w:r>
      <w:r>
        <w:rPr>
          <w:rFonts w:ascii="Times New Roman;serif" w:hAnsi="Times New Roman;serif"/>
          <w:b w:val="false"/>
          <w:color w:val="000000"/>
          <w:sz w:val="22"/>
        </w:rPr>
        <w:t>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Historical Financial Statements</w:t>
      </w:r>
      <w:r>
        <w:rPr>
          <w:color w:val="000000"/>
        </w:rPr>
        <w:t xml:space="preserve">” </w:t>
      </w:r>
      <w:r>
        <w:rPr>
          <w:rFonts w:ascii="Times New Roman;serif" w:hAnsi="Times New Roman;serif"/>
          <w:b w:val="false"/>
          <w:color w:val="000000"/>
          <w:sz w:val="22"/>
        </w:rPr>
        <w:t>means as of the Closing Date, (a) the audited financial statements of Borrower and its Subsidiaries, for the Fiscal Year ended September 30, 2023, consisting of balance sheets and the related consolidated statements of income, stockholders’ equity and cash flows for such Fiscal Year, and (b) the financial statements of Borrower and its Subsidiaries for the Fiscal Quarter ended March 31, 2024, consisting of balance sheets and the related consolidated statements of income, stockholders’ equity and cash flows for such Fiscal Quarter.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Immaterial Subsidiary</w:t>
      </w:r>
      <w:r>
        <w:rPr>
          <w:color w:val="000000"/>
        </w:rPr>
        <w:t xml:space="preserve">” </w:t>
      </w:r>
      <w:r>
        <w:rPr>
          <w:rFonts w:ascii="Times New Roman;serif" w:hAnsi="Times New Roman;serif"/>
          <w:b w:val="false"/>
          <w:color w:val="000000"/>
          <w:sz w:val="22"/>
        </w:rPr>
        <w:t>means a Subsidiary of the Borrower described in clause (e) of the definition of Excluded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Increased Cost Lenders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28650"/>
                <wp:effectExtent l="0" t="0" r="0" b="0"/>
                <wp:wrapNone/>
                <wp:docPr id="99" name="Frame9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Term Loans</w:t>
      </w:r>
      <w:r>
        <w:rPr>
          <w:color w:val="000000"/>
        </w:rPr>
        <w:t xml:space="preserve">” </w:t>
      </w:r>
      <w:r>
        <w:rPr>
          <w:rFonts w:ascii="Times New Roman;serif" w:hAnsi="Times New Roman;serif"/>
          <w:b w:val="false"/>
          <w:color w:val="000000"/>
          <w:sz w:val="22"/>
        </w:rPr>
        <w:t>means the Term Loans funded after the Closing Date pursuant to Section 2.1(a)(iii).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 xml:space="preserve">means, as applied to any Person, without duplication, (a) all indebtedness for borrowed money, (b) that portion of obligations with respect to Capital Leases that is properly classified as a liability on a balance sheet in conformity with GAAP, (c) all obligations of such Person evidenced by notes, bonds or similar instruments or upon which interest payments are customarily paid and all obligations in respect of notes payable and drafts accepted representing extensions of credit whether or not representing obligations for borrowed money, (d) any obligation owed for all or any part of the deferred purchase price of property or services, including any earn-outs or other deferred payment obligations in connection with an acquisition to the extent such earn-outs and deferred payment obligations are fixed and non-contingent (excluding any such obligations incurred under ERISA and excluding trade payables incurred in the ordinary course of business and repayable in accordance with customary trade terms), (e) all obligations created or arising under any conditional sale or other title retention agreement with respect to property acquired by such Person, (f) all indebtedness secured by any Lien on any property or asset owned or held by that Person regardless of whether the indebtedness secured thereby shall have been assumed by that Person or is non-recourse to the credit of that Person, (g) the face amount of any letter of credit or letter of guaranty issued, bankers’ acceptances facilities, surety bonds and similar credit transactions issued for the account of that Person or as to which that Person is otherwise liable for reimbursement of drawings, (h) the direct or indirect guaranty, endorsement (otherwise than for collection or deposit in the ordinary course of business), co-making, discounting with recourse or sale with recourse by such Person of the obligation of another, (i)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(j) any liability of such Person for an obligation of another through any agreement (contingent or otherwise) (i) to purchase, repurchase or otherwise acquire such obligation or any security therefor, or to provide funds for the payment or discharge of such obligation (whether in the form of loans, advances, stock purchases, capital contributions or otherwise) or (ii) to maintain the solvency or any balance sheet item, level of income or financial condition of another if, in the case of any agreement described under </w:t>
      </w:r>
      <w:r>
        <w:rPr>
          <w:rFonts w:ascii="Times New Roman;serif" w:hAnsi="Times New Roman;serif"/>
          <w:b w:val="false"/>
          <w:color w:val="000000"/>
          <w:sz w:val="22"/>
          <w:u w:val="single"/>
        </w:rPr>
        <w:t>subclauses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of this clause (j), the primary purpose or intent thereof is as described in clause (i) above, (k) all obligations of such Person in respect of any exchange traded or over the counter derivative transaction, including, without limitation, any Hedging Agreement, whether entered into for hedging or speculative purposes, (l) Disqualified Capital Stock, and (m) any Royalty Monetization Transaction. The Indebtedness of any Person shall include the Indebtedness of any partnership or joint venture in which such Person is a general partner or joint venturer, unless such Indebtedness is expressly non-recourse to such Person. Notwithstanding anything herein to the contrary, Indebtedness shall not include (i) prepaid or deferred revenue arising in the ordinary course of business, (ii) endorsements of checks or drafts arising in the ordinary course of business, (iii) Capital Stock to the extent not constituting Disqualified Capital Stock, (iv) any obligations in respect of any Permitted Equity Derivative, (v) deferred compensation and severance, pension, health and welfare retirement and equivalent benefits or any deferred obligations incurred under ERISA until such obligations become a liability on the balance sheet of such Person in accordance with GAAP, (vi) purchase price adjustments or earn outs or other contingent payments of a similar nature (including any non-compete payments and consulting payments) made in connection with any Investment or other acquisitions permitted hereunder, in each case, to the extent such obligations have not become due and payable (provided that deferred payments that are fixed or not subject to a bona fide contingency shall constitute Indebtedness to the extent provided in </w:t>
      </w:r>
      <w:r>
        <w:rPr>
          <w:rFonts w:ascii="Times New Roman;serif" w:hAnsi="Times New Roman;serif"/>
          <w:b w:val="false"/>
          <w:color w:val="000000"/>
          <w:sz w:val="22"/>
          <w:u w:val="single"/>
        </w:rPr>
        <w:t>clause</w:t>
      </w:r>
      <w:r>
        <w:rPr>
          <w:color w:val="000000"/>
        </w:rPr>
        <w:t xml:space="preserve">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above), (vii) non-compete or consulting obligations incurred in connection with Investments or other acquisitions until such obligations become a liability on the balance sheet of such Person in accordance with GAAP, (viii)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28650"/>
                <wp:effectExtent l="0" t="0" r="0" b="0"/>
                <wp:wrapNone/>
                <wp:docPr id="100" name="Frame9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unsecured installment payments or the deferred purchase price of property or services to the extent payable solely in Qualified Capital Stock of such Person, and (ix) purchase price holdbacks arising in the ordinary course of business in respect of a portion of the purchase price of an asset to satisfy unperformed obligations of the seller of such asset.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Indemnified Liabilities</w:t>
      </w:r>
      <w:r>
        <w:rPr>
          <w:color w:val="000000"/>
        </w:rPr>
        <w:t xml:space="preserve">” </w:t>
      </w:r>
      <w:r>
        <w:rPr>
          <w:rFonts w:ascii="Times New Roman;serif" w:hAnsi="Times New Roman;serif"/>
          <w:b w:val="false"/>
          <w:color w:val="000000"/>
          <w:sz w:val="22"/>
        </w:rPr>
        <w:t>means, collectively, any and all liabilities (including Environmental Liabilities and Costs), obligations, losses, damages (including natural resource damages), fines, penalties, claims (including Environmental Claims), costs (including the costs of any investigation, study, sampling, testing, monitoring, abatement, cleanup, removal, remediation or other response or corrective action necessary to remove, remediate, clean up, abate or otherwise address any Hazardous Materials Activity), expenses and disbursements of any kind or nature whatsoever (including the reasonable and documented out-of-pocket fees and disbursements of counsel for Indemnitees in connection with any investigative, administrative or judicial proceeding commenced or threatened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in writing against any such Indemnitee, in any manner relating to or arising out of (a) this Agreement or the other Loan Documents or the transactions contemplated hereby or thereby (including the Lenders’ agreement to make Credit Extensions or the use or intended use of the proceeds thereof, or any enforcement of any of the Loan Documents (including any sale of, collection from, or other realization upon any of the Collateral or the enforcement of the Guaranty)), (b) the statements contained in the proposal letter delivered by any Lender to Company prior to the Closing Date with respect to the transactions contemplated by this Agreement, or (c) any Environmental Claim or any Hazardous Materials Activity relating to or arising from, directly or indirectly, any past or present activity, operation, land ownership, or practice of Borrower or any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Indemnitee Agent Party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Delayed Draw Term Loan</w:t>
      </w:r>
      <w:r>
        <w:rPr>
          <w:color w:val="000000"/>
        </w:rPr>
        <w:t xml:space="preserve">” </w:t>
      </w:r>
      <w:r>
        <w:rPr>
          <w:rFonts w:ascii="Times New Roman;serif" w:hAnsi="Times New Roman;serif"/>
          <w:b w:val="false"/>
          <w:color w:val="000000"/>
          <w:sz w:val="22"/>
        </w:rPr>
        <w:t xml:space="preserve">means the Term Loans funded after the Closing Date pursuant to </w:t>
      </w:r>
      <w:r>
        <w:rPr>
          <w:rFonts w:ascii="Times New Roman;serif" w:hAnsi="Times New Roman;serif"/>
          <w:b w:val="false"/>
          <w:color w:val="000000"/>
          <w:sz w:val="22"/>
          <w:u w:val="single"/>
        </w:rPr>
        <w:t>Section 2.1(a)(ii)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Term Loan</w:t>
      </w:r>
      <w:r>
        <w:rPr>
          <w:color w:val="000000"/>
        </w:rPr>
        <w:t xml:space="preserve">” </w:t>
      </w:r>
      <w:r>
        <w:rPr>
          <w:rFonts w:ascii="Times New Roman;serif" w:hAnsi="Times New Roman;serif"/>
          <w:b w:val="false"/>
          <w:color w:val="000000"/>
          <w:sz w:val="22"/>
        </w:rPr>
        <w:t xml:space="preserve">means the Term Loan funded on the Closing Date pursuant to </w:t>
      </w:r>
      <w:r>
        <w:rPr>
          <w:rFonts w:ascii="Times New Roman;serif" w:hAnsi="Times New Roman;serif"/>
          <w:b w:val="false"/>
          <w:color w:val="000000"/>
          <w:sz w:val="22"/>
          <w:u w:val="single"/>
        </w:rPr>
        <w:t>Section 2.1(a)(i)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Term Loan Commitment</w:t>
      </w:r>
      <w:r>
        <w:rPr>
          <w:color w:val="000000"/>
        </w:rPr>
        <w:t xml:space="preserve">” </w:t>
      </w:r>
      <w:r>
        <w:rPr>
          <w:rFonts w:ascii="Times New Roman;serif" w:hAnsi="Times New Roman;serif"/>
          <w:b w:val="false"/>
          <w:color w:val="000000"/>
          <w:sz w:val="22"/>
        </w:rPr>
        <w:t>means the commitment of a Lender to make or otherwise fund the Initial Term Loan and “</w:t>
      </w:r>
      <w:r>
        <w:rPr>
          <w:rFonts w:ascii="Times New Roman;serif" w:hAnsi="Times New Roman;serif"/>
          <w:b w:val="false"/>
          <w:color w:val="000000"/>
          <w:sz w:val="22"/>
          <w:u w:val="single"/>
        </w:rPr>
        <w:t>Initial Term Loan Commitments</w:t>
      </w:r>
      <w:r>
        <w:rPr>
          <w:color w:val="000000"/>
        </w:rPr>
        <w:t xml:space="preserve">” </w:t>
      </w:r>
      <w:r>
        <w:rPr>
          <w:rFonts w:ascii="Times New Roman;serif" w:hAnsi="Times New Roman;serif"/>
          <w:b w:val="false"/>
          <w:color w:val="000000"/>
          <w:sz w:val="22"/>
        </w:rPr>
        <w:t xml:space="preserve">means such commitments of all such Lenders in the aggregate. The amount of each Lender’s Initial Term Loan Commitment is set forth on </w:t>
      </w:r>
      <w:r>
        <w:rPr>
          <w:rFonts w:ascii="Times New Roman;serif" w:hAnsi="Times New Roman;serif"/>
          <w:b w:val="false"/>
          <w:color w:val="000000"/>
          <w:sz w:val="22"/>
          <w:u w:val="single"/>
        </w:rPr>
        <w:t>Appendix A-1</w:t>
      </w:r>
      <w:r>
        <w:rPr>
          <w:color w:val="000000"/>
        </w:rPr>
        <w:t xml:space="preserve"> </w:t>
      </w:r>
      <w:r>
        <w:rPr>
          <w:rFonts w:ascii="Times New Roman;serif" w:hAnsi="Times New Roman;serif"/>
          <w:b w:val="false"/>
          <w:color w:val="000000"/>
          <w:sz w:val="22"/>
        </w:rPr>
        <w:t>or in the applicable Assignment Agreement, subject to any adjustment or reduction pursuant to the terms and conditions hereof. The aggregate amount of the Initial Term Loan Commitment as of the Closing Date is $400,000,000.</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28650"/>
                <wp:effectExtent l="0" t="0" r="0" b="0"/>
                <wp:wrapNone/>
                <wp:docPr id="101" name="Frame9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Insolvency Proceeding</w:t>
      </w:r>
      <w:r>
        <w:rPr>
          <w:color w:val="000000"/>
        </w:rPr>
        <w:t xml:space="preserve">” </w:t>
      </w:r>
      <w:r>
        <w:rPr>
          <w:rFonts w:ascii="Times New Roman;serif" w:hAnsi="Times New Roman;serif"/>
          <w:b w:val="false"/>
          <w:color w:val="000000"/>
          <w:sz w:val="22"/>
        </w:rPr>
        <w:t xml:space="preserve">means any proceeding commenced by or against any Person under any provision of any Debtor Relief Law.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has the meaning specified in the Pledge and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Intellectual Property Rights</w:t>
      </w:r>
      <w:r>
        <w:rPr>
          <w:color w:val="000000"/>
        </w:rPr>
        <w:t xml:space="preserve">” </w:t>
      </w:r>
      <w:r>
        <w:rPr>
          <w:rFonts w:ascii="Times New Roman;serif" w:hAnsi="Times New Roman;serif"/>
          <w:b w:val="false"/>
          <w:color w:val="000000"/>
          <w:sz w:val="22"/>
        </w:rPr>
        <w:t>means any and all rights, title and interests in and to all intellectual property rights of every kind and nature however denominated, as they exist throughout the world, including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Patent;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trademarks, trade names, service marks, brands, trade dress and logos, packaging design, slogans, domain names and the goodwill and activities associated therewith (collectively, “</w:t>
      </w:r>
      <w:r>
        <w:rPr>
          <w:rFonts w:ascii="Times New Roman;serif" w:hAnsi="Times New Roman;serif"/>
          <w:b w:val="false"/>
          <w:color w:val="000000"/>
          <w:sz w:val="22"/>
          <w:u w:val="single"/>
        </w:rPr>
        <w:t>Trademarks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    copyrights, mask work rights, confidential information, trade secrets, database rights, including all compilations, databases and computer programs, manuals and other documentation, and all derivatives, translations, adaptations, and combinations of the above (collectively, “</w:t>
      </w:r>
      <w:r>
        <w:rPr>
          <w:rFonts w:ascii="Times New Roman;serif" w:hAnsi="Times New Roman;serif"/>
          <w:b w:val="false"/>
          <w:color w:val="000000"/>
          <w:sz w:val="22"/>
          <w:u w:val="single"/>
        </w:rPr>
        <w:t>Copyrights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Know-How;</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rights of publicity, and moral rights;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any and all other intellectual property rights or proprietary rights, whether or not patentable, including any and all registrations, applications, recordings, licenses, common-law rights, statutory rights, administrative rights, and contractual rights relating to any of the foregoing, claims of infringement and misappropriation against third parties, and regulatory filings, submissions and approvals.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Intercompany Subordination Agreement</w:t>
      </w:r>
      <w:r>
        <w:rPr>
          <w:color w:val="000000"/>
        </w:rPr>
        <w:t xml:space="preserve">” </w:t>
      </w:r>
      <w:r>
        <w:rPr>
          <w:rFonts w:ascii="Times New Roman;serif" w:hAnsi="Times New Roman;serif"/>
          <w:b w:val="false"/>
          <w:color w:val="000000"/>
          <w:sz w:val="22"/>
        </w:rPr>
        <w:t>means that certain Intercompany Subordination Agreement, dated as of the Closing Date, made by the Loan Parties and their Subsidiaries in favor of Administrative Agent for the benefit of the Secured Parties in form and substance reasonably satisfactory to Administrative Agent, as amended, amended and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means (a) the last Business Day of each Fiscal Quarter, commencing on the first such date to occur after the Closing Date and (b) the final maturity date of the Loans (whether by scheduled maturity, acceleration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Internal Revenue Code</w:t>
      </w:r>
      <w:r>
        <w:rPr>
          <w:color w:val="000000"/>
        </w:rPr>
        <w:t xml:space="preserve">” </w:t>
      </w:r>
      <w:r>
        <w:rPr>
          <w:rFonts w:ascii="Times New Roman;serif" w:hAnsi="Times New Roman;serif"/>
          <w:b w:val="false"/>
          <w:color w:val="000000"/>
          <w:sz w:val="22"/>
        </w:rPr>
        <w:t>means the United States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 xml:space="preserve">means (a) any direct or indirect purchase or other acquisition by Borrower or any of its Subsidiaries of, or of a beneficial interest in, any of the securities or Capital Stock or all or substantially all of the assets of any other Person (or of any product, division, product line or business line of such other Person), (b) any direct or indirect redemption, retirement, purchase or other acquisition for value, by any Subsidiary of Borrower from any Person, of any Capital Stock of such Person, (c) any direct or indirect loan, advance, or capital contributions (or transfer or similar payment made from one entity to its Subsidiary in lieu of any capital contributions that would otherwise be required) by Borrower or any of its Subsidiaries to any other Person, including all indebtedness (including, without limitation, any intercompany indebtedness) and accounts receivable from that other Person that are not current assets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28650"/>
                <wp:effectExtent l="0" t="0" r="0" b="0"/>
                <wp:wrapNone/>
                <wp:docPr id="102" name="Frame10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did not arise from sales to that other Person in the ordinary course of business, and (d) any direct or indirect guarantee of any obligations of any other Person. The amount of any Investment shall be (i) the original cost of such Investment plus the cost of all additions thereto, without any adjustments for increases or decreases in value, or write ups, write downs or write offs with respect to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Joint Venture</w:t>
      </w:r>
      <w:r>
        <w:rPr>
          <w:color w:val="000000"/>
        </w:rPr>
        <w:t xml:space="preserve">” </w:t>
      </w:r>
      <w:r>
        <w:rPr>
          <w:rFonts w:ascii="Times New Roman;serif" w:hAnsi="Times New Roman;serif"/>
          <w:b w:val="false"/>
          <w:color w:val="000000"/>
          <w:sz w:val="22"/>
        </w:rPr>
        <w:t>means a joint venture, partnership or other similar arrangement, whether in corporate, partnership or other legal form in which the Borrower or any of its Subsidiaries holds any Capital Stock; provided, in no event shall any corporate Subsidiary of any Person be considered to be a Joint Venture to which such Person is a party. On the Closing Date, the only Joint Venture is Visirna.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Joint Venture Proceeds</w:t>
      </w:r>
      <w:r>
        <w:rPr>
          <w:color w:val="000000"/>
        </w:rPr>
        <w:t xml:space="preserve">” </w:t>
      </w:r>
      <w:r>
        <w:rPr>
          <w:rFonts w:ascii="Times New Roman;serif" w:hAnsi="Times New Roman;serif"/>
          <w:b w:val="false"/>
          <w:color w:val="000000"/>
          <w:sz w:val="22"/>
        </w:rPr>
        <w:t>means any and all proceeds payable to Borrower or any of its Subsidiaries pursuant to a Joint Venture, including but not limited to dividends, whether paid in cash, equity or any other form of consideration; provided, that, any amounts payable in respect of the research, development, manufacture and/or Commercialization of any Partnered Asset shall be treated as Royalties, Milestones, or Profit Share Amounts (as the case may be) in respect of such Partnered Asset.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Junior Debt</w:t>
      </w:r>
      <w:r>
        <w:rPr>
          <w:color w:val="000000"/>
        </w:rPr>
        <w:t xml:space="preserve">” </w:t>
      </w:r>
      <w:r>
        <w:rPr>
          <w:rFonts w:ascii="Times New Roman;serif" w:hAnsi="Times New Roman;serif"/>
          <w:b w:val="false"/>
          <w:color w:val="000000"/>
          <w:sz w:val="22"/>
        </w:rPr>
        <w:t>has the meaning assigned to such term in the definition of Restricted Junior Payment.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Know-How</w:t>
      </w:r>
      <w:r>
        <w:rPr>
          <w:color w:val="000000"/>
        </w:rPr>
        <w:t xml:space="preserve">” </w:t>
      </w:r>
      <w:r>
        <w:rPr>
          <w:rFonts w:ascii="Times New Roman;serif" w:hAnsi="Times New Roman;serif"/>
          <w:b w:val="false"/>
          <w:color w:val="000000"/>
          <w:sz w:val="22"/>
        </w:rPr>
        <w:t>means all information and materials, including but not limited to discoveries, improvements, processes, methods, protocols, formulations formulas, data (including pharmacological, toxicological, non-clinical data, clinical data, analytical and quality control data, manufacturing data and descriptions, market data, financial data or descriptions), inventions, devices, assays, chemical formulations, specifications, product samples and other samples, physical, practices, procedures, technology, techniques, designs, drawings, correspondence, computer programs, documents, apparatus, results, strategies, Regulatory Documentation, information and submissions pertaining to, or made in association with, filings with any Governmental Authority, research in progress, algorithms, data, databases, data collections, chemical and biological materials (including any compounds, DNA, RNA, clones, vectors, cells and any expression product, progeny, derivatives or improvements thereto), and the results of experimentation and testing, including samples in each case, knowledge, know-how, trade secrets and the like, in written, electronic, oral or other tangible or intangible form, patentable or otherwise, which are not generally known.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w:t>
      </w:r>
      <w:r>
        <w:rPr>
          <w:color w:val="000000"/>
        </w:rPr>
        <w:t xml:space="preserve">” </w:t>
      </w:r>
      <w:r>
        <w:rPr>
          <w:rFonts w:ascii="Times New Roman;serif" w:hAnsi="Times New Roman;serif"/>
          <w:b w:val="false"/>
          <w:color w:val="000000"/>
          <w:sz w:val="22"/>
        </w:rPr>
        <w:t>means each lender listed on the signature pages hereto as a Lender, and any other Person that becomes a party hereto pursuant to an Assignment Agreement other than any Person that ceases to be a party hereto pursuant to any Assignment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Liabilities</w:t>
      </w:r>
      <w:r>
        <w:rPr>
          <w:color w:val="000000"/>
        </w:rPr>
        <w:t xml:space="preserve">” </w:t>
      </w:r>
      <w:r>
        <w:rPr>
          <w:rFonts w:ascii="Times New Roman;serif" w:hAnsi="Times New Roman;serif"/>
          <w:b w:val="false"/>
          <w:color w:val="000000"/>
          <w:sz w:val="22"/>
        </w:rPr>
        <w:t>means all claims, actions, suits, judgments, damages, losses, liability,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License Agreements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4.23(b)</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28650"/>
                <wp:effectExtent l="0" t="0" r="0" b="0"/>
                <wp:wrapNone/>
                <wp:docPr id="103" name="Frame10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Licensee</w:t>
      </w:r>
      <w:r>
        <w:rPr>
          <w:color w:val="000000"/>
        </w:rPr>
        <w:t xml:space="preserve">” </w:t>
      </w:r>
      <w:r>
        <w:rPr>
          <w:rFonts w:ascii="Times New Roman;serif" w:hAnsi="Times New Roman;serif"/>
          <w:b w:val="false"/>
          <w:color w:val="000000"/>
          <w:sz w:val="22"/>
        </w:rPr>
        <w:t>means any third party to which Company, any of its Subsidiaries, or any of their respective licensees, directly or indirectly through multiple tiers, grants a license, a sublicense, or other right to develop, manufacture or Commercialize a Product in any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(a) any lien, mortgage, pledge, assignment, hypothec, deed of trust, security interest, license or sublicense,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and (b) in the case of securities or Capital Stock, any purchase option, call or similar right of a third party with respect to such securities or Capital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w:t>
      </w:r>
      <w:r>
        <w:rPr>
          <w:color w:val="000000"/>
        </w:rPr>
        <w:t xml:space="preserve">” </w:t>
      </w:r>
      <w:r>
        <w:rPr>
          <w:rFonts w:ascii="Times New Roman;serif" w:hAnsi="Times New Roman;serif"/>
          <w:b w:val="false"/>
          <w:color w:val="000000"/>
          <w:sz w:val="22"/>
        </w:rPr>
        <w:t>means any Term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Account</w:t>
      </w:r>
      <w:r>
        <w:rPr>
          <w:color w:val="000000"/>
        </w:rPr>
        <w:t xml:space="preserve">” </w:t>
      </w:r>
      <w:r>
        <w:rPr>
          <w:rFonts w:ascii="Times New Roman;serif" w:hAnsi="Times New Roman;serif"/>
          <w:b w:val="false"/>
          <w:color w:val="000000"/>
          <w:sz w:val="22"/>
        </w:rPr>
        <w:t>means an account maintained hereunder by Administrative Agent on its books of account at the Payment Office, and with respect to Company, in which it will be charged with the Term Loan made to, and all other Obligations incurred by the Loan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Document</w:t>
      </w:r>
      <w:r>
        <w:rPr>
          <w:color w:val="000000"/>
        </w:rPr>
        <w:t xml:space="preserve">” </w:t>
      </w:r>
      <w:r>
        <w:rPr>
          <w:rFonts w:ascii="Times New Roman;serif" w:hAnsi="Times New Roman;serif"/>
          <w:b w:val="false"/>
          <w:color w:val="000000"/>
          <w:sz w:val="22"/>
        </w:rPr>
        <w:t xml:space="preserve">means any of this Agreement, the Notes, if any, the Collateral Documents, the Fee Letter, the Flow of Funds Agreement, any Guaranty, the Intercompany Subordination Agreement, the Perfection Certificate, any intercreditor agreement executed pursuant to </w:t>
      </w:r>
      <w:r>
        <w:rPr>
          <w:rFonts w:ascii="Times New Roman;serif" w:hAnsi="Times New Roman;serif"/>
          <w:b w:val="false"/>
          <w:color w:val="000000"/>
          <w:sz w:val="22"/>
          <w:u w:val="single"/>
        </w:rPr>
        <w:t>Section 9.8(a)(ii)(A)</w:t>
      </w:r>
      <w:r>
        <w:rPr>
          <w:rFonts w:ascii="Times New Roman;serif" w:hAnsi="Times New Roman;serif"/>
          <w:b w:val="false"/>
          <w:color w:val="000000"/>
          <w:sz w:val="22"/>
        </w:rPr>
        <w:t>, and all other documents, instruments or agreements executed and delivered by a Loan Party for the benefit of Administrative Agent or any Lender in connection herewith.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Party</w:t>
      </w:r>
      <w:r>
        <w:rPr>
          <w:color w:val="000000"/>
        </w:rPr>
        <w:t xml:space="preserve">” </w:t>
      </w:r>
      <w:r>
        <w:rPr>
          <w:rFonts w:ascii="Times New Roman;serif" w:hAnsi="Times New Roman;serif"/>
          <w:b w:val="false"/>
          <w:color w:val="000000"/>
          <w:sz w:val="22"/>
        </w:rPr>
        <w:t>means Company or any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Party Partner</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4.33(a)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Margin Stock</w:t>
      </w:r>
      <w:r>
        <w:rPr>
          <w:color w:val="000000"/>
        </w:rPr>
        <w:t xml:space="preserve">” </w:t>
      </w:r>
      <w:r>
        <w:rPr>
          <w:rFonts w:ascii="Times New Roman;serif" w:hAnsi="Times New Roman;serif"/>
          <w:b w:val="false"/>
          <w:color w:val="000000"/>
          <w:sz w:val="22"/>
        </w:rPr>
        <w:t>has the meaning specified in Regulation U of the Board of Governors of the Federal Reserve System as in effect from time to time.</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Market Capitalization Milestone</w:t>
      </w:r>
      <w:r>
        <w:rPr>
          <w:color w:val="000000"/>
        </w:rPr>
        <w:t xml:space="preserve">” </w:t>
      </w:r>
      <w:r>
        <w:rPr>
          <w:rFonts w:ascii="Times New Roman;serif" w:hAnsi="Times New Roman;serif"/>
          <w:b w:val="false"/>
          <w:color w:val="000000"/>
          <w:sz w:val="22"/>
        </w:rPr>
        <w:t xml:space="preserve">means the Company achieves an aggregate market capitalization of the Company (based on the closing price of the Common Stock on the date of such calculation) of greater than $[**] for the purposes of the definition of Permitted Acquisition and Section 2.10(f) of this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 material adverse effect with respect to (a) the business operations, properties, assets, financial condition, or liabilities of Borrower and its Subsidiaries taken as a whole, (b) the ability of any Loan Party to fully and timely perform its obligations under any Loan Document to which it is a party, (c) the legality, validity, binding effect, or enforceability against a Loan Party of a Loan Document to which it is a party, (d) the validity, perfection or priority of Administrative Agent’s Liens on the Collateral or (e) the rights, remedies and benefits available to, or conferred upon, Administrative Agent and any Lender or any other Secured Party under any Loan Document.</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Contract</w:t>
      </w:r>
      <w:r>
        <w:rPr>
          <w:color w:val="000000"/>
        </w:rPr>
        <w:t xml:space="preserve">” </w:t>
      </w:r>
      <w:r>
        <w:rPr>
          <w:rFonts w:ascii="Times New Roman;serif" w:hAnsi="Times New Roman;serif"/>
          <w:b w:val="false"/>
          <w:color w:val="000000"/>
          <w:sz w:val="22"/>
        </w:rPr>
        <w:t xml:space="preserve">means (a) any contract or other arrangement to which Borrower or any of its Subsidiaries is a party (other than the Loan Documents) for which breach, non-performance, cancellation or failure to renew could reasonably be expected to have a Material Adverse Effect and (b) those contracts and arrangements listed on </w:t>
      </w:r>
      <w:r>
        <w:rPr>
          <w:rFonts w:ascii="Times New Roman;serif" w:hAnsi="Times New Roman;serif"/>
          <w:b w:val="false"/>
          <w:color w:val="000000"/>
          <w:sz w:val="22"/>
          <w:u w:val="single"/>
        </w:rPr>
        <w:t>Schedule 4.15</w:t>
      </w:r>
      <w:r>
        <w:rPr>
          <w:color w:val="000000"/>
        </w:rPr>
        <w:t xml:space="preserve"> </w:t>
      </w:r>
      <w:r>
        <w:rPr>
          <w:rFonts w:ascii="Times New Roman;serif" w:hAnsi="Times New Roman;serif"/>
          <w:b w:val="false"/>
          <w:color w:val="000000"/>
          <w:sz w:val="22"/>
        </w:rPr>
        <w:t>with respect to Material Products.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Product</w:t>
      </w:r>
      <w:r>
        <w:rPr>
          <w:color w:val="000000"/>
        </w:rPr>
        <w:t xml:space="preserve">” </w:t>
      </w:r>
      <w:r>
        <w:rPr>
          <w:rFonts w:ascii="Times New Roman;serif" w:hAnsi="Times New Roman;serif"/>
          <w:b w:val="false"/>
          <w:color w:val="000000"/>
          <w:sz w:val="22"/>
        </w:rPr>
        <w:t>means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28650"/>
                <wp:effectExtent l="0" t="0" r="0" b="0"/>
                <wp:wrapNone/>
                <wp:docPr id="104" name="Frame10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Real Property</w:t>
      </w:r>
      <w:r>
        <w:rPr>
          <w:color w:val="000000"/>
        </w:rPr>
        <w:t xml:space="preserve">” </w:t>
      </w:r>
      <w:r>
        <w:rPr>
          <w:rFonts w:ascii="Times New Roman;serif" w:hAnsi="Times New Roman;serif"/>
          <w:b w:val="false"/>
          <w:color w:val="000000"/>
          <w:sz w:val="22"/>
        </w:rPr>
        <w:t>means (i) the fee-owned real property that is located at the Verona Technology Park at 1080 Arrowhead Way, Verona, Wisconsin 53593 (the “</w:t>
      </w:r>
      <w:r>
        <w:rPr>
          <w:rFonts w:ascii="Times New Roman;serif" w:hAnsi="Times New Roman;serif"/>
          <w:b w:val="false"/>
          <w:color w:val="000000"/>
          <w:sz w:val="22"/>
          <w:u w:val="single"/>
        </w:rPr>
        <w:t>Wisconsin Facility</w:t>
      </w:r>
      <w:r>
        <w:rPr>
          <w:color w:val="000000"/>
        </w:rPr>
        <w:t>”</w:t>
      </w:r>
      <w:r>
        <w:rPr>
          <w:rFonts w:ascii="Times New Roman;serif" w:hAnsi="Times New Roman;serif"/>
          <w:b w:val="false"/>
          <w:color w:val="000000"/>
          <w:sz w:val="22"/>
        </w:rPr>
        <w:t xml:space="preserve">) and (ii) any other fee-owned real property that is owned by any Loan Party with a fair market value in excess of $[**] (at the time of acquisition, as reasonably estimated by the Borrower in good faith).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Regulatory Liabilities</w:t>
      </w:r>
      <w:r>
        <w:rPr>
          <w:color w:val="000000"/>
        </w:rPr>
        <w:t xml:space="preserve">” </w:t>
      </w:r>
      <w:r>
        <w:rPr>
          <w:rFonts w:ascii="Times New Roman;serif" w:hAnsi="Times New Roman;serif"/>
          <w:b w:val="false"/>
          <w:color w:val="000000"/>
          <w:sz w:val="22"/>
        </w:rPr>
        <w:t>means (a) any Liabilities arising from the violation of FDA Laws, Public Health Laws, Federal Health Care Program Laws, or other applicable comparable Requirements of Law, or the terms, conditions of or requirements applicable to any Registrations (including costs of actions required under applicable Requirements of Law, including FDA Laws and Federal Health Care Program Laws, or necessary to remedy any violation of any terms or conditions applicable to any Registrations), including, but not limited to, withdrawal of approval, revocation, or suspension of a Governmental Authorization for, or recall, import detention, or seizure of, any Product, and (b) any loss of recurring annual revenues as a result of any loss, suspension or limitation of any Registrations, which, in the case of the foregoing clauses (a) and (b), (i) exceeds $[**] individually or in the aggregate or (ii) would reasonably be expected to result in a Material Adverse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Subsidiary</w:t>
      </w:r>
      <w:r>
        <w:rPr>
          <w:color w:val="000000"/>
        </w:rPr>
        <w:t xml:space="preserve">” </w:t>
      </w:r>
      <w:r>
        <w:rPr>
          <w:rFonts w:ascii="Times New Roman;serif" w:hAnsi="Times New Roman;serif"/>
          <w:b w:val="false"/>
          <w:color w:val="000000"/>
          <w:sz w:val="22"/>
        </w:rPr>
        <w:t>means a Subsidiary of the Borrower other than an Immaterial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Milestones</w:t>
      </w:r>
      <w:r>
        <w:rPr>
          <w:color w:val="000000"/>
        </w:rPr>
        <w:t xml:space="preserve">” </w:t>
      </w:r>
      <w:r>
        <w:rPr>
          <w:rFonts w:ascii="Times New Roman;serif" w:hAnsi="Times New Roman;serif"/>
          <w:b w:val="false"/>
          <w:color w:val="000000"/>
          <w:sz w:val="22"/>
        </w:rPr>
        <w:t>means, with respect to any Product and Platform Technology, (i) any and all milestone payments received by or on behalf of Borrower or any of its Subsidiaries under any Permitted Product Agreement or pursuant to any Royalty Monetization Transaction in respect of such Product or Platform Technology (including but not limited to research milestones, development milestones, commercialization milestones, milestones payable on the First Commercial Sale of a Product, and purchase price milestones (including the RPI Milestones)), (ii) any and all payments received by or on behalf of Borrower or any of its Subsidiaries in lieu of such payments described in the foregoing clause (i), (iii) any and all interest payments received by Borrower or any of its Subsidiaries assessed on any payments described in the foregoing clauses (i) and (ii), and (iv) without duplication of any payment actually made under clauses (i), (ii) and (iii), any and all “proceeds” recoverable or recovered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MOIC</w:t>
      </w:r>
      <w:r>
        <w:rPr>
          <w:color w:val="000000"/>
        </w:rPr>
        <w:t xml:space="preserve">” </w:t>
      </w:r>
      <w:r>
        <w:rPr>
          <w:rFonts w:ascii="Times New Roman;serif" w:hAnsi="Times New Roman;serif"/>
          <w:b w:val="false"/>
          <w:color w:val="000000"/>
          <w:sz w:val="22"/>
        </w:rPr>
        <w:t xml:space="preserve">has the meaning specified in the Fee Letter.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Monetized Territory</w:t>
      </w:r>
      <w:r>
        <w:rPr>
          <w:color w:val="000000"/>
        </w:rPr>
        <w:t xml:space="preserve">” </w:t>
      </w:r>
      <w:r>
        <w:rPr>
          <w:rFonts w:ascii="Times New Roman;serif" w:hAnsi="Times New Roman;serif"/>
          <w:b w:val="false"/>
          <w:color w:val="000000"/>
          <w:sz w:val="22"/>
        </w:rPr>
        <w:t>has the meaning set forth in the definition of “Pipeline Asset Monetization”.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 Services, Inc.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Mortgage</w:t>
      </w:r>
      <w:r>
        <w:rPr>
          <w:color w:val="000000"/>
        </w:rPr>
        <w:t xml:space="preserve">” </w:t>
      </w:r>
      <w:r>
        <w:rPr>
          <w:rFonts w:ascii="Times New Roman;serif" w:hAnsi="Times New Roman;serif"/>
          <w:b w:val="false"/>
          <w:color w:val="000000"/>
          <w:sz w:val="22"/>
        </w:rPr>
        <w:t>means a mortgage, deed of trust or deed to secure debt that encumbers Real Property, in form and substance satisfactory to Administrative Agent, made by a Loan Party in favor of Administrative Agent for the benefit of the Secured Parties, securing the Obligations and delivered to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Mortgage Deliverables</w:t>
      </w:r>
      <w:r>
        <w:rPr>
          <w:color w:val="000000"/>
        </w:rPr>
        <w:t xml:space="preserve">” </w:t>
      </w:r>
      <w:r>
        <w:rPr>
          <w:rFonts w:ascii="Times New Roman;serif" w:hAnsi="Times New Roman;serif"/>
          <w:b w:val="false"/>
          <w:color w:val="000000"/>
          <w:sz w:val="22"/>
        </w:rPr>
        <w:t>has the meaning specified in Section 5.11.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any Employee Benefit Plan which is a “multiemployer plan” as defined in Section 3(37)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Narrative Reports</w:t>
      </w:r>
      <w:r>
        <w:rPr>
          <w:color w:val="000000"/>
        </w:rPr>
        <w:t xml:space="preserve">” </w:t>
      </w:r>
      <w:r>
        <w:rPr>
          <w:rFonts w:ascii="Times New Roman;serif" w:hAnsi="Times New Roman;serif"/>
          <w:b w:val="false"/>
          <w:color w:val="000000"/>
          <w:sz w:val="22"/>
        </w:rPr>
        <w:t>means, with respect to the financial statements for which such narrative report is required, (a) a customary management discussion and analysis report in a customary form for the Borrower for the applicable fiscal quarter or fiscal year and for the period from the beginning of the then-</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28650"/>
                <wp:effectExtent l="0" t="0" r="0" b="0"/>
                <wp:wrapNone/>
                <wp:docPr id="105" name="Frame10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current fiscal year to the end of the period to which the relevant financial statements relate and (b) a narrative report, in a form to be mutually agreed by Borrower and Administrative Agent and which is intended to provide the following information (i) Company’s material clinical development activities involving any Products (other than Partnered Assets), including the timing/enrollment, material changes to design and latest estimate for completion for such clinical development programs, (ii) any Products (other than Partnered Assets) Commercialized by the Company, monthly units, ASP and net sales by country, and (iii) any reports summarizing development or commercialization activities received by the Borrower or any of its Subsidiaries in connection with any Joint Ventures or from Licensees with respect to their respective Partnered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Net Proceeds</w:t>
      </w:r>
      <w:r>
        <w:rPr>
          <w:color w:val="000000"/>
        </w:rPr>
        <w:t xml:space="preserve">” </w:t>
      </w:r>
      <w:r>
        <w:rPr>
          <w:rFonts w:ascii="Times New Roman;serif" w:hAnsi="Times New Roman;serif"/>
          <w:b w:val="false"/>
          <w:color w:val="000000"/>
          <w:sz w:val="22"/>
        </w:rPr>
        <w:t xml:space="preserve">means (a) with respect to any Asset Sale, an amount equal to: (i) Cash payments received by or on behalf of Borrower or any of its Subsidiaries from such Asset Sale (including, in the case of any Permitted Product Agreement, any up-front payments, Royalties, Milestones, Joint Venture Proceeds, Profit Share Amounts and other similar payments),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any bona fide costs or expenses incurred in connection with such Asset Sale that are properly attributable to such Asset Sale and to the extent paid or payable to non-Affiliates, including (A) income or gains Taxes paid or reasonably estimated to be payable in connection therewith, (B) payment of the outstanding principal amount of, premium or penalty, if any, and interest on any Indebtedness (other than the Loans) that is secured by a Lien on the stock or assets in question and that is required to be repaid under the terms thereof as a result of such Asset Sale, (C) a reasonable reserve for any indemnification payments (fixed or contingent) attributable to seller’s indemnities and representations and warranties to purchaser in respect of such Asset Sale undertaken by Borrower or any of its Subsidiaries in connection with such Asset Sale and (D) any reasonable and documented out-of-pocket fees or expenses incurred in connection therewith;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upon release of any such reserve, the amount released shall be considered Net Proceeds, provided further that any Asset Sale comprising a Permitted Product Agreement shall not be subject to the deductions set forth in this subsection (ii), and (b) with respect to any insurance, condemnation, taking or other casualty proceeds, an amount equal to: (i) any Cash payments or proceeds received by Borrower or any of its Subsidiaries (A) under any casualty, business interruption or “key man” insurance policies in respect of any covered loss thereunder, or (B) as a result of the condemnation or taking of any assets of Borrower or any of its Subsidiaries by any Person pursuant to the power of eminent domain, condemnation or otherwise, or pursuant to a sale of any such assets to a purchaser with such power under threat of such a taking,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(A) any actual costs or expenses incurred by Borrower or any of its Subsidiaries in connection with the adjustment or settlement of any claims of Borrower or such Subsidiary in respect thereof, and (B) any bona fide costs and expenses incurred in connection with any sale of such assets as referred to in </w:t>
      </w:r>
      <w:r>
        <w:rPr>
          <w:rFonts w:ascii="Times New Roman;serif" w:hAnsi="Times New Roman;serif"/>
          <w:b w:val="false"/>
          <w:color w:val="000000"/>
          <w:sz w:val="22"/>
          <w:u w:val="single"/>
        </w:rPr>
        <w:t>clause (b)(i)(B)</w:t>
      </w:r>
      <w:r>
        <w:rPr>
          <w:color w:val="000000"/>
        </w:rPr>
        <w:t xml:space="preserve"> </w:t>
      </w:r>
      <w:r>
        <w:rPr>
          <w:rFonts w:ascii="Times New Roman;serif" w:hAnsi="Times New Roman;serif"/>
          <w:b w:val="false"/>
          <w:color w:val="000000"/>
          <w:sz w:val="22"/>
        </w:rPr>
        <w:t>of this definition to the extent paid or payable to non-Affiliates, including income taxes payable as a result of any gain recognized in connection therewith.</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New License Agreement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5.12(c)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NIH</w:t>
      </w:r>
      <w:r>
        <w:rPr>
          <w:color w:val="000000"/>
        </w:rPr>
        <w:t xml:space="preserve">” </w:t>
      </w:r>
      <w:r>
        <w:rPr>
          <w:rFonts w:ascii="Times New Roman;serif" w:hAnsi="Times New Roman;serif"/>
          <w:b w:val="false"/>
          <w:color w:val="000000"/>
          <w:sz w:val="22"/>
        </w:rPr>
        <w:t>has the meaning specified in the definition of Public Health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Non-Core Markets</w:t>
      </w:r>
      <w:r>
        <w:rPr>
          <w:color w:val="000000"/>
        </w:rPr>
        <w:t xml:space="preserve">” </w:t>
      </w:r>
      <w:r>
        <w:rPr>
          <w:rFonts w:ascii="Times New Roman;serif" w:hAnsi="Times New Roman;serif"/>
          <w:b w:val="false"/>
          <w:color w:val="000000"/>
          <w:sz w:val="22"/>
        </w:rPr>
        <w:t>means any country or jurisdiction that is not a Core Market.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Note</w:t>
      </w:r>
      <w:r>
        <w:rPr>
          <w:color w:val="000000"/>
        </w:rPr>
        <w:t xml:space="preserve">” </w:t>
      </w:r>
      <w:r>
        <w:rPr>
          <w:rFonts w:ascii="Times New Roman;serif" w:hAnsi="Times New Roman;serif"/>
          <w:b w:val="false"/>
          <w:color w:val="000000"/>
          <w:sz w:val="22"/>
        </w:rPr>
        <w:t>means a promissory note evidencing the Initial Term Loan or a Delayed Draw Term Loan,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w:t>
      </w:r>
      <w:r>
        <w:rPr>
          <w:color w:val="000000"/>
        </w:rPr>
        <w:t xml:space="preserve">” </w:t>
      </w:r>
      <w:r>
        <w:rPr>
          <w:rFonts w:ascii="Times New Roman;serif" w:hAnsi="Times New Roman;serif"/>
          <w:b w:val="false"/>
          <w:color w:val="000000"/>
          <w:sz w:val="22"/>
        </w:rPr>
        <w:t>means a Funding Notice.</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28650"/>
                <wp:effectExtent l="0" t="0" r="0" b="0"/>
                <wp:wrapNone/>
                <wp:docPr id="106" name="Frame10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means all obligations of every nature of each Loan Party and its Subsidiaries from time to time owed to Administrative Agent (including former Administrative Agents), the Lenders or any of them, in each case, under any Loan Document, whether for principal, interest (including interest which, but for the filing of a petition in bankruptcy with respect to such Loan Party, would have accrued on any Obligation, whether or not a claim is allowed against such Loan Party for such interest in the related bankruptcy proceeding), any Yield Maintenance Premium, any MOIC, fees, expenses, indemnification or otherwise and whether primary, secondary, direct, indirect, contingent, fixed or otherwise (including obligations of performance).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has the meaning specified in the definition of “Anti-Terrorism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OFAC Sanctions Programs</w:t>
      </w:r>
      <w:r>
        <w:rPr>
          <w:color w:val="000000"/>
        </w:rPr>
        <w:t xml:space="preserve">” </w:t>
      </w:r>
      <w:r>
        <w:rPr>
          <w:rFonts w:ascii="Times New Roman;serif" w:hAnsi="Times New Roman;serif"/>
          <w:b w:val="false"/>
          <w:color w:val="000000"/>
          <w:sz w:val="22"/>
        </w:rPr>
        <w:t>means (a) the Requirements of Law and Executive Orders administered by OFAC, including but not limited to, Executive Order No. 13224, and (b) the list of Specially Designated Nationals and Blocked Persons administered by OFAC, in each case, as renewed, extended, amended, or replaced.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Olpasiran</w:t>
      </w:r>
      <w:r>
        <w:rPr>
          <w:color w:val="000000"/>
        </w:rPr>
        <w:t xml:space="preserve">” </w:t>
      </w:r>
      <w:r>
        <w:rPr>
          <w:rFonts w:ascii="Times New Roman;serif" w:hAnsi="Times New Roman;serif"/>
          <w:b w:val="false"/>
          <w:color w:val="000000"/>
          <w:sz w:val="22"/>
        </w:rPr>
        <w:t>means the pharmaceutical product candidate having the chemical structure set forth on Schedule 1.1(a), including all forms, presentations, strengths, doses, and formulations (including any method of delivery), either alone or as a Combination Product, and all other “Licensed Products” (as defined in the Olpasiran License Agreement) licensed or sublicensed to one or more third parties under the Olpasiran License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Olpasiran License Agreement</w:t>
      </w:r>
      <w:r>
        <w:rPr>
          <w:color w:val="000000"/>
        </w:rPr>
        <w:t xml:space="preserve">” </w:t>
      </w:r>
      <w:r>
        <w:rPr>
          <w:rFonts w:ascii="Times New Roman;serif" w:hAnsi="Times New Roman;serif"/>
          <w:b w:val="false"/>
          <w:color w:val="000000"/>
          <w:sz w:val="22"/>
        </w:rPr>
        <w:t>means that certain Second Collaboration and License Agreement by and between Amgen Inc. and Arrowhead Pharmaceuticals, Inc. dated as of September 28, 2016.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Orange Book</w:t>
      </w:r>
      <w:r>
        <w:rPr>
          <w:color w:val="000000"/>
        </w:rPr>
        <w:t xml:space="preserve">” </w:t>
      </w:r>
      <w:r>
        <w:rPr>
          <w:rFonts w:ascii="Times New Roman;serif" w:hAnsi="Times New Roman;serif"/>
          <w:b w:val="false"/>
          <w:color w:val="000000"/>
          <w:sz w:val="22"/>
        </w:rPr>
        <w:t>means the FDA publication “Approved Drug Products with Therapeutic Equivalence Evaluations,” which identifies drug products approved by the FDA under the Federal Food, Drug, and Cosmetic Act as well as patent and exclusivity information related to approved drug products, as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Orange Book Patent</w:t>
      </w:r>
      <w:r>
        <w:rPr>
          <w:color w:val="000000"/>
        </w:rPr>
        <w:t xml:space="preserve">” </w:t>
      </w:r>
      <w:r>
        <w:rPr>
          <w:rFonts w:ascii="Times New Roman;serif" w:hAnsi="Times New Roman;serif"/>
          <w:b w:val="false"/>
          <w:color w:val="000000"/>
          <w:sz w:val="22"/>
        </w:rPr>
        <w:t>means any Product Patents issued in the U.S. and listed in Orange Book pursuant to 21 U.S.C. Section 355(b)(1), as such patent listing may be amended from time to time, together with all foreign counterpart patents.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Organizational Documents</w:t>
      </w:r>
      <w:r>
        <w:rPr>
          <w:color w:val="000000"/>
        </w:rPr>
        <w:t xml:space="preserve">” </w:t>
      </w:r>
      <w:r>
        <w:rPr>
          <w:rFonts w:ascii="Times New Roman;serif" w:hAnsi="Times New Roman;serif"/>
          <w:b w:val="false"/>
          <w:color w:val="000000"/>
          <w:sz w:val="22"/>
        </w:rPr>
        <w:t>means (a) with respect to any corporation or company, its certificate, articles or memorandum of incorporation, organization or association, and its by-laws, (b) with respect to any limited partnership, its certificate of limited partnership, and its partnership agreement, (c) with respect to any general partnership, its partnership agreement, and (d) with respect to any limited liability company, its articles of organization, and its operating agreement (or, in each case of (a) through (d), the equivalent or comparable constitutive documents with respect to any non-U.S. jurisdiction).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 xml:space="preserve">has the meaning specified in Section 2.15(a).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28650"/>
                <wp:effectExtent l="0" t="0" r="0" b="0"/>
                <wp:wrapNone/>
                <wp:docPr id="107" name="Frame10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Outbound License Agreement</w:t>
      </w:r>
      <w:r>
        <w:rPr>
          <w:color w:val="000000"/>
        </w:rPr>
        <w:t xml:space="preserve">” </w:t>
      </w:r>
      <w:r>
        <w:rPr>
          <w:rFonts w:ascii="Times New Roman;serif" w:hAnsi="Times New Roman;serif"/>
          <w:b w:val="false"/>
          <w:color w:val="000000"/>
          <w:sz w:val="22"/>
        </w:rPr>
        <w:t xml:space="preserve">means, individually or collectively as the context requires, the agreements listed in Items 1 through and including 5 of </w:t>
      </w:r>
      <w:r>
        <w:rPr>
          <w:rFonts w:ascii="Times New Roman;serif" w:hAnsi="Times New Roman;serif"/>
          <w:b w:val="false"/>
          <w:color w:val="000000"/>
          <w:sz w:val="22"/>
          <w:u w:val="single"/>
        </w:rPr>
        <w:t>Schedule 4.23(b)(ii)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10.6(h)(ii)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Partnered Assets</w:t>
      </w:r>
      <w:r>
        <w:rPr>
          <w:color w:val="000000"/>
        </w:rPr>
        <w:t xml:space="preserve">” </w:t>
      </w:r>
      <w:r>
        <w:rPr>
          <w:rFonts w:ascii="Times New Roman;serif" w:hAnsi="Times New Roman;serif"/>
          <w:b w:val="false"/>
          <w:color w:val="000000"/>
          <w:sz w:val="22"/>
        </w:rPr>
        <w:t xml:space="preserve">means (a) [**], (b) [**], and (c) any Products that are the subject of any Specified Transaction after such Specified Transaction is entered into.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Patent</w:t>
      </w:r>
      <w:r>
        <w:rPr>
          <w:color w:val="000000"/>
        </w:rPr>
        <w:t xml:space="preserve">” </w:t>
      </w:r>
      <w:r>
        <w:rPr>
          <w:rFonts w:ascii="Times New Roman;serif" w:hAnsi="Times New Roman;serif"/>
          <w:b w:val="false"/>
          <w:color w:val="000000"/>
          <w:sz w:val="22"/>
        </w:rPr>
        <w:t>means any patent or patent application,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the duration or any of the subject matter of a patent, and any substitution patent, confirmation patent or registration patent or patent of addition based on any such patent, and all foreign counterparts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4.29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Payment Office</w:t>
      </w:r>
      <w:r>
        <w:rPr>
          <w:color w:val="000000"/>
        </w:rPr>
        <w:t xml:space="preserve">” </w:t>
      </w:r>
      <w:r>
        <w:rPr>
          <w:rFonts w:ascii="Times New Roman;serif" w:hAnsi="Times New Roman;serif"/>
          <w:b w:val="false"/>
          <w:color w:val="000000"/>
          <w:sz w:val="22"/>
        </w:rPr>
        <w:t>means Administrative Agent’s office located at 2100 McKinney Avenue, Suite 1500, Dallas, Texas 75201 or such other office or offices of Administrative Agent as may be designated in writing from time to time by Administrative Agent and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 xml:space="preserve">” </w:t>
      </w:r>
      <w:r>
        <w:rPr>
          <w:rFonts w:ascii="Times New Roman;serif" w:hAnsi="Times New Roman;serif"/>
          <w:b w:val="false"/>
          <w:color w:val="000000"/>
          <w:sz w:val="22"/>
        </w:rPr>
        <w:t>means any Employee Benefit Plan, other than a Multiemployer Plan, which is subject to Section 412 of the Internal Revenue Code, Section 302 of ERISA or Title IV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Perfection Certificate</w:t>
      </w:r>
      <w:r>
        <w:rPr>
          <w:color w:val="000000"/>
        </w:rPr>
        <w:t xml:space="preserve">” </w:t>
      </w:r>
      <w:r>
        <w:rPr>
          <w:rFonts w:ascii="Times New Roman;serif" w:hAnsi="Times New Roman;serif"/>
          <w:b w:val="false"/>
          <w:color w:val="000000"/>
          <w:sz w:val="22"/>
        </w:rPr>
        <w:t>means that certain Perfection Certificate, dated as of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 xml:space="preserve">means any acquisition by Company or its wholly owned Subsidiaries, whether by purchase, merger, in-licensing or otherwise, of all or substantially all of the assets of, all of the Capital Stock of, or a business line or unit or a division of, or Patents, or similar or related Intellectual Property rights of, any Person;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immediately prior to, and after giving effect thereto, no Default or Event of Default shall have occurred and be continuing or would result therefrom;</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transactions in connection therewith shall be consummated, in all material respects, in accordance with all applicable laws and in conformity with all applicable and material Governmental Authorizations;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case of the acquisition of Capital Stock, all of the Capital Stock (except for any such securities in the nature of directors’ qualifying shares required pursuant to applicable law) acquired or otherwise issued by such Person or any newly formed Guarantor Subsidiary in connection with such acquisition shall be owned [**]% by a Loan Party, and Company shall have taken, or caused to be taken, as of the date such Person becomes a Subsidiary, each of the actions required to be taken as of such date as set forth in </w:t>
      </w:r>
      <w:r>
        <w:rPr>
          <w:rFonts w:ascii="Times New Roman;serif" w:hAnsi="Times New Roman;serif"/>
          <w:b w:val="false"/>
          <w:color w:val="000000"/>
          <w:sz w:val="22"/>
          <w:u w:val="single"/>
        </w:rPr>
        <w:t>Section 5.10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5.11</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Section 5.12</w:t>
      </w:r>
      <w:r>
        <w:rPr>
          <w:rFonts w:ascii="Times New Roman;serif" w:hAnsi="Times New Roman;serif"/>
          <w:b w:val="false"/>
          <w:color w:val="000000"/>
          <w:sz w:val="22"/>
        </w:rPr>
        <w: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8650"/>
                <wp:effectExtent l="0" t="0" r="0" b="0"/>
                <wp:wrapNone/>
                <wp:docPr id="108" name="Frame10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Borrower and its Subsidiaries shall be in compliance with the covenant set forth in </w:t>
      </w:r>
      <w:r>
        <w:rPr>
          <w:rFonts w:ascii="Times New Roman;serif" w:hAnsi="Times New Roman;serif"/>
          <w:b w:val="false"/>
          <w:color w:val="000000"/>
          <w:sz w:val="22"/>
          <w:u w:val="single"/>
        </w:rPr>
        <w:t>Section 6.8</w:t>
      </w:r>
      <w:r>
        <w:rPr>
          <w:color w:val="000000"/>
        </w:rPr>
        <w:t xml:space="preserve"> </w:t>
      </w:r>
      <w:r>
        <w:rPr>
          <w:rFonts w:ascii="Times New Roman;serif" w:hAnsi="Times New Roman;serif"/>
          <w:b w:val="false"/>
          <w:color w:val="000000"/>
          <w:sz w:val="22"/>
        </w:rPr>
        <w:t>on a pro forma basis after giving effect to such acquisition as of the last day of the Fiscal Quarter most recently ended;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to the extent the Market Capitalization Milestone is not satisfied, in the case of an acquisition with total consideration in excess of $[**], and solely to the extent reasonably available to the Company, the Company shall have delivered to Administrative Agent at least [**] (or such shorter period as agreed to by Administrative Agent in writing) prior to such proposed acquisition such information and documents that Administrative Agent may reasonably request, including, without limitation, financial information with respect to such acquired assets, to the extent such financial information is available, and drafts of the respective acquisition agreements related thereto;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any Person or assets or division as acquired in such Permitted Acquisition shall be in the same business or lines of business in which Company and/or its Subsidiaries are engaged as of the Closing Date (or in lines of business reasonably related or incidental thereto, or such other lines of business as may be consented to by Administrative Agent (such consent not to be unreasonably withheld or delayed));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acquisition shall have been approved by the Board of Directors or other governing body or controlling Person of the Person acquired or the Person from whom such assets or division is acquired or a court of competent jurisdiction;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assets being acquired (other than a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amount of assets in relation to the assets being acquired) are located within [**] or the Person whose Equity Interests are being acquired is organized in a jurisdiction located within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total consideration (excluding any portion thereof paid with Common Stock of the Company or with proceeds of a substantially concurrent (and in no event more than [**] before or after such acquisition) issuance of Common Stock) paid or payable in connection with (x) an individual acquisition shall not exceed $[**] and (y) all such acquisitions consummated since the Closing Date shall not exceed $[**]; and </w:t>
      </w:r>
    </w:p>
    <w:p>
      <w:pPr>
        <w:pStyle w:val="TextBody"/>
        <w:bidi w:val="0"/>
        <w:spacing w:lineRule="auto" w:line="288"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all such assets so acquired shall be subject to the mandatory prepayment obligations set forth in </w:t>
      </w:r>
      <w:r>
        <w:rPr>
          <w:rFonts w:ascii="Times New Roman;serif" w:hAnsi="Times New Roman;serif"/>
          <w:b w:val="false"/>
          <w:color w:val="000000"/>
          <w:sz w:val="22"/>
          <w:u w:val="single"/>
        </w:rPr>
        <w:t>Section 2.10(h)</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2.10(i)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Convertible Indebtedness</w:t>
      </w:r>
      <w:r>
        <w:rPr>
          <w:color w:val="000000"/>
        </w:rPr>
        <w:t xml:space="preserve">” </w:t>
      </w:r>
      <w:r>
        <w:rPr>
          <w:rFonts w:ascii="Times New Roman;serif" w:hAnsi="Times New Roman;serif"/>
          <w:b w:val="false"/>
          <w:color w:val="000000"/>
          <w:sz w:val="22"/>
        </w:rPr>
        <w:t xml:space="preserve">means any Indebtedness of Borrower that is convertible based on a fixed conversion rate (subject to customary anti-dilution adjustments, “make-whole” increases and other customary changes thereto) into shares of Common Stock of Borrower (or other securities or property following a merger event or other change of the Common Stock of Borrower), cash or any combination thereof (with the amount of such cash or such combination determined by reference to the market price of such Common Stock or such other securities); provided that (a) at the time such Indebtedness is incurred, no Default or Event of Default has occurred and is continuing or would occur as a result of such incurrence, (b) all necessary corporate, company, shareholder or similar actions shall be taken and consents obtained in connection with the issuance of such Indebtedness, (c) the issuance of such Indebtedness shall be consummated in compliance with all applicable Requirements of Law, and (d) the documentation evidencing such Indebtedness shall have been delivered to Administrative Agent and shall be on customary terms for similar convertible transactions in the public markets (as determined by Borrower in good faith) but in all cases including all of the following terms: (i) it shall not have a cash pay interest rate that exceeds [**]% per annum, (ii) it shall be (and shall remain at all times) unsecured to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28650"/>
                <wp:effectExtent l="0" t="0" r="0" b="0"/>
                <wp:wrapNone/>
                <wp:docPr id="109" name="Frame10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the Obligations, (iii) it shall not have a maturity (and shall not have any scheduled amortization of principal) prior to the date that is [**] after the Term Loan Maturity Date in effect at the time such Indebtedness is incurred, (iv) if it has any negative covenants, such covenants (including covenants relating to incurrence of Indebtedness), shall not be more restrictive than those set forth herein, (v) it shall have no restrictions on Borrower’s or its Subsidiaries’ ability to grant liens securing the Obligations, (vi) it shall not prohibit the incurrence of the Obligations, (vii) it is not guaranteed by any Subsidiary and (viii) any cross-default or cross-acceleration event of default (each howsoever defined) provision contained therein that relates to indebtedness or other payment obligations of the Company (or any of its Subsidiaries) (such indebtedness or other payment obligations a “</w:t>
      </w:r>
      <w:r>
        <w:rPr>
          <w:rFonts w:ascii="Times New Roman;serif" w:hAnsi="Times New Roman;serif"/>
          <w:b w:val="false"/>
          <w:color w:val="000000"/>
          <w:sz w:val="22"/>
          <w:u w:val="single"/>
        </w:rPr>
        <w:t>Cross-Default Reference Obligation</w:t>
      </w:r>
      <w:r>
        <w:rPr>
          <w:color w:val="000000"/>
        </w:rPr>
        <w:t>”</w:t>
      </w:r>
      <w:r>
        <w:rPr>
          <w:rFonts w:ascii="Times New Roman;serif" w:hAnsi="Times New Roman;serif"/>
          <w:b w:val="false"/>
          <w:color w:val="000000"/>
          <w:sz w:val="22"/>
        </w:rPr>
        <w:t>) contains a cure period of at least [**] (after written notice to the issuer of such Indebtedness by the trustee or to such issuer and such trustee by holders of at least [**]% (or any other applicable percentage) in the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Equity Derivative</w:t>
      </w:r>
      <w:r>
        <w:rPr>
          <w:color w:val="000000"/>
        </w:rPr>
        <w:t xml:space="preserve">” </w:t>
      </w:r>
      <w:r>
        <w:rPr>
          <w:rFonts w:ascii="Times New Roman;serif" w:hAnsi="Times New Roman;serif"/>
          <w:b w:val="false"/>
          <w:color w:val="000000"/>
          <w:sz w:val="22"/>
        </w:rPr>
        <w:t xml:space="preserve">means any forward purchase, accelerated share repurchase, call option, warrant or other derivative transactions in respect of Borrower’s Common Stock; provided, that (w) the terms, conditions and covenants of each such transaction shall be customary for transactions of such type, as determined by Borrower in good faith, (x) such transaction may, at the option of Borrower, be settled in Common Stock of Borrower, (y) such transaction is entered into contemporaneously and otherwise in connection with the issuance of Permitted Convertible Indebtedness or the Restricted Junior Payments in respect of such transaction are otherwise permitted pursuant to </w:t>
      </w:r>
      <w:r>
        <w:rPr>
          <w:rFonts w:ascii="Times New Roman;serif" w:hAnsi="Times New Roman;serif"/>
          <w:b w:val="false"/>
          <w:color w:val="000000"/>
          <w:sz w:val="22"/>
          <w:u w:val="single"/>
        </w:rPr>
        <w:t>Section 6.5(f)</w:t>
      </w:r>
      <w:r>
        <w:rPr>
          <w:rFonts w:ascii="Times New Roman;serif" w:hAnsi="Times New Roman;serif"/>
          <w:b w:val="false"/>
          <w:color w:val="000000"/>
          <w:sz w:val="22"/>
        </w:rPr>
        <w:t>, and (z) such transaction shall be classified in Borrower’s stockholders’ equity under FASB ASC 815-40 or any successor provision.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Fazirsiran Reduction</w:t>
      </w:r>
      <w:r>
        <w:rPr>
          <w:color w:val="000000"/>
        </w:rPr>
        <w:t xml:space="preserve">” </w:t>
      </w:r>
      <w:r>
        <w:rPr>
          <w:rFonts w:ascii="Times New Roman;serif" w:hAnsi="Times New Roman;serif"/>
          <w:b w:val="false"/>
          <w:color w:val="000000"/>
          <w:sz w:val="22"/>
        </w:rPr>
        <w:t>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Indebtedness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Obligations;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to the extent constituting Indebtedness, Permitted Intercompany Investments;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Indebtedness shall be unsecured and, to the extent such Indebtedness is owed by a Loan Party to a Subsidiary that is not a Loan Party, the parties thereto are party to an Intercompany Subordination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Indebtedness incurred by Borrower or any of its Subsidiaries arising from agreements providing for indemnification or from guaranties or letters of credit, surety bonds or performance bonds securing the performance of Company or any such Subsidiary pursuant to such agreements, in connection with Permitted Acquisitions or Asset Sales permitted hereunder;</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Indebtedness which may be deemed to exist pursuant to any guaranties, performance, surety, statutory, appeal or similar obligations incurred in the ordinary course of business and Indebtedness constituting guaranties in the ordinary course of business of the obligations of suppliers, customers, franchisees and licensees of Borrower and its Subsidiaries;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Indebtedness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(i) Indebtedness in respect of netting services, overdraft protections and otherwise in connection with deposit accounts; and (ii) Indebtedness arising from the honoring by a bank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8650"/>
                <wp:effectExtent l="0" t="0" r="0" b="0"/>
                <wp:wrapNone/>
                <wp:docPr id="110" name="Frame10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or other financial institution of a check, draft or similar instrument inadvertently (except in the case of daylight overdrafts) drawn against insufficient funds in the ordinary course of business;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Indebtedness is extinguished within [**] of incurrence;</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Indebtedness described in </w:t>
      </w:r>
      <w:r>
        <w:rPr>
          <w:rFonts w:ascii="Times New Roman;serif" w:hAnsi="Times New Roman;serif"/>
          <w:b w:val="false"/>
          <w:color w:val="000000"/>
          <w:sz w:val="22"/>
          <w:u w:val="single"/>
        </w:rPr>
        <w:t>Schedule 6.1</w:t>
      </w:r>
      <w:r>
        <w:rPr>
          <w:rFonts w:ascii="Times New Roman;serif" w:hAnsi="Times New Roman;serif"/>
          <w:b w:val="false"/>
          <w:color w:val="000000"/>
          <w:sz w:val="22"/>
        </w:rPr>
        <w:t>, and any Permitted Refinancing Indebtedness in respect of such Indebtedness;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 xml:space="preserve">Indebtedness in an aggregate amount outstanding not to exceed at any time, together with the aggregate amount of Indebtedness incurred pursuant to clause (m) below, $[**] with respect to (i) Capital Leases and (ii) purchase money Indebtedness (including any Indebtedness acquired in connection with a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Indebtedness shall be secured only by the asset subject to such Capital Lease or by the asset acquired in connection with the incurrence of such Indebtedness;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guaranties with respect to Indebtedness of Borrower or any of its Subsidiaries, to the extent that the Person that is obligated under such guaranty could have incurred such underlying Indebtedness to the extent such guaranties are not prohibited by </w:t>
      </w:r>
      <w:r>
        <w:rPr>
          <w:rFonts w:ascii="Times New Roman;serif" w:hAnsi="Times New Roman;serif"/>
          <w:b w:val="false"/>
          <w:color w:val="000000"/>
          <w:sz w:val="22"/>
          <w:u w:val="single"/>
        </w:rPr>
        <w:t>Section 6.7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Indebtedness being guaranteed is subordinated to the Obligations, such guaranty shall be subordinated to the Obligations on terms at least as favorable to the Secured Parties as those contained in the subordination of such Indebtedness;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 xml:space="preserve">unsecured Indebtedness of Borrower owing to former employees, officers, or directors (or any spouses, ex-spouses, or estates of any of the foregoing) incurred in connection with the repurchase by Borrower of the Capital Stock of Borrower that has been issued to such Persons, so long as (i) no Default or Event of Default has occurred and is continuing or would result from the incurrence of such Indebtedness, (ii) the aggregate outstanding principal amount of all such Indebtedness incurred pursuant to this </w:t>
      </w:r>
      <w:r>
        <w:rPr>
          <w:rFonts w:ascii="Times New Roman;serif" w:hAnsi="Times New Roman;serif"/>
          <w:b w:val="false"/>
          <w:color w:val="000000"/>
          <w:sz w:val="22"/>
          <w:u w:val="single"/>
        </w:rPr>
        <w:t>clause (j)</w:t>
      </w:r>
      <w:r>
        <w:rPr>
          <w:color w:val="000000"/>
        </w:rPr>
        <w:t xml:space="preserve"> </w:t>
      </w:r>
      <w:r>
        <w:rPr>
          <w:rFonts w:ascii="Times New Roman;serif" w:hAnsi="Times New Roman;serif"/>
          <w:b w:val="false"/>
          <w:color w:val="000000"/>
          <w:sz w:val="22"/>
        </w:rPr>
        <w:t>does not exceed $[**], and (iii) such Indebtedness is subordinated to the Obligations on terms and conditions reasonably acceptable to Administrative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pStyle w:val="TextBody"/>
        <w:bidi w:val="0"/>
        <w:spacing w:lineRule="auto" w:line="240"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 xml:space="preserve">contingent liabilities in respect of any indemnification obligation, adjustment of purchase price, deferred purchase price and compensation, or other similar arrangements incurred by such Person in connection with the consummation of one or more Permitted Acquisitions, any Investment permitted hereunder or any license, transfer or other Asset Sale permitted hereunder; </w:t>
      </w:r>
    </w:p>
    <w:p>
      <w:pPr>
        <w:pStyle w:val="TextBody"/>
        <w:bidi w:val="0"/>
        <w:spacing w:lineRule="auto" w:line="240"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 xml:space="preserve">Indebtedness of a Person whose assets or Capital Stock are acquired by Borrower or any of its Subsidiaries in a Permitted Acquisition in an aggregate amount not to exceed, together with the aggregate amount of Indebtedness incurred pursuant to clause (h) above, $[**] at any one time outstanding;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Indebtedness (i) was in existence prior to the date of such Permitted Acquisition, (ii) is either purchase money Indebtedness or a Capital Lease with respect to equipment or mortgage financing with respect to a facility or other Indebtedness reasonably satisfactory to the Administrative Agent, and (iii) was not incurred in connection with, or in contemplation of, such Permitted Acquisition;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Permitted Convertible Indebtedness and any Permitted Refinancing Indebtedness in respect thereof in an aggregate outstanding principal amount not to exceed the greater of $[**] and [**]% of the aggregate market capitalization of the Company (based on the closing price of the Common Stock on the trading date immediately prior to the incurrence of such Indebtedness); provided that, any such Indebtedness incurred pursuant to this clause (n) shall not exceed $[**] in the aggregate at any time;</w:t>
      </w:r>
    </w:p>
    <w:p>
      <w:pPr>
        <w:pStyle w:val="TextBody"/>
        <w:bidi w:val="0"/>
        <w:spacing w:lineRule="auto" w:line="240"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Indebtedness consisting of obligations in respect of letters of credit, bank guarantees, surety bonds or performance bonds in an aggregate outstanding principal amount not to exceed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28650"/>
                <wp:effectExtent l="0" t="0" r="0" b="0"/>
                <wp:wrapNone/>
                <wp:docPr id="111" name="Frame10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(q)</w:t>
      </w:r>
      <w:r>
        <w:rPr>
          <w:rFonts w:ascii="Times New Roman;serif" w:hAnsi="Times New Roman;serif"/>
          <w:b w:val="false"/>
          <w:color w:val="000000"/>
          <w:sz w:val="22"/>
        </w:rPr>
        <w:t>Indebtedness owed to any financial institution in respect of purchasing or debit card programs, credit card programs and related liabilities arising from ordinary course treasury, depository or cash management services, including any payments in connection with the termination thereof; </w:t>
      </w:r>
    </w:p>
    <w:p>
      <w:pPr>
        <w:pStyle w:val="TextBody"/>
        <w:bidi w:val="0"/>
        <w:spacing w:lineRule="auto" w:line="240" w:before="0" w:after="240"/>
        <w:ind w:left="0" w:right="0" w:firstLine="1440"/>
        <w:jc w:val="both"/>
        <w:rPr/>
      </w:pPr>
      <w:r>
        <w:rPr>
          <w:rFonts w:ascii="Times New Roman;serif" w:hAnsi="Times New Roman;serif"/>
          <w:b w:val="false"/>
          <w:color w:val="010000"/>
          <w:sz w:val="22"/>
        </w:rPr>
        <w:t>(r)</w:t>
      </w:r>
      <w:r>
        <w:rPr>
          <w:rFonts w:ascii="Times New Roman;serif" w:hAnsi="Times New Roman;serif"/>
          <w:b w:val="false"/>
          <w:color w:val="000000"/>
          <w:sz w:val="22"/>
        </w:rPr>
        <w:t>Indebtedness consisting of take-or-pay obligations contained in supply arrangements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(s)</w:t>
      </w:r>
      <w:r>
        <w:rPr>
          <w:rFonts w:ascii="Times New Roman;serif" w:hAnsi="Times New Roman;serif"/>
          <w:b w:val="false"/>
          <w:color w:val="000000"/>
          <w:sz w:val="22"/>
        </w:rPr>
        <w:t>customer deposits and advance payments received in the ordinary course of business from customers for goods purchased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(t)</w:t>
      </w:r>
      <w:r>
        <w:rPr>
          <w:rFonts w:ascii="Times New Roman;serif" w:hAnsi="Times New Roman;serif"/>
          <w:b w:val="false"/>
          <w:color w:val="000000"/>
          <w:sz w:val="22"/>
        </w:rPr>
        <w:t>Indebtedness incurred in connection with bankers’ acceptances, discounted bills of exchange, warehouse receipts or similar facilities or the discounting or factoring of receivables for collection purposes, in each case incurred or undertaken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(u)</w:t>
      </w:r>
      <w:r>
        <w:rPr>
          <w:rFonts w:ascii="Times New Roman;serif" w:hAnsi="Times New Roman;serif"/>
          <w:b w:val="false"/>
          <w:color w:val="000000"/>
          <w:sz w:val="22"/>
        </w:rPr>
        <w:t>guarantees incurred in the ordinary course of business in respect of obligations to suppliers, customers, franchisees, lessors, licensees, sub-licensees and distribution partners;</w:t>
      </w:r>
    </w:p>
    <w:p>
      <w:pPr>
        <w:pStyle w:val="TextBody"/>
        <w:bidi w:val="0"/>
        <w:spacing w:lineRule="auto" w:line="240" w:before="0" w:after="240"/>
        <w:ind w:left="0" w:right="0" w:firstLine="1440"/>
        <w:jc w:val="both"/>
        <w:rPr/>
      </w:pPr>
      <w:r>
        <w:rPr>
          <w:rFonts w:ascii="Times New Roman;serif" w:hAnsi="Times New Roman;serif"/>
          <w:b w:val="false"/>
          <w:color w:val="010000"/>
          <w:sz w:val="22"/>
        </w:rPr>
        <w:t>(v)</w:t>
      </w:r>
      <w:r>
        <w:rPr>
          <w:rFonts w:ascii="Times New Roman;serif" w:hAnsi="Times New Roman;serif"/>
          <w:b w:val="false"/>
          <w:color w:val="000000"/>
          <w:sz w:val="22"/>
        </w:rPr>
        <w:t xml:space="preserve">to the extent constituting Indebtedness, obligations under a Permitted Royalty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any Permitted Royalty Transaction entered into after the Closing Date (i), prior to entering into a Permitted Royalty Transaction, the Borrower shall provide written notice to the Lenders of any process run by or on behalf of the Borrower involving a Royalty Monetization Transaction and to negotiate in good faith with the Lenders should the Lenders elect to submit a bid for such Royalty Monetization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in no way be precluded from soliciting other bids and conducting contemporaneous negotiations with other third party bidders for such Royalty Monetization Transaction;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(w)</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(x)</w:t>
      </w:r>
      <w:r>
        <w:rPr>
          <w:rFonts w:ascii="Times New Roman;serif" w:hAnsi="Times New Roman;serif"/>
          <w:b w:val="false"/>
          <w:color w:val="000000"/>
          <w:sz w:val="22"/>
        </w:rPr>
        <w:t>obligations under any Hedging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(y)</w:t>
      </w:r>
      <w:r>
        <w:rPr>
          <w:rFonts w:ascii="Times New Roman;serif" w:hAnsi="Times New Roman;serif"/>
          <w:b w:val="false"/>
          <w:color w:val="000000"/>
          <w:sz w:val="22"/>
        </w:rPr>
        <w:t xml:space="preserve">any Permitted Equity Derivatives; </w:t>
      </w:r>
    </w:p>
    <w:p>
      <w:pPr>
        <w:pStyle w:val="TextBody"/>
        <w:bidi w:val="0"/>
        <w:spacing w:lineRule="auto" w:line="240" w:before="0" w:after="240"/>
        <w:ind w:left="0" w:right="0" w:firstLine="1440"/>
        <w:jc w:val="both"/>
        <w:rPr/>
      </w:pPr>
      <w:r>
        <w:rPr>
          <w:rFonts w:ascii="Times New Roman;serif" w:hAnsi="Times New Roman;serif"/>
          <w:b w:val="false"/>
          <w:color w:val="010000"/>
          <w:sz w:val="22"/>
        </w:rPr>
        <w:t>(z)</w:t>
      </w:r>
      <w:r>
        <w:rPr>
          <w:rFonts w:ascii="Times New Roman;serif" w:hAnsi="Times New Roman;serif"/>
          <w:b w:val="false"/>
          <w:color w:val="000000"/>
          <w:sz w:val="22"/>
        </w:rPr>
        <w:t>other Indebtedness of Borrower and its Subsidiaries, which is unsecured in an aggregate amount not to exceed at any time $[**];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(aa)</w:t>
      </w:r>
      <w:r>
        <w:rPr>
          <w:rFonts w:ascii="Times New Roman;serif" w:hAnsi="Times New Roman;serif"/>
          <w:b w:val="false"/>
          <w:color w:val="000000"/>
          <w:sz w:val="22"/>
        </w:rPr>
        <w:t>ordinary course tenant improvement loans relating to leased property.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(ab)</w:t>
      </w:r>
      <w:r>
        <w:rPr>
          <w:rFonts w:ascii="Times New Roman;serif" w:hAnsi="Times New Roman;serif"/>
          <w:b w:val="false"/>
          <w:color w:val="000000"/>
          <w:sz w:val="22"/>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Intercompany Investments</w:t>
      </w:r>
      <w:r>
        <w:rPr>
          <w:color w:val="000000"/>
        </w:rPr>
        <w:t xml:space="preserve">” </w:t>
      </w:r>
      <w:r>
        <w:rPr>
          <w:rFonts w:ascii="Times New Roman;serif" w:hAnsi="Times New Roman;serif"/>
          <w:b w:val="false"/>
          <w:color w:val="000000"/>
          <w:sz w:val="22"/>
        </w:rPr>
        <w:t xml:space="preserve">means Investments by (a) a Loan Party to or in another Loan Party, (b) a Subsidiary that is not a Loan Party to or in another Subsidiary that is not a 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Intellectual Property Rights;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 Product or Intellectual Property Rights with respect to any Product shall be assigned, transferred, contributed, licensed, sublicensed, or otherwise disposed by any Loan Party to a Subsidiary that is not a Loan Party pursuant to this clause (b) except for Registrations required to be transferred to satisfy regulatory requirements in jurisdictions outside the United States, and non-exclusive licenses required to permit such Subsidiary to operate and/or run clinical trials in the ordinary course of business, (c) a Subsidiary that is not a Loan Party to or in a Loan Party, so long as, in the case of a loan or an advance, such Subsidiary that is not a Loan Party subordinates the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8650"/>
                <wp:effectExtent l="0" t="0" r="0" b="0"/>
                <wp:wrapNone/>
                <wp:docPr id="112" name="Frame1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obligations owed by the Loan Party to the Obligations pursuant to an Intercompany Subordination Agreement and (d) a Loan Party to a subsidiary that is not a 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this clause (d), (i) the aggregate outstanding amount of such Investments does not exceed $[**] in the aggregate outstanding at any time, (ii) Company and its Subsidiaries shall be in compliance with the covenant set forth in </w:t>
      </w:r>
      <w:r>
        <w:rPr>
          <w:rFonts w:ascii="Times New Roman;serif" w:hAnsi="Times New Roman;serif"/>
          <w:b w:val="false"/>
          <w:color w:val="000000"/>
          <w:sz w:val="22"/>
          <w:u w:val="single"/>
        </w:rPr>
        <w:t>Section 6.8</w:t>
      </w:r>
      <w:r>
        <w:rPr>
          <w:color w:val="000000"/>
        </w:rPr>
        <w:t xml:space="preserve"> </w:t>
      </w:r>
      <w:r>
        <w:rPr>
          <w:rFonts w:ascii="Times New Roman;serif" w:hAnsi="Times New Roman;serif"/>
          <w:b w:val="false"/>
          <w:color w:val="000000"/>
          <w:sz w:val="22"/>
        </w:rPr>
        <w:t xml:space="preserve">on a pro forma basis after giving effect to such Investment and (iii) in the event such Subsidiary becomes a Loan Party, such Investment is deemed to occur under clause (a) above upon such Subsidiary becoming a Loan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no Product or Intellectual Property Rights with respect to any Product shall be assigned, transferred, contributed, licensed, sublicensed, or otherwise disposed by any Loan Party to a Subsidiary that is not a Loan Party pursuant to this clause (d) except for Registrations required to be transferred to satisfy regulatory requirements in jurisdictions outside the United States, and non-exclusive licenses required to permit such Subsidiary to operate and/or run clinical trials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Investments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Investments in Cash and cash equivalents (including Cash Equivalents);</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equity Investments owned as of the Closing Date in any Subsidiary and equity Investments owned after the Closing Date in any Subsidiary as a result of the formation of a Subsidiary to the extent otherwise permitted hereunder;</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Permitted Intercompany Investments;</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loans and advances to employees of Borrower and its Subsidiaries (i) made in the ordinary course of business and described on </w:t>
      </w:r>
      <w:r>
        <w:rPr>
          <w:rFonts w:ascii="Times New Roman;serif" w:hAnsi="Times New Roman;serif"/>
          <w:b w:val="false"/>
          <w:color w:val="000000"/>
          <w:sz w:val="22"/>
          <w:u w:val="single"/>
        </w:rPr>
        <w:t>Schedule 6.6</w:t>
      </w:r>
      <w:r>
        <w:rPr>
          <w:rFonts w:ascii="Times New Roman;serif" w:hAnsi="Times New Roman;serif"/>
          <w:b w:val="false"/>
          <w:color w:val="000000"/>
          <w:sz w:val="22"/>
        </w:rPr>
        <w:t>, and (ii) any refinancings of such loans after the Closing Date in an aggregate amount not to exceed $[**] at any time outstanding;</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Permitted Acquisitions;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Investments described in </w:t>
      </w:r>
      <w:r>
        <w:rPr>
          <w:rFonts w:ascii="Times New Roman;serif" w:hAnsi="Times New Roman;serif"/>
          <w:b w:val="false"/>
          <w:color w:val="000000"/>
          <w:sz w:val="22"/>
          <w:u w:val="single"/>
        </w:rPr>
        <w:t>Schedule 6.7</w:t>
      </w:r>
      <w:r>
        <w:rPr>
          <w:color w:val="000000"/>
        </w:rPr>
        <w:t xml:space="preserve"> </w:t>
      </w:r>
      <w:r>
        <w:rPr>
          <w:rFonts w:ascii="Times New Roman;serif" w:hAnsi="Times New Roman;serif"/>
          <w:b w:val="false"/>
          <w:color w:val="000000"/>
          <w:sz w:val="22"/>
        </w:rPr>
        <w:t>as of the Closing Date;</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any Investments consisting of extensions of credit in the nature of accounts receivable or notes receivable arising from the grant of trade credit in the ordinary course of business or received in compromise or resolution of (i) obligations of trade creditors or customers that were incurred in the ordinary course of business of Borrower or any of its Subsidiaries, including pursuant to any plan of reorganization or similar arrangement upon the bankruptcy or insolvency of any trade creditor or customer or (ii) litigation, arbitration or other disputes;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Investments in negotiable instruments deposited or to be deposited for collection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Investments in the ordinary course of business consisting of customary trade arrangements with customers;</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advances made in connection with purchases of goods or services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Investments held by a Person acquired in a Permitted Acquisition to the extent that such Investments were not made in contemplation of or in connection with such Permitted Acquisition and were in existence on the date of such Permitted Acquisition;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so long as no Event of Default has occurred and is continuing or would result therefrom, Investments in Joint Ventures; provided that, the aggregate amount of all such Investments in Joint Ventures shall not exceed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28650"/>
                <wp:effectExtent l="0" t="0" r="0" b="0"/>
                <wp:wrapNone/>
                <wp:docPr id="113" name="Frame1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Permitted Equity Derivatives;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rPr>
        <w:t>Investments in Hedging Agreements;</w:t>
      </w:r>
    </w:p>
    <w:p>
      <w:pPr>
        <w:pStyle w:val="TextBody"/>
        <w:bidi w:val="0"/>
        <w:spacing w:lineRule="auto" w:line="240"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any Investment of the non-cash consideration received from an Asset Sale that was made pursuant to and in compliance with this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(q)</w:t>
      </w:r>
      <w:r>
        <w:rPr>
          <w:rFonts w:ascii="Times New Roman;serif" w:hAnsi="Times New Roman;serif"/>
          <w:b w:val="false"/>
          <w:color w:val="000000"/>
          <w:sz w:val="22"/>
        </w:rPr>
        <w:t>Investments consisting of earnest money deposits made by Borrower or its Subsidiaries in connection with any letter of intent or other agreement in respect of any Investment permitted by this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(r)</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(s)</w:t>
      </w:r>
      <w:r>
        <w:rPr>
          <w:rFonts w:ascii="Times New Roman;serif" w:hAnsi="Times New Roman;serif"/>
          <w:b w:val="false"/>
          <w:color w:val="000000"/>
          <w:sz w:val="22"/>
        </w:rPr>
        <w:t>guarantees of operating leases or of other obligations, in each case, that do not constitute Indebtedness, and are entered into by Borrower or any Subsidiary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(t)</w:t>
      </w:r>
      <w:r>
        <w:rPr>
          <w:rFonts w:ascii="Times New Roman;serif" w:hAnsi="Times New Roman;serif"/>
          <w:b w:val="false"/>
          <w:color w:val="000000"/>
          <w:sz w:val="22"/>
        </w:rPr>
        <w:t>Investments consisting of the redemption, purchase, repurchase or retirement of any Capital Stock of Borrower permitted by this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(u)</w:t>
      </w:r>
      <w:r>
        <w:rPr>
          <w:rFonts w:ascii="Times New Roman;serif" w:hAnsi="Times New Roman;serif"/>
          <w:b w:val="false"/>
          <w:color w:val="000000"/>
          <w:sz w:val="22"/>
        </w:rPr>
        <w:t>[reserved];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(v)</w:t>
      </w:r>
      <w:r>
        <w:rPr>
          <w:rFonts w:ascii="Times New Roman;serif" w:hAnsi="Times New Roman;serif"/>
          <w:b w:val="false"/>
          <w:color w:val="000000"/>
          <w:sz w:val="22"/>
        </w:rPr>
        <w:t>so long as no Event of Default has occurred and is continuing or would result therefrom, other Investments in Cash in an aggregate amount outstanding not to exceed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Liens in favor of Administrative Agent for the benefit of Secured Parties granted pursuant to any Loan Document;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Liens for Taxes (i) not yet due and payable or (ii) if obligations with respect to such Taxes are being contested in good faith by appropriate proceedings promptly instituted and diligently conducted and adequate reserves required by GAAP have been made;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statutory Liens of landlords, banks (and rights of set off), of carriers, warehousemen, mechanics, repairmen, workmen and materialmen, and other Liens imposed by law (other than any such Lien imposed pursuant to Section 401(a)(29) or 412(n) of the Internal Revenue Code or by ERISA), in each case incurred in the ordinary course of business for amounts not yet overdue;</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easements, rights of way, restrictions, encroachments, and other minor defects or irregularities in title, in each case which do not and will not interfere in any material respect with the ordinary conduct of the business of Borrower 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any interest or title of a lessor or sublessor under any lease of real estate permitted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28650"/>
                <wp:effectExtent l="0" t="0" r="0" b="0"/>
                <wp:wrapNone/>
                <wp:docPr id="114" name="Frame1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Liens solely on any cash earnest money deposits made by Borrower or any of its Subsidiaries in connection with any letter of intent or purchase agreement permitted hereunder;</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purported Liens evidenced by the filing of precautionary UCC financing statements relating solely to operating leases of personal property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Liens in favor of customs and revenue authorities arising as a matter of law to secure payment of customs duties in connection with the importation of goods;</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any zoning or similar law or right reserved to or vested in any governmental office or agency to control or regulate the use of any real property;</w:t>
      </w:r>
    </w:p>
    <w:p>
      <w:pPr>
        <w:pStyle w:val="TextBody"/>
        <w:bidi w:val="0"/>
        <w:spacing w:lineRule="auto" w:line="240"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 xml:space="preserve">Liens described in </w:t>
      </w:r>
      <w:r>
        <w:rPr>
          <w:rFonts w:ascii="Times New Roman;serif" w:hAnsi="Times New Roman;serif"/>
          <w:b w:val="false"/>
          <w:color w:val="000000"/>
          <w:sz w:val="22"/>
          <w:u w:val="single"/>
        </w:rPr>
        <w:t>Schedule 6.2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Lien shall only secure the Indebtedness that it secures on the Closing Date and any Permitted Refinancing Indebtedness in respect thereof;</w:t>
      </w:r>
    </w:p>
    <w:p>
      <w:pPr>
        <w:pStyle w:val="TextBody"/>
        <w:bidi w:val="0"/>
        <w:spacing w:lineRule="auto" w:line="240"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 xml:space="preserve">Liens securing Capital Leases or purchase money Indebtedness permitted pursuant to clause (h) of the definition of Permitted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any such Lien shall encumber only the asset subject to such Capital Lease or the asset acquired with the proceeds of such Indebtedness;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Liens granted in the ordinary course of business on the unearned portion of insurance premiums securing the financing of insurance premiums to the extent the financing is permitted under the definition of Permitted Indebtedness;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rPr>
        <w:t>Liens assumed by Borrower and its Subsidiaries in connection with a Permitted Acquisition that secure Indebtedness permitted by clause (m) of the definition of Permitted Indebtedness;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(o)</w:t>
      </w:r>
      <w:r>
        <w:rPr>
          <w:color w:val="000000"/>
        </w:rPr>
        <w:t xml:space="preserve"> </w:t>
      </w:r>
      <w:r>
        <w:rPr>
          <w:rFonts w:ascii="Times New Roman;serif" w:hAnsi="Times New Roman;serif"/>
          <w:b w:val="false"/>
          <w:color w:val="000000"/>
          <w:sz w:val="22"/>
        </w:rPr>
        <w:t xml:space="preserve">Liens solely on any cash and Cash Equivalents (and related segregated Deposit Accounts or Securities Accounts) securing Indebtedness permitted pursuant to </w:t>
      </w:r>
      <w:r>
        <w:rPr>
          <w:rFonts w:ascii="Times New Roman;serif" w:hAnsi="Times New Roman;serif"/>
          <w:b w:val="false"/>
          <w:color w:val="000000"/>
          <w:sz w:val="22"/>
          <w:u w:val="single"/>
        </w:rPr>
        <w:t>clause</w:t>
      </w:r>
      <w:r>
        <w:rPr>
          <w:color w:val="000000"/>
        </w:rPr>
        <w:t xml:space="preserve"> </w:t>
      </w:r>
      <w:r>
        <w:rPr>
          <w:rFonts w:ascii="Times New Roman;serif" w:hAnsi="Times New Roman;serif"/>
          <w:b w:val="false"/>
          <w:color w:val="000000"/>
          <w:sz w:val="22"/>
          <w:u w:val="single"/>
        </w:rPr>
        <w:t>(o)</w:t>
      </w:r>
      <w:r>
        <w:rPr>
          <w:color w:val="000000"/>
        </w:rPr>
        <w:t xml:space="preserve"> </w:t>
      </w:r>
      <w:r>
        <w:rPr>
          <w:rFonts w:ascii="Times New Roman;serif" w:hAnsi="Times New Roman;serif"/>
          <w:b w:val="false"/>
          <w:color w:val="000000"/>
          <w:sz w:val="22"/>
        </w:rPr>
        <w:t>of the definition of Permitted Indebtedness, and (ii) Liens on cash deposits not exceeding $[**] in the aggregate securing Indebtedness permitted pursuant to clause (q) of the definition of Permitted Indebtedness;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(q)</w:t>
      </w:r>
      <w:r>
        <w:rPr>
          <w:rFonts w:ascii="Times New Roman;serif" w:hAnsi="Times New Roman;serif"/>
          <w:b w:val="false"/>
          <w:color w:val="000000"/>
          <w:sz w:val="22"/>
        </w:rPr>
        <w:t>Liens in favor of vendors or suppliers of such Person in the ordinary course of business to the extent encumbering property purchased from or provided by such vendors or suppliers and the proceeds thereof;</w:t>
      </w:r>
    </w:p>
    <w:p>
      <w:pPr>
        <w:pStyle w:val="TextBody"/>
        <w:bidi w:val="0"/>
        <w:spacing w:lineRule="auto" w:line="240" w:before="0" w:after="240"/>
        <w:ind w:left="0" w:right="0" w:firstLine="1440"/>
        <w:jc w:val="both"/>
        <w:rPr/>
      </w:pPr>
      <w:r>
        <w:rPr>
          <w:rFonts w:ascii="Times New Roman;serif" w:hAnsi="Times New Roman;serif"/>
          <w:b w:val="false"/>
          <w:color w:val="010000"/>
          <w:sz w:val="22"/>
        </w:rPr>
        <w:t>(r)</w:t>
      </w:r>
      <w:r>
        <w:rPr>
          <w:rFonts w:ascii="Times New Roman;serif" w:hAnsi="Times New Roman;serif"/>
          <w:b w:val="false"/>
          <w:color w:val="000000"/>
          <w:sz w:val="22"/>
        </w:rPr>
        <w:t xml:space="preserve">Liens securing any judgments, writs or warrants of attachment or similar process not constituting an Event of Default under </w:t>
      </w:r>
      <w:r>
        <w:rPr>
          <w:rFonts w:ascii="Times New Roman;serif" w:hAnsi="Times New Roman;serif"/>
          <w:b w:val="false"/>
          <w:color w:val="000000"/>
          <w:sz w:val="22"/>
          <w:u w:val="single"/>
        </w:rPr>
        <w:t>Section 8.1(h)</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(s)</w:t>
      </w:r>
      <w:r>
        <w:rPr>
          <w:rFonts w:ascii="Times New Roman;serif" w:hAnsi="Times New Roman;serif"/>
          <w:b w:val="false"/>
          <w:color w:val="000000"/>
          <w:sz w:val="22"/>
        </w:rPr>
        <w:t>Liens that are contractual rights of setoff relating to purchase orders entered into with customers, vendors or suppliers of such Person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(t)</w:t>
      </w:r>
      <w:r>
        <w:rPr>
          <w:rFonts w:ascii="Times New Roman;serif" w:hAnsi="Times New Roman;serif"/>
          <w:b w:val="false"/>
          <w:color w:val="000000"/>
          <w:sz w:val="22"/>
        </w:rPr>
        <w:t xml:space="preserve">to the extent constituting Liens, licenses and sublicenses pursuant to Asset Sales permitted under </w:t>
      </w:r>
      <w:r>
        <w:rPr>
          <w:rFonts w:ascii="Times New Roman;serif" w:hAnsi="Times New Roman;serif"/>
          <w:b w:val="false"/>
          <w:color w:val="000000"/>
          <w:sz w:val="22"/>
          <w:u w:val="single"/>
        </w:rPr>
        <w:t>Sections</w:t>
      </w:r>
      <w:r>
        <w:rPr>
          <w:color w:val="000000"/>
        </w:rPr>
        <w:t xml:space="preserve"> </w:t>
      </w:r>
      <w:r>
        <w:rPr>
          <w:rFonts w:ascii="Times New Roman;serif" w:hAnsi="Times New Roman;serif"/>
          <w:b w:val="false"/>
          <w:color w:val="000000"/>
          <w:sz w:val="22"/>
          <w:u w:val="single"/>
        </w:rPr>
        <w:t>6.9(b)(xi)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(b)(xvii)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(b)(xviii)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(b)(xix)</w:t>
      </w:r>
      <w:r>
        <w:rPr>
          <w:rFonts w:ascii="Times New Roman;serif" w:hAnsi="Times New Roman;serif"/>
          <w:b w:val="false"/>
          <w:color w:val="000000"/>
          <w:sz w:val="22"/>
        </w:rPr>
        <w:t xml:space="preserve">, and non-exclusive licenses permitted under </w:t>
      </w:r>
      <w:r>
        <w:rPr>
          <w:rFonts w:ascii="Times New Roman;serif" w:hAnsi="Times New Roman;serif"/>
          <w:b w:val="false"/>
          <w:color w:val="000000"/>
          <w:sz w:val="22"/>
          <w:u w:val="single"/>
        </w:rPr>
        <w:t>Section 6.9(b)(xx)</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(u)</w:t>
      </w:r>
      <w:r>
        <w:rPr>
          <w:rFonts w:ascii="Times New Roman;serif" w:hAnsi="Times New Roman;serif"/>
          <w:b w:val="false"/>
          <w:color w:val="000000"/>
          <w:sz w:val="22"/>
        </w:rPr>
        <w:t xml:space="preserve">bankers’ Liens, rights of setoff and other similar Liens existing solely with respect to cash and Cash Equivalents on deposit in one or more accounts maintained by Borrower or its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as part of a bank’s standard term and conditions;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unless such Liens are non-consensual and arise by operation of law, in no case shall any such Liens secure (either directly or indirectly) the repayment of any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28650"/>
                <wp:effectExtent l="0" t="0" r="0" b="0"/>
                <wp:wrapNone/>
                <wp:docPr id="115" name="Frame1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(v)</w:t>
      </w:r>
      <w:r>
        <w:rPr>
          <w:rFonts w:ascii="Times New Roman;serif" w:hAnsi="Times New Roman;serif"/>
          <w:b w:val="false"/>
          <w:color w:val="000000"/>
          <w:sz w:val="22"/>
        </w:rPr>
        <w:t>Liens (i) of a collection bank arising under Section 4-210 of the UCC, or any comparable or successor provision, on items in the course of collection; and (ii)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pStyle w:val="TextBody"/>
        <w:bidi w:val="0"/>
        <w:spacing w:lineRule="auto" w:line="240" w:before="0" w:after="240"/>
        <w:ind w:left="0" w:right="0" w:firstLine="1440"/>
        <w:jc w:val="both"/>
        <w:rPr/>
      </w:pPr>
      <w:r>
        <w:rPr>
          <w:rFonts w:ascii="Times New Roman;serif" w:hAnsi="Times New Roman;serif"/>
          <w:b w:val="false"/>
          <w:color w:val="010000"/>
          <w:sz w:val="22"/>
        </w:rPr>
        <w:t>(w)</w:t>
      </w:r>
      <w:r>
        <w:rPr>
          <w:rFonts w:ascii="Times New Roman;serif" w:hAnsi="Times New Roman;serif"/>
          <w:b w:val="false"/>
          <w:color w:val="000000"/>
          <w:sz w:val="22"/>
        </w:rPr>
        <w:t>Permitted Security Interests (as defined below) granted pursuant to any Permitted Royalty Transaction;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(x)</w:t>
      </w:r>
      <w:r>
        <w:rPr>
          <w:rFonts w:ascii="Times New Roman;serif" w:hAnsi="Times New Roman;serif"/>
          <w:b w:val="false"/>
          <w:color w:val="000000"/>
          <w:sz w:val="22"/>
        </w:rPr>
        <w:t>Liens on specific items of inventory or other goods and proceeds of the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pStyle w:val="TextBody"/>
        <w:bidi w:val="0"/>
        <w:spacing w:lineRule="auto" w:line="240" w:before="0" w:after="240"/>
        <w:ind w:left="0" w:right="0" w:firstLine="1440"/>
        <w:jc w:val="both"/>
        <w:rPr/>
      </w:pPr>
      <w:r>
        <w:rPr>
          <w:rFonts w:ascii="Times New Roman;serif" w:hAnsi="Times New Roman;serif"/>
          <w:b w:val="false"/>
          <w:color w:val="010000"/>
          <w:sz w:val="22"/>
        </w:rPr>
        <w:t>(y)</w:t>
      </w:r>
      <w:r>
        <w:rPr>
          <w:rFonts w:ascii="Times New Roman;serif" w:hAnsi="Times New Roman;serif"/>
          <w:b w:val="false"/>
          <w:color w:val="000000"/>
          <w:sz w:val="22"/>
        </w:rPr>
        <w:t>Liens arising from, or from UCC financing statement filings regarding, operating leases entered into by the Borrower or its Subsidiaries in the ordinary course of business or consistent with industry practice;</w:t>
      </w:r>
    </w:p>
    <w:p>
      <w:pPr>
        <w:pStyle w:val="TextBody"/>
        <w:bidi w:val="0"/>
        <w:spacing w:lineRule="auto" w:line="240" w:before="0" w:after="240"/>
        <w:ind w:left="0" w:right="0" w:firstLine="1440"/>
        <w:jc w:val="both"/>
        <w:rPr/>
      </w:pPr>
      <w:r>
        <w:rPr>
          <w:rFonts w:ascii="Times New Roman;serif" w:hAnsi="Times New Roman;serif"/>
          <w:b w:val="false"/>
          <w:color w:val="010000"/>
          <w:sz w:val="22"/>
        </w:rPr>
        <w:t>(z)</w:t>
      </w:r>
      <w:r>
        <w:rPr>
          <w:rFonts w:ascii="Times New Roman;serif" w:hAnsi="Times New Roman;serif"/>
          <w:b w:val="false"/>
          <w:color w:val="000000"/>
          <w:sz w:val="22"/>
        </w:rPr>
        <w:t>Liens on inventory arising out of conditional sale, title retention, consignment or similar arrangements with customers or suppliers, in each case to the extent entered into in the ordinary course of business or consistent with industry practice;</w:t>
      </w:r>
    </w:p>
    <w:p>
      <w:pPr>
        <w:pStyle w:val="TextBody"/>
        <w:bidi w:val="0"/>
        <w:spacing w:lineRule="auto" w:line="240" w:before="0" w:after="240"/>
        <w:ind w:left="0" w:right="0" w:firstLine="1440"/>
        <w:jc w:val="both"/>
        <w:rPr/>
      </w:pPr>
      <w:r>
        <w:rPr>
          <w:rFonts w:ascii="Times New Roman;serif" w:hAnsi="Times New Roman;serif"/>
          <w:b w:val="false"/>
          <w:color w:val="010000"/>
          <w:sz w:val="22"/>
        </w:rPr>
        <w:t>(aa)</w:t>
      </w:r>
      <w:r>
        <w:rPr>
          <w:rFonts w:ascii="Times New Roman;serif" w:hAnsi="Times New Roman;serif"/>
          <w:b w:val="false"/>
          <w:color w:val="000000"/>
          <w:sz w:val="22"/>
        </w:rPr>
        <w:t>any encumbrance or restriction, including any put and call arrangements, related to Capital Stock in any Joint Venture set forth in the operating or organizational documents of such Joint Venture or any related joint venture, shareholders’ or similar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(ab)</w:t>
      </w:r>
      <w:r>
        <w:rPr>
          <w:rFonts w:ascii="Times New Roman;serif" w:hAnsi="Times New Roman;serif"/>
          <w:b w:val="false"/>
          <w:color w:val="000000"/>
          <w:sz w:val="22"/>
        </w:rPr>
        <w:t>Liens on insurance policies and the proceeds thereof securing the financing of the premiums with respect thereto;</w:t>
      </w:r>
    </w:p>
    <w:p>
      <w:pPr>
        <w:pStyle w:val="TextBody"/>
        <w:bidi w:val="0"/>
        <w:spacing w:lineRule="auto" w:line="240" w:before="0" w:after="240"/>
        <w:ind w:left="0" w:right="0" w:firstLine="1440"/>
        <w:jc w:val="both"/>
        <w:rPr/>
      </w:pPr>
      <w:r>
        <w:rPr>
          <w:rFonts w:ascii="Times New Roman;serif" w:hAnsi="Times New Roman;serif"/>
          <w:b w:val="false"/>
          <w:color w:val="010000"/>
          <w:sz w:val="22"/>
        </w:rPr>
        <w:t>(ac)</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(ad)</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(ae)</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(af)</w:t>
      </w:r>
      <w:r>
        <w:rPr>
          <w:rFonts w:ascii="Times New Roman;serif" w:hAnsi="Times New Roman;serif"/>
          <w:b w:val="false"/>
          <w:color w:val="000000"/>
          <w:sz w:val="22"/>
        </w:rPr>
        <w:t xml:space="preserve">Liens of a collecting bank arising in the ordinary course of business under Section 4-208 of the UCC in effect in the relevant jurisdiction covering only the items being collected upon; and </w:t>
      </w:r>
    </w:p>
    <w:p>
      <w:pPr>
        <w:pStyle w:val="TextBody"/>
        <w:bidi w:val="0"/>
        <w:spacing w:lineRule="auto" w:line="240" w:before="0" w:after="240"/>
        <w:ind w:left="0" w:right="0" w:firstLine="1440"/>
        <w:jc w:val="both"/>
        <w:rPr/>
      </w:pPr>
      <w:r>
        <w:rPr>
          <w:rFonts w:ascii="Times New Roman;serif" w:hAnsi="Times New Roman;serif"/>
          <w:b w:val="false"/>
          <w:color w:val="010000"/>
          <w:sz w:val="22"/>
        </w:rPr>
        <w:t>(ag)</w:t>
      </w:r>
      <w:r>
        <w:rPr>
          <w:rFonts w:ascii="Times New Roman;serif" w:hAnsi="Times New Roman;serif"/>
          <w:b w:val="false"/>
          <w:color w:val="000000"/>
          <w:sz w:val="22"/>
        </w:rPr>
        <w:t xml:space="preserve">other Liens incurred in the ordinary course of business of Borrower or any Subsidiary of Borrower with respect to obligations that do not exceed, together with Liens described in clause (b) above, $[**] in the aggregate at any one time outstanding; provided, that, such Lien shall not be on Product Intellectual Property Rights, Platform Intellectual Property Rights or Registrations. </w:t>
      </w:r>
    </w:p>
    <w:p>
      <w:pPr>
        <w:pStyle w:val="TextBody"/>
        <w:bidi w:val="0"/>
        <w:spacing w:lineRule="auto" w:line="288" w:before="0" w:after="240"/>
        <w:jc w:val="both"/>
        <w:rPr/>
      </w:pPr>
      <w:r>
        <w:rPr>
          <w:rFonts w:ascii="Times New Roman;serif" w:hAnsi="Times New Roman;serif"/>
          <w:b w:val="false"/>
          <w:color w:val="000000"/>
          <w:sz w:val="22"/>
        </w:rPr>
        <w:t xml:space="preserve">Notwithstanding anything to the contrary contained in this Agreement or in any other Loan Document, no Liens on any Product (other than inventory), Intellectual Property Rights relating to any Product or Registrations relating to any Product shall be permitted under this Agreement (other than non-consensual Liens constituting “Permitted Liens” and Liens described in clauses </w:t>
      </w:r>
      <w:r>
        <w:rPr>
          <w:rFonts w:ascii="Times New Roman;serif" w:hAnsi="Times New Roman;serif"/>
          <w:b/>
          <w:color w:val="000000"/>
          <w:sz w:val="22"/>
        </w:rPr>
        <w:t>Error! Reference source not found.</w:t>
      </w:r>
      <w:r>
        <w:rPr>
          <w:rFonts w:ascii="Times New Roman;serif" w:hAnsi="Times New Roman;serif"/>
          <w:b w:val="false"/>
          <w:color w:val="000000"/>
          <w:sz w:val="22"/>
        </w:rPr>
        <w:t xml:space="preserve">(a), (t) and (w) above).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Plozasiran Agreement</w:t>
      </w:r>
      <w:r>
        <w:rPr>
          <w:color w:val="000000"/>
        </w:rPr>
        <w:t xml:space="preserve">” </w:t>
      </w:r>
      <w:r>
        <w:rPr>
          <w:rFonts w:ascii="Times New Roman;serif" w:hAnsi="Times New Roman;serif"/>
          <w:b w:val="false"/>
          <w:color w:val="000000"/>
          <w:sz w:val="22"/>
        </w:rPr>
        <w:t xml:space="preserve">means any agreement with respect to a Permitted Royalty Transaction with respect to Plozasiran, subject to the prepayment obligations required by </w:t>
      </w:r>
      <w:r>
        <w:rPr>
          <w:rFonts w:ascii="Times New Roman;serif" w:hAnsi="Times New Roman;serif"/>
          <w:b w:val="false"/>
          <w:color w:val="000000"/>
          <w:sz w:val="22"/>
          <w:u w:val="single"/>
        </w:rPr>
        <w:t>Section 2.10(g)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Product Agreement</w:t>
      </w:r>
      <w:r>
        <w:rPr>
          <w:color w:val="000000"/>
        </w:rPr>
        <w:t xml:space="preserve">” </w:t>
      </w:r>
      <w:r>
        <w:rPr>
          <w:rFonts w:ascii="Times New Roman;serif" w:hAnsi="Times New Roman;serif"/>
          <w:b w:val="false"/>
          <w:color w:val="000000"/>
          <w:sz w:val="22"/>
        </w:rPr>
        <w:t xml:space="preserve">means a Product Agreement that grants a license or sublicense of any rights under any Product Intellectual Property Rights, Platform Intellectual Property Rights,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28650"/>
                <wp:effectExtent l="0" t="0" r="0" b="0"/>
                <wp:wrapNone/>
                <wp:docPr id="116" name="Frame1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Registrations, Regulatory Documentation, or Collateral that allows the Licensee to research, develop, Commercialize, manufacture, distribute or otherwise utilize a Product in any Core Market or Non-Core Market; provided that, any such Product Agreement (i) [**], (ii) permits the disclosure of royalty, development, commercialization and similar reports, and copies of any written notices (other than filings, submissions, reports, notices, correspondence and other documentation related to routine patent prosecution in the ordinary course and any materials that would be deemed privileged in connection with patent litigation) furnished to or by any the Loan Parties pursuant to such Product Agreement, to the Administrative Agent and the Lenders in accordance with Section 5.1(e), and (iii) [**]; provided that, if requested by Borrower, the Administrative Agent shall enter into [**], in form and substance reasonably satisfactory to the Administrative Agent, in connection with the entry by Borrower or any Subsidiary into any Permitted Product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Product Transaction</w:t>
      </w:r>
      <w:r>
        <w:rPr>
          <w:color w:val="000000"/>
        </w:rPr>
        <w:t xml:space="preserve">” </w:t>
      </w:r>
      <w:r>
        <w:rPr>
          <w:rFonts w:ascii="Times New Roman;serif" w:hAnsi="Times New Roman;serif"/>
          <w:b w:val="false"/>
          <w:color w:val="000000"/>
          <w:sz w:val="22"/>
        </w:rPr>
        <w:t xml:space="preserve">means the grant of a license or sublicense or any other disposition of any rights under any Product Intellectual Property Rights, Platform Intellectual Property Rights, Registrations, Regulatory Documentation, or Collateral pursuant to a Permitted Product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Reduction</w:t>
      </w:r>
      <w:r>
        <w:rPr>
          <w:color w:val="000000"/>
        </w:rPr>
        <w:t xml:space="preserve">” </w:t>
      </w:r>
      <w:r>
        <w:rPr>
          <w:rFonts w:ascii="Times New Roman;serif" w:hAnsi="Times New Roman;serif"/>
          <w:b w:val="false"/>
          <w:color w:val="000000"/>
          <w:sz w:val="22"/>
        </w:rPr>
        <w:t xml:space="preserve">means a Reduction taken by a counterparty to a Permitted Product Agreement, including any such agreement for a Partnered Asset, against any payment of any Royalties, Milestones, Profit Share Amounts or Joint Venture Proceeds pursuant to the express terms of such Permitted Product Agreement, excluding any amount owing from the Borrower or any of its Subsidiaries to the counterparty of such Permitted Product Agreement in respect of any right of such counterparty against the Borrower or any of its Subsidiaries arising from or in connection with such Permitted Product Agreement (other than an obligation owing from the Borrower or any of its Subsidiaries to such counterparty due to any overpayment of Royalties, Milestones, Profit Share Amounts or Joint Venture Proceeds by such counterparty).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Refinancing Indebtedness</w:t>
      </w:r>
      <w:r>
        <w:rPr>
          <w:color w:val="000000"/>
        </w:rPr>
        <w:t xml:space="preserve">” </w:t>
      </w:r>
      <w:r>
        <w:rPr>
          <w:rFonts w:ascii="Times New Roman;serif" w:hAnsi="Times New Roman;serif"/>
          <w:b w:val="false"/>
          <w:color w:val="000000"/>
          <w:sz w:val="22"/>
        </w:rPr>
        <w:t xml:space="preserve">means any Indebtedness of Borrower or any of its Subsidiaries issued in exchange for, or the net proceeds of which are used to renew, refund, refinance, replace, defease or discharge other Indebtedness of Borrower or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such Permitted Refinancing Indebtedness (i) has a final maturity date later than the final maturity date of, and has a Weighted Average Life to Maturity equal to or greater than the Weighted Average Life to Maturity of, the Indebtedness being renewed, refunded, refinanced, replaced, defeased or discharged or (ii) has a final maturity date later than the final maturity date of, and has a Weighted Average Life to Maturity equal to or greater than the Weighted Average Life to Maturity of, the Term Loans;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if the Indebtedness being renewed, refunded, refinanced, replaced, defeased or discharged is subordinated in right of payment to the Obligations, such Permitted Refinancing Indebtedness is subordinated in right of payment to, the Obligations on terms at least as favorable to Administrative Agent and the Lenders as those contained in the documentation governing the Indebtedness being renewed, refunded, refinanced, replaced, defeased or discharged;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such Indebtedness is incurred either by Borrower or by the Subsidiary who is the obligor on the Indebtedness being renewed, refunded, refinanced, replaced, defeased or discharged; and</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28650"/>
                <wp:effectExtent l="0" t="0" r="0" b="0"/>
                <wp:wrapNone/>
                <wp:docPr id="117" name="Frame1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in the case of Permitted Convertible Indebtedness, such Indebtedness complies with the terms set forth in the proviso of the definition of Permitted Convertible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Reinvestment Purposes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2.10(b)(ii).</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Royalty Transaction</w:t>
      </w:r>
      <w:r>
        <w:rPr>
          <w:color w:val="000000"/>
        </w:rPr>
        <w:t xml:space="preserve">” </w:t>
      </w:r>
      <w:r>
        <w:rPr>
          <w:rFonts w:ascii="Times New Roman;serif" w:hAnsi="Times New Roman;serif"/>
          <w:b w:val="false"/>
          <w:color w:val="000000"/>
          <w:sz w:val="22"/>
        </w:rPr>
        <w:t xml:space="preserve">means (a) the Royalty Monetization Transaction pursuant to the RPI Agreement as in effect on November 9, 2022 (as amended, supplemented or otherwise modified from time to time in a manner not adverse to the Lenders, it being understood that any amendment, supplement or modification that would (i) adversely affect the amount or timing of the payment of the RPI Milestones or (ii) sell any additional Royalties, Milestones or other payments with respect to any Product would be adverse to Lenders) and (b) any Royalty Monetization Transaction involving the sale by Borrower to any third party of up to a [**]% Royalty entitlement or [**]% Product Revenues entitlement (in the aggregate), in each case, on net sales of Plozasiran, including the grant of a Permitted Security Interest to such third party in connection with such Permitted Royalty Transaction.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Security Interest</w:t>
      </w:r>
      <w:r>
        <w:rPr>
          <w:color w:val="000000"/>
        </w:rPr>
        <w:t xml:space="preserve">” </w:t>
      </w:r>
      <w:r>
        <w:rPr>
          <w:rFonts w:ascii="Times New Roman;serif" w:hAnsi="Times New Roman;serif"/>
          <w:b w:val="false"/>
          <w:color w:val="000000"/>
          <w:sz w:val="22"/>
        </w:rPr>
        <w:t>means, solely in connection with a Permitted Royalty Transaction under clause (b) of such defined term, (a) a first priority security interest on the Royalties or Product Revenues sold to a third party pursuant to a Permitted Royalty Transaction, and (b) with respect to a sale of Product Revenues, a second priority security interest (subordinated in all respects to the Administrative Agent’s first priority security interest pursuant to an intercreditor agreement reasonably acceptable to the Administrative Agent) on the Plozasiran Product Intellectual Property Rights, in each case granted by the Borrower to a buyer of such Royalties or Product Revenues in connection with such Permitted Royalty Transaction solely to secure the payment of such Royalties or Product Revenues.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Zodasiran Agreement</w:t>
      </w:r>
      <w:r>
        <w:rPr>
          <w:color w:val="000000"/>
        </w:rPr>
        <w:t xml:space="preserve">” </w:t>
      </w:r>
      <w:r>
        <w:rPr>
          <w:rFonts w:ascii="Times New Roman;serif" w:hAnsi="Times New Roman;serif"/>
          <w:b w:val="false"/>
          <w:color w:val="000000"/>
          <w:sz w:val="22"/>
        </w:rPr>
        <w:t xml:space="preserve">means any Permitted Product Agreement with respect to Zodasiran entered into between the Borrower or any of its Subsidiaries with another Person solely with respect to any research, development, manufacture, use, marketing, Commercialization and/or distribution arrangements with respect to Zodasiran and/or the granting of any exclusive licenses in any territory with respect to Zodasiran subject to any prepayments required by </w:t>
      </w:r>
      <w:r>
        <w:rPr>
          <w:rFonts w:ascii="Times New Roman;serif" w:hAnsi="Times New Roman;serif"/>
          <w:b w:val="false"/>
          <w:color w:val="000000"/>
          <w:sz w:val="22"/>
          <w:u w:val="single"/>
        </w:rPr>
        <w:t>Section 2.10(f)</w:t>
      </w:r>
      <w:r>
        <w:rPr>
          <w:rFonts w:ascii="Times New Roman;serif" w:hAnsi="Times New Roman;serif"/>
          <w:b w:val="false"/>
          <w:color w:val="000000"/>
          <w:sz w:val="22"/>
        </w:rPr>
        <w:t>; provided that, such transaction must be consummated on or prior to August 7,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and includes natural persons, corporations, companies,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Personal Information</w:t>
      </w:r>
      <w:r>
        <w:rPr>
          <w:color w:val="000000"/>
        </w:rPr>
        <w:t xml:space="preserve">” </w:t>
      </w:r>
      <w:r>
        <w:rPr>
          <w:rFonts w:ascii="Times New Roman;serif" w:hAnsi="Times New Roman;serif"/>
          <w:b w:val="false"/>
          <w:color w:val="000000"/>
          <w:sz w:val="22"/>
        </w:rPr>
        <w:t>means any information that identifies or can be used to identify a natural person, including any information defined as “personal data,” “personally identifiable information,” “personal information,” “protected health information,” or “nonpublic personal information” under applicable Data Protection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Pipeline Asset Monetization</w:t>
      </w:r>
      <w:r>
        <w:rPr>
          <w:color w:val="000000"/>
        </w:rPr>
        <w:t xml:space="preserve">” </w:t>
      </w:r>
      <w:r>
        <w:rPr>
          <w:rFonts w:ascii="Times New Roman;serif" w:hAnsi="Times New Roman;serif"/>
          <w:b w:val="false"/>
          <w:color w:val="000000"/>
          <w:sz w:val="22"/>
        </w:rPr>
        <w:t xml:space="preserve">means, with respect to any Pipeline Product (excluding, for the avoidance of doubt, any Material Product), (i) the sale, assignment, conveyance, transfer, or other disposition for value of Capital Stock pursuant to any Joint Venture that relates solely to one or more Pipeline Products in a specific territory (including worldwide), (ii) the license or sublicense to a third party for value of any Pipeline Product in a specific territory (including worldwide) pursuant to a Permitted Product Agreement, and/or or (iii) the sale, assignment, conveyance, transfer, or other disposition for value of all or substantially all of the Pipeline Assets for such Pipeline Product required to develop, manufacture and Commercialize such Pipeline Product in a specific territory (including worldwide);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(A) solely in case of (iii) above, such transactions do not include or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28650"/>
                <wp:effectExtent l="0" t="0" r="0" b="0"/>
                <wp:wrapNone/>
                <wp:docPr id="118" name="Frame1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relate to any tangible or intangible assets used or held for use in the development, manufacture or Commercialization of any Material Product, and (B) in each case (i), (ii) and (iii) above, all amounts received by Borrower and its Subsidiaries in respect of such territory (a “</w:t>
      </w:r>
      <w:r>
        <w:rPr>
          <w:rFonts w:ascii="Times New Roman;serif" w:hAnsi="Times New Roman;serif"/>
          <w:b w:val="false"/>
          <w:color w:val="000000"/>
          <w:sz w:val="22"/>
          <w:u w:val="single"/>
        </w:rPr>
        <w:t>Monetized Territory</w:t>
      </w:r>
      <w:r>
        <w:rPr>
          <w:color w:val="000000"/>
        </w:rPr>
        <w:t>”</w:t>
      </w:r>
      <w:r>
        <w:rPr>
          <w:rFonts w:ascii="Times New Roman;serif" w:hAnsi="Times New Roman;serif"/>
          <w:b w:val="false"/>
          <w:color w:val="000000"/>
          <w:sz w:val="22"/>
        </w:rPr>
        <w:t xml:space="preserve">) shall be subject to the mandatory prepayments set forth in </w:t>
      </w:r>
      <w:r>
        <w:rPr>
          <w:rFonts w:ascii="Times New Roman;serif" w:hAnsi="Times New Roman;serif"/>
          <w:b w:val="false"/>
          <w:color w:val="000000"/>
          <w:sz w:val="22"/>
          <w:u w:val="single"/>
        </w:rPr>
        <w:t>Section 2.10(h)</w:t>
      </w:r>
      <w:r>
        <w:rPr>
          <w:color w:val="000000"/>
        </w:rPr>
        <w:t xml:space="preserve"> </w:t>
      </w:r>
      <w:r>
        <w:rPr>
          <w:rFonts w:ascii="Times New Roman;serif" w:hAnsi="Times New Roman;serif"/>
          <w:b w:val="false"/>
          <w:color w:val="000000"/>
          <w:sz w:val="22"/>
        </w:rPr>
        <w:t xml:space="preserve">(it being understood, for the avoidance of doubt, that any amounts generated by Borrower and its Subsidiaries from the development, manufacture and Commercialization by the Loan Parties of such Pipeline Product outside such Monetized Territory shall be subject to the mandatory prepayments set forth in </w:t>
      </w:r>
      <w:r>
        <w:rPr>
          <w:rFonts w:ascii="Times New Roman;serif" w:hAnsi="Times New Roman;serif"/>
          <w:b w:val="false"/>
          <w:color w:val="000000"/>
          <w:sz w:val="22"/>
          <w:u w:val="single"/>
        </w:rPr>
        <w:t>Section 2.10(i)</w:t>
      </w:r>
      <w:r>
        <w:rPr>
          <w:rFonts w:ascii="Times New Roman;serif" w:hAnsi="Times New Roman;serif"/>
          <w:b w:val="false"/>
          <w:color w:val="000000"/>
          <w:sz w:val="22"/>
        </w:rPr>
        <w:t>). Notwithstanding anything to the contrary, the Sarepta Transactions shall be deemed not to be a Pipeline Asset Monetization.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Pipeline Assets</w:t>
      </w:r>
      <w:r>
        <w:rPr>
          <w:color w:val="000000"/>
        </w:rPr>
        <w:t xml:space="preserve">” </w:t>
      </w:r>
      <w:r>
        <w:rPr>
          <w:rFonts w:ascii="Times New Roman;serif" w:hAnsi="Times New Roman;serif"/>
          <w:b w:val="false"/>
          <w:color w:val="000000"/>
          <w:sz w:val="22"/>
        </w:rPr>
        <w:t xml:space="preserve">shall mean, with respect to a Pipeline Product, on a territory-by-territory basis, the Product Intellectual Property Rights, Regulatory Documentation, and other tangible and intangible assets exclusively relating to such Pipeline Product in a territory, in each case, solely to the extent such tangible and intangible assets are </w:t>
      </w:r>
      <w:r>
        <w:rPr>
          <w:rFonts w:ascii="Times New Roman;serif" w:hAnsi="Times New Roman;serif"/>
          <w:b w:val="false"/>
          <w:color w:val="000000"/>
          <w:sz w:val="22"/>
          <w:u w:val="single"/>
        </w:rPr>
        <w:t>both</w:t>
      </w:r>
      <w:r>
        <w:rPr>
          <w:color w:val="000000"/>
        </w:rPr>
        <w:t xml:space="preserve"> </w:t>
      </w:r>
      <w:r>
        <w:rPr>
          <w:rFonts w:ascii="Times New Roman;serif" w:hAnsi="Times New Roman;serif"/>
          <w:b w:val="false"/>
          <w:color w:val="000000"/>
          <w:sz w:val="22"/>
        </w:rPr>
        <w:t xml:space="preserve">(x) required to develop and Commercialize such Pipeline Product, and (y) are not related to or otherwise useful for the development, manufacture or Commercialization of any other Product (other than such Pipeline Product in such territory). For the avoidance of doubt, Pipeline Assets specifically exclude all Platform Intellectual Property Rights and all other tangible and intangible assets that are related to or otherwise useful for the development, manufacture, use or Commercialization of any Product other than such Pipeline Product and specifically shall not include real property, plant, equipment, inventory and other tangible assets of Borrower, any of its subsidiaries or Affiliates or any deposit accounts, cash and cash equivalents, investment property, and instruments of Borrower, any of its subsidiaries and Affiliates.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Pipeline Percentage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2.10(h)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Pipeline Product</w:t>
      </w:r>
      <w:r>
        <w:rPr>
          <w:color w:val="000000"/>
        </w:rPr>
        <w:t xml:space="preserve">” </w:t>
      </w:r>
      <w:r>
        <w:rPr>
          <w:rFonts w:ascii="Times New Roman;serif" w:hAnsi="Times New Roman;serif"/>
          <w:b w:val="false"/>
          <w:color w:val="000000"/>
          <w:sz w:val="22"/>
        </w:rPr>
        <w:t>means any Product, other than Material Products, being researched, developed, manufactured or Commercialized by the Borrower, any of its Subsidiaries, or any Licensees from time to time, including any Product acquired after the Closing Date of this Agreement, regardless of form, including, for the avoidance of doubt, any Product that was the subject of a Specified Transaction as of the Closing Date that is not consummated within the time period set forth in subsection (c) of the definition of “Specified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Platform Intellectual Property Rights</w:t>
      </w:r>
      <w:r>
        <w:rPr>
          <w:color w:val="000000"/>
        </w:rPr>
        <w:t xml:space="preserve">” </w:t>
      </w:r>
      <w:r>
        <w:rPr>
          <w:rFonts w:ascii="Times New Roman;serif" w:hAnsi="Times New Roman;serif"/>
          <w:b w:val="false"/>
          <w:color w:val="000000"/>
          <w:sz w:val="22"/>
        </w:rPr>
        <w:t>means any and all (a) Platform Technology, (b) Platform Patents, and (c) Intellectual Property Rights other than Platform Technology and Platform Patents owned by or exclusively licensed to, or purported to be owned by or exclusively licensed to, Borrower or its Subsidiaries relating to the Platform Technology (but excluding all Product Intellectual Property Rights) or that, absent a valid license or other rights under such other Intellectual Property Rights, would be infringed or misappropriated by the research, development, manufacture, use or Commercialization of the Platform Technology, including the Platform Patents and such other Intellectual Property Rights listed on Schedule 4.23(c)(ii).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Platform Patents</w:t>
      </w:r>
      <w:r>
        <w:rPr>
          <w:color w:val="000000"/>
        </w:rPr>
        <w:t xml:space="preserve">” </w:t>
      </w:r>
      <w:r>
        <w:rPr>
          <w:rFonts w:ascii="Times New Roman;serif" w:hAnsi="Times New Roman;serif"/>
          <w:b w:val="false"/>
          <w:color w:val="000000"/>
          <w:sz w:val="22"/>
        </w:rPr>
        <w:t>means the U.S. and foreign Patents and pending Patent applications owned or Controlled by the Borrower or any of its Subsidiaries, now or in the future, that claim or otherwise cover generally the Platform Technology, including the making, using or selling of RNAi Molecules generally and do not specifically claim or otherwise cover solely the making, using or selling of only a specific Product. “Platform Patents” include the Patents listed on Schedule 4.23(c)(ii).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Platform Technology</w:t>
      </w:r>
      <w:r>
        <w:rPr>
          <w:color w:val="000000"/>
        </w:rPr>
        <w:t xml:space="preserve">” </w:t>
      </w:r>
      <w:r>
        <w:rPr>
          <w:rFonts w:ascii="Times New Roman;serif" w:hAnsi="Times New Roman;serif"/>
          <w:b w:val="false"/>
          <w:color w:val="000000"/>
          <w:sz w:val="22"/>
        </w:rPr>
        <w:t xml:space="preserve">means all Know-How owned or Controlled by the Borrower and its Subsidiaries, now or in the future, that relates generally to the composition of matter, formulation, form,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28650"/>
                <wp:effectExtent l="0" t="0" r="0" b="0"/>
                <wp:wrapNone/>
                <wp:docPr id="119" name="Frame1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methods of use, delivery or manufacture of RNAi Molecules regardless of gene target and do not specifically relate to the composition of matter, formulation, form, or methods of use, delivery or manufacture solely of a specific Product.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Pledge and Security Agreement</w:t>
      </w:r>
      <w:r>
        <w:rPr>
          <w:color w:val="000000"/>
        </w:rPr>
        <w:t xml:space="preserve">” </w:t>
      </w:r>
      <w:r>
        <w:rPr>
          <w:rFonts w:ascii="Times New Roman;serif" w:hAnsi="Times New Roman;serif"/>
          <w:b w:val="false"/>
          <w:color w:val="000000"/>
          <w:sz w:val="22"/>
        </w:rPr>
        <w:t>means the Pledge and Security Agreement executed by Grantors in favor of Administrative Agent for the benefit of the Secured Parties, in form and substance reasonably satisfactory to Administrative Agent, as amended, amended and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Plozasiran</w:t>
      </w:r>
      <w:r>
        <w:rPr>
          <w:color w:val="000000"/>
        </w:rPr>
        <w:t xml:space="preserve">” </w:t>
      </w:r>
      <w:r>
        <w:rPr>
          <w:rFonts w:ascii="Times New Roman;serif" w:hAnsi="Times New Roman;serif"/>
          <w:b w:val="false"/>
          <w:color w:val="000000"/>
          <w:sz w:val="22"/>
        </w:rPr>
        <w:t>means the pharmaceutical product candidate having the chemical structure set forth on Schedule 1.1(a), including all forms (including salt forms), presentations, strengths, doses, and formulations (including any method of delivery), either alone or as a Combination Product, and including any other licensed products licensed or sublicensed to a third party under any Permitted Plozasiran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 xml:space="preserve">means the rate of interest quoted in </w:t>
      </w:r>
      <w:r>
        <w:rPr>
          <w:rFonts w:ascii="Times New Roman;serif" w:hAnsi="Times New Roman;serif"/>
          <w:b w:val="false"/>
          <w:color w:val="000000"/>
          <w:sz w:val="22"/>
          <w:u w:val="single"/>
        </w:rPr>
        <w:t>The Wall Street Journa</w:t>
      </w:r>
      <w:r>
        <w:rPr>
          <w:rFonts w:ascii="Times New Roman;serif" w:hAnsi="Times New Roman;serif"/>
          <w:b w:val="false"/>
          <w:color w:val="000000"/>
          <w:sz w:val="22"/>
        </w:rPr>
        <w:t>l, Money Rates Section as the Prime Rate (currently defined as the base rate on corporate loans posted by at least 75% of the nation’s thirty (30) 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Principal Office</w:t>
      </w:r>
      <w:r>
        <w:rPr>
          <w:color w:val="000000"/>
        </w:rPr>
        <w:t xml:space="preserve">” </w:t>
      </w:r>
      <w:r>
        <w:rPr>
          <w:rFonts w:ascii="Times New Roman;serif" w:hAnsi="Times New Roman;serif"/>
          <w:b w:val="false"/>
          <w:color w:val="000000"/>
          <w:sz w:val="22"/>
        </w:rPr>
        <w:t xml:space="preserve">means Administrative Agent’s “Principal Office” as set forth on </w:t>
      </w:r>
      <w:r>
        <w:rPr>
          <w:rFonts w:ascii="Times New Roman;serif" w:hAnsi="Times New Roman;serif"/>
          <w:b w:val="false"/>
          <w:color w:val="000000"/>
          <w:sz w:val="22"/>
          <w:u w:val="single"/>
        </w:rPr>
        <w:t>Appendix B</w:t>
      </w:r>
      <w:r>
        <w:rPr>
          <w:rFonts w:ascii="Times New Roman;serif" w:hAnsi="Times New Roman;serif"/>
          <w:b w:val="false"/>
          <w:color w:val="000000"/>
          <w:sz w:val="22"/>
        </w:rPr>
        <w:t>, or such other office as such Person may from time to time designate in writing to Company and each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 Rata Share</w:t>
      </w:r>
      <w:r>
        <w:rPr>
          <w:color w:val="000000"/>
        </w:rPr>
        <w:t xml:space="preserve">” </w:t>
      </w:r>
      <w:r>
        <w:rPr>
          <w:rFonts w:ascii="Times New Roman;serif" w:hAnsi="Times New Roman;serif"/>
          <w:b w:val="false"/>
          <w:color w:val="000000"/>
          <w:sz w:val="22"/>
        </w:rPr>
        <w:t>means, with respect 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(i) a Lender’s obligation to make the Initial Term Loan, the percentage obtained by dividing (A) such Lender’s Initial Term Loan Commitment by (B) the Total Initial Term Loan Commitment, (ii) a Lender’s obligation to make a Delayed Draw Term Loan, the percentage obtained by dividing (A) such Lender’s Delayed Draw Term Loan Commitment by (B) the aggregate amount of the Lenders’ Delayed Draw Term Loan Commitments and (iii) a Lender’s right to make an Incremental Term Loan, the percentage obtained by dividing (A) such Lender’s outstanding Term Loans and unfunded Delayed Draw Term Loan Commitments by (B) the aggregate amount of all of the Lenders’ outstanding Term Loans and unfunded Delayed Draw Term Loan Commitments;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 Lender’s right to receive payments of interest, fees and principal with respect to a Term Loan, the percentage obtained by dividing (i) the aggregate unpaid principal amount of such Lender’s portion of the Term Loan, by (ii) the aggregate unpaid principal amount of the Term Loan;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all other matters, the percentage obtained by dividing (i) the sum of such Lender’s Delayed Draw Term Loan Commitment and the unpaid principal amount of such Lender’s portion of the Term Loan, by (ii) the sum of the Total Delayed Draw Term Loan Commitment and the aggregate unpaid principal amount of the Term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Product</w:t>
      </w:r>
      <w:r>
        <w:rPr>
          <w:color w:val="000000"/>
        </w:rPr>
        <w:t xml:space="preserve">” </w:t>
      </w:r>
      <w:r>
        <w:rPr>
          <w:rFonts w:ascii="Times New Roman;serif" w:hAnsi="Times New Roman;serif"/>
          <w:b w:val="false"/>
          <w:color w:val="000000"/>
          <w:sz w:val="22"/>
        </w:rPr>
        <w:t xml:space="preserve">means any product or product candidate being researched, developed, manufactured, or Commercialized by the Borrower, its Subsidiaries or any Licensees on or after the Closing Date, including but not limited to Zodasiran, any Pipeline Product, any Partnered Assets, and Plozasiran, including all forms (including salt forms), presentations, strengths, dosages and formulations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28650"/>
                <wp:effectExtent l="0" t="0" r="0" b="0"/>
                <wp:wrapNone/>
                <wp:docPr id="120" name="Frame1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method of delivery), but excluding any third party product manufactured by Borrower or such Subsidiary solely on a contract manufacturing basis for such third party that is not a Licensee under a License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Product Agreement</w:t>
      </w:r>
      <w:r>
        <w:rPr>
          <w:color w:val="000000"/>
        </w:rPr>
        <w:t xml:space="preserve">” </w:t>
      </w:r>
      <w:r>
        <w:rPr>
          <w:rFonts w:ascii="Times New Roman;serif" w:hAnsi="Times New Roman;serif"/>
          <w:b w:val="false"/>
          <w:color w:val="000000"/>
          <w:sz w:val="22"/>
        </w:rPr>
        <w:t>means any agreement or Joint Venture entered into between Company or any of its Subsidiaries with another Person that includes any research, development, manufacturing, marketing, Commercialization and/or distribution arrangements, the granting of a license or sublicense of, or covenant not to assert, any rights under any Product Intellectual Property Rights, Platform Intellectual Property Rights, Registrations, Regulatory Documentation, or Collateral. For the avoidance of doubt, the License Agreements and the RPI Agreement are “Product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Product Intellectual Property Rights</w:t>
      </w:r>
      <w:r>
        <w:rPr>
          <w:color w:val="000000"/>
        </w:rPr>
        <w:t xml:space="preserve">” </w:t>
      </w:r>
      <w:r>
        <w:rPr>
          <w:rFonts w:ascii="Times New Roman;serif" w:hAnsi="Times New Roman;serif"/>
          <w:b w:val="false"/>
          <w:color w:val="000000"/>
          <w:sz w:val="22"/>
        </w:rPr>
        <w:t xml:space="preserve">means, on a Product-by-Product basis, any and all Product Patents and other Intellectual Property Rights owned by or exclusively licensed to, or purported to be owned by or exclusively licensed to, Borrower or its Subsidiaries that (a) are necessary and used exclusively in the research, development, manufacture, use or Commercialization of such Product and (b) are not necessary or used in the research, development, manufacture, use or Commercialization of any other Product, including, for each Partnered Asset, the Patents, registered and applied for Copyrights, and registered and applied for Trademarks constituting such Intellectual Property Rights listed on </w:t>
      </w:r>
      <w:r>
        <w:rPr>
          <w:rFonts w:ascii="Times New Roman;serif" w:hAnsi="Times New Roman;serif"/>
          <w:b w:val="false"/>
          <w:color w:val="000000"/>
          <w:sz w:val="22"/>
          <w:u w:val="single"/>
        </w:rPr>
        <w:t>Schedule 4.23(c)(i)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Product Patents</w:t>
      </w:r>
      <w:r>
        <w:rPr>
          <w:color w:val="000000"/>
        </w:rPr>
        <w:t xml:space="preserve">” </w:t>
      </w:r>
      <w:r>
        <w:rPr>
          <w:rFonts w:ascii="Times New Roman;serif" w:hAnsi="Times New Roman;serif"/>
          <w:b w:val="false"/>
          <w:color w:val="000000"/>
          <w:sz w:val="22"/>
        </w:rPr>
        <w:t>means, on a Product-by-Product basis, the U.S. and foreign Patents and pending Patent applications (other than Platform Patents) that are owned or Controlled by the Borrower or any of its Subsidiaries, now or in the future, that claim or otherwise cover solely the composition of matter, formulation, form, or method of use, delivery or manufacture of such specific Product (and no other Product), including the making, using, or selling of such specific Product, and are necessary to the research, development, manufacture, use or Commercialization of such Specific Product. “Product Patents” include the Patents listed on Schedule 4.23(c)(i).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Product Revenue</w:t>
      </w:r>
      <w:r>
        <w:rPr>
          <w:color w:val="000000"/>
        </w:rPr>
        <w:t xml:space="preserve">” </w:t>
      </w:r>
      <w:r>
        <w:rPr>
          <w:rFonts w:ascii="Times New Roman;serif" w:hAnsi="Times New Roman;serif"/>
          <w:b w:val="false"/>
          <w:color w:val="000000"/>
          <w:sz w:val="22"/>
        </w:rPr>
        <w:t>means, for any period, (a) the consolidated gross revenues of the Borrower and its Subsidiaries generated solely through the commercial sale of Products to third parties by the Borrower and its Subsidiaries or any of its or their Licensees during such period, less, without duplication, any Permitted Deductions, and (b) the consolidated gross revenues of the Borrower and its Subsidiaries generated solely through the commercial supply of products to Licensees and distributors calculated at the applicable transfer price, all, in respect of clauses (a) and (b), as determined in accordance with GAAP and calculated on a basis consistent with the applicable financial statements of the Borrower or its Subsidiaries. For purposes of determining Product Revenue, a “sale” shall not include transfers or dispositions of such Product for pre-clinical or clinical purposes or as samples or for charitable, promotional, manufacturing, testing, qualification or regulatory purposes, in each case, to the extent at or below the Borrower’s or its Subsidiaries’ cost of goods therefor. Product Revenue shall not include sales or transfers between or among the Borrower or its Affiliates, or its or their Licensees.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any Product is sold as a Combination Product in any country, then Product Revenue for such Combination Product will be calculated by the Combination Product Calculation (replacing each instance of “Global Net Sales” thereunder with “Product Revenue,”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Product Revenue Report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5.1(t)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Profit Share Amount</w:t>
      </w:r>
      <w:r>
        <w:rPr>
          <w:color w:val="000000"/>
        </w:rPr>
        <w:t xml:space="preserve">” </w:t>
      </w:r>
      <w:r>
        <w:rPr>
          <w:rFonts w:ascii="Times New Roman;serif" w:hAnsi="Times New Roman;serif"/>
          <w:b w:val="false"/>
          <w:color w:val="000000"/>
          <w:sz w:val="22"/>
        </w:rPr>
        <w:t>means with respect to any Permitted Product Agreement that includes a profit sharing or profit and loss sharing arrangement in a particular territory (a “</w:t>
      </w:r>
      <w:r>
        <w:rPr>
          <w:rFonts w:ascii="Times New Roman;serif" w:hAnsi="Times New Roman;serif"/>
          <w:b w:val="false"/>
          <w:color w:val="000000"/>
          <w:sz w:val="22"/>
          <w:u w:val="single"/>
        </w:rPr>
        <w:t>Profit Share Territory</w:t>
      </w:r>
      <w:r>
        <w:rPr>
          <w:color w:val="000000"/>
        </w:rPr>
        <w:t>”</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28650"/>
                <wp:effectExtent l="0" t="0" r="0" b="0"/>
                <wp:wrapNone/>
                <wp:docPr id="121" name="Frame1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for a particular Fiscal Quarter, the amount equal to the Loan Parties’ percentage of the gross profits generated from all sales of Products made in the Profit Share Territory in such Fiscal Quarter (including any Sublicense Revenue), regardless of whether such sales are made by a Loan Party, any counterparty or any Licensees under such Permitted Product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notwithstanding the foregoing, in the case of Fazirsiran, the Profit Share Amount shall be amount equal to [**]% of (a) Net Sales (as defined in the Fazirsiran License Agreement) of Products (as defined in the Fazirsiran License Agreement), regardless of whether such sales are made by a Loan Party or any counterparty under the Fazirsiran License Agreement, and (b) Sublicense Revenue in the Profit-Share Territory (each term, as defined in the Fazirsiran License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Profit Share Territory</w:t>
      </w:r>
      <w:r>
        <w:rPr>
          <w:rFonts w:ascii="Times New Roman;serif" w:hAnsi="Times New Roman;serif"/>
          <w:b w:val="false"/>
          <w:color w:val="000000"/>
          <w:sz w:val="22"/>
        </w:rPr>
        <w:t xml:space="preserve">" has (a) with respect to Fazirsiran, the meaning assigned to that term in the Fazirsiran License Agreement, and (b) with respect to all other Products, the meaning assigned to such term in the definition of Profit Share Amount.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Projections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4.8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Protective Advances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Public Health Laws</w:t>
      </w:r>
      <w:r>
        <w:rPr>
          <w:color w:val="000000"/>
        </w:rPr>
        <w:t xml:space="preserve">” </w:t>
      </w:r>
      <w:r>
        <w:rPr>
          <w:rFonts w:ascii="Times New Roman;serif" w:hAnsi="Times New Roman;serif"/>
          <w:b w:val="false"/>
          <w:color w:val="000000"/>
          <w:sz w:val="22"/>
        </w:rPr>
        <w:t>means all Requirements of Law relating to the procurement, development, clinical and non-clinical evaluation, product approval or licensure, manufacture, production, analysis, distribution, dispensing, importation, exportation, use, handling, quality, sale, labeling, promotion, clinical trial registration or post market requirements of any drug, biologic or other medical product (including, without limitation, any ingredient or component of the foregoing products) subject to regulation under the FDA Laws and the Public Health Service Act (42 U.S.C. § 201 et seq.), as well as comparable applicable foreign laws, and including without limitation the regulations promulgated by the FDA at Title 21 of the Code of Federal Regulations and all applicable regulations promulgated by the National Institutes of Health (“NIH”) and codified at Title 42 of the Code of Federal Regulations, and guidance, compliance, guides, and other policies issued by the FDA, the NIH and other comparable Governmental Authorities.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Capital Stock</w:t>
      </w:r>
      <w:r>
        <w:rPr>
          <w:color w:val="000000"/>
        </w:rPr>
        <w:t xml:space="preserve">” </w:t>
      </w:r>
      <w:r>
        <w:rPr>
          <w:rFonts w:ascii="Times New Roman;serif" w:hAnsi="Times New Roman;serif"/>
          <w:b w:val="false"/>
          <w:color w:val="000000"/>
          <w:sz w:val="22"/>
        </w:rPr>
        <w:t>means, with respect to any Person, all Capital Stock of such Person that is not Disqualified Capital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Cash</w:t>
      </w:r>
      <w:r>
        <w:rPr>
          <w:color w:val="000000"/>
        </w:rPr>
        <w:t xml:space="preserve">” </w:t>
      </w:r>
      <w:r>
        <w:rPr>
          <w:rFonts w:ascii="Times New Roman;serif" w:hAnsi="Times New Roman;serif"/>
          <w:b w:val="false"/>
          <w:color w:val="000000"/>
          <w:sz w:val="22"/>
        </w:rPr>
        <w:t xml:space="preserve">means, as of any date of determination, (x) prior to the date that is [**] after the Closing Date (or such later date as agreed in writing by the Administrative Agent in its reasonable discretion), the amount of unrestricted Cash and Cash Equivalents (other than restrictions created by the Collateral Documents) of the Loan Parties that is in Deposit Accounts or Securities Accounts located in the United States and (y) on and after the date that is [**] after the Closing Date (or such later date as agreed in writing by the Administrative Agent in its reasonable discretion), the amount of unrestricted Cash and Cash Equivalents (other than restrictions created by the Collateral Documents) of the Loan Parties that is in Deposit Accounts or Securities Accounts located in the United States, or any combination thereof and, in each case subject to a first priority perfected security interest (including in the case of Deposit Accounts and Securities Accounts located in the United States, subject to a Control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Entity</w:t>
      </w:r>
      <w:r>
        <w:rPr>
          <w:color w:val="000000"/>
        </w:rPr>
        <w:t xml:space="preserve">” </w:t>
      </w:r>
      <w:r>
        <w:rPr>
          <w:rFonts w:ascii="Times New Roman;serif" w:hAnsi="Times New Roman;serif"/>
          <w:b w:val="false"/>
          <w:color w:val="000000"/>
          <w:sz w:val="22"/>
        </w:rPr>
        <w:t>means any entity that (a) is a pharmaceutical and/or biologics company with global annual revenue for its most recently ended fiscal year that is equal to or greater than $[**] and (b)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28650"/>
                <wp:effectExtent l="0" t="0" r="0" b="0"/>
                <wp:wrapNone/>
                <wp:docPr id="122" name="Frame1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Real Estate Asset</w:t>
      </w:r>
      <w:r>
        <w:rPr>
          <w:color w:val="000000"/>
        </w:rPr>
        <w:t xml:space="preserve">” </w:t>
      </w:r>
      <w:r>
        <w:rPr>
          <w:rFonts w:ascii="Times New Roman;serif" w:hAnsi="Times New Roman;serif"/>
          <w:b w:val="false"/>
          <w:color w:val="000000"/>
          <w:sz w:val="22"/>
        </w:rPr>
        <w:t>means, at any time of determination, any Real Property owned by a Loan Party, but only to the extent such Real Property constitutes Collateral and is encumbered by a Mortgage pursuant to the terms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Real Property</w:t>
      </w:r>
      <w:r>
        <w:rPr>
          <w:color w:val="000000"/>
        </w:rPr>
        <w:t xml:space="preserve">” </w:t>
      </w:r>
      <w:r>
        <w:rPr>
          <w:rFonts w:ascii="Times New Roman;serif" w:hAnsi="Times New Roman;serif"/>
          <w:b w:val="false"/>
          <w:color w:val="000000"/>
          <w:sz w:val="22"/>
        </w:rPr>
        <w:t>means, collectively, all right, title and interest (including any leasehold, mineral or other estate) in and to any and all parcels of or interests in real property owned, leased or operated by any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has the meaning assigned to such term in Section 10.20.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Reduction</w:t>
      </w:r>
      <w:r>
        <w:rPr>
          <w:color w:val="000000"/>
        </w:rPr>
        <w:t xml:space="preserve">” </w:t>
      </w:r>
      <w:r>
        <w:rPr>
          <w:rFonts w:ascii="Times New Roman;serif" w:hAnsi="Times New Roman;serif"/>
          <w:b w:val="false"/>
          <w:color w:val="000000"/>
          <w:sz w:val="22"/>
        </w:rPr>
        <w:t>means any set-off, counterclaim, credit, reduction or deduction, whether by contract or otherwise, taken against Royalties, Milestones, Sublicense Revenues, Profit Share Amounts or Joint Venture Proceeds.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2.3(b)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Registrations</w:t>
      </w:r>
      <w:r>
        <w:rPr>
          <w:color w:val="000000"/>
        </w:rPr>
        <w:t xml:space="preserve">” </w:t>
      </w:r>
      <w:r>
        <w:rPr>
          <w:rFonts w:ascii="Times New Roman;serif" w:hAnsi="Times New Roman;serif"/>
          <w:b w:val="false"/>
          <w:color w:val="000000"/>
          <w:sz w:val="22"/>
        </w:rPr>
        <w:t>shall mean authorizations, approvals, licenses, permits, certificates, registrations, listings, certificates, or exemptions of or issued by any Governmental Authority (including marketing approvals, investigational new drug applications or clinical trial applications, product recertifications, manufacturing approvals and authorizations, pricing and reimbursement approvals, labeling approvals or their foreign equivalent) that are required for the research, development, manufacture, commercialization, distribution, import, export, marketing, storage, transportation, pricing, Governmental Authority reimbursement, use and sale of Products.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Regulation D</w:t>
      </w:r>
      <w:r>
        <w:rPr>
          <w:color w:val="000000"/>
        </w:rPr>
        <w:t xml:space="preserve">” </w:t>
      </w:r>
      <w:r>
        <w:rPr>
          <w:rFonts w:ascii="Times New Roman;serif" w:hAnsi="Times New Roman;serif"/>
          <w:b w:val="false"/>
          <w:color w:val="000000"/>
          <w:sz w:val="22"/>
        </w:rPr>
        <w:t>means Regulation D of the Board of Governors of the Federal Reserve System,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Regulatory Action</w:t>
      </w:r>
      <w:r>
        <w:rPr>
          <w:color w:val="000000"/>
        </w:rPr>
        <w:t xml:space="preserve">” </w:t>
      </w:r>
      <w:r>
        <w:rPr>
          <w:rFonts w:ascii="Times New Roman;serif" w:hAnsi="Times New Roman;serif"/>
          <w:b w:val="false"/>
          <w:color w:val="000000"/>
          <w:sz w:val="22"/>
        </w:rPr>
        <w:t>means any administrative or regulatory action, proceeding or investigation, warning letter, untitled letter, other notice of violation letter, recall, seizure, injunction or complaint for injunction, Section 305 notice or other similar written communication, consent order or consent decree, issued under the Public Health Laws by the FDA, the U.S. Department of Health and Human Services, the U.S. Department of Justice, or any comparable Governmental Authority in any other regulatory jurisdiction, including any inspectional observations recorded on a Form FDA 483, any Establishment Inspection Report, and any written request from FDA for a regulatory meeting.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Regulatory Documentation</w:t>
      </w:r>
      <w:r>
        <w:rPr>
          <w:color w:val="000000"/>
        </w:rPr>
        <w:t xml:space="preserve">” </w:t>
      </w:r>
      <w:r>
        <w:rPr>
          <w:rFonts w:ascii="Times New Roman;serif" w:hAnsi="Times New Roman;serif"/>
          <w:b w:val="false"/>
          <w:color w:val="000000"/>
          <w:sz w:val="22"/>
        </w:rPr>
        <w:t>means all (a) Registrations, (b) written correspondence and reports submitted to or received from Governmental Authorities (including minutes and official contact reports relating to any communications with any Governmental Authority) and all supporting documents with respect thereto, including all advertising and promotion documents, adverse event files, and complaint files, and (c) non-clinical and clinical data, research protocols, and data contained or relied upon in any of the foregoing, in each case ((a), (b), and (c)) relating to any Product.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Reinvestment Amounts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2.10(b)(ii)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Related Fund</w:t>
      </w:r>
      <w:r>
        <w:rPr>
          <w:color w:val="000000"/>
        </w:rPr>
        <w:t xml:space="preserve">” </w:t>
      </w:r>
      <w:r>
        <w:rPr>
          <w:rFonts w:ascii="Times New Roman;serif" w:hAnsi="Times New Roman;serif"/>
          <w:b w:val="false"/>
          <w:color w:val="000000"/>
          <w:sz w:val="22"/>
        </w:rPr>
        <w:t>means, with respect to any Lender that is an investment fund or an Affiliate of an investment fund, any other Person that makes, purchases, holds or otherwise invests in commercial loans and that is managed, administered or advised by the same investment advisor as such Lender or by an Affiliate of such investment advisor.</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28650"/>
                <wp:effectExtent l="0" t="0" r="0" b="0"/>
                <wp:wrapNone/>
                <wp:docPr id="123" name="Frame1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Release</w:t>
      </w:r>
      <w:r>
        <w:rPr>
          <w:color w:val="000000"/>
        </w:rPr>
        <w:t xml:space="preserve">” </w:t>
      </w:r>
      <w:r>
        <w:rPr>
          <w:rFonts w:ascii="Times New Roman;serif" w:hAnsi="Times New Roman;serif"/>
          <w:b w:val="false"/>
          <w:color w:val="000000"/>
          <w:sz w:val="22"/>
        </w:rPr>
        <w:t>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Remedial Action</w:t>
      </w:r>
      <w:r>
        <w:rPr>
          <w:color w:val="000000"/>
        </w:rPr>
        <w:t xml:space="preserve">” </w:t>
      </w:r>
      <w:r>
        <w:rPr>
          <w:rFonts w:ascii="Times New Roman;serif" w:hAnsi="Times New Roman;serif"/>
          <w:b w:val="false"/>
          <w:color w:val="000000"/>
          <w:sz w:val="22"/>
        </w:rPr>
        <w:t>means all actions taken to (a) correct or address any actual or threatened non-compliance with Environmental Law, (b) clean up, remove, remediate, contain, treat, monitor, assess, evaluate or in any other way address Hazardous Materials in the indoor or outdoor environment, (c) prevent or minimize a Release or threatened Release of Hazardous Materials so they do not migrate or endanger or threaten to endanger public health or welfare or the indoor or outdoor environment, (d) perform pre-remedial studies and investigations and post-remedial operation and maintenance activities; or (e) perform any other actions authorized or required by Environmental Law or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Replacement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means Lenders whose Pro Rata Share (calculated in accordance with clause (c) of the definition thereof) aggregate at least 50.1%.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Requirements of Law</w:t>
      </w:r>
      <w:r>
        <w:rPr>
          <w:color w:val="000000"/>
        </w:rPr>
        <w:t xml:space="preserve">” </w:t>
      </w:r>
      <w:r>
        <w:rPr>
          <w:rFonts w:ascii="Times New Roman;serif" w:hAnsi="Times New Roman;serif"/>
          <w:b w:val="false"/>
          <w:color w:val="000000"/>
          <w:sz w:val="22"/>
        </w:rPr>
        <w:t>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Junior Payment</w:t>
      </w:r>
      <w:r>
        <w:rPr>
          <w:color w:val="000000"/>
        </w:rPr>
        <w:t xml:space="preserve">” </w:t>
      </w:r>
      <w:r>
        <w:rPr>
          <w:rFonts w:ascii="Times New Roman;serif" w:hAnsi="Times New Roman;serif"/>
          <w:b w:val="false"/>
          <w:color w:val="000000"/>
          <w:sz w:val="22"/>
        </w:rPr>
        <w:t>means (a) any dividend or other distribution, direct or indirect, on account of any shares of any class of Capital Stock of Borrower now or hereafter outstanding, except a dividend payable solely in shares of Capital Stock to the holders of that class, together with any payment or distribution pursuant to a “plan of division” under the Delaware Limited Liability Act or any comparable transaction under any similar law, (b) any redemption, retirement, sinking fund or similar payment, purchase or other acquisition for value, direct or indirect, of any shares of any class of Capital Stock of Borrower or any of its Subsidiaries that is not a Loan Party now or hereafter outstanding, (c) any payment made to retire, or to obtain the surrender of, any outstanding warrants, options or other rights to acquire shares of any class of Capital Stock of Borrower or any of its Subsidiaries that is not a Loan Party now or hereafter outstanding, and (d) any payment or prepayment of principal of, premium, if any, or interest on, or redemption, purchase, retirement, defeasance (including in substance or legal defeasance), sinking fund or similar payment with respect to, any subordinated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License</w:t>
      </w:r>
      <w:r>
        <w:rPr>
          <w:color w:val="000000"/>
        </w:rPr>
        <w:t xml:space="preserve">” </w:t>
      </w:r>
      <w:r>
        <w:rPr>
          <w:rFonts w:ascii="Times New Roman;serif" w:hAnsi="Times New Roman;serif"/>
          <w:b w:val="false"/>
          <w:color w:val="000000"/>
          <w:sz w:val="22"/>
        </w:rPr>
        <w:t xml:space="preserve">means any Product Agreement entered into after the Closing Date that (i) cannot be collaterally assigned to secure the Obligations, or otherwise contains provisions that restrict or penalize the granting of a security interest in or Lien securing the Obligations on such Product Agreement or the related Product Intellectual Property Rights, (ii) restricts the assignment of such Product Agreement upon the sale or other disposition of all or substantially all of the assets to which such Product Agreement relates (other than customary provisions requiring the assumption by the applicable purchaser of all obligations under such Product Agreement), or (iii) does not permit the disclosure of information to be provided thereunder to Administrative Agent and the Lenders, any purchaser or prospective purchaser in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28650"/>
                <wp:effectExtent l="0" t="0" r="0" b="0"/>
                <wp:wrapNone/>
                <wp:docPr id="124" name="Frame1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 foreclosure or other transfer of all or any portion of the Collateral (subject to customary confidentiality obligations); provided a Product Agreement shall not be a “Restricted License” by virtue of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if Borrower and/or the applicable Subsidiary has used commercially reasonable efforts to remove or not include any such restriction.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RNAi Molecule</w:t>
      </w:r>
      <w:r>
        <w:rPr>
          <w:color w:val="000000"/>
        </w:rPr>
        <w:t xml:space="preserve">” </w:t>
      </w:r>
      <w:r>
        <w:rPr>
          <w:rFonts w:ascii="Times New Roman;serif" w:hAnsi="Times New Roman;serif"/>
          <w:b w:val="false"/>
          <w:color w:val="000000"/>
          <w:sz w:val="22"/>
        </w:rPr>
        <w:t>means a molecule comprising an exogenous double-stranded oligonucleotide (i.e., RNA or modified variants thereof) comprising a nucleotide sequence designed to inhibit the expression of a gene using the RNA interference mechanism.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Royalties</w:t>
      </w:r>
      <w:r>
        <w:rPr>
          <w:color w:val="000000"/>
        </w:rPr>
        <w:t xml:space="preserve">” </w:t>
      </w:r>
      <w:r>
        <w:rPr>
          <w:rFonts w:ascii="Times New Roman;serif" w:hAnsi="Times New Roman;serif"/>
          <w:b w:val="false"/>
          <w:color w:val="000000"/>
          <w:sz w:val="22"/>
        </w:rPr>
        <w:t xml:space="preserve">means (i) any and all royalty payments received by or on behalf of Borrower or its Subsidiaries under any Permitted Product Agreement with respect to a Product, (ii) any and all payments received by Borrower or its Subsidiaries in lieu of such payments described in the foregoing clause (i) under the applicable Permitted Product Agreement, (iii) any and all interest payments received by or on behalf of Borrower or its Subsidiaries under a Permitted Product Agreement assessed on any payments or amounts described in the foregoing clauses (i) and (ii), and (iv) without duplication of any payment actually made under clauses (i), (ii) and (iii), any and all “proceeds” recoverable or recovered with respect to any of the foregoing.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Royalty Monetization Transaction</w:t>
      </w:r>
      <w:r>
        <w:rPr>
          <w:color w:val="000000"/>
        </w:rPr>
        <w:t xml:space="preserve">” </w:t>
      </w:r>
      <w:r>
        <w:rPr>
          <w:rFonts w:ascii="Times New Roman;serif" w:hAnsi="Times New Roman;serif"/>
          <w:b w:val="false"/>
          <w:color w:val="000000"/>
          <w:sz w:val="22"/>
        </w:rPr>
        <w:t>means any monetization transaction involving the sale, transfer, option or collateralization of (i) any monetary payments (contingent or otherwise) payable to Borrower or its Subsidiaries by a counterparty under a Product Agreement (including any Royalties, Milestones and Profit Share Amounts payable thereunder), or (ii) any Product Revenues, in each case whether in whole or in part, in each case (i) and (ii) including but not limited to sales of royalty streams, royalty bonds and other royalty financings, synthetic royalty and revenue interest transactions (including but not limited to clinical trial funding arrangements), and hybrid monetization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Royalty Reports</w:t>
      </w:r>
      <w:r>
        <w:rPr>
          <w:color w:val="000000"/>
        </w:rPr>
        <w:t xml:space="preserve">” </w:t>
      </w:r>
      <w:r>
        <w:rPr>
          <w:rFonts w:ascii="Times New Roman;serif" w:hAnsi="Times New Roman;serif"/>
          <w:b w:val="false"/>
          <w:color w:val="000000"/>
          <w:sz w:val="22"/>
        </w:rPr>
        <w:t>means any royalty reports, net sales reports or other similar reports deliverable by a counterparty pursuant to any Permitted Product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RPI Agreement</w:t>
      </w:r>
      <w:r>
        <w:rPr>
          <w:color w:val="000000"/>
        </w:rPr>
        <w:t xml:space="preserve">” </w:t>
      </w:r>
      <w:r>
        <w:rPr>
          <w:rFonts w:ascii="Times New Roman;serif" w:hAnsi="Times New Roman;serif"/>
          <w:b w:val="false"/>
          <w:color w:val="000000"/>
          <w:sz w:val="22"/>
        </w:rPr>
        <w:t>means that certain Royalty Purchase Agreement by and between Borrower and Royalty Pharma Investments 2019 ICAV, dated as of November 9, 2022.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RPI Milestones</w:t>
      </w:r>
      <w:r>
        <w:rPr>
          <w:color w:val="000000"/>
        </w:rPr>
        <w:t xml:space="preserve">” </w:t>
      </w:r>
      <w:r>
        <w:rPr>
          <w:rFonts w:ascii="Times New Roman;serif" w:hAnsi="Times New Roman;serif"/>
          <w:b w:val="false"/>
          <w:color w:val="000000"/>
          <w:sz w:val="22"/>
        </w:rPr>
        <w:t>means the “Additional Purchase Price Payments” payable to Borrower pursuant to Section 2.1(b) of the RPI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Standard &amp; Poor’s Ratings Group, a division of The McGraw Hill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Sanctioned Entity</w:t>
      </w:r>
      <w:r>
        <w:rPr>
          <w:color w:val="000000"/>
        </w:rPr>
        <w:t xml:space="preserve">” </w:t>
      </w:r>
      <w:r>
        <w:rPr>
          <w:rFonts w:ascii="Times New Roman;serif" w:hAnsi="Times New Roman;serif"/>
          <w:b w:val="false"/>
          <w:color w:val="000000"/>
          <w:sz w:val="22"/>
        </w:rPr>
        <w:t>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or territory sanctions program administered and enforced by OFAC.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Sanctioned Person</w:t>
      </w:r>
      <w:r>
        <w:rPr>
          <w:color w:val="000000"/>
        </w:rPr>
        <w:t xml:space="preserve">” </w:t>
      </w:r>
      <w:r>
        <w:rPr>
          <w:rFonts w:ascii="Times New Roman;serif" w:hAnsi="Times New Roman;serif"/>
          <w:b w:val="false"/>
          <w:color w:val="000000"/>
          <w:sz w:val="22"/>
        </w:rPr>
        <w:t xml:space="preserve">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above.</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28650"/>
                <wp:effectExtent l="0" t="0" r="0" b="0"/>
                <wp:wrapNone/>
                <wp:docPr id="125" name="Frame1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His Majesty’s Treasury of the United Kingdom, or (e) any other Governmental Authority with jurisdiction over any Lender or any Loan Party or any of their respective Subsidiaries or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Sarepta</w:t>
      </w:r>
      <w:r>
        <w:rPr>
          <w:color w:val="000000"/>
        </w:rPr>
        <w:t xml:space="preserve">” </w:t>
      </w:r>
      <w:r>
        <w:rPr>
          <w:rFonts w:ascii="Times New Roman;serif" w:hAnsi="Times New Roman;serif"/>
          <w:b w:val="false"/>
          <w:color w:val="000000"/>
          <w:sz w:val="22"/>
        </w:rPr>
        <w:t>means Sarepta Therapeutics, Inc.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Sarepta Agreements</w:t>
      </w:r>
      <w:r>
        <w:rPr>
          <w:color w:val="000000"/>
        </w:rPr>
        <w:t xml:space="preserve">” </w:t>
      </w:r>
      <w:r>
        <w:rPr>
          <w:rFonts w:ascii="Times New Roman;serif" w:hAnsi="Times New Roman;serif"/>
          <w:b w:val="false"/>
          <w:color w:val="000000"/>
          <w:sz w:val="22"/>
        </w:rPr>
        <w:t>means the license and collaboration agreement between the Borrower and Sarepta entered into on November 25, 2024 relating to the Sarepta Transactions and any related agreements, as supplemented and/or amended by the Sarepta Side Letter, without giving effect to any other amendments including assets not included in the Sarepta Agreements on November 25, 2024.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Sarepta Side Letter</w:t>
      </w:r>
      <w:r>
        <w:rPr>
          <w:color w:val="000000"/>
        </w:rPr>
        <w:t xml:space="preserve">” </w:t>
      </w:r>
      <w:r>
        <w:rPr>
          <w:rFonts w:ascii="Times New Roman;serif" w:hAnsi="Times New Roman;serif"/>
          <w:b w:val="false"/>
          <w:color w:val="000000"/>
          <w:sz w:val="22"/>
        </w:rPr>
        <w:t>means that certain letter agreement, dated as of the Amendment No. 2 Closing Date, by and between Borrower, Sarepta Therapeutics, Inc. and Sarepta Therapeutics Investments, Inc.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Sarepta Upfront Payment</w:t>
      </w:r>
      <w:r>
        <w:rPr>
          <w:color w:val="000000"/>
        </w:rPr>
        <w:t xml:space="preserve">” </w:t>
      </w:r>
      <w:r>
        <w:rPr>
          <w:rFonts w:ascii="Times New Roman;serif" w:hAnsi="Times New Roman;serif"/>
          <w:b w:val="false"/>
          <w:color w:val="000000"/>
          <w:sz w:val="22"/>
        </w:rPr>
        <w:t xml:space="preserve">shall mean the $500,000,000 upfront payment described in the Sarepta Agreements made pursuant to the Sarepta Transactions.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Sarepta Transactions</w:t>
      </w:r>
      <w:r>
        <w:rPr>
          <w:color w:val="000000"/>
        </w:rPr>
        <w:t xml:space="preserve">” </w:t>
      </w:r>
      <w:r>
        <w:rPr>
          <w:rFonts w:ascii="Times New Roman;serif" w:hAnsi="Times New Roman;serif"/>
          <w:b w:val="false"/>
          <w:color w:val="000000"/>
          <w:sz w:val="22"/>
        </w:rPr>
        <w:t>means the transactions to be entered into between the Borrower and Sarepta Therapeutics, Inc. as described in the Sarepta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has the meaning assigned to that term in the Pledge and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Securities Account</w:t>
      </w:r>
      <w:r>
        <w:rPr>
          <w:color w:val="000000"/>
        </w:rPr>
        <w:t xml:space="preserve">” </w:t>
      </w:r>
      <w:r>
        <w:rPr>
          <w:rFonts w:ascii="Times New Roman;serif" w:hAnsi="Times New Roman;serif"/>
          <w:b w:val="false"/>
          <w:color w:val="000000"/>
          <w:sz w:val="22"/>
        </w:rPr>
        <w:t>means a securities account (as defined in the UCC).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means the Securities Act of 1933.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Solvency Certificate</w:t>
      </w:r>
      <w:r>
        <w:rPr>
          <w:color w:val="000000"/>
        </w:rPr>
        <w:t xml:space="preserve">” </w:t>
      </w:r>
      <w:r>
        <w:rPr>
          <w:rFonts w:ascii="Times New Roman;serif" w:hAnsi="Times New Roman;serif"/>
          <w:b w:val="false"/>
          <w:color w:val="000000"/>
          <w:sz w:val="22"/>
        </w:rPr>
        <w:t xml:space="preserve">means a Solvency Certificate substantially in the form of </w:t>
      </w:r>
      <w:r>
        <w:rPr>
          <w:rFonts w:ascii="Times New Roman;serif" w:hAnsi="Times New Roman;serif"/>
          <w:b w:val="false"/>
          <w:color w:val="000000"/>
          <w:sz w:val="22"/>
          <w:u w:val="single"/>
        </w:rPr>
        <w:t>Exhibit 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means, with respect to any Loan Party, that as of the date of determination, both (a)(i) the sum of such Loan Party’s debt (including contingent liabilities) does not exceed the present fair saleable value of such Loan Party’s present assets, (ii) such Loan Party’s capital is not unreasonably small in relation to its business as contemplated on the Closing Date and reflected in the transactions contemplated by the Projections, and (iii) such Loan Party has not incurred and does not intend to incur, or believe (nor should it reasonably believe) that it will incur, debts beyond its ability to pay such debts as they become due (whether at maturity or otherwise) and (b) such Person is “</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28650"/>
                <wp:effectExtent l="0" t="0" r="0" b="0"/>
                <wp:wrapNone/>
                <wp:docPr id="126" name="Frame1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Specified Jurisdictions</w:t>
      </w:r>
      <w:r>
        <w:rPr>
          <w:color w:val="000000"/>
        </w:rPr>
        <w:t xml:space="preserve">” </w:t>
      </w:r>
      <w:r>
        <w:rPr>
          <w:rFonts w:ascii="Times New Roman;serif" w:hAnsi="Times New Roman;serif"/>
          <w:b w:val="false"/>
          <w:color w:val="000000"/>
          <w:sz w:val="22"/>
        </w:rPr>
        <w:t>means, as of any date of determination, the United States and the jurisdiction of organization or formation of a Loan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Specified Transactions</w:t>
      </w:r>
      <w:r>
        <w:rPr>
          <w:color w:val="000000"/>
        </w:rPr>
        <w:t xml:space="preserve">” </w:t>
      </w:r>
      <w:r>
        <w:rPr>
          <w:rFonts w:ascii="Times New Roman;serif" w:hAnsi="Times New Roman;serif"/>
          <w:b w:val="false"/>
          <w:color w:val="000000"/>
          <w:sz w:val="22"/>
        </w:rPr>
        <w:t>means, with respect to any Pipeline Assets (other than Plozasiran), any Pipeline Asset Monetization transaction that is under negotiation prior to the Closing Date if (a) the transaction and all material economic terms thereof are identified by the Borrower to the Administrative Agent in writing prior to the Closing Date , (b) prior to entering into such transaction the Borrower shall have delivered to the Administrative Agent the final term sheet for such transaction, the terms of which shall be no less favorable to the Borrower than the terms previously disclosed to the Administrative Agent by the Borrower, and (c)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Sublicence Revenue</w:t>
      </w:r>
      <w:r>
        <w:rPr>
          <w:color w:val="000000"/>
        </w:rPr>
        <w:t xml:space="preserve">” </w:t>
      </w:r>
      <w:r>
        <w:rPr>
          <w:rFonts w:ascii="Times New Roman;serif" w:hAnsi="Times New Roman;serif"/>
          <w:b w:val="false"/>
          <w:color w:val="000000"/>
          <w:sz w:val="22"/>
        </w:rPr>
        <w:t>means any amounts (other than Royalties and Milestones) payable to Borrower or its Subsidiaries by a counterparty under a Product Agreement based on sublicenses granted by such counterparty to a Sublicensee under such Product Agreement as such amounts are defined under the equivalent definition included in such Product Agreement; provided that, for clarity, in the case of Fazirsiran, the term “Sublicense Revenue” shall have the meaning set forth in the Fazirsiran License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 xml:space="preserve">means, with respect to any Person, any corporation, company, partnership, limited liability company, association, joint venture or other business entity of which more than 50% of the total voting power of shares of stock,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in determining the percentage of ownership interests of any Person controlled by another Person, no ownership interest in the nature of a “qualifying share” of the former Person shall be deemed to be outstanding. Notwithstanding anything to the contrary, for purposes of the Agreement, Visirna and its Subsidiaries and Calando Pharmaceuticals, Inc. shall be deemed not to be a Subsidiary of the Borrower or any Loan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Survey</w:t>
      </w:r>
      <w:r>
        <w:rPr>
          <w:color w:val="000000"/>
        </w:rPr>
        <w:t xml:space="preserve">” </w:t>
      </w:r>
      <w:r>
        <w:rPr>
          <w:rFonts w:ascii="Times New Roman;serif" w:hAnsi="Times New Roman;serif"/>
          <w:b w:val="false"/>
          <w:color w:val="000000"/>
          <w:sz w:val="22"/>
        </w:rPr>
        <w:t>means a survey of any Real Property (and all improvements thereon) which is (a) (i) prepared by a surveyor or engineer licensed to perform surveys in the jurisdiction where such Real Property is located, (ii) dated (or redated) not earlier than six months prior to the date of delivery thereof unless there shall have occurred within six months prior to such date of delivery any material exterior construction on the site of such Real Property or any easement, right of way or other interest in the Real Property has been granted or become effective through operation of law or otherwise with respect to such Real Property which, in either case, can be depicted on a survey, in which events, as applicable, such survey shall be dated (or redated) after the completion of such construction or if such construction shall not have been completed as of such date of delivery, not earlier than [**] prior to such date of delivery, or after the grant or effectiveness of any such easement, right of way or other interest in the Real Property, (iii) certified by the surveyor (in a manner reasonably acceptable to Administrative Agent) to the Administrative Agent, and the Title Company, (iv) complying in all respects with the minimum detail requirements of the American Land Title Association as such requirements are in effect on the date of preparation of such survey and (v) sufficient for the Title Company to remove all standard survey exceptions from the title insurance policy relating to such Real Property and issue the endorsements of the type required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28650"/>
                <wp:effectExtent l="0" t="0" r="0" b="0"/>
                <wp:wrapNone/>
                <wp:docPr id="127" name="Frame1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w:t>
      </w:r>
      <w:r>
        <w:rPr>
          <w:color w:val="000000"/>
        </w:rPr>
        <w:t xml:space="preserve">” </w:t>
      </w:r>
      <w:r>
        <w:rPr>
          <w:rFonts w:ascii="Times New Roman;serif" w:hAnsi="Times New Roman;serif"/>
          <w:b w:val="false"/>
          <w:color w:val="000000"/>
          <w:sz w:val="22"/>
        </w:rPr>
        <w:t>means any present or future tax, levy, impost, duty, assessment, charge, fee, deduction or withholding (including backup withholding) or other charge imposed by any Governmental Authority, and any interest, penalties, additions to tax or other liabilities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w:t>
      </w:r>
      <w:r>
        <w:rPr>
          <w:color w:val="000000"/>
        </w:rPr>
        <w:t xml:space="preserve">” </w:t>
      </w:r>
      <w:r>
        <w:rPr>
          <w:rFonts w:ascii="Times New Roman;serif" w:hAnsi="Times New Roman;serif"/>
          <w:b w:val="false"/>
          <w:color w:val="000000"/>
          <w:sz w:val="22"/>
        </w:rPr>
        <w:t>means, collectively, the Initial Term Loan and each Delayed Draw Term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 Commitment</w:t>
      </w:r>
      <w:r>
        <w:rPr>
          <w:color w:val="000000"/>
        </w:rPr>
        <w:t xml:space="preserve">” </w:t>
      </w:r>
      <w:r>
        <w:rPr>
          <w:rFonts w:ascii="Times New Roman;serif" w:hAnsi="Times New Roman;serif"/>
          <w:b w:val="false"/>
          <w:color w:val="000000"/>
          <w:sz w:val="22"/>
        </w:rPr>
        <w:t xml:space="preserve">means, collectively, the Initial Term Loan Commitment and the Delayed Draw Term Loan Commitments.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 Maturity Date</w:t>
      </w:r>
      <w:r>
        <w:rPr>
          <w:color w:val="000000"/>
        </w:rPr>
        <w:t xml:space="preserve">” </w:t>
      </w:r>
      <w:r>
        <w:rPr>
          <w:rFonts w:ascii="Times New Roman;serif" w:hAnsi="Times New Roman;serif"/>
          <w:b w:val="false"/>
          <w:color w:val="000000"/>
          <w:sz w:val="22"/>
        </w:rPr>
        <w:t>means the earlier of (a) August 7, 2031 and (b) the date that the Term Loan shall become due and payable in full hereunder, whether by acceleration or otherwise; provided, that, if such date is not a Business Day, the Term Loan Maturity Date shall be the immediately preceding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Terminated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Termination Date</w:t>
      </w:r>
      <w:r>
        <w:rPr>
          <w:color w:val="000000"/>
        </w:rPr>
        <w:t xml:space="preserve">” </w:t>
      </w:r>
      <w:r>
        <w:rPr>
          <w:rFonts w:ascii="Times New Roman;serif" w:hAnsi="Times New Roman;serif"/>
          <w:b w:val="false"/>
          <w:color w:val="000000"/>
          <w:sz w:val="22"/>
        </w:rPr>
        <w:t>means the date all Obligations (other than contingent obligations with respect to which no claim has been made) are paid in full and the expiration or termination of the Commitments of the Lenders under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Test Date</w:t>
      </w:r>
      <w:r>
        <w:rPr>
          <w:color w:val="000000"/>
        </w:rPr>
        <w:t xml:space="preserve">” </w:t>
      </w:r>
      <w:r>
        <w:rPr>
          <w:rFonts w:ascii="Times New Roman;serif" w:hAnsi="Times New Roman;serif"/>
          <w:b w:val="false"/>
          <w:color w:val="000000"/>
          <w:sz w:val="22"/>
        </w:rPr>
        <w:t>has the meaning specified in the definition of Excluded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Threshold Amount</w:t>
      </w:r>
      <w:r>
        <w:rPr>
          <w:color w:val="000000"/>
        </w:rPr>
        <w:t xml:space="preserve">” </w:t>
      </w:r>
      <w:r>
        <w:rPr>
          <w:rFonts w:ascii="Times New Roman;serif" w:hAnsi="Times New Roman;serif"/>
          <w:b w:val="false"/>
          <w:color w:val="000000"/>
          <w:sz w:val="22"/>
        </w:rPr>
        <w:t>means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Title Company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5.11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Title Policy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5.11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Total Delayed Draw Term Loan Commitment</w:t>
      </w:r>
      <w:r>
        <w:rPr>
          <w:color w:val="000000"/>
        </w:rPr>
        <w:t xml:space="preserve">” </w:t>
      </w:r>
      <w:r>
        <w:rPr>
          <w:rFonts w:ascii="Times New Roman;serif" w:hAnsi="Times New Roman;serif"/>
          <w:b w:val="false"/>
          <w:color w:val="000000"/>
          <w:sz w:val="22"/>
        </w:rPr>
        <w:t>means the sum of the amounts of the Lenders’ Delayed Draw Term Loan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Total Initial Term Loan Commitment</w:t>
      </w:r>
      <w:r>
        <w:rPr>
          <w:color w:val="000000"/>
        </w:rPr>
        <w:t xml:space="preserve">” </w:t>
      </w:r>
      <w:r>
        <w:rPr>
          <w:rFonts w:ascii="Times New Roman;serif" w:hAnsi="Times New Roman;serif"/>
          <w:b w:val="false"/>
          <w:color w:val="000000"/>
          <w:sz w:val="22"/>
        </w:rPr>
        <w:t>means the sum of the amounts of the Lenders’ Initial Term Loan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Trademarks</w:t>
      </w:r>
      <w:r>
        <w:rPr>
          <w:color w:val="000000"/>
        </w:rPr>
        <w:t xml:space="preserve">” </w:t>
      </w:r>
      <w:r>
        <w:rPr>
          <w:rFonts w:ascii="Times New Roman;serif" w:hAnsi="Times New Roman;serif"/>
          <w:b w:val="false"/>
          <w:color w:val="000000"/>
          <w:sz w:val="22"/>
        </w:rPr>
        <w:t>has the meaning ascribed to such term in the definition of “Intellectual Property Rights.”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True Up Payment</w:t>
      </w:r>
      <w:r>
        <w:rPr>
          <w:color w:val="000000"/>
        </w:rPr>
        <w:t xml:space="preserve">” </w:t>
      </w:r>
      <w:r>
        <w:rPr>
          <w:rFonts w:ascii="Times New Roman;serif" w:hAnsi="Times New Roman;serif"/>
          <w:b w:val="false"/>
          <w:color w:val="000000"/>
          <w:sz w:val="22"/>
        </w:rPr>
        <w:t>has the meaning specified in the Fee Letter.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United States</w:t>
      </w:r>
      <w:r>
        <w:rPr>
          <w:color w:val="000000"/>
        </w:rPr>
        <w:t xml:space="preserve">” </w:t>
      </w:r>
      <w:r>
        <w:rPr>
          <w:rFonts w:ascii="Times New Roman;serif" w:hAnsi="Times New Roman;serif"/>
          <w:b w:val="false"/>
          <w:color w:val="000000"/>
          <w:sz w:val="22"/>
        </w:rPr>
        <w:t>means the United States of America (including all possessions and territories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2.15(d)(i)(B)(3).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means the Uniform Commercial Code (or any similar or equivalent legislation) as in effect in any applicable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Unpaid Interest</w:t>
      </w:r>
      <w:r>
        <w:rPr>
          <w:color w:val="000000"/>
        </w:rPr>
        <w:t xml:space="preserve">” </w:t>
      </w:r>
      <w:r>
        <w:rPr>
          <w:rFonts w:ascii="Times New Roman;serif" w:hAnsi="Times New Roman;serif"/>
          <w:b w:val="false"/>
          <w:color w:val="000000"/>
          <w:sz w:val="22"/>
        </w:rPr>
        <w:t>shall mean interest that is unpaid, including by the funding of a Delayed Draw Term Loan, or is otherwise not capitalized.</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28650"/>
                <wp:effectExtent l="0" t="0" r="0" b="0"/>
                <wp:wrapNone/>
                <wp:docPr id="128" name="Frame1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Visirna</w:t>
      </w:r>
      <w:r>
        <w:rPr>
          <w:color w:val="000000"/>
        </w:rPr>
        <w:t xml:space="preserve">” </w:t>
      </w:r>
      <w:r>
        <w:rPr>
          <w:rFonts w:ascii="Times New Roman;serif" w:hAnsi="Times New Roman;serif"/>
          <w:b w:val="false"/>
          <w:color w:val="000000"/>
          <w:sz w:val="22"/>
        </w:rPr>
        <w:t>means Visirna Therapeutics Inc.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VISIRNA JV Products</w:t>
      </w:r>
      <w:r>
        <w:rPr>
          <w:color w:val="000000"/>
        </w:rPr>
        <w:t xml:space="preserve">” </w:t>
      </w:r>
      <w:r>
        <w:rPr>
          <w:rFonts w:ascii="Times New Roman;serif" w:hAnsi="Times New Roman;serif"/>
          <w:b w:val="false"/>
          <w:color w:val="000000"/>
          <w:sz w:val="22"/>
        </w:rPr>
        <w:t>means the RNAi Molecules that are the subject of that certain License Agreement dated April 25, 2022, between Company and Visirna Therapeutics, Inc. and collectively are defined therein as the “Licensed Compounds” and “Licensed Products”, including [**], in the “Licensee Territory” as defined therein, and further including all forms (including salt forms), presentations, strengths, doses, and formulations (including any method of delivery), either alone or as a Combination Product[**].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Visirna JV Documents</w:t>
      </w:r>
      <w:r>
        <w:rPr>
          <w:color w:val="000000"/>
        </w:rPr>
        <w:t xml:space="preserve">” </w:t>
      </w:r>
      <w:r>
        <w:rPr>
          <w:rFonts w:ascii="Times New Roman;serif" w:hAnsi="Times New Roman;serif"/>
          <w:b w:val="false"/>
          <w:color w:val="000000"/>
          <w:sz w:val="22"/>
        </w:rPr>
        <w:t>means that certain (i) License Agreement by and between Arrowhead Pharmaceuticals, Inc., a Delaware corporation and Visirna Therapeutics, Inc. dated as of April 25, 2022 (the “</w:t>
      </w:r>
      <w:r>
        <w:rPr>
          <w:rFonts w:ascii="Times New Roman;serif" w:hAnsi="Times New Roman;serif"/>
          <w:b w:val="false"/>
          <w:color w:val="000000"/>
          <w:sz w:val="22"/>
          <w:u w:val="single"/>
        </w:rPr>
        <w:t>Visirna License Agreement</w:t>
      </w:r>
      <w:r>
        <w:rPr>
          <w:color w:val="000000"/>
        </w:rPr>
        <w:t>”</w:t>
      </w:r>
      <w:r>
        <w:rPr>
          <w:rFonts w:ascii="Times New Roman;serif" w:hAnsi="Times New Roman;serif"/>
          <w:b w:val="false"/>
          <w:color w:val="000000"/>
          <w:sz w:val="22"/>
        </w:rPr>
        <w:t>), (ii) Share Purchase Agreement by and among Visirna Therapeutics, Inc., Arrowhead Pharmaceuticals, Inc., Vivo Capital Fund IX (Cayman), L.P., and Vivo Innovation Fund II Holdings, L.P. entered into on April 25, 2022, (iii) Shareholders Agreement between Visirna Therapeutics, Inc., Arrowhead Pharmaceuticals, Inc., Vivo Capital Fund IX (Cayman), L.P., Vivo Innovation Fund II Holdings, L.P., and the other parties thereto from time to time, entered into as of April 25, 2022, (iv) Amended and Restated Memorandum of Association of Visirna Therapeutics, Inc., adopted by a special resolution passed on April 25, 2022, (v) Letter re: Management Rights from Visirna Therapeutics, Inc. to Vivo Capital Fund IX (Cayman), L.P. and Vivo Innovation Fund II Holdings, L.P., dated as of April 25, 2022, and (vi) Clinical Trial Collaboration Agreement by and between Visirna Therapeutics, Inc. and Arrowhead Pharmaceuticals, Inc. entered into as of May 9, 2024.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Visirna License Agreement</w:t>
      </w:r>
      <w:r>
        <w:rPr>
          <w:color w:val="000000"/>
        </w:rPr>
        <w:t xml:space="preserve">” </w:t>
      </w:r>
      <w:r>
        <w:rPr>
          <w:rFonts w:ascii="Times New Roman;serif" w:hAnsi="Times New Roman;serif"/>
          <w:b w:val="false"/>
          <w:color w:val="000000"/>
          <w:sz w:val="22"/>
        </w:rPr>
        <w:t>has the meaning set forth in the definition of “Visirna JV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Weighted Average Life to Maturity</w:t>
      </w:r>
      <w:r>
        <w:rPr>
          <w:color w:val="000000"/>
        </w:rPr>
        <w:t xml:space="preserve">” </w:t>
      </w:r>
      <w:r>
        <w:rPr>
          <w:rFonts w:ascii="Times New Roman;serif" w:hAnsi="Times New Roman;serif"/>
          <w:b w:val="false"/>
          <w:color w:val="000000"/>
          <w:sz w:val="22"/>
        </w:rPr>
        <w:t>means, when applied to any Indebtedness at any date, the number of years obtained by dividing: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then outstanding principal amount of such Indebtedness.</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Wisconsin Facility</w:t>
      </w:r>
      <w:r>
        <w:rPr>
          <w:color w:val="000000"/>
        </w:rPr>
        <w:t xml:space="preserve">” </w:t>
      </w:r>
      <w:r>
        <w:rPr>
          <w:rFonts w:ascii="Times New Roman;serif" w:hAnsi="Times New Roman;serif"/>
          <w:b w:val="false"/>
          <w:color w:val="000000"/>
          <w:sz w:val="22"/>
        </w:rPr>
        <w:t>has the meaning specified in the definition of Material Real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Yield Maintenance Premium</w:t>
      </w:r>
      <w:r>
        <w:rPr>
          <w:color w:val="000000"/>
        </w:rPr>
        <w:t xml:space="preserve">” </w:t>
      </w:r>
      <w:r>
        <w:rPr>
          <w:rFonts w:ascii="Times New Roman;serif" w:hAnsi="Times New Roman;serif"/>
          <w:b w:val="false"/>
          <w:color w:val="000000"/>
          <w:sz w:val="22"/>
        </w:rPr>
        <w:t>has the meaning specified in the Fee Letter.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Zodasiran</w:t>
      </w:r>
      <w:r>
        <w:rPr>
          <w:color w:val="000000"/>
        </w:rPr>
        <w:t xml:space="preserve">” </w:t>
      </w:r>
      <w:r>
        <w:rPr>
          <w:rFonts w:ascii="Times New Roman;serif" w:hAnsi="Times New Roman;serif"/>
          <w:b w:val="false"/>
          <w:color w:val="000000"/>
          <w:sz w:val="22"/>
        </w:rPr>
        <w:t>means the pharmaceutical product candidate having the chemical structure set forth on Schedule 1.1(a), including all forms (including salt forms), presentations, strengths, doses, and formulations (including any method of delivery), either alone or as a Combination Product, and including all other products licensed or sublicensed to a third party under any Permitted Zodasiran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Zodasiran Upfront Payment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6.9(b)(xix)</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Zodasiran Upfront Payment Balance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2.10(f)</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28650"/>
                <wp:effectExtent l="0" t="0" r="0" b="0"/>
                <wp:wrapNone/>
                <wp:docPr id="129" name="Frame1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1.2</w:t>
      </w:r>
      <w:r>
        <w:rPr>
          <w:rFonts w:ascii="Times New Roman;serif" w:hAnsi="Times New Roman;serif"/>
          <w:b w:val="false"/>
          <w:color w:val="000000"/>
          <w:sz w:val="22"/>
          <w:u w:val="single"/>
        </w:rPr>
        <w:t>Accounting and Other Terms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Except as otherwise expressly provided herein, all accounting terms not otherwise defined herein shall have the meanings assigned to them in conformity with GAAP. Financial statements and other information required to be delivered by Borrower to Lenders pursuant to </w:t>
      </w:r>
      <w:r>
        <w:rPr>
          <w:rFonts w:ascii="Times New Roman;serif" w:hAnsi="Times New Roman;serif"/>
          <w:b w:val="false"/>
          <w:color w:val="000000"/>
          <w:sz w:val="22"/>
          <w:u w:val="single"/>
        </w:rPr>
        <w:t>Sections 5.1(b)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5.1(c)</w:t>
      </w:r>
      <w:r>
        <w:rPr>
          <w:color w:val="000000"/>
        </w:rPr>
        <w:t xml:space="preserve"> </w:t>
      </w:r>
      <w:r>
        <w:rPr>
          <w:rFonts w:ascii="Times New Roman;serif" w:hAnsi="Times New Roman;serif"/>
          <w:b w:val="false"/>
          <w:color w:val="000000"/>
          <w:sz w:val="22"/>
        </w:rPr>
        <w:t>shall be prepared in accordance with GAAP as in effect at the time of such preparation. Subject to the foregoing, calculations in connection with the definitions, covenants and other provisions hereof shall utilize accounting principles and policies in conformity with those used to prepare the Historical Financial Statements. Notwithstanding the foregoing, for purposes of determining compliance with any covenant (including the computation of any financial covenant) contained herein, (i) Indebtedness of Borrower and its Subsidiaries shall be deemed to be carried at 100% of the outstanding principal amount thereof, and the effects of FASB ASC 825 and FASB ASC 470 20 on financial liabilities shall be disregarded, (ii) with respect to the accounting for leases as either operating leases or capital leases and the impact of such accounting in accordance with FASB ASC 840 on the definitions and covenants herein, GAAP as in effect on December 31, 2018 shall be applied and (iii) with respect to revenue recognition and the impact of such accounting in accordance with FASB ASC 606 on the definitions and covenants herein, GAAP as in effect on December 31, 2017 shall be applied.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All terms used in this Agreement which are defined in Article 8 or Article 9 of the UCC as in effect from time to time in the State of New York and which are not otherwise defined herein shall have the same meanings herein as set forth therein,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terms used herein which are defined in the UCC as in effect in the State of New York on the date hereof shall continue to have the same meaning notwithstanding any replacement or amendment of such statute except as Administrative Agent may otherwise determine.</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For purposes of determining compliance with any incurrence or expenditure tests set forth in this Agreement, any amounts so incurred or expended (to the extent incurred or expended in a currency other than Dollars ($))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any new incurrence or expenditures made under any provision of any such Section that regulates the Dollar amount outstanding at any time).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1.3</w:t>
      </w:r>
      <w:r>
        <w:rPr>
          <w:rFonts w:ascii="Times New Roman;serif" w:hAnsi="Times New Roman;serif"/>
          <w:b w:val="false"/>
          <w:color w:val="000000"/>
          <w:sz w:val="22"/>
          <w:u w:val="single"/>
        </w:rPr>
        <w:t>Interpretation, Etc.</w:t>
      </w:r>
      <w:r>
        <w:rPr>
          <w:color w:val="000000"/>
        </w:rPr>
        <w:t xml:space="preserve"> </w:t>
      </w:r>
      <w:r>
        <w:rPr>
          <w:rFonts w:ascii="Times New Roman;serif" w:hAnsi="Times New Roman;serif"/>
          <w:b w:val="false"/>
          <w:color w:val="000000"/>
          <w:sz w:val="22"/>
        </w:rPr>
        <w:t xml:space="preserve">Any of the terms defined herein may, unless the context otherwise requires, be used in the singular or the plural, depending on the reference. Whenever the context may require, any pronoun shall include the corresponding masculine, feminine, and neuter forms. The word “will” shall be construed to have the same meaning and effect as the word “shall.”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words “asset” and “property” shall be construed to have the same meaning and effect and to refer to any right or interest in or to assets and properties of any kind whatsoever, whether real, personal or mixed and whether tangible or intangible. Any reference herein or in any other Loan Document to the satisfaction, repayment, or payment in full of the Obligations or Guaranteed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28650"/>
                <wp:effectExtent l="0" t="0" r="0" b="0"/>
                <wp:wrapNone/>
                <wp:docPr id="130" name="Frame1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shall mean (a) the payment or repayment in full in immediately available funds of (i) the principal amount of, and interest accrued and unpaid with respect to, all outstanding Loans, together with the payment of any premium applicable to the repayment of the Loans, including any MOIC or Yield Maintenance Premium, (ii) all costs, expenses, or indemnities payable pursuant to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or Section </w:t>
      </w:r>
      <w:r>
        <w:rPr>
          <w:rFonts w:ascii="Times New Roman;serif" w:hAnsi="Times New Roman;serif"/>
          <w:b w:val="false"/>
          <w:color w:val="000000"/>
          <w:sz w:val="22"/>
          <w:u w:val="single"/>
        </w:rPr>
        <w:t>10.3</w:t>
      </w:r>
      <w:r>
        <w:rPr>
          <w:color w:val="000000"/>
        </w:rPr>
        <w:t xml:space="preserve"> </w:t>
      </w:r>
      <w:r>
        <w:rPr>
          <w:rFonts w:ascii="Times New Roman;serif" w:hAnsi="Times New Roman;serif"/>
          <w:b w:val="false"/>
          <w:color w:val="000000"/>
          <w:sz w:val="22"/>
        </w:rPr>
        <w:t xml:space="preserve">of this Agreement that have accrued and are unpaid regardless of whether demand has been made therefor, and (iii) all fees, charges (including loan fees, service fees, professional fees, and expense reimbursement) and other Obligations that have accrued hereunder or under any other Loan Document and are unpaid, (b) the receipt by Administrative Agent of cash collateral in order to secure any other contingent Obligations for which a claim or demand for payment has been made on or prior to such time or in respect of matters or circumstances known to the Administrative Agent or a Lender at such time that are reasonably expected to result in any loss, cost, damage, or expense (including attorneys’ fees and legal expenses), such cash collateral to be in such amount as the Administrative Agent reasonably determines is appropriate to secure such contingent Obligations, and (c) the termination of all of the Term Loan Commitments. Notwithstanding anything in this Agreement to the contrary, (A) the Dodd-Frank Wall Street Reform and Consumer Protection Act and all requests, rules, guidelines or directives thereunder or issued in connection therewith and (B)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 Unless the context requires otherwise (a) any definition of or reference to any Loan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in any Loan Document), (b) any reference to any law or regulation shall (i) include all statutory and regulatory provisions consolidating, amending, replacing or interpreting or supplementing such law or regulation, and (ii) unless otherwise specified, refer to such law or regulation as amended, modified or supplemented from time to time, (c) any reference herein to any Person shall be construed to included such Person’s successors and permitted assigns and (d) any reference to “on behalf of” with respect to any payments to the Borrower, any Loan Party or any Subsidiary of the Borrower, shall mean a payment made to any agent or representative of such Person (and not, for the avoidance of doubt, the counterparty to any contract or agreement). This </w:t>
      </w:r>
      <w:r>
        <w:rPr>
          <w:rFonts w:ascii="Times New Roman;serif" w:hAnsi="Times New Roman;serif"/>
          <w:b w:val="false"/>
          <w:color w:val="000000"/>
          <w:sz w:val="22"/>
          <w:u w:val="single"/>
        </w:rPr>
        <w:t>Section 1.3</w:t>
      </w:r>
      <w:r>
        <w:rPr>
          <w:color w:val="000000"/>
        </w:rPr>
        <w:t xml:space="preserve"> </w:t>
      </w:r>
      <w:r>
        <w:rPr>
          <w:rFonts w:ascii="Times New Roman;serif" w:hAnsi="Times New Roman;serif"/>
          <w:b w:val="false"/>
          <w:color w:val="000000"/>
          <w:sz w:val="22"/>
        </w:rPr>
        <w:t xml:space="preserve">shall apply,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to all Loan Documents. </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1.4</w:t>
      </w:r>
      <w:r>
        <w:rPr>
          <w:rFonts w:ascii="Times New Roman;serif" w:hAnsi="Times New Roman;serif"/>
          <w:b w:val="false"/>
          <w:color w:val="000000"/>
          <w:sz w:val="22"/>
          <w:u w:val="single"/>
        </w:rPr>
        <w:t>Time References</w:t>
      </w:r>
      <w:r>
        <w:rPr>
          <w:rFonts w:ascii="Times New Roman;serif" w:hAnsi="Times New Roman;serif"/>
          <w:b w:val="false"/>
          <w:color w:val="000000"/>
          <w:sz w:val="22"/>
        </w:rPr>
        <w:t xml:space="preserve">.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with respect to a computation of fees or interest payable to Administrative Agent or any Lender, such period shall in any event consist of at least one full day. Whenever any action or delivery to be taken or made under this Agreement or any other Loan Document shall be stated to be due on a day other than a Business Day, such action or delivery shall be deemed to be due on the next succeeding Business Day;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notices relating to any defaults, Events of Default or remedial actions associated therewith shall be deemed to have been received and/or to occur immediately upon receipt by the intended recipient.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1.5</w:t>
      </w:r>
      <w:r>
        <w:rPr>
          <w:rFonts w:ascii="Times New Roman;serif" w:hAnsi="Times New Roman;serif"/>
          <w:b w:val="false"/>
          <w:color w:val="000000"/>
          <w:sz w:val="22"/>
          <w:u w:val="single"/>
        </w:rPr>
        <w:t>Certain Matters of Construction</w:t>
      </w:r>
      <w:r>
        <w:rPr>
          <w:rFonts w:ascii="Times New Roman;serif" w:hAnsi="Times New Roman;serif"/>
          <w:b w:val="false"/>
          <w:color w:val="000000"/>
          <w:sz w:val="22"/>
        </w:rPr>
        <w:t xml:space="preserve">. References in this Agreement to “determination” by Administrative Agent include good faith estimates by Administrative Agent (in the case of quantitative determinations) and good faith beliefs by Administrative Agent (in the case of qualitative determinations).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Any Lien referred to in this Agreement or any other Loan Document as having been created in favor of Administrative Agent, any agreement entered into by Administrative Agent pursuant to this Agreement or any other Loan Document, any payment made by or to or funds received by Administrative Agent pursuant to or as contemplated by this Agreement or any other Loan Document, or any act taken or omitted to be taken by Administrative Agent, shall, unless otherwise expressly provided, be created,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28650"/>
                <wp:effectExtent l="0" t="0" r="0" b="0"/>
                <wp:wrapNone/>
                <wp:docPr id="131" name="Frame1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entered into, made or received, or taken or omitted, for the benefit or account of Administrative Agent and the Lenders. Wherever the phrase “to the knowledge of any Loan Party” or words of similar import relating to the knowledge or the awareness of any Loan Party are used in this Agreement or any other Loan Document,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pStyle w:val="TextBody"/>
        <w:bidi w:val="0"/>
        <w:spacing w:lineRule="auto" w:line="240" w:before="0" w:after="240"/>
        <w:jc w:val="center"/>
        <w:rPr/>
      </w:pPr>
      <w:r>
        <w:rPr>
          <w:rFonts w:ascii="Times New Roman;serif" w:hAnsi="Times New Roman;serif"/>
          <w:b w:val="false"/>
          <w:color w:val="010000"/>
          <w:sz w:val="22"/>
        </w:rPr>
        <w:t>Article II</w:t>
      </w:r>
      <w:r>
        <w:rPr>
          <w:rFonts w:ascii="Times New Roman;serif" w:hAnsi="Times New Roman;serif"/>
          <w:b w:val="false"/>
          <w:color w:val="000000"/>
          <w:sz w:val="22"/>
        </w:rPr>
        <w:br/>
        <w:br/>
        <w:t>LOANS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w:t>
      </w:r>
      <w:r>
        <w:rPr>
          <w:rFonts w:ascii="Times New Roman;serif" w:hAnsi="Times New Roman;serif"/>
          <w:b w:val="false"/>
          <w:color w:val="000000"/>
          <w:sz w:val="22"/>
          <w:u w:val="single"/>
        </w:rPr>
        <w:t>Term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Initial Term Loans; Delayed Draw Term Loans; Incremental Term Loans</w:t>
      </w:r>
      <w:r>
        <w:rPr>
          <w:rFonts w:ascii="Times New Roman;serif" w:hAnsi="Times New Roman;serif"/>
          <w:b w:val="false"/>
          <w:color w:val="000000"/>
          <w:sz w:val="22"/>
        </w:rPr>
        <w:t xml:space="preserve">. Subject to the terms and conditions hereof: </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each Lender severally agrees to make, on the Closing Date, an Initial Term Loan to Company in an amount equal to such Lender’s Initial Term Loan Commitment;</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each Lender severally agrees to make, after the Closing Date and at any time prior to the Delayed Draw Commitment Termination Date, one or more Initial Delayed Draw Term Loans to Company in an aggregate principal amount not to exceed such Lender’s Delayed Draw Term Loan Commitment; and</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(iii)</w:t>
      </w:r>
      <w:r>
        <w:rPr>
          <w:rFonts w:ascii="Times New Roman;serif" w:hAnsi="Times New Roman;serif"/>
          <w:b w:val="false"/>
          <w:color w:val="000000"/>
          <w:sz w:val="22"/>
        </w:rPr>
        <w:t>at the option of the Borrower, and subject to the approval of the Lenders in their sole discretion, each Lender may, severally and not jointly, make Incremental Term Loans to the Borrower in an aggregate amount not to exceed $100,000,000.</w:t>
      </w:r>
    </w:p>
    <w:p>
      <w:pPr>
        <w:pStyle w:val="TextBody"/>
        <w:bidi w:val="0"/>
        <w:spacing w:lineRule="auto" w:line="288" w:before="0" w:after="240"/>
        <w:jc w:val="both"/>
        <w:rPr/>
      </w:pPr>
      <w:r>
        <w:rPr>
          <w:rFonts w:ascii="Times New Roman;serif" w:hAnsi="Times New Roman;serif"/>
          <w:b w:val="false"/>
          <w:color w:val="000000"/>
          <w:sz w:val="22"/>
        </w:rPr>
        <w:t xml:space="preserve">The Company may make only one borrowing under the Initial Term Loan Commitment, which shall be on the Closing Date. Any amount borrowed under this </w:t>
      </w:r>
      <w:r>
        <w:rPr>
          <w:rFonts w:ascii="Times New Roman;serif" w:hAnsi="Times New Roman;serif"/>
          <w:b w:val="false"/>
          <w:color w:val="000000"/>
          <w:sz w:val="22"/>
          <w:u w:val="single"/>
        </w:rPr>
        <w:t>Section 2.1(a)</w:t>
      </w:r>
      <w:r>
        <w:rPr>
          <w:color w:val="000000"/>
        </w:rPr>
        <w:t xml:space="preserve"> </w:t>
      </w:r>
      <w:r>
        <w:rPr>
          <w:rFonts w:ascii="Times New Roman;serif" w:hAnsi="Times New Roman;serif"/>
          <w:b w:val="false"/>
          <w:color w:val="000000"/>
          <w:sz w:val="22"/>
        </w:rPr>
        <w:t xml:space="preserve">and subsequently repaid or prepaid may not be reborrowed. Subject to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2.10</w:t>
      </w:r>
      <w:r>
        <w:rPr>
          <w:rFonts w:ascii="Times New Roman;serif" w:hAnsi="Times New Roman;serif"/>
          <w:b w:val="false"/>
          <w:color w:val="000000"/>
          <w:sz w:val="22"/>
        </w:rPr>
        <w:t>, all amounts owed hereunder with respect to the Initial Term Loan and the Delayed Draw Term Loan shall be paid in full no later than the Term Loan Maturity Date. Each Lender’s Initial Term Loan Commitment shall terminate immediately and without further action on the Closing Date, after giving effect to the funding of such Initial Term Loans on the Closing Date. Each Lender’s Delayed Draw Term Loan Commitment shall be permanently reduced immediately and without further action upon the funding of each Delayed Draw Term Loan after the Closing Date in an amount equal to such Lender’s Pro Rata Share (calculated in accordance with clause (b) of the definition thereof) of such funded Delayed Draw Term Loan on such Credit Date. Each Lender’s Delayed Draw Term Loan Commitment shall terminate immediately and without further action on the Delayed Draw Commitment Termination Date; provided that, if at any time, the Total Delayed Draw Term Loan Commitment exceeds the amount of necessary to pay interest on the Term Loans through the Term Loan Maturity Date, the Administrative Agent shall be entitled to reduce the Total Delayed Draw Term Loan Commitment and the Delayed Draw Term Loan Commitment of each Lender on a quarterly basis upon notice to the Borrower and the Lenders without further action.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Borrowing Mechanics for Term Loans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28650"/>
                <wp:effectExtent l="0" t="0" r="0" b="0"/>
                <wp:wrapNone/>
                <wp:docPr id="132" name="Frame1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Company shall deliver to Administrative Agent a fully executed Funding Notice no later than three Business Days prior to the Closing Date (or such shorter period permitted by Administrative Agent), with respect to Term Loans made on the Closing Date. No Funding Notice shall be required to be executed in connection with the Initial Delayed Draw Term Loans and to the extent required by any Lender, the Administrative Agent shall provide any notice required of funding of Initial Delayed Draw Term Loans as described in the next sentence. Promptly upon receipt by Administrative Agent of any such Funding Notice and/or within 1 Business Day (or such earlier date required by any Lender) of the date an interest payment is due, Administrative Agent shall notify each Lender of the proposed borrowing. Administrative Agent and Lenders (A) may act without liability upon the basis of written or facsimile notice believed by Administrative Agent in good faith to be from Company (or from any Authorized Officer thereof designated in writing purportedly from Company to Administrative Agent), (B) shall be entitled to rely conclusively on any Authorized Officer’s authority to request a Term Loan on behalf of Company until Administrative Agent receives written notice to the contrary, and (C) shall have no duty to verify the authenticity of the signature appearing on any written Funding Notice.</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Each Lender shall make its applicable Term Loan available to Administrative Agent not later than 12:00 p.m. on the applicable Credit Date, by wire transfer of same day funds in Dollars, at Administrative Agent’s Principal Office. Upon satisfaction or waiver of the conditions precedent specified herein, Administrative Agent shall make the proceeds of the applicable Term Loans available to Company on the applicable Credit Date by causing an amount of same day funds in Dollars equal to the proceeds of all such Loans received by Administrative Agent from Lenders to be wired to the account of Company at Administrative Agent’s Principal Office or to such other account as may be designated in writing to Administrative Agent by Company in the applicable Funding Notice.</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(iii)</w:t>
      </w:r>
      <w:r>
        <w:rPr>
          <w:rFonts w:ascii="Times New Roman;serif" w:hAnsi="Times New Roman;serif"/>
          <w:b w:val="false"/>
          <w:color w:val="000000"/>
          <w:sz w:val="22"/>
        </w:rPr>
        <w:t>During the Delayed Draw Commitment Period, drawings under the Delayed Draw Term Loan Commitments shall (A) not be made more than once in any Fiscal Quarter on each Interest Payment Date and (B) be applied solely to pay interest on the Loans. The Administrative Agent shall provide notice to the Borrower that the Initial Delayed Draw Term Loans have been funded.</w:t>
      </w:r>
    </w:p>
    <w:p>
      <w:pPr>
        <w:pStyle w:val="TextBody"/>
        <w:bidi w:val="0"/>
        <w:spacing w:lineRule="auto" w:line="240" w:before="0" w:after="240"/>
        <w:ind w:left="0" w:right="0" w:firstLine="2160"/>
        <w:jc w:val="both"/>
        <w:rPr/>
      </w:pPr>
      <w:r>
        <w:rPr>
          <w:rFonts w:ascii="Times New Roman;serif" w:hAnsi="Times New Roman;serif"/>
          <w:b w:val="false"/>
          <w:color w:val="010000"/>
          <w:sz w:val="22"/>
        </w:rPr>
        <w:t>(iv)</w:t>
      </w:r>
      <w:r>
        <w:rPr>
          <w:rFonts w:ascii="Times New Roman;serif" w:hAnsi="Times New Roman;serif"/>
          <w:b w:val="false"/>
          <w:color w:val="000000"/>
          <w:sz w:val="22"/>
        </w:rPr>
        <w:t>With respect to any Funding Notice requesting Incremental Term Loans, (i) the Administrative Agent shall promptly forward such Funding Notice to each Lender and (ii) each Lender shall, within fifteen (15) Business Days of receipt of such Funding Notice, elect or decline to commit, on the applicable Credit Date, to provide its Pro Rata Share of such Term Loans. During such fifteen (15) Business Day period, the Borrower shall provide to the Administrative Agent, for distribution to the Lenders, such information as reasonably requested by the Lenders, including, without limitation any information related to the use of funds of such Incremental Term Loans. The making of any Incremental Term Loans will be subject to entering into an amendment to this Agreement that is reasonably acceptable to the Borrower and the Administrative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Pro Rata Shares; Availability of Funds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Pro Rata Shares</w:t>
      </w:r>
      <w:r>
        <w:rPr>
          <w:rFonts w:ascii="Times New Roman;serif" w:hAnsi="Times New Roman;serif"/>
          <w:b w:val="false"/>
          <w:color w:val="000000"/>
          <w:sz w:val="22"/>
        </w:rPr>
        <w:t>. All Loans (other than the Incremental Term Loans) shall be made by Lenders simultaneously and proportionately to their respective Pro Rata Shares, it being understood that no Lender shall be responsible for any default by any other Lender in such other Lender’s obligation to make a Loan requested hereunder nor shall any Term Loan Commitment of any Lender be increased or decreased as a result of a default by any other Lender in such other Lender’s obligation to make a Loan requested hereunder or purchase a participation required hereby.</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Availability of Funds</w:t>
      </w:r>
      <w:r>
        <w:rPr>
          <w:rFonts w:ascii="Times New Roman;serif" w:hAnsi="Times New Roman;serif"/>
          <w:b w:val="false"/>
          <w:color w:val="000000"/>
          <w:sz w:val="22"/>
        </w:rPr>
        <w:t xml:space="preserve">. Unless Administrative Agent shall have been notified by any Lender in writing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reasonable discretion, but shall not be obligated to, make available to Company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customary rate set by Administrative Agent for the correction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28650"/>
                <wp:effectExtent l="0" t="0" r="0" b="0"/>
                <wp:wrapNone/>
                <wp:docPr id="133" name="Frame1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errors among banks for three Business Days and thereafter at the Prime Rate. If such Lender does not pay such corresponding amount forthwith upon Administrative Agent’s demand therefor, Administrative Agent shall promptly notify Company and Company shall immediately pay such corresponding amount to Administrative Agent together with interest thereon, for each day from such Credit Date until the date such amount is paid to Administrative Agent, at 15% per annum. Nothing in this </w:t>
      </w:r>
      <w:r>
        <w:rPr>
          <w:rFonts w:ascii="Times New Roman;serif" w:hAnsi="Times New Roman;serif"/>
          <w:b w:val="false"/>
          <w:color w:val="000000"/>
          <w:sz w:val="22"/>
          <w:u w:val="single"/>
        </w:rPr>
        <w:t>Section 2.1(c)(ii)</w:t>
      </w:r>
      <w:r>
        <w:rPr>
          <w:color w:val="000000"/>
        </w:rPr>
        <w:t xml:space="preserve"> </w:t>
      </w:r>
      <w:r>
        <w:rPr>
          <w:rFonts w:ascii="Times New Roman;serif" w:hAnsi="Times New Roman;serif"/>
          <w:b w:val="false"/>
          <w:color w:val="000000"/>
          <w:sz w:val="22"/>
        </w:rPr>
        <w:t>shall be deemed to relieve any Lender from its obligation to fulfill its Term Loan Commitments hereunder or to prejudice any rights that Company may have against any Lender as a result of any default by such Lender hereunder.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2.2</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proceeds of the Term Loans shall be applied by Company to fund working capital, capital expenditures and general corporate purposes of Borrower and its Subsidiaries. The proceeds of the Initial Delayed Draw Term Loans made after the Closing Date shall be applied by Company solely to pay interest on the Loans. The Incremental Term Loans made after the Closing Date shall be applied by Company in a manner as agreed upon between the Company and the Administrative Agent.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2.3</w:t>
      </w:r>
      <w:r>
        <w:rPr>
          <w:rFonts w:ascii="Times New Roman;serif" w:hAnsi="Times New Roman;serif"/>
          <w:b w:val="false"/>
          <w:color w:val="000000"/>
          <w:sz w:val="22"/>
          <w:u w:val="single"/>
        </w:rPr>
        <w:t>Evidence of Debt; Register; Lenders’ Books and Records; Notes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Lenders’ Evidence of Debt</w:t>
      </w:r>
      <w:r>
        <w:rPr>
          <w:rFonts w:ascii="Times New Roman;serif" w:hAnsi="Times New Roman;serif"/>
          <w:b w:val="false"/>
          <w:color w:val="000000"/>
          <w:sz w:val="22"/>
        </w:rPr>
        <w:t xml:space="preserve">. Each Lender shall maintain on its internal records an account or accounts evidencing the Obligations of Company to such Lender, including the amounts of the Term Loans made by it and each repayment and prepayment in respect thereof. Any such recordation shall be conclusive and binding on Company, absent manifest error;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failure to make any such recordation, or any error in such recordation, shall not affect Company’s Obligations in respect of any Term Loans; and </w:t>
      </w:r>
      <w:r>
        <w:rPr>
          <w:rFonts w:ascii="Times New Roman;serif" w:hAnsi="Times New Roman;serif"/>
          <w:b w:val="false"/>
          <w:color w:val="000000"/>
          <w:sz w:val="22"/>
          <w:u w:val="single"/>
        </w:rPr>
        <w:t>provided further</w:t>
      </w:r>
      <w:r>
        <w:rPr>
          <w:rFonts w:ascii="Times New Roman;serif" w:hAnsi="Times New Roman;serif"/>
          <w:b w:val="false"/>
          <w:color w:val="000000"/>
          <w:sz w:val="22"/>
        </w:rPr>
        <w:t>, in the event of any inconsistency between the Register and any Lender’s records, the recordations in the Register shall govern.</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Register</w:t>
      </w:r>
      <w:r>
        <w:rPr>
          <w:rFonts w:ascii="Times New Roman;serif" w:hAnsi="Times New Roman;serif"/>
          <w:b w:val="false"/>
          <w:color w:val="000000"/>
          <w:sz w:val="22"/>
        </w:rPr>
        <w:t>. Administrative Agent shall maintain at its Principal Office a register for the recordation of the names and addresses of Lenders and the principal amount of the Term Loans (and stated interest therein) of each Lender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xml:space="preserve">). The Register shall be available for inspection by Company at any reasonable time and from time to time upon reasonable prior written notice. Administrative Agent shall record in the Register the Term Loans (and stated interest thereon), and each repayment or prepayment in respect of the principal amount of the Term Loans, and any such recordation shall be conclusive and binding on Company and each Lender, absent manifest error;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failure to make any such recordation, or any error in such recordation, shall not affect Company’s Obligations in respect of any Term Loan. Company hereby designates the entity serving as Administrative Agent to serve as Company’s non-fiduciary agent solely for purposes of maintaining the Register as provided in this </w:t>
      </w:r>
      <w:r>
        <w:rPr>
          <w:rFonts w:ascii="Times New Roman;serif" w:hAnsi="Times New Roman;serif"/>
          <w:b w:val="false"/>
          <w:color w:val="000000"/>
          <w:sz w:val="22"/>
          <w:u w:val="single"/>
        </w:rPr>
        <w:t>Section 2.3</w:t>
      </w:r>
      <w:r>
        <w:rPr>
          <w:rFonts w:ascii="Times New Roman;serif" w:hAnsi="Times New Roman;serif"/>
          <w:b w:val="false"/>
          <w:color w:val="000000"/>
          <w:sz w:val="22"/>
        </w:rPr>
        <w:t>, and Company hereby agrees that, to the extent such entity serves in such capacity, the entity serving as Administrative Agent and its officers, directors, employees, agents and affiliates shall constitute “</w:t>
      </w:r>
      <w:r>
        <w:rPr>
          <w:rFonts w:ascii="Times New Roman;serif" w:hAnsi="Times New Roman;serif"/>
          <w:b w:val="false"/>
          <w:color w:val="000000"/>
          <w:sz w:val="22"/>
          <w:u w:val="single"/>
        </w:rPr>
        <w:t>Indemnitees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Notes</w:t>
      </w:r>
      <w:r>
        <w:rPr>
          <w:rFonts w:ascii="Times New Roman;serif" w:hAnsi="Times New Roman;serif"/>
          <w:b w:val="false"/>
          <w:color w:val="000000"/>
          <w:sz w:val="22"/>
        </w:rPr>
        <w:t xml:space="preserve">. If so requested by any Lender by written notice to Company (with a copy to Administrative Agent) at least two Business Days prior to the Closing Date, or at any time thereafter, Company shall execute and deliver to such Lender (and/or, if applicable and if so specified in such notice, to any Person who is an assignee of such Lender pursuant to </w:t>
      </w:r>
      <w:r>
        <w:rPr>
          <w:rFonts w:ascii="Times New Roman;serif" w:hAnsi="Times New Roman;serif"/>
          <w:b w:val="false"/>
          <w:color w:val="000000"/>
          <w:sz w:val="22"/>
          <w:u w:val="single"/>
        </w:rPr>
        <w:t>Section 10.6</w:t>
      </w:r>
      <w:r>
        <w:rPr>
          <w:rFonts w:ascii="Times New Roman;serif" w:hAnsi="Times New Roman;serif"/>
          <w:b w:val="false"/>
          <w:color w:val="000000"/>
          <w:sz w:val="22"/>
        </w:rPr>
        <w:t>) on the Closing Date (or, if such notice is delivered after the Closing Date, promptly after Company’s receipt of such notice) a Note or Notes.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2.4</w:t>
      </w:r>
      <w:r>
        <w:rPr>
          <w:rFonts w:ascii="Times New Roman;serif" w:hAnsi="Times New Roman;serif"/>
          <w:b w:val="false"/>
          <w:color w:val="000000"/>
          <w:sz w:val="22"/>
          <w:u w:val="single"/>
        </w:rPr>
        <w:t>Interest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Except as otherwise set forth herein, each Loan shall bear interest at the rate of 15.00% per annum on the unpaid principal amount thereof from the date made through repayment (whether by acceleration or otherwise) thereof. </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Interest payable hereunder shall be computed on the basis of a 360 day year, in each case for the actual number of days elapsed in the period during which it accrues. In computing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28650"/>
                <wp:effectExtent l="0" t="0" r="0" b="0"/>
                <wp:wrapNone/>
                <wp:docPr id="134" name="Frame1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interest on any Loan, the date of the making of such Loan applicable to such Loan, and the date of payment of such Loan shall be excluded; </w:t>
      </w:r>
      <w:r>
        <w:rPr>
          <w:rFonts w:ascii="Times New Roman;serif" w:hAnsi="Times New Roman;serif"/>
          <w:b w:val="false"/>
          <w:color w:val="000000"/>
          <w:sz w:val="22"/>
          <w:u w:val="single"/>
        </w:rPr>
        <w:t>provided</w:t>
      </w:r>
      <w:r>
        <w:rPr>
          <w:rFonts w:ascii="Times New Roman;serif" w:hAnsi="Times New Roman;serif"/>
          <w:b w:val="false"/>
          <w:color w:val="000000"/>
          <w:sz w:val="22"/>
        </w:rPr>
        <w:t>, if a Loan is repaid on the same day on which it is made, one day’s interest shall be paid on that Loan.</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Except as otherwise set forth herein, interest on each Term Loan shall be payable in arrears (i) on each Interest Payment Date and (ii) on the Term Loan Maturity Date; provided that, (A) interest accrued pursuant to Section 2.6 shall be payable on demand and (B) in the event of any repayment or prepayment of any Term Loan, accrued interest and any additional amounts payable pursuant to the terms of the Fee Letter shall be payable on the date of such repayment or prepayment. </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2.5</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2.6</w:t>
      </w:r>
      <w:r>
        <w:rPr>
          <w:rFonts w:ascii="Times New Roman;serif" w:hAnsi="Times New Roman;serif"/>
          <w:b w:val="false"/>
          <w:color w:val="000000"/>
          <w:sz w:val="22"/>
          <w:u w:val="single"/>
        </w:rPr>
        <w:t>Default Interest</w:t>
      </w:r>
      <w:r>
        <w:rPr>
          <w:rFonts w:ascii="Times New Roman;serif" w:hAnsi="Times New Roman;serif"/>
          <w:b w:val="false"/>
          <w:color w:val="000000"/>
          <w:sz w:val="22"/>
        </w:rPr>
        <w:t>. Upon the occurrence and during the continuance of an Event of Default under Sections 8.1(a), (f) or (g), and after notice from the Administrative Agent acting at the direction of the Required Lenders, after the occurrence and during the continuance of any other Event of Default retroactive to the date of occurrence of such Event of Default, the principal amount of all Term Loans outstanding and, to the extent permitted by applicable law, any interest payments on the Term Loans or any fees or other amounts owed hereunder (including any MOIC or Yield Maintenance Premium), shall thereafter bear interest (including post petition interest in any proceeding under the Bankruptcy Code or other applicable bankruptcy laws) payable on demand at a rate that is [**]% per annum in excess of the interest rate otherwise payable hereunder with respect to the Term Loans (the “</w:t>
      </w:r>
      <w:r>
        <w:rPr>
          <w:rFonts w:ascii="Times New Roman;serif" w:hAnsi="Times New Roman;serif"/>
          <w:b w:val="false"/>
          <w:color w:val="000000"/>
          <w:sz w:val="22"/>
          <w:u w:val="single"/>
        </w:rPr>
        <w:t>Default Rate</w:t>
      </w:r>
      <w:r>
        <w:rPr>
          <w:color w:val="000000"/>
        </w:rPr>
        <w:t>”</w:t>
      </w:r>
      <w:r>
        <w:rPr>
          <w:rFonts w:ascii="Times New Roman;serif" w:hAnsi="Times New Roman;serif"/>
          <w:b w:val="false"/>
          <w:color w:val="000000"/>
          <w:sz w:val="22"/>
        </w:rPr>
        <w:t xml:space="preserve">). All interest payable at the Default Rate shall be payable in cash on demand. Payment or acceptance of the Default Rate of interest provided for in this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is not a permitted alternative to timely payment and shall not constitute a waiver of any Default or Event of Default or otherwise prejudice or limit any rights or remedies of Administrative Agent or any Lender.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2.7</w:t>
      </w:r>
      <w:r>
        <w:rPr>
          <w:rFonts w:ascii="Times New Roman;serif" w:hAnsi="Times New Roman;serif"/>
          <w:b w:val="false"/>
          <w:color w:val="000000"/>
          <w:sz w:val="22"/>
          <w:u w:val="single"/>
        </w:rPr>
        <w:t>Fees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Company agrees to pay to Administrative Agent all fees payable by it in the Fee Letter in the amounts and at the times specified therein.</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All fees referred to in </w:t>
      </w:r>
      <w:r>
        <w:rPr>
          <w:rFonts w:ascii="Times New Roman;serif" w:hAnsi="Times New Roman;serif"/>
          <w:b w:val="false"/>
          <w:color w:val="000000"/>
          <w:sz w:val="22"/>
          <w:u w:val="single"/>
        </w:rPr>
        <w:t>Section 2.7(a)</w:t>
      </w:r>
      <w:r>
        <w:rPr>
          <w:color w:val="000000"/>
        </w:rPr>
        <w:t xml:space="preserve"> </w:t>
      </w:r>
      <w:r>
        <w:rPr>
          <w:rFonts w:ascii="Times New Roman;serif" w:hAnsi="Times New Roman;serif"/>
          <w:b w:val="false"/>
          <w:color w:val="000000"/>
          <w:sz w:val="22"/>
        </w:rPr>
        <w:t>shall be calculated on the basis of a 360 day year and the actual number of days elapsed.</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2.8</w:t>
      </w:r>
      <w:r>
        <w:rPr>
          <w:rFonts w:ascii="Times New Roman;serif" w:hAnsi="Times New Roman;serif"/>
          <w:b w:val="false"/>
          <w:color w:val="000000"/>
          <w:sz w:val="22"/>
          <w:u w:val="single"/>
        </w:rPr>
        <w:t>Repayment of Term Loans</w:t>
      </w:r>
      <w:r>
        <w:rPr>
          <w:rFonts w:ascii="Times New Roman;serif" w:hAnsi="Times New Roman;serif"/>
          <w:b w:val="false"/>
          <w:color w:val="000000"/>
          <w:sz w:val="22"/>
        </w:rPr>
        <w:t>. The principal amounts of the Term Loans shall be repaid, together with all other amounts owed hereunder with respect thereto, in full in cash no later than the Term Loan Maturity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2.9</w:t>
      </w:r>
      <w:r>
        <w:rPr>
          <w:rFonts w:ascii="Times New Roman;serif" w:hAnsi="Times New Roman;serif"/>
          <w:b w:val="false"/>
          <w:color w:val="000000"/>
          <w:sz w:val="22"/>
          <w:u w:val="single"/>
        </w:rPr>
        <w:t>Voluntary Prepayments and Commitment Reductions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Voluntary Prepayments</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Subject to the terms of the Fee Letter, Company may prepay at any time the Term Loan on any Business Day in whole or in part, in an aggregate minimum amount of $1,000,000 (or the remaining balance of the Term Loans if less) and integral multiples of $1,000,000 in excess of that amount.</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All such prepayments shall be made (A) upon not less than three (3) Business Days’ prior written notice given to Administrative Agent by 10:00 a.m. on the date required (and Administrative Agent will promptly transmit such or original notice by facsimile or email to each Lender). Upon the giving of any such notice, the principal amount of the Term Loans specified in such notice shall become due and payable on the prepayment date specified therein;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any notice of prepayment may be conditioned upon the effectiveness of other credit facilities or any other financing, disposition, sale or other transaction. Any such voluntary prepayment shall be applied as specified in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with respect to the Term Loans. </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Voluntary Commitment Reductions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28650"/>
                <wp:effectExtent l="0" t="0" r="0" b="0"/>
                <wp:wrapNone/>
                <wp:docPr id="135" name="Frame1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Company may, upon not less than three Business Days’ prior written notice confirmed in writing to Administrative Agent (which written notice Administrative Agent will promptly transmit by facsimile or email to each applicable Lender), at any time and from time to time terminate in whole or permanently reduce in part any unused portion of the Delayed Draw Term Loan Commitments;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any such partial reduction of the Delayed Draw Term Loan Commitments shall be in an aggregate minimum amount of $1,000,000 (or the remaining balance of the Commitments if less) and integral multiples of $1,000,000 in excess of that amount.</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Company’s notice to Administrative Agent shall designate the date (which shall be a Business Day) of such termination or reduction and the amount of any partial reduction, and such termination or reduction of the Delayed Draw Term Loan Commitments shall be effective on the date specified in Company’s notice and shall reduce the Delayed Draw Term Loan of each Lender proportionately to its Pro Rata Share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any notice of termination or reduction may be conditioned upon the effectiveness of other credit facilities or any other financing, disposition, sale or other transaction. </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In addition to the foregoing, the Administrative Agent may, at any time and from time to time, reduce the Total Delayed Draw Term Loan Commitment (and the Delayed Draw Term Loan Commitment of each Lender) to an amount which remains sufficient to pay all interest for the remaining term of the Agreement, calculated as of the date of any such reduction.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2.10</w:t>
      </w:r>
      <w:r>
        <w:rPr>
          <w:rFonts w:ascii="Times New Roman;serif" w:hAnsi="Times New Roman;serif"/>
          <w:b w:val="false"/>
          <w:color w:val="000000"/>
          <w:sz w:val="22"/>
          <w:u w:val="single"/>
        </w:rPr>
        <w:t>Mandatory Prepayments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Insurance/Condemnation Proceeds</w:t>
      </w:r>
      <w:r>
        <w:rPr>
          <w:rFonts w:ascii="Times New Roman;serif" w:hAnsi="Times New Roman;serif"/>
          <w:b w:val="false"/>
          <w:color w:val="000000"/>
          <w:sz w:val="22"/>
        </w:rPr>
        <w:t xml:space="preserve">. No later than the [**] following the date of receipt by any Loan Party of any Net Proceeds from insurance payment or any condemnation, taking or other casualty event in excess of $[**] in the aggregate in any Fiscal Year, Company shall prepay the Term Loan as set forth in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in an aggregate amount equal to such Net Proceeds in excess of $[**]; </w:t>
      </w:r>
      <w:r>
        <w:rPr>
          <w:rFonts w:ascii="Times New Roman;serif" w:hAnsi="Times New Roman;serif"/>
          <w:b w:val="false"/>
          <w:color w:val="000000"/>
          <w:sz w:val="22"/>
          <w:u w:val="single"/>
        </w:rPr>
        <w:t>provided</w:t>
      </w:r>
      <w:r>
        <w:rPr>
          <w:rFonts w:ascii="Times New Roman;serif" w:hAnsi="Times New Roman;serif"/>
          <w:b w:val="false"/>
          <w:color w:val="000000"/>
          <w:sz w:val="22"/>
        </w:rPr>
        <w:t>, (i) so long as no Default or Event of Default shall have occurred and be continuing, (ii) Company has delivered Administrative Agent prior written notice of Company’s intention to apply such Net Proceeds (the “</w:t>
      </w:r>
      <w:r>
        <w:rPr>
          <w:rFonts w:ascii="Times New Roman;serif" w:hAnsi="Times New Roman;serif"/>
          <w:b w:val="false"/>
          <w:color w:val="000000"/>
          <w:sz w:val="22"/>
          <w:u w:val="single"/>
        </w:rPr>
        <w:t>Reinvestment Amounts</w:t>
      </w:r>
      <w:r>
        <w:rPr>
          <w:color w:val="000000"/>
        </w:rPr>
        <w:t>”</w:t>
      </w:r>
      <w:r>
        <w:rPr>
          <w:rFonts w:ascii="Times New Roman;serif" w:hAnsi="Times New Roman;serif"/>
          <w:b w:val="false"/>
          <w:color w:val="000000"/>
          <w:sz w:val="22"/>
        </w:rPr>
        <w:t>) to the costs of research, development, manufacturing, Commercialization, license, purchase, or other acquisition or investment of or in other assets or Products used or useful in the business of the Loan Parties, including working capital, capital expenditures and Permitted Acquisitions (the “</w:t>
      </w:r>
      <w:r>
        <w:rPr>
          <w:rFonts w:ascii="Times New Roman;serif" w:hAnsi="Times New Roman;serif"/>
          <w:b w:val="false"/>
          <w:color w:val="000000"/>
          <w:sz w:val="22"/>
          <w:u w:val="single"/>
        </w:rPr>
        <w:t>Permitted Reinvestment Purposes</w:t>
      </w:r>
      <w:r>
        <w:rPr>
          <w:color w:val="000000"/>
        </w:rPr>
        <w:t>”</w:t>
      </w:r>
      <w:r>
        <w:rPr>
          <w:rFonts w:ascii="Times New Roman;serif" w:hAnsi="Times New Roman;serif"/>
          <w:b w:val="false"/>
          <w:color w:val="000000"/>
          <w:sz w:val="22"/>
        </w:rPr>
        <w:t xml:space="preserve">), (iii) the monies are held in a Deposit Account or Securities Account in which the Administrative Agent has a perfected first-priority security interest, and (iv) the Loan Parties complete such cost payment, reinvestment or purchase within [**] after the initial receipt of such monies, the Loan Parties shall have the option to apply such Reinvestment Amounts to any Permitted Reinvestment Purposes in an aggregate amount not to exceed (1) $[**] in respect of any individual event and (2) $[**] in the aggregate during the term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any such Net Proceeds are no longer intended to be or cannot be so reinvested during the applicable [**] period, an amount equal to any such Net Proceeds shall be applied within [**] after Borrower reasonably determines that such Net Proceeds are no longer intended to be or cannot be so reinvested to the prepayment of the Term Loans as set forth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Issuance of Debt</w:t>
      </w:r>
      <w:r>
        <w:rPr>
          <w:rFonts w:ascii="Times New Roman;serif" w:hAnsi="Times New Roman;serif"/>
          <w:b w:val="false"/>
          <w:color w:val="000000"/>
          <w:sz w:val="22"/>
        </w:rPr>
        <w:t xml:space="preserve">. On the date of receipt by Borrower or any of its Subsidiaries of any Cash proceeds from the incurrence of any Indebtedness of Borrower or any of its Subsidiaries (other than with respect to any Indebtedness permitted to be incurred pursuant to </w:t>
      </w:r>
      <w:r>
        <w:rPr>
          <w:rFonts w:ascii="Times New Roman;serif" w:hAnsi="Times New Roman;serif"/>
          <w:b w:val="false"/>
          <w:color w:val="000000"/>
          <w:sz w:val="22"/>
          <w:u w:val="single"/>
        </w:rPr>
        <w:t>Section 6.1</w:t>
      </w:r>
      <w:r>
        <w:rPr>
          <w:rFonts w:ascii="Times New Roman;serif" w:hAnsi="Times New Roman;serif"/>
          <w:b w:val="false"/>
          <w:color w:val="000000"/>
          <w:sz w:val="22"/>
        </w:rPr>
        <w:t>), Company shall prepay the Loans in an aggregate amount equal to [**]% of such proceeds, net of underwriting discounts and commissions and other reasonable costs and expenses associated therewith, in each case, paid to non-Affiliates, including reasonable legal fees and expenses.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u w:val="single"/>
        </w:rPr>
        <w:t>Extraordinary Receipts</w:t>
      </w:r>
      <w:r>
        <w:rPr>
          <w:rFonts w:ascii="Times New Roman;serif" w:hAnsi="Times New Roman;serif"/>
          <w:b w:val="false"/>
          <w:color w:val="000000"/>
          <w:sz w:val="22"/>
        </w:rPr>
        <w:t xml:space="preserve">. On the date of receipt by or on behalf of any Loan Party of any Net Proceeds from any Extraordinary Receipts in excess of $[**] in the aggregate in any Fiscal Year, the Borrower shall prepay the Term Loan as set forth in Section 2.11(a) in the amount of such Extraordinary Receipts in excess of $[**]; provided, (i) so long as no Default or Event of Default shall have occurred and be continuing, (ii) the Borrower has delivered Administrative Agent prior written notice of the Borrower’s intention to apply the Reinvestment Amounts to Permitted Reinvestment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28650"/>
                <wp:effectExtent l="0" t="0" r="0" b="0"/>
                <wp:wrapNone/>
                <wp:docPr id="136" name="Frame1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Purposes, (iii) the monies are held in a Deposit Account or Securities Account in which the Administrative Agent has a perfected first-priority security interest, and (iv) the Loan Parties complete such purchase within [**] after the initial receipt of such monies, the Borrower shall have the option to apply such Reinvestment Amounts to any Permitted Reinvestment Purpose in an aggregate amount not to exceed (A) $[**] in respect of any individual Extraordinary Receipt and (B) $[**] in the aggregate for all Extraordinary Receipts during the term of this Agreement; provided, that if any such Net Proceeds are no longer intended to be or cannot be so reinvested during the applicable [**] period, an amount equal to any such Net Proceeds shall be applied within [**] after Borrower reasonably determines that such Net Proceeds are no longer intended to be or cannot be so reinvested to the prepayment of the Term Loans as set forth in Section 2.11(a).</w:t>
      </w:r>
    </w:p>
    <w:p>
      <w:pPr>
        <w:pStyle w:val="TextBody"/>
        <w:bidi w:val="0"/>
        <w:spacing w:lineRule="auto" w:line="240" w:before="24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u w:val="single"/>
        </w:rPr>
        <w:t>Partnered Assets</w:t>
      </w:r>
      <w:r>
        <w:rPr>
          <w:rFonts w:ascii="Times New Roman;serif" w:hAnsi="Times New Roman;serif"/>
          <w:b w:val="false"/>
          <w:color w:val="000000"/>
          <w:sz w:val="22"/>
        </w:rPr>
        <w:t xml:space="preserve">. No later than [**] following the date of receipt of any Joint Venture Proceeds or consideration for the Capital Stock of a Joint Venture by or on behalf of any Loan Party, or with respect to Product Revenue, Royalties, Milestones and Profit Share Amounts, [**] following the last day of each Fiscal Quarter, the Borrower shall prepay the Term Loan as set forth in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in an amount equal to:</w:t>
      </w:r>
    </w:p>
    <w:p>
      <w:pPr>
        <w:pStyle w:val="TextBody"/>
        <w:bidi w:val="0"/>
        <w:spacing w:lineRule="auto" w:line="288"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(f)(x) [**]% of (i) Product Revenues (excluding sales of Product by a Licensee), (ii) Joint Venture Proceeds, and (iii) any Profit Share Amounts, in each case generated or received by the Loan Parties in respect of the Partnered Assets (other than amounts set forth in clause (y));</w:t>
      </w:r>
    </w:p>
    <w:p>
      <w:pPr>
        <w:pStyle w:val="TextBody"/>
        <w:bidi w:val="0"/>
        <w:spacing w:lineRule="auto" w:line="288"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(g)(y) [**]% of any Royalties and Milestones; </w:t>
      </w:r>
    </w:p>
    <w:p>
      <w:pPr>
        <w:pStyle w:val="TextBody"/>
        <w:bidi w:val="0"/>
        <w:spacing w:lineRule="auto" w:line="288" w:before="0" w:after="0"/>
        <w:jc w:val="both"/>
        <w:rPr/>
      </w:pPr>
      <w:r>
        <w:rPr>
          <w:rFonts w:ascii="Times New Roman;serif" w:hAnsi="Times New Roman;serif"/>
          <w:b w:val="false"/>
          <w:color w:val="000000"/>
          <w:sz w:val="22"/>
        </w:rPr>
        <w:t xml:space="preserve">in the case of clauses (x) and (y), to the extent attributable to the research, development, manufacture and/or Commercialization of any Partnered Asset (including any Pipeline Asset after it becomes subject to a consummated Specified Transaction described in </w:t>
      </w:r>
      <w:r>
        <w:rPr>
          <w:rFonts w:ascii="Times New Roman;serif" w:hAnsi="Times New Roman;serif"/>
          <w:b w:val="false"/>
          <w:color w:val="000000"/>
          <w:sz w:val="22"/>
          <w:u w:val="single"/>
        </w:rPr>
        <w:t>Section 6.9(b)(xviii)</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with respect to Fazirsiran, on a Fiscal Quarter-by-Fiscal Quarter basis, in each case (x) and (y) above, Borrower shall prepay the Term Loan in an amount equal to the </w:t>
      </w:r>
      <w:r>
        <w:rPr>
          <w:rFonts w:ascii="Times New Roman;serif" w:hAnsi="Times New Roman;serif"/>
          <w:b w:val="false"/>
          <w:i/>
          <w:color w:val="000000"/>
          <w:sz w:val="22"/>
        </w:rPr>
        <w:t>lesser</w:t>
      </w:r>
      <w:r>
        <w:rPr>
          <w:color w:val="000000"/>
        </w:rPr>
        <w:t xml:space="preserve"> </w:t>
      </w:r>
      <w:r>
        <w:rPr>
          <w:rFonts w:ascii="Times New Roman;serif" w:hAnsi="Times New Roman;serif"/>
          <w:b w:val="false"/>
          <w:color w:val="000000"/>
          <w:sz w:val="22"/>
        </w:rPr>
        <w:t xml:space="preserve">of (A) [**], and (B) [**].  For the avoidance of doubt, any Fazirsiran Payment Shortfall Amount that is not prepaid in a Fiscal Quarter shall be carried over to the subsequent Fiscal Quarter unless the Fazirsiran Payment Shortfall Amount is zero); and </w:t>
      </w:r>
    </w:p>
    <w:p>
      <w:pPr>
        <w:pStyle w:val="TextBody"/>
        <w:bidi w:val="0"/>
        <w:spacing w:lineRule="auto" w:line="288" w:before="240" w:after="2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with respect to Olpasiran, the prepayments with respect to Royalties in (y) shall, with respect to Royalties that were sold to RPI under the RPI Agreement, instead include [**]% of all RPI Milestones, if any, received by the Loan Parties, and the other amounts in (x) and (y) shall remain as set forth above; and</w:t>
      </w:r>
    </w:p>
    <w:p>
      <w:pPr>
        <w:pStyle w:val="TextBody"/>
        <w:bidi w:val="0"/>
        <w:spacing w:lineRule="auto" w:line="288" w:before="24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(z) [**]% of the Net Proceeds received in connection with the sale, liquidation or disposition of any Capital Stock of a Joint Venture.</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u w:val="single"/>
        </w:rPr>
        <w:t>Zodasiran</w:t>
      </w:r>
      <w:r>
        <w:rPr>
          <w:rFonts w:ascii="Times New Roman;serif" w:hAnsi="Times New Roman;serif"/>
          <w:b w:val="false"/>
          <w:color w:val="000000"/>
          <w:sz w:val="22"/>
        </w:rPr>
        <w:t xml:space="preserve">. In connection with the development, manufacture and/or Commercialization of Zodasiran by or on behalf of Borrower, its Subsidiaries, and their respective Licensees (including under any Permitted Zodasiran Agreement described in </w:t>
      </w:r>
      <w:r>
        <w:rPr>
          <w:rFonts w:ascii="Times New Roman;serif" w:hAnsi="Times New Roman;serif"/>
          <w:b w:val="false"/>
          <w:color w:val="000000"/>
          <w:sz w:val="22"/>
          <w:u w:val="single"/>
        </w:rPr>
        <w:t>Section 6.9(b)(xix))</w:t>
      </w:r>
      <w:r>
        <w:rPr>
          <w:rFonts w:ascii="Times New Roman;serif" w:hAnsi="Times New Roman;serif"/>
          <w:b w:val="false"/>
          <w:color w:val="000000"/>
          <w:sz w:val="22"/>
        </w:rPr>
        <w:t xml:space="preserve">, subject to Section 2.10(f)(A) below, the Borrower shall prepay the Term Loan as set forth in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in an amount equal to (x) [**]% of any Royalties and Milestones under any Permitted Zodasiran Agreement, (y) [**]% of (i) Product Revenues (excluding sales of Product by a Licensee), (ii) Joint Venture Proceeds, and (iii) Profit Share Amounts, in each case (y)(i)-(iii), generated or received by or on behalf of the Loan Parties in respect of the Zodasiran (other than amounts set forth in subclause (z) of this Section 2.10(f)) and (z) [**]% of any Zodasiran Upfront Payment (provided that the prepayment amount under this item (z) shall not exceed $[**] or if the Permitted Zodasiran Agreement is effected after [**] after the Closing Date and prior to [**] the Closing Date, $[**]), which, (A) with respect to subclause (x) of this Section 2.10(f), shall be payable within [**] after receipt thereof by or on behalf of the Borrower or any of its Subsidiaries and (B) with respect to subclause (y) of this Section 2.10(f), shall be payable within [**] following the last day of each Fiscal Quarter, and (C) with respect to subclause (z) of this Section 2.10(f),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28650"/>
                <wp:effectExtent l="0" t="0" r="0" b="0"/>
                <wp:wrapNone/>
                <wp:docPr id="137" name="Frame1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shall be payable as follows: (1) if the Market Capitalization Milestone is not satisfied on the date of receipt thereof, within [**] following the date of receipt thereof by or on behalf of any Loan Party and (2) if the Market Capitalization Milestone is satisfied on the date of receipt thereof by any Loan Party and remains satisfied while there is a Zodasiran Upfront Payment Balance outstanding, the Zodasiran Upfront Payment shall be paid in four equal installments (any outstanding balances owed at any time, the “</w:t>
      </w:r>
      <w:r>
        <w:rPr>
          <w:rFonts w:ascii="Times New Roman;serif" w:hAnsi="Times New Roman;serif"/>
          <w:b w:val="false"/>
          <w:color w:val="000000"/>
          <w:sz w:val="22"/>
          <w:u w:val="single"/>
        </w:rPr>
        <w:t>Zodasiran Upfront Payment Balance</w:t>
      </w:r>
      <w:r>
        <w:rPr>
          <w:color w:val="000000"/>
        </w:rPr>
        <w:t>”</w:t>
      </w:r>
      <w:r>
        <w:rPr>
          <w:rFonts w:ascii="Times New Roman;serif" w:hAnsi="Times New Roman;serif"/>
          <w:b w:val="false"/>
          <w:color w:val="000000"/>
          <w:sz w:val="22"/>
        </w:rPr>
        <w:t>) as follows: (a) the first installment shall be payable within [**] after receipt of such Zodasiran Upfront Payment by or on behalf of the Borrower or any of its Subsidiaries, (b) the second installment shall be payable on the date that is [**] of the receipt of such Zodasiran Upfront Payment by or on behalf of the Borrower or any of its Subsidiaries, (c) the third installment shall be payable on the date that is [**] of the receipt of such Zodasiran Upfront Payment by or on behalf of the Borrower or any of its Subsidiaries, and (d) the fourth installment shall be payable on the date that is the [**] of the receipt of such Zodasiran Upfront Payment by or on behalf of the Borrower or any of its Subsidiaries; provided that, if at any time the Market Capitalization Milestone is not satisfied while there is a Zodasiran Upfront Payment Balance outstanding, the entire Zodasiran Upfront Payment Balance shall become due and payable immediately.</w:t>
      </w:r>
    </w:p>
    <w:p>
      <w:pPr>
        <w:pStyle w:val="TextBody"/>
        <w:bidi w:val="0"/>
        <w:spacing w:lineRule="auto" w:line="240"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u w:val="single"/>
        </w:rPr>
        <w:t>Plozasiran</w:t>
      </w:r>
      <w:r>
        <w:rPr>
          <w:rFonts w:ascii="Times New Roman;serif" w:hAnsi="Times New Roman;serif"/>
          <w:b w:val="false"/>
          <w:color w:val="000000"/>
          <w:sz w:val="22"/>
        </w:rPr>
        <w:t xml:space="preserve">. In connection with the Commercialization of Plozasiran by Borrower and its Subsidiaries, Borrower shall prepay the Term Loan as set forth in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in an amount equal to [**]% of Global Net Sales of Plozasiran in such Fiscal Quarter, which shall be payable within [**] following the last day of each Fiscal Quarter. </w:t>
      </w:r>
    </w:p>
    <w:p>
      <w:pPr>
        <w:pStyle w:val="TextBody"/>
        <w:bidi w:val="0"/>
        <w:spacing w:lineRule="auto" w:line="240"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u w:val="single"/>
        </w:rPr>
        <w:t>Pipeline Assets</w:t>
      </w:r>
      <w:r>
        <w:rPr>
          <w:rFonts w:ascii="Times New Roman;serif" w:hAnsi="Times New Roman;serif"/>
          <w:b w:val="false"/>
          <w:color w:val="000000"/>
          <w:sz w:val="22"/>
        </w:rPr>
        <w:t xml:space="preserve">. No later than [**] following the date of receipt by any Loan Party of any Net Proceeds from any Pipeline Asset Monetization (including, for the avoidance of doubt, any Pipeline Asset Monetization with respect to a Product that was the subject of a Specified Transaction as of the Closing Date but that is not consummated within the time period set forth in subsection (c) of the definition of “Specified Transaction”), Company shall prepay the Term Loan, as set forth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 xml:space="preserve">, from all Net Proceeds received from such Pipeline Asset Monetization an amount equal to (i) [**]% of the first $[**] of Net Proceeds received and (ii) [**]% of such Net Proceeds received in excess of $[**];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notwithstanding the foregoing, at and after such time as both (x) the Company has Qualified Cash in excess of $[**] and (y) the Lenders have earned and been paid (without (a) receipt of the True Up Payment or (b) including any optional prepayment pursuant to </w:t>
      </w:r>
      <w:r>
        <w:rPr>
          <w:rFonts w:ascii="Times New Roman;serif" w:hAnsi="Times New Roman;serif"/>
          <w:b w:val="false"/>
          <w:color w:val="000000"/>
          <w:sz w:val="22"/>
          <w:u w:val="single"/>
        </w:rPr>
        <w:t>Section 2.9(a)(i)</w:t>
      </w:r>
      <w:r>
        <w:rPr>
          <w:color w:val="000000"/>
        </w:rPr>
        <w:t xml:space="preserve"> </w:t>
      </w:r>
      <w:r>
        <w:rPr>
          <w:rFonts w:ascii="Times New Roman;serif" w:hAnsi="Times New Roman;serif"/>
          <w:b w:val="false"/>
          <w:color w:val="000000"/>
          <w:sz w:val="22"/>
        </w:rPr>
        <w:t>in such calculation) an amount equal to [**], the applicable percentage in clause (i) and (ii) above shall be reduced to [**]% of such Net Proceeds.</w:t>
      </w:r>
      <w:r>
        <w:rPr>
          <w:color w:val="000000"/>
        </w:rPr>
        <w:t xml:space="preserve"> </w:t>
      </w:r>
      <w:r>
        <w:rPr>
          <w:rFonts w:ascii="Times New Roman;serif" w:hAnsi="Times New Roman;serif"/>
          <w:b w:val="false"/>
          <w:color w:val="000000"/>
          <w:sz w:val="22"/>
        </w:rPr>
        <w:t xml:space="preserve">For the avoidance of doubt, any Asset Sale of Plozasiran, any Asset Sale of Zodasiran, any upfront fee received in connection with a Specified Transaction and any amounts received in connection with the Sarepta Transactions shall not be subject to this </w:t>
      </w:r>
      <w:r>
        <w:rPr>
          <w:rFonts w:ascii="Times New Roman;serif" w:hAnsi="Times New Roman;serif"/>
          <w:b w:val="false"/>
          <w:color w:val="000000"/>
          <w:sz w:val="22"/>
          <w:u w:val="single"/>
        </w:rPr>
        <w:t>Section 2.10(h)</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u w:val="single"/>
        </w:rPr>
        <w:t>Other Products</w:t>
      </w:r>
      <w:r>
        <w:rPr>
          <w:rFonts w:ascii="Times New Roman;serif" w:hAnsi="Times New Roman;serif"/>
          <w:b w:val="false"/>
          <w:color w:val="000000"/>
          <w:sz w:val="22"/>
        </w:rPr>
        <w:t xml:space="preserve">. (A) With respect to any Product (excluding (i) Plozasiran, (ii) Zodasiran, (iii) any Partnered Asset and (iv) any amounts received in connection with transactions for which prepayments are required to be made and are made pursuant to </w:t>
      </w:r>
      <w:r>
        <w:rPr>
          <w:rFonts w:ascii="Times New Roman;serif" w:hAnsi="Times New Roman;serif"/>
          <w:b w:val="false"/>
          <w:color w:val="000000"/>
          <w:sz w:val="22"/>
          <w:u w:val="single"/>
        </w:rPr>
        <w:t>Section 2.10(e)</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above and clauses </w:t>
      </w:r>
      <w:r>
        <w:rPr>
          <w:rFonts w:ascii="Times New Roman;serif" w:hAnsi="Times New Roman;serif"/>
          <w:b w:val="false"/>
          <w:color w:val="000000"/>
          <w:sz w:val="22"/>
          <w:u w:val="single"/>
        </w:rPr>
        <w:t>(j)</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(k)</w:t>
      </w:r>
      <w:r>
        <w:rPr>
          <w:color w:val="000000"/>
        </w:rPr>
        <w:t xml:space="preserve"> </w:t>
      </w:r>
      <w:r>
        <w:rPr>
          <w:rFonts w:ascii="Times New Roman;serif" w:hAnsi="Times New Roman;serif"/>
          <w:b w:val="false"/>
          <w:color w:val="000000"/>
          <w:sz w:val="22"/>
        </w:rPr>
        <w:t xml:space="preserve">below), no later than [**] following the last day of each Fiscal Quarter following the Closing Date (or if later, within [**] following the end of the month during which the relevant payments are received), Company shall prepay the Term Loan as set forth in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in an amount equal to [**]% of Global Net Sales of such Product for such Fiscal Quarter. (B) With respect to third party products manufactured by the Loan Parties solely on a contract manufacturing basis for a third party that is not a Licensee, an amount equal to [**]% of net revenue received by a Loan Party in connection with such manufacture within [**] following the end of the calendar month in which such net revenue is received. For the avoidance of doubt, any amounts received in connection with the Sarepta Transactions on or after the Amendment No. 1 Effective Date shall not be subject to this Section 2.10(i).</w:t>
      </w:r>
    </w:p>
    <w:p>
      <w:pPr>
        <w:pStyle w:val="TextBody"/>
        <w:bidi w:val="0"/>
        <w:spacing w:lineRule="auto" w:line="240"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u w:val="single"/>
        </w:rPr>
        <w:t>Royalty Reductions and Milestone Reductions</w:t>
      </w:r>
      <w:r>
        <w:rPr>
          <w:rFonts w:ascii="Times New Roman;serif" w:hAnsi="Times New Roman;serif"/>
          <w:b w:val="false"/>
          <w:color w:val="000000"/>
          <w:sz w:val="22"/>
        </w:rPr>
        <w:t>. If a counterparty to the Takeda License Agreement exercises any Reduction against any payment of any Royalties, Milestones, Sublicense Revenue, Profit Share Amounts or Joint Venture Proceeds, other than for a Permitted Reduction, Borrower shall promptly (and in any event within [**] following receipt of the royalty report or other report affected by such Reduction) make a true-up payment to the Administrative Agent such that the Administrative Agent receives the full amount of the Royalties, Milestones, Sublicense Revenue, Profit Share Amounts and Joint Venture Proceeds that would have been payable to the Administrative Agent had such Reduction not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28650"/>
                <wp:effectExtent l="0" t="0" r="0" b="0"/>
                <wp:wrapNone/>
                <wp:docPr id="138" name="Frame1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u w:val="single"/>
        </w:rPr>
        <w:t>Sarepta Transaction Payments</w:t>
      </w:r>
      <w:r>
        <w:rPr>
          <w:rFonts w:ascii="Times New Roman;serif" w:hAnsi="Times New Roman;serif"/>
          <w:b w:val="false"/>
          <w:color w:val="000000"/>
          <w:sz w:val="22"/>
        </w:rPr>
        <w:t>. On and after the Amendment No. 1 Effective Date, the Company shall repay the Term Loans as follows: (A) no later than [**] following the receipt by the Company or any of its Subsidiaries of the Sarepta Upfront Payment, the Company shall prepay the Term Loans in an aggregate amount equal to $[**], (B) on each of the first [**] anniversaries of the Amendment No. 1 Effective Date, the Company shall prepay the Term Loans in an amount equal to $[**], (C) on [**], the Company shall prepay the Term Loans in an amount equal to $[**], (D) on [**], the Company shall prepay the Term Loans in an amount equal to $[**] and (E) on [**], the Company shall prepay the Term Loans in an amount equal to $[**]; provided that, except as set forth in clauses (A), (B), (C), (D) and (E) above, no other repayments or prepayments of Term Loans shall be required in respect of amounts received in connection with the Sarepta Transactions.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u w:val="single"/>
        </w:rPr>
        <w:t>Prepayment Certificate</w:t>
      </w:r>
      <w:r>
        <w:rPr>
          <w:rFonts w:ascii="Times New Roman;serif" w:hAnsi="Times New Roman;serif"/>
          <w:b w:val="false"/>
          <w:color w:val="000000"/>
          <w:sz w:val="22"/>
        </w:rPr>
        <w:t xml:space="preserve">. Concurrently with any prepayment of the Term Loan pursuant to </w:t>
      </w:r>
      <w:r>
        <w:rPr>
          <w:rFonts w:ascii="Times New Roman;serif" w:hAnsi="Times New Roman;serif"/>
          <w:b w:val="false"/>
          <w:color w:val="000000"/>
          <w:sz w:val="22"/>
          <w:u w:val="single"/>
        </w:rPr>
        <w:t>Section 2.10(a)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Section 2.10(j)</w:t>
      </w:r>
      <w:r>
        <w:rPr>
          <w:rFonts w:ascii="Times New Roman;serif" w:hAnsi="Times New Roman;serif"/>
          <w:b w:val="false"/>
          <w:color w:val="000000"/>
          <w:sz w:val="22"/>
        </w:rPr>
        <w:t>, Company shall deliver to Administrative Agent a certificate of an Authorized Officer demonstrating the calculation of the amount of the applicable proceeds and compensation owing to Lenders pursuant to the Fee Letter, if any, as the case may be. In the event that Company shall subsequently determine that the actual amount received exceeded the amount set forth in such certificate, Company shall promptly make an additional prepayment of the Loans, and Company shall concurrently therewith deliver to Administrative Agent a certificate of an Authorized Officer demonstrating the derivation of such excess.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2.11</w:t>
      </w:r>
      <w:r>
        <w:rPr>
          <w:rFonts w:ascii="Times New Roman;serif" w:hAnsi="Times New Roman;serif"/>
          <w:b w:val="false"/>
          <w:color w:val="000000"/>
          <w:sz w:val="22"/>
          <w:u w:val="single"/>
        </w:rPr>
        <w:t>Application of Prepayments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Application of Prepayments of Term Loans</w:t>
      </w:r>
      <w:r>
        <w:rPr>
          <w:rFonts w:ascii="Times New Roman;serif" w:hAnsi="Times New Roman;serif"/>
          <w:b w:val="false"/>
          <w:color w:val="000000"/>
          <w:sz w:val="22"/>
        </w:rPr>
        <w:t xml:space="preserve">. (i) Any prepayment of the Term Loan pursuant to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and (ii) so long as no Application Event has occurred and is continuing, any mandatory prepayment of any Loan pursuant to </w:t>
      </w:r>
      <w:r>
        <w:rPr>
          <w:rFonts w:ascii="Times New Roman;serif" w:hAnsi="Times New Roman;serif"/>
          <w:b w:val="false"/>
          <w:color w:val="000000"/>
          <w:sz w:val="22"/>
          <w:u w:val="single"/>
        </w:rPr>
        <w:t>Section 2.10</w:t>
      </w:r>
      <w:r>
        <w:rPr>
          <w:rFonts w:ascii="Times New Roman;serif" w:hAnsi="Times New Roman;serif"/>
          <w:b w:val="false"/>
          <w:color w:val="000000"/>
          <w:sz w:val="22"/>
        </w:rPr>
        <w:t>, in each case, shall be applied as follows:</w: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 xml:space="preserve">first, </w:t>
      </w:r>
      <w:r>
        <w:rPr>
          <w:rFonts w:ascii="Times New Roman;serif" w:hAnsi="Times New Roman;serif"/>
          <w:b w:val="false"/>
          <w:color w:val="000000"/>
          <w:sz w:val="22"/>
        </w:rPr>
        <w:t xml:space="preserve">(i) if the prepayment will not result in a full prepayment of all outstanding Term Loans, (x) 50% of such prepayment shall be applied ratably to prepay the principal of the Term Loan and (y) 50% of such prepayment shall be applied to prepay the 2.0x MOIC Payment (as defined in the Fee Letter) or the Yield Maintenance Premium (as defined in the Fee Letter), as applicable and (ii) if the prepayment will result in a full prepayment of all outstanding Term Loans, ratably to prepay the principal of the Term Loans, together with any fees payable under the Fee Letter relating to such prepayment, until paid in full; </w: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 xml:space="preserve">second, </w:t>
      </w:r>
      <w:r>
        <w:rPr>
          <w:rFonts w:ascii="Times New Roman;serif" w:hAnsi="Times New Roman;serif"/>
          <w:b w:val="false"/>
          <w:color w:val="000000"/>
          <w:sz w:val="22"/>
        </w:rPr>
        <w:t>to prepay accrued and Unpaid Interest on the Term Loan;</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At any time an Application Event has occurred and is continuing, all payments shall be applied pursuant to Section 2.12(f). Nothing contained herein, except as provided in Section 2.11(a) and Section 2.11(d), shall modify the provisions of Section 2.12(b) regarding the requirement that all prepayments be accompanied by accrued interest and fees on the principal amount being prepaid to the date of such prepayment and the applicable MOIC or Yield Maintenance Premium, or any requirement otherwise contained herein to pay all other amounts as the same become due and payable.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Notwithstanding anything contained herein or in the Fee Letter to the contrary, (A) in the event the allocation of the prepayment amounts in clause (a) first (i)(y) of this Section 2.11 results in fees being prepaid in excess of the actual amounts required to be paid under the Fee Letter upon repayment in full of the Term Loans, such excess fees shall be reallocated and applied to reduce the amount of the Obligations (other than fees) payable upon such repayment to the extent necessary to cause the Paid Amounts (as defined in the Fee Letter and for the avoidance of doubt including the fees under the Fee Letter) paid to the Lenders in cash at any time not to exceed (i) on and prior to August 7, 2028, an amount equal to 2.00 times the principal amount of the Initial Term Loans on the Closing Date and (ii) after August 7, 2028, an amount equal to 2.50 times the principal amount of the Initial Term Loans on the Closing Date and (B) the fees payable under Sections 5 and 6 of the Fee Letter shall in no event exceed (x) if the Term Loans are repaid in full on and prior to August 7, 2028, an amount that, together with all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28650"/>
                <wp:effectExtent l="0" t="0" r="0" b="0"/>
                <wp:wrapNone/>
                <wp:docPr id="139" name="Frame1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Paid Amounts, equals 2.00 times the principal amount of the Initial Term Loans on the Closing Date and (ii) if the Term Loans are repaid in full after August 7, 2028, an amount that, together with all Paid Amounts, equals 2.50 times the principal amount of the Initial Term Loans on the Closing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2.12</w:t>
      </w:r>
      <w:r>
        <w:rPr>
          <w:rFonts w:ascii="Times New Roman;serif" w:hAnsi="Times New Roman;serif"/>
          <w:b w:val="false"/>
          <w:color w:val="000000"/>
          <w:sz w:val="22"/>
          <w:u w:val="single"/>
        </w:rPr>
        <w:t>General Provisions Regarding Payments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All payments by Company of principal, interest, fees and other Obligations shall be made in Dollars in immediately available funds, without defense, recoupment, setoff or counterclaim, free of any restriction or condition, and delivered to Administrative Agent, for the account of Lenders, not later than 3:00 p.m. (New York City time) on the date such payment is due and payable to Administrative Agent’s Account. Funds received by Administrative Agent after that time on such due date shall be deemed to have been paid by Company on the next Business Day.</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All payments in respect of the principal amount of any Term Loan shall be accompanied by payment of accrued interest (other than as provided for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 on the principal amount being repaid or prepaid, the MOIC, the Yield Maintenance Premium and all commitment fees and other amounts payable with respect to the principal amount being repaid or prepaid.</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Administrative Agent shall promptly distribute to each Lender at such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Administrative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Administrative Agent shall deem any payment by or on behalf of Company hereunder that is not made in same day funds prior to 3:00 p.m. to be a non-conforming payment. Any such payment shall not be deemed to have been received by Administrative Agent until the later of (i) the time such funds become available funds, and (ii) the applicable next Business Day. Administrative Agent shall give prompt notice to Company and each applicable Lender (confirmed in writing) if any payment is non-conforming. Interest shall continue to accrue on any principal as to which a non-conforming payment is made until such funds become available funds (but in no event less than the period from the date of such payment to the next succeeding applicable Business Day) at the Default Rate determined pursuant to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from the date such amount was due and payable until the date such amount is paid in full.</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At any time an Application Event has occurred and is continuing, or the maturity of the Obligations shall have been accelerated pursuant to </w:t>
      </w:r>
      <w:r>
        <w:rPr>
          <w:rFonts w:ascii="Times New Roman;serif" w:hAnsi="Times New Roman;serif"/>
          <w:b w:val="false"/>
          <w:color w:val="000000"/>
          <w:sz w:val="22"/>
          <w:u w:val="single"/>
        </w:rPr>
        <w:t>Section 8.2</w:t>
      </w:r>
      <w:r>
        <w:rPr>
          <w:rFonts w:ascii="Times New Roman;serif" w:hAnsi="Times New Roman;serif"/>
          <w:b w:val="false"/>
          <w:color w:val="000000"/>
          <w:sz w:val="22"/>
        </w:rPr>
        <w:t>, all payments or proceeds received by Administrative Agent hereunder or under any Collateral Document in respect of any of the Obligations, including, but not limited to all proceeds received by Administrative Agent in respect of any sale, any collection from, or other realization upon all or any part of the Collateral, shall be applied in full or in part as follows:</w: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first</w:t>
      </w:r>
      <w:r>
        <w:rPr>
          <w:rFonts w:ascii="Times New Roman;serif" w:hAnsi="Times New Roman;serif"/>
          <w:b w:val="false"/>
          <w:color w:val="000000"/>
          <w:sz w:val="22"/>
        </w:rPr>
        <w:t>, ratably to pay the Obligations in respect of any fees (other than any Yield Maintenance Premium), expense reimbursements, indemnities and other amounts then due and payable to Administrative Agent until paid in full;</w: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second</w:t>
      </w:r>
      <w:r>
        <w:rPr>
          <w:rFonts w:ascii="Times New Roman;serif" w:hAnsi="Times New Roman;serif"/>
          <w:b w:val="false"/>
          <w:color w:val="000000"/>
          <w:sz w:val="22"/>
        </w:rPr>
        <w:t>, ratably to pay interest then due and payable in respect of Protective Advances until paid in full;</w: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third</w:t>
      </w:r>
      <w:r>
        <w:rPr>
          <w:rFonts w:ascii="Times New Roman;serif" w:hAnsi="Times New Roman;serif"/>
          <w:b w:val="false"/>
          <w:color w:val="000000"/>
          <w:sz w:val="22"/>
        </w:rPr>
        <w:t>, ratably to pay principal of Protective Advances then due and payable until paid in full;</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28650"/>
                <wp:effectExtent l="0" t="0" r="0" b="0"/>
                <wp:wrapNone/>
                <wp:docPr id="140" name="Frame1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fourth</w:t>
      </w:r>
      <w:r>
        <w:rPr>
          <w:rFonts w:ascii="Times New Roman;serif" w:hAnsi="Times New Roman;serif"/>
          <w:b w:val="false"/>
          <w:color w:val="000000"/>
          <w:sz w:val="22"/>
        </w:rPr>
        <w:t>, ratably to pay the Obligations in respect of any fees (other than any Yield Maintenance Premium) and indemnities then due and payable to the Lenders with a Term Loan Commitment until paid in full;</w: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fifth</w:t>
      </w:r>
      <w:r>
        <w:rPr>
          <w:rFonts w:ascii="Times New Roman;serif" w:hAnsi="Times New Roman;serif"/>
          <w:b w:val="false"/>
          <w:color w:val="000000"/>
          <w:sz w:val="22"/>
        </w:rPr>
        <w:t>, ratably to pay interest then due and payable in respect of the Term Loan until paid in full;</w: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 xml:space="preserve">sixth, </w:t>
      </w:r>
      <w:r>
        <w:rPr>
          <w:rFonts w:ascii="Times New Roman;serif" w:hAnsi="Times New Roman;serif"/>
          <w:b w:val="false"/>
          <w:color w:val="000000"/>
          <w:sz w:val="22"/>
        </w:rPr>
        <w:t xml:space="preserve">ratably to pay the principal of the Term Loan until paid in full; </w: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seventh</w:t>
      </w:r>
      <w:r>
        <w:rPr>
          <w:rFonts w:ascii="Times New Roman;serif" w:hAnsi="Times New Roman;serif"/>
          <w:b w:val="false"/>
          <w:color w:val="000000"/>
          <w:sz w:val="22"/>
        </w:rPr>
        <w:t>, ratably to pay the Obligations in respect of any Yield Maintenance Premium then due and payable to the Lenders with a Term Loan until paid in full; and</w:t>
      </w:r>
    </w:p>
    <w:p>
      <w:pPr>
        <w:pStyle w:val="TextBody"/>
        <w:bidi w:val="0"/>
        <w:spacing w:lineRule="auto" w:line="288" w:before="0" w:after="240"/>
        <w:ind w:left="0" w:right="0" w:firstLine="1440"/>
        <w:jc w:val="both"/>
        <w:rPr/>
      </w:pPr>
      <w:r>
        <w:rPr>
          <w:rFonts w:ascii="Times New Roman;serif" w:hAnsi="Times New Roman;serif"/>
          <w:b w:val="false"/>
          <w:i/>
          <w:color w:val="000000"/>
          <w:sz w:val="22"/>
        </w:rPr>
        <w:t>eighth</w:t>
      </w:r>
      <w:r>
        <w:rPr>
          <w:rFonts w:ascii="Times New Roman;serif" w:hAnsi="Times New Roman;serif"/>
          <w:b w:val="false"/>
          <w:color w:val="000000"/>
          <w:sz w:val="22"/>
        </w:rPr>
        <w:t>, to the ratable payment of all other Obligations then due and payable until paid in full.</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For purposes of Section 2.12(f) (other than clause eighth of Section 2.12(f)),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provided, however, that for purposes of clause eighth of Section 2.12(f),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 xml:space="preserve">In the event of a direct conflict between the priority provisions of </w:t>
      </w:r>
      <w:r>
        <w:rPr>
          <w:rFonts w:ascii="Times New Roman;serif" w:hAnsi="Times New Roman;serif"/>
          <w:b w:val="false"/>
          <w:color w:val="000000"/>
          <w:sz w:val="22"/>
          <w:u w:val="single"/>
        </w:rPr>
        <w:t xml:space="preserve">Section 2.12(f) </w:t>
      </w:r>
      <w:r>
        <w:rPr>
          <w:rFonts w:ascii="Times New Roman;serif" w:hAnsi="Times New Roman;serif"/>
          <w:b w:val="false"/>
          <w:color w:val="000000"/>
          <w:sz w:val="22"/>
        </w:rPr>
        <w:t xml:space="preserve">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w:t>
      </w:r>
      <w:r>
        <w:rPr>
          <w:rFonts w:ascii="Times New Roman;serif" w:hAnsi="Times New Roman;serif"/>
          <w:b w:val="false"/>
          <w:color w:val="000000"/>
          <w:sz w:val="22"/>
          <w:u w:val="single"/>
        </w:rPr>
        <w:t>Section 2.12(f)</w:t>
      </w:r>
      <w:r>
        <w:rPr>
          <w:color w:val="000000"/>
        </w:rPr>
        <w:t xml:space="preserve"> </w:t>
      </w:r>
      <w:r>
        <w:rPr>
          <w:rFonts w:ascii="Times New Roman;serif" w:hAnsi="Times New Roman;serif"/>
          <w:b w:val="false"/>
          <w:color w:val="000000"/>
          <w:sz w:val="22"/>
        </w:rPr>
        <w:t>shall control and govern.</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The Lenders and Company hereby authorize Administrative Agent to, and Administrative Agent may, from time to time during the continuance of an Event of Default, charge the Loan Account with any amount due and payable by Company under any Loan Document to the extent not paid when due. Each of the Lenders and Company agrees that Administrative Agent shall have the right to make such charges whether or not any of the conditions precedent in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have been satisfied. Any amount charged to the Loan Account shall be deemed a Loan hereunder made by the Lenders to Company, funded by Administrative Agent on behalf of the Lenders and subject to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The Lenders and Company confirm that any charges which Administrative Agent may so make to the Loan Account as herein provided will be made as an accommodation to Company and solely at Administrative Agent’s discretion,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Administrative Agent shall from time to time upon the request of Administrative Agent, charge the Loan Account of Company with any amount due and payable under any Loan Document. The Administrative Agent shall provide a reasonably detailed invoice for any amounts charged to the Loan Account (unless such charge is made at the Company’s request) promptly upon request by the Company.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2.13</w:t>
      </w:r>
      <w:r>
        <w:rPr>
          <w:rFonts w:ascii="Times New Roman;serif" w:hAnsi="Times New Roman;serif"/>
          <w:b w:val="false"/>
          <w:color w:val="000000"/>
          <w:sz w:val="22"/>
          <w:u w:val="single"/>
        </w:rPr>
        <w:t>Ratable Sharing</w:t>
      </w:r>
      <w:r>
        <w:rPr>
          <w:rFonts w:ascii="Times New Roman;serif" w:hAnsi="Times New Roman;serif"/>
          <w:b w:val="false"/>
          <w:color w:val="000000"/>
          <w:sz w:val="22"/>
        </w:rPr>
        <w:t xml:space="preserve">. Lenders hereby agree among themselves that, except as otherwise provided in the Collateral Documents with respect to amounts realized from the exercise of rights with respect to Liens on the Collateral, if any of them shall, whether by voluntary payment (other than a voluntary prepayment of Term Loans made and applied in accordance with the terms hereof), through the exercise of any right of set off or banker’s lien, by counterclaim or cross action or by the enforcement of any right under the Loan Documents or otherwise, or as adequate protection of a deposit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28650"/>
                <wp:effectExtent l="0" t="0" r="0" b="0"/>
                <wp:wrapNone/>
                <wp:docPr id="141" name="Frame1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treated as cash collateral under the Bankruptcy Code, receive payment or reduction of a proportion of the aggregate amount of principal, interest, fees and other amounts then due and owing to such Lender hereunder or under the other Loan Documents (collectively, the “</w:t>
      </w:r>
      <w:r>
        <w:rPr>
          <w:rFonts w:ascii="Times New Roman;serif" w:hAnsi="Times New Roman;serif"/>
          <w:b w:val="false"/>
          <w:color w:val="000000"/>
          <w:sz w:val="22"/>
          <w:u w:val="single"/>
        </w:rPr>
        <w:t>Aggregate Amounts Due</w:t>
      </w:r>
      <w:r>
        <w:rPr>
          <w:color w:val="000000"/>
        </w:rPr>
        <w:t xml:space="preserve">” </w:t>
      </w:r>
      <w:r>
        <w:rPr>
          <w:rFonts w:ascii="Times New Roman;serif" w:hAnsi="Times New Roman;serif"/>
          <w:b w:val="false"/>
          <w:color w:val="000000"/>
          <w:sz w:val="22"/>
        </w:rPr>
        <w:t xml:space="preserve">to such Lender) which is greater than the proportion received by any other Lender in respect of the Aggregate Amounts Due to such other Lender having Term Loans,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Term Loans in proportion to the Aggregate Amounts Due to them; </w:t>
      </w:r>
      <w:r>
        <w:rPr>
          <w:rFonts w:ascii="Times New Roman;serif" w:hAnsi="Times New Roman;serif"/>
          <w:b w:val="false"/>
          <w:color w:val="000000"/>
          <w:sz w:val="22"/>
          <w:u w:val="single"/>
        </w:rPr>
        <w:t>provided</w:t>
      </w:r>
      <w:r>
        <w:rPr>
          <w:rFonts w:ascii="Times New Roman;serif" w:hAnsi="Times New Roman;serif"/>
          <w:b w:val="false"/>
          <w:color w:val="000000"/>
          <w:sz w:val="22"/>
        </w:rPr>
        <w:t>, if all or part of such proportionately greater payment received by such purchasing Lender is thereafter recovered from such Lender upon the bankruptcy or reorganization of Company or otherwise, those purchases shall be rescinded and the purchase prices paid for such participations shall be returned to such purchasing Lender ratably to the extent of such recovery, but without interest. Company expressly consents to the foregoing arrangement and agrees that any holder of a participation so purchased may exercise any and all rights of banker’s lien, set off or counterclaim with respect to any and all monies owing by Company to that holder with respect thereto as fully as if that holder were owed the amount of the participation held by that holder.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2.14</w:t>
      </w:r>
      <w:r>
        <w:rPr>
          <w:rFonts w:ascii="Times New Roman;serif" w:hAnsi="Times New Roman;serif"/>
          <w:b w:val="false"/>
          <w:color w:val="000000"/>
          <w:sz w:val="22"/>
          <w:u w:val="single"/>
        </w:rPr>
        <w:t>Increased Costs; Capital Adequacy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Compensation For Increased Costs and Taxes</w:t>
      </w:r>
      <w:r>
        <w:rPr>
          <w:rFonts w:ascii="Times New Roman;serif" w:hAnsi="Times New Roman;serif"/>
          <w:b w:val="false"/>
          <w:color w:val="000000"/>
          <w:sz w:val="22"/>
        </w:rPr>
        <w:t xml:space="preserve">. Subject to the provisions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(which shall be controlling with respect to the matters covered thereby), in the event that Administrative Agent or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Administrative Agent or such Lender with any guideline, request or directive issued or made after the date hereof by any central bank or other governmental or quasi-Governmental Authority (whether or not having the force of law): (i) subjects Administrative Agent or such Lender (or its applicable lending office) to any additional Tax (other than (A) Indemnified Taxes, (B) Taxes described in clauses (ii) through (iv) of the definition of Excluded Taxes and (C) Connection Income Taxes) with respect to this Agreement or any of the other Loan Documents or any of its obligations hereunder or thereunder or any payments to Administrative Agent or such Lender (or its applicable lending office) of principal, interest, fees or any other amount payable hereunder;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Administrative Agent or such Lender; or (iii) imposes any other condition (other than with respect to Taxes) on or affecting Administrative agent or such Lender (or its applicable lending office) or its obligations hereunder; and the result of any of the foregoing is to increase the cost to Administrative Agent or such Lender of agreeing to make, making or maintaining Loans hereunder or to reduce any amount received or receivable by Administrative Agent or such Lender (or its applicable lending office) with respect thereto; then, in any such case, Company shall promptly pay to Administrative Agent or such Lender, upon receipt of the statement referred to in the next sentence, such additional amount or amounts (in the form of an increased rate of, or a different method of calculating, interest or otherwise as Administrative Agent or such Lender in its reasonable discretion shall determine) as may be necessary to compensate Administrative Agent or such Lender for any such increased cost or reduction in amounts received or receivable hereunder. Administrative Agent or such Lender shall deliver to Company (with a copy to Administrative Agent, if applicable) a written statement, setting forth in reasonable detail the basis for calculating the additional amounts owed to Administrative Agent or such Lender under this </w:t>
      </w:r>
      <w:r>
        <w:rPr>
          <w:rFonts w:ascii="Times New Roman;serif" w:hAnsi="Times New Roman;serif"/>
          <w:b w:val="false"/>
          <w:color w:val="000000"/>
          <w:sz w:val="22"/>
          <w:u w:val="single"/>
        </w:rPr>
        <w:t>Section 2.14(a)</w:t>
      </w:r>
      <w:r>
        <w:rPr>
          <w:rFonts w:ascii="Times New Roman;serif" w:hAnsi="Times New Roman;serif"/>
          <w:b w:val="false"/>
          <w:color w:val="000000"/>
          <w:sz w:val="22"/>
        </w:rPr>
        <w:t>, which statement shall be conclusive and binding upon all parties hereto absent manifest error.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Capital Adequacy Adjustment</w:t>
      </w:r>
      <w:r>
        <w:rPr>
          <w:rFonts w:ascii="Times New Roman;serif" w:hAnsi="Times New Roman;serif"/>
          <w:b w:val="false"/>
          <w:color w:val="000000"/>
          <w:sz w:val="22"/>
        </w:rPr>
        <w:t xml:space="preserve">. In the event that any Lender shall have determined that the adoption, effectiveness, phase in or applicability after the Closing Date of any law, rule or regulation (or any provision thereof) regarding capital adequacy, or any change therein or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28650"/>
                <wp:effectExtent l="0" t="0" r="0" b="0"/>
                <wp:wrapNone/>
                <wp:docPr id="142" name="Frame1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Term Loans or other obligations hereunder with respect to the Term Loan to a level below that which such Lender or such controlling corporation could have achieved but for such adoption, effectiveness, phase in, applicability, change or compliance (taking into consideration the policies of such Lender or such controlling corporation with regard to capital adequacy), then from time to time, within [**] after receipt by Company from such Lender of the statement referred to in the next sentence, Company shall pay to such Lender such additional amount or amounts as will compensate such Lender or such controlling corporation on an after tax basis for such reduction. Such Lender shall deliver to Company (with a copy to Administrative Agent) a written statement, setting forth in reasonable detail the basis for calculating the additional amounts owed to Lender under this </w:t>
      </w:r>
      <w:r>
        <w:rPr>
          <w:rFonts w:ascii="Times New Roman;serif" w:hAnsi="Times New Roman;serif"/>
          <w:b w:val="false"/>
          <w:color w:val="000000"/>
          <w:sz w:val="22"/>
          <w:u w:val="single"/>
        </w:rPr>
        <w:t>Section 2.14(b)</w:t>
      </w:r>
      <w:r>
        <w:rPr>
          <w:rFonts w:ascii="Times New Roman;serif" w:hAnsi="Times New Roman;serif"/>
          <w:b w:val="false"/>
          <w:color w:val="000000"/>
          <w:sz w:val="22"/>
        </w:rPr>
        <w:t>, which statement shall be conclusive and binding upon all parties hereto absent manifest error.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2.15</w:t>
      </w:r>
      <w:r>
        <w:rPr>
          <w:rFonts w:ascii="Times New Roman;serif" w:hAnsi="Times New Roman;serif"/>
          <w:b w:val="false"/>
          <w:color w:val="000000"/>
          <w:sz w:val="22"/>
          <w:u w:val="single"/>
        </w:rPr>
        <w:t>Taxes; Withholding, Etc.</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Withholding of Taxes</w:t>
      </w:r>
      <w:r>
        <w:rPr>
          <w:rFonts w:ascii="Times New Roman;serif" w:hAnsi="Times New Roman;serif"/>
          <w:b w:val="false"/>
          <w:color w:val="000000"/>
          <w:sz w:val="22"/>
        </w:rPr>
        <w:t>. All sums payable by any Loan Party hereunder and under the other Loan Documents shall (except to the extent required by law) be paid free and clear of, and without any deduction or withholding on account of, any Tax, other than (i) Taxes imposed on or measured by the recipient’s net income (however denominated), branch profits Taxes and franchise Taxes imposed on the recipient, in each case, (A) by the jurisdiction (or any political subdivision thereof) under the laws of which such recipient is organized or in which its principal office is located or, in the case of any Lender, in which its applicable lending office is located or (B) as the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(all such Taxes described in clause (B), “</w:t>
      </w:r>
      <w:r>
        <w:rPr>
          <w:rFonts w:ascii="Times New Roman;serif" w:hAnsi="Times New Roman;serif"/>
          <w:b w:val="false"/>
          <w:color w:val="000000"/>
          <w:sz w:val="22"/>
          <w:u w:val="single"/>
        </w:rPr>
        <w:t>Other Connection Taxes</w:t>
      </w:r>
      <w:r>
        <w:rPr>
          <w:color w:val="000000"/>
        </w:rPr>
        <w:t>”</w:t>
      </w:r>
      <w:r>
        <w:rPr>
          <w:rFonts w:ascii="Times New Roman;serif" w:hAnsi="Times New Roman;serif"/>
          <w:b w:val="false"/>
          <w:color w:val="000000"/>
          <w:sz w:val="22"/>
        </w:rPr>
        <w:t xml:space="preserve">), (ii) in the case of a Lender, U.S. federal withholding Taxes imposed on amounts payable to or for the account of such Lender with respect to an applicable interest in a Loan or commitment hereunder pursuant to a law in effect on the date on which (x) such Lender acquires such interest in the Loan or commitment hereunder (other than pursuant to an assignment request by the Borrower under Section 2.18) or (y) such Lender changes its lending office, except in each case to the extent that, pursuant to this Section 2.15, amounts with respect to such Taxes were payable either to such Lender’s assignor immediately before such Lender became a party hereto or to such Lender immediately before it changed its lending office, (iii) Taxes attributable to such Lender’s failure to comply with </w:t>
      </w:r>
      <w:r>
        <w:rPr>
          <w:rFonts w:ascii="Times New Roman;serif" w:hAnsi="Times New Roman;serif"/>
          <w:b w:val="false"/>
          <w:color w:val="000000"/>
          <w:sz w:val="22"/>
          <w:u w:val="single"/>
        </w:rPr>
        <w:t>Section 2.15(d)</w:t>
      </w:r>
      <w:r>
        <w:rPr>
          <w:color w:val="000000"/>
        </w:rPr>
        <w:t xml:space="preserve"> </w:t>
      </w:r>
      <w:r>
        <w:rPr>
          <w:rFonts w:ascii="Times New Roman;serif" w:hAnsi="Times New Roman;serif"/>
          <w:b w:val="false"/>
          <w:color w:val="000000"/>
          <w:sz w:val="22"/>
        </w:rPr>
        <w:t>and (iv) any withholding Taxes imposed under FATCA (all such Taxes described in clauses (i) through (iv), collectively or individually, “</w:t>
      </w:r>
      <w:r>
        <w:rPr>
          <w:rFonts w:ascii="Times New Roman;serif" w:hAnsi="Times New Roman;serif"/>
          <w:b w:val="false"/>
          <w:color w:val="000000"/>
          <w:sz w:val="22"/>
          <w:u w:val="single"/>
        </w:rPr>
        <w:t>Excluded Taxes</w:t>
      </w:r>
      <w:r>
        <w:rPr>
          <w:color w:val="000000"/>
        </w:rPr>
        <w:t>”</w:t>
      </w:r>
      <w:r>
        <w:rPr>
          <w:rFonts w:ascii="Times New Roman;serif" w:hAnsi="Times New Roman;serif"/>
          <w:b w:val="false"/>
          <w:color w:val="000000"/>
          <w:sz w:val="22"/>
        </w:rPr>
        <w:t xml:space="preserve">). If any Loan Party or any other Person is required by law to make any deduction or withholding on account of any Tax from any sum paid or payable by any Loan Party to Administrative Agent or any Lender under any of the Loan Documents: (1) Company shall notify Administrative Agent of any such requirement or any change in any such requirement as soon as Company becomes aware of it; (2) Company shall timely pay the full amount of any such Tax to the relevant Governmental Authority before the date on which penalties attach thereto, such payment to be made (if the liability to pay is imposed on any Loan Party) for its own account or (if that liability is imposed on Administrative Agent or such Lender, as the case may be) on behalf of and in the name of Administrative Agent or such Lender; (3) if such Tax is an Indemnified Tax, then the sum payable by such Loan Party shall be increased to the extent necessary to ensure that, after the making of that deduction, withholding or payment (including any such deductions, withholdings or payments applicable to additional sums payable under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Administrative Agent or such Lender, as the case may be, receives on the due date a net sum equal to what it would have received had no such deduction, withholding or payment been required or made; and (4) within [**] after paying any sum from which it is required by law to make any deduction or withholding, Company shall deliver to Administrative Agent the original or a certified copy of a receipt issued by such Governmental Authority evidencing such deduction, withholding or payment, a copy of the return reporting such withholding, deduction or payment, or other evidence satisfactory to Administrative Agent of such deduction, withholding or payment and of the remittance thereof to the relevant Governmental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28650"/>
                <wp:effectExtent l="0" t="0" r="0" b="0"/>
                <wp:wrapNone/>
                <wp:docPr id="143" name="Frame1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Other Taxes</w:t>
      </w:r>
      <w:r>
        <w:rPr>
          <w:rFonts w:ascii="Times New Roman;serif" w:hAnsi="Times New Roman;serif"/>
          <w:b w:val="false"/>
          <w:color w:val="000000"/>
          <w:sz w:val="22"/>
        </w:rPr>
        <w:t>. The Loan Parties shall pay to the relevant Governmental Authorities (or, at the option of Administrative Agent, timely reimburse it for the payment of) any present or future stamp, court, documentary, intangible, recording, filing or similar Taxes or any other excise or property Taxes that arise from any payment made hereunder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Section 2.18) (“</w:t>
      </w:r>
      <w:r>
        <w:rPr>
          <w:rFonts w:ascii="Times New Roman;serif" w:hAnsi="Times New Roman;serif"/>
          <w:b w:val="false"/>
          <w:color w:val="000000"/>
          <w:sz w:val="22"/>
          <w:u w:val="single"/>
        </w:rPr>
        <w:t>Other Taxes</w:t>
      </w:r>
      <w:r>
        <w:rPr>
          <w:color w:val="000000"/>
        </w:rPr>
        <w:t>”</w:t>
      </w:r>
      <w:r>
        <w:rPr>
          <w:rFonts w:ascii="Times New Roman;serif" w:hAnsi="Times New Roman;serif"/>
          <w:b w:val="false"/>
          <w:color w:val="000000"/>
          <w:sz w:val="22"/>
        </w:rPr>
        <w:t>). Within [**] after paying any such Other Taxes, each Loan Party shall deliver to Administrative Agent the original or a certified copy of a receipt issued by such Governmental Authority evidencing such payment, a copy of the return reporting such payment, or other evidence satisfactory to Administrative Agent that such Other Taxes have been paid to the relevant Governmental Authority.</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Tax Indemnification</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The Loan Parties hereby jointly and severally indemnify and agree to hold Administrative Agent and any Lender harmless from and against the full amount of all Indemnified Taxes (including, without limitation, Indemnified Taxes imposed or asserted on or attributable to any amounts payable under this Section 2.15)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Such indemnification shall be paid within [**] from the date on which Administrative Agent or Lender makes written demand therefor. A certificate as to the amount of such payment or liability delivered to Borrower by a Lender (with a copy to Administrative Agent), or by Administrative Agent on its own behalf or on behalf of a Lender, shall be conclusive absent manifest error.</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Each Lender shall severally indemnify Administrative Agent, within [**] after demand therefor, for (i) any Indemnified Taxes attributable to such Lender (but only to the extent that the Loan Parties have not already indemnified Administrative Agent for such Indemnified Taxes and without limiting the obligation of the Loan Parties to do so), (ii) any Taxes attributable to such Lender’s failure to comply with the provisions of </w:t>
      </w:r>
      <w:r>
        <w:rPr>
          <w:rFonts w:ascii="Times New Roman;serif" w:hAnsi="Times New Roman;serif"/>
          <w:b w:val="false"/>
          <w:color w:val="000000"/>
          <w:sz w:val="22"/>
          <w:u w:val="single"/>
        </w:rPr>
        <w:t>Section 10.6(h)(ii)</w:t>
      </w:r>
      <w:r>
        <w:rPr>
          <w:color w:val="000000"/>
        </w:rPr>
        <w:t xml:space="preserve"> </w:t>
      </w:r>
      <w:r>
        <w:rPr>
          <w:rFonts w:ascii="Times New Roman;serif" w:hAnsi="Times New Roman;serif"/>
          <w:b w:val="false"/>
          <w:color w:val="000000"/>
          <w:sz w:val="22"/>
        </w:rPr>
        <w:t>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u w:val="single"/>
        </w:rPr>
        <w:t>Evidence of Exemption From Withholding Tax</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Any Lender that is entitled to an exemption from or reduction of withholding Tax with respect to payments made under any Loan Document shall deliver to Borrower and Administrative Agent, at the time or times reasonably requested by Borrower or the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2.15(d)(i)(A), (i)(B) and (i)(D))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 in the event that Borrower is a U.S. Person:</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28650"/>
                <wp:effectExtent l="0" t="0" r="0" b="0"/>
                <wp:wrapNone/>
                <wp:docPr id="144" name="Frame1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any Lender that is a U.S. Person shall deliver to Borrower and Administrative Agent on or about the date on which such Lender becomes a Lender under this Agreement (and from time to time thereafter upon the reasonable request of Borrower or Administrative Agent), executed copies of IRS Form W-9 certifying that such Lender is exempt from U.S. federal backup withholding tax;</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whichever of the following is applicable:</w:t>
      </w:r>
    </w:p>
    <w:p>
      <w:pPr>
        <w:pStyle w:val="TextBody"/>
        <w:bidi w:val="0"/>
        <w:spacing w:lineRule="auto" w:line="240" w:before="0" w:after="240"/>
        <w:ind w:left="0" w:right="0" w:firstLine="720"/>
        <w:jc w:val="both"/>
        <w:rPr/>
      </w:pPr>
      <w:r>
        <w:rPr>
          <w:rFonts w:ascii="Times New Roman;serif" w:hAnsi="Times New Roman;serif"/>
          <w:b w:val="false"/>
          <w:color w:val="010000"/>
          <w:sz w:val="22"/>
        </w:rPr>
        <w:t>(1)</w:t>
      </w:r>
      <w:r>
        <w:rPr>
          <w:rFonts w:ascii="Times New Roman;serif" w:hAnsi="Times New Roman;serif"/>
          <w:b w:val="false"/>
          <w:color w:val="000000"/>
          <w:sz w:val="22"/>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pPr>
      <w:r>
        <w:rPr>
          <w:rFonts w:ascii="Times New Roman;serif" w:hAnsi="Times New Roman;serif"/>
          <w:b w:val="false"/>
          <w:color w:val="010000"/>
          <w:sz w:val="22"/>
        </w:rPr>
        <w:t>(2)</w:t>
      </w:r>
      <w:r>
        <w:rPr>
          <w:rFonts w:ascii="Times New Roman;serif" w:hAnsi="Times New Roman;serif"/>
          <w:b w:val="false"/>
          <w:color w:val="000000"/>
          <w:sz w:val="22"/>
        </w:rPr>
        <w:t>executed copies of IRS Form W-8ECI;</w:t>
      </w:r>
    </w:p>
    <w:p>
      <w:pPr>
        <w:pStyle w:val="TextBody"/>
        <w:bidi w:val="0"/>
        <w:spacing w:lineRule="auto" w:line="240" w:before="0" w:after="240"/>
        <w:ind w:left="0" w:right="0" w:firstLine="720"/>
        <w:jc w:val="both"/>
        <w:rPr/>
      </w:pPr>
      <w:r>
        <w:rPr>
          <w:rFonts w:ascii="Times New Roman;serif" w:hAnsi="Times New Roman;serif"/>
          <w:b w:val="false"/>
          <w:color w:val="010000"/>
          <w:sz w:val="22"/>
        </w:rPr>
        <w:t>(3)</w:t>
      </w:r>
      <w:r>
        <w:rPr>
          <w:rFonts w:ascii="Times New Roman;serif" w:hAnsi="Times New Roman;serif"/>
          <w:b w:val="false"/>
          <w:color w:val="000000"/>
          <w:sz w:val="22"/>
        </w:rPr>
        <w:t>in the case of a Foreign Lender claiming the benefits of the exemption for portfolio interest under Section 881(c) of the Internal Revenue Code, (x) a certificate substantially in the form of Exhibit G-1 to the effect that such Foreign Lender is not a “bank” within the meaning of Section 881(c)(3)(A) of the Code, a “10 percent shareholder” of Borrower within the meaning of Section 871(h)(3)(B) of the Internal Revenue Code, or a “controlled foreign corporation” related to any Loan Party described in Section 881(c)(3)(C) of the Internal Revenue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executed copies of IRS Form W-8BEN or IRS Form W-8BEN-E; or</w:t>
      </w:r>
    </w:p>
    <w:p>
      <w:pPr>
        <w:pStyle w:val="TextBody"/>
        <w:bidi w:val="0"/>
        <w:spacing w:lineRule="auto" w:line="240" w:before="0" w:after="240"/>
        <w:ind w:left="0" w:right="0" w:firstLine="720"/>
        <w:jc w:val="both"/>
        <w:rPr/>
      </w:pPr>
      <w:r>
        <w:rPr>
          <w:rFonts w:ascii="Times New Roman;serif" w:hAnsi="Times New Roman;serif"/>
          <w:b w:val="false"/>
          <w:color w:val="010000"/>
          <w:sz w:val="22"/>
        </w:rPr>
        <w:t>(4)</w:t>
      </w:r>
      <w:r>
        <w:rPr>
          <w:rFonts w:ascii="Times New Roman;serif" w:hAnsi="Times New Roman;serif"/>
          <w:b w:val="false"/>
          <w:color w:val="000000"/>
          <w:sz w:val="22"/>
        </w:rPr>
        <w:t xml:space="preserve">to the extent a Foreign Lender is not the beneficial owner, executed copies of IRS Form W-8IMY, accompanied by IRS Form W-8ECI, IRS Form W-8BEN, IRS Form W-8BEN-E, a U.S. Tax Compliance Certificate substantially in the form of Exhibit G-2 or Exhibit G-3, IRS Form W-9, and/or other certification documents from each beneficial owner, as applicable;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28650"/>
                <wp:effectExtent l="0" t="0" r="0" b="0"/>
                <wp:wrapNone/>
                <wp:docPr id="145" name="Frame1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If a payment made to a Lender under any Loan Document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Company and Administrative Agent at the time or times prescribed by law and at such time or times reasonably requested by Company or Administrative Agent such documentation prescribed by applicable law (including as prescribed by Section 1471(b)(3)(C)(i) of the Internal Revenue Code) and such additional documentation reasonably requested by Company or Administrative Agent as may be necessary for Company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serif" w:hAnsi="Times New Roman;serif"/>
          <w:b w:val="false"/>
          <w:color w:val="000000"/>
          <w:sz w:val="22"/>
          <w:u w:val="single"/>
        </w:rPr>
        <w:t>Section 2.15(d)(i)(A)</w:t>
      </w:r>
      <w:r>
        <w:rPr>
          <w:rFonts w:ascii="Times New Roman;serif" w:hAnsi="Times New Roman;serif"/>
          <w:b w:val="false"/>
          <w:color w:val="000000"/>
          <w:sz w:val="22"/>
        </w:rPr>
        <w:t xml:space="preserve">, FATCA shall include any amendments made to FATCA after the date of this Agreement. Notwithstanding the above, a Lender shall not be required to deliver any form or other form of documentation pursuant to this </w:t>
      </w:r>
      <w:r>
        <w:rPr>
          <w:rFonts w:ascii="Times New Roman;serif" w:hAnsi="Times New Roman;serif"/>
          <w:b w:val="false"/>
          <w:color w:val="000000"/>
          <w:sz w:val="22"/>
          <w:u w:val="single"/>
        </w:rPr>
        <w:t>Section 2.15(d)(i)(A)</w:t>
      </w:r>
      <w:r>
        <w:rPr>
          <w:color w:val="000000"/>
        </w:rPr>
        <w:t xml:space="preserve"> </w:t>
      </w:r>
      <w:r>
        <w:rPr>
          <w:rFonts w:ascii="Times New Roman;serif" w:hAnsi="Times New Roman;serif"/>
          <w:b w:val="false"/>
          <w:color w:val="000000"/>
          <w:sz w:val="22"/>
        </w:rPr>
        <w:t>that such Lender is not legally able to deliver. Each Lender agrees that if any form or certification it previously delivered expires or becomes obsolete or inaccurate in any respect, it shall update such form or certification or promptly notify Borrower and Administrative Agent of its legal inability to do so.</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If any party determines, in its reasonable discretion exercised in good faith, that it has received a refund of any Taxes as to which it has been indemnified pursuant to this </w:t>
      </w:r>
      <w:r>
        <w:rPr>
          <w:rFonts w:ascii="Times New Roman;serif" w:hAnsi="Times New Roman;serif"/>
          <w:b w:val="false"/>
          <w:color w:val="000000"/>
          <w:sz w:val="22"/>
          <w:u w:val="single"/>
        </w:rPr>
        <w:t>Section 2.15</w:t>
      </w:r>
      <w:r>
        <w:rPr>
          <w:color w:val="000000"/>
        </w:rPr>
        <w:t> </w:t>
      </w:r>
      <w:r>
        <w:rPr>
          <w:rFonts w:ascii="Times New Roman;serif" w:hAnsi="Times New Roman;serif"/>
          <w:b w:val="false"/>
          <w:color w:val="000000"/>
          <w:sz w:val="22"/>
        </w:rPr>
        <w:t xml:space="preserve">(including by the payment of additional amounts pursuant to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erif" w:hAnsi="Times New Roman;serif"/>
          <w:b w:val="false"/>
          <w:color w:val="000000"/>
          <w:sz w:val="22"/>
          <w:u w:val="single"/>
        </w:rPr>
        <w:t>Section 2.15(e)</w:t>
      </w:r>
      <w:r>
        <w:rPr>
          <w:color w:val="000000"/>
        </w:rPr>
        <w:t xml:space="preserve"> </w:t>
      </w:r>
      <w:r>
        <w:rPr>
          <w:rFonts w:ascii="Times New Roman;serif" w:hAnsi="Times New Roman;serif"/>
          <w:b w:val="false"/>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erif" w:hAnsi="Times New Roman;serif"/>
          <w:b w:val="false"/>
          <w:color w:val="000000"/>
          <w:sz w:val="22"/>
          <w:u w:val="single"/>
        </w:rPr>
        <w:t>Section 2.15(e)</w:t>
      </w:r>
      <w:r>
        <w:rPr>
          <w:rFonts w:ascii="Times New Roman;serif" w:hAnsi="Times New Roman;serif"/>
          <w:b w:val="false"/>
          <w:color w:val="000000"/>
          <w:sz w:val="22"/>
        </w:rPr>
        <w:t xml:space="preserve">, in no event will the indemnified party be required to pay any amount to an indemnifying party pursuant to this </w:t>
      </w:r>
      <w:r>
        <w:rPr>
          <w:rFonts w:ascii="Times New Roman;serif" w:hAnsi="Times New Roman;serif"/>
          <w:b w:val="false"/>
          <w:color w:val="000000"/>
          <w:sz w:val="22"/>
          <w:u w:val="single"/>
        </w:rPr>
        <w:t>Section 2.15(e)</w:t>
      </w:r>
      <w:r>
        <w:rPr>
          <w:color w:val="000000"/>
        </w:rPr>
        <w:t xml:space="preserve"> </w:t>
      </w:r>
      <w:r>
        <w:rPr>
          <w:rFonts w:ascii="Times New Roman;serif" w:hAnsi="Times New Roman;serif"/>
          <w:b w:val="false"/>
          <w:color w:val="000000"/>
          <w:sz w:val="22"/>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shall survive the resignation or replacement of Administrative Agent or any assignment of rights by, or the replacement of, a Lender, the termination of the Term Loans, and the repayment, satisfaction, or discharge of all obligations under any Loan Document.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2.16</w:t>
      </w:r>
      <w:r>
        <w:rPr>
          <w:rFonts w:ascii="Times New Roman;serif" w:hAnsi="Times New Roman;serif"/>
          <w:b w:val="false"/>
          <w:color w:val="000000"/>
          <w:sz w:val="22"/>
          <w:u w:val="single"/>
        </w:rPr>
        <w:t>Obligation to Mitigate</w:t>
      </w:r>
      <w:r>
        <w:rPr>
          <w:rFonts w:ascii="Times New Roman;serif" w:hAnsi="Times New Roman;serif"/>
          <w:b w:val="false"/>
          <w:color w:val="000000"/>
          <w:sz w:val="22"/>
        </w:rPr>
        <w:t xml:space="preserve">. Each Lender agrees that, as promptly as practicable after the officer of such Lender responsible for administering its Term Loans becomes aware of the occurrence of an event or the existence of a condition that would cause such Lender to become an Affected Lender or that would entitle such Lender to receive payments under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2.15</w:t>
      </w:r>
      <w:r>
        <w:rPr>
          <w:rFonts w:ascii="Times New Roman;serif" w:hAnsi="Times New Roman;serif"/>
          <w:b w:val="false"/>
          <w:color w:val="000000"/>
          <w:sz w:val="22"/>
        </w:rPr>
        <w:t xml:space="preserve">, it will (at the request of Borrower) use reasonable efforts to (a) make, issue, fund or maintain its Credit Extensions,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would be reduced and if, as determined by such Lender in its reasonable discretion, the making, issuing, funding or maintaining of such Term Loans through such other office or in accordance with such other measures, as the case may be, would not otherwise adversely affect such Term Loans or the interests of such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such Lender will not be obligated to utilize such other office pursuant to this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unless Company agrees to pay all reasonable incremental expenses incurred by such Lender as a result of utilizing such other office as described above. A certificate as to the amount of any such expenses payable by Company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28650"/>
                <wp:effectExtent l="0" t="0" r="0" b="0"/>
                <wp:wrapNone/>
                <wp:docPr id="146" name="Frame1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(setting forth in reasonable detail the basis for requesting such amount) submitted by such Lender to Company (with a copy to Administrative Agent)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2.17</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xml:space="preserve">. Anything contained herein to the contrary notwithstanding, in the event that any Lender violates any provision of </w:t>
      </w:r>
      <w:r>
        <w:rPr>
          <w:rFonts w:ascii="Times New Roman;serif" w:hAnsi="Times New Roman;serif"/>
          <w:b w:val="false"/>
          <w:color w:val="000000"/>
          <w:sz w:val="22"/>
          <w:u w:val="single"/>
        </w:rPr>
        <w:t>Section 9.5(c)</w:t>
      </w:r>
      <w:r>
        <w:rPr>
          <w:rFonts w:ascii="Times New Roman;serif" w:hAnsi="Times New Roman;serif"/>
          <w:b w:val="false"/>
          <w:color w:val="000000"/>
          <w:sz w:val="22"/>
        </w:rPr>
        <w:t>, or, other than at the direction or request of any regulatory agency or authority, defaults (in each case, a “</w:t>
      </w:r>
      <w:r>
        <w:rPr>
          <w:rFonts w:ascii="Times New Roman;serif" w:hAnsi="Times New Roman;serif"/>
          <w:b w:val="false"/>
          <w:color w:val="000000"/>
          <w:sz w:val="22"/>
          <w:u w:val="single"/>
        </w:rPr>
        <w:t>Defaulting Lender</w:t>
      </w:r>
      <w:r>
        <w:rPr>
          <w:color w:val="000000"/>
        </w:rPr>
        <w:t>”</w:t>
      </w:r>
      <w:r>
        <w:rPr>
          <w:rFonts w:ascii="Times New Roman;serif" w:hAnsi="Times New Roman;serif"/>
          <w:b w:val="false"/>
          <w:color w:val="000000"/>
          <w:sz w:val="22"/>
        </w:rPr>
        <w:t>) in its obligation to fund (a “</w:t>
      </w:r>
      <w:r>
        <w:rPr>
          <w:rFonts w:ascii="Times New Roman;serif" w:hAnsi="Times New Roman;serif"/>
          <w:b w:val="false"/>
          <w:color w:val="000000"/>
          <w:sz w:val="22"/>
          <w:u w:val="single"/>
        </w:rPr>
        <w:t>Funding Default</w:t>
      </w:r>
      <w:r>
        <w:rPr>
          <w:color w:val="000000"/>
        </w:rPr>
        <w:t>”</w:t>
      </w:r>
      <w:r>
        <w:rPr>
          <w:rFonts w:ascii="Times New Roman;serif" w:hAnsi="Times New Roman;serif"/>
          <w:b w:val="false"/>
          <w:color w:val="000000"/>
          <w:sz w:val="22"/>
        </w:rPr>
        <w:t>) a Term Loan (in each case, a “</w:t>
      </w:r>
      <w:r>
        <w:rPr>
          <w:rFonts w:ascii="Times New Roman;serif" w:hAnsi="Times New Roman;serif"/>
          <w:b w:val="false"/>
          <w:color w:val="000000"/>
          <w:sz w:val="22"/>
          <w:u w:val="single"/>
        </w:rPr>
        <w:t>Defaulted Loan</w:t>
      </w:r>
      <w:r>
        <w:rPr>
          <w:color w:val="000000"/>
        </w:rPr>
        <w:t>”</w:t>
      </w:r>
      <w:r>
        <w:rPr>
          <w:rFonts w:ascii="Times New Roman;serif" w:hAnsi="Times New Roman;serif"/>
          <w:b w:val="false"/>
          <w:color w:val="000000"/>
          <w:sz w:val="22"/>
        </w:rPr>
        <w:t xml:space="preserve">), then (a) during any Default Period with respect to such Defaulting Lender, such Defaulting Lender shall be deemed not to be a “Lender” for purposes of voting on any matters (including the granting of any consents or waivers) with respect to any of the Loan Documents; and (b) to the extent permitted by applicable law, until such time as the Default Excess, if any, with respect to such Defaulting Lender shall have been reduced to zero, (i) any voluntary prepayment of the Term Loans shall, if Administrative Agent so directs at the time of making such voluntary prepayment, be applied to Term Loans of other Lenders as if such Defaulting Lender had no Term Loans outstanding and the outstanding Term Loans of such Defaulting Lender were zero, and (ii) any mandatory prepayment of the Term Loans shall, if Administrative Agent so directs at the time of making such mandatory prepayment, be applied to the Term Loans of other Lenders (but not to the Term Loans of such Defaulting Lender) as if such Defaulting Lender had funded all Defaulted Loans of such Defaulting Lender, it being understood and agreed that Company shall be entitled to retain any portion of any mandatory prepayment of the Term Loans that is not paid to such Defaulting Lender solely as a result of the operation of the provisions of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No Term Loan Commitment of any Lender shall be increased or otherwise affected, and, except as otherwise expressly provided in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performance by Company of its obligations hereunder and the other Loan Documents shall not be excused or otherwise modified as a result of any Funding Default or the operation of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The rights and remedies against a Defaulting Lender under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are in addition to other rights and remedies which Company may have against such Defaulting Lender with respect to any Funding Default and which Administrative Agent or any Lender may have against such Defaulting Lender with respect to any Funding Default or violation of </w:t>
      </w:r>
      <w:r>
        <w:rPr>
          <w:rFonts w:ascii="Times New Roman;serif" w:hAnsi="Times New Roman;serif"/>
          <w:b w:val="false"/>
          <w:color w:val="000000"/>
          <w:sz w:val="22"/>
          <w:u w:val="single"/>
        </w:rPr>
        <w:t>Section 9.5(c)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2.18</w:t>
      </w:r>
      <w:r>
        <w:rPr>
          <w:rFonts w:ascii="Times New Roman;serif" w:hAnsi="Times New Roman;serif"/>
          <w:b w:val="false"/>
          <w:color w:val="000000"/>
          <w:sz w:val="22"/>
          <w:u w:val="single"/>
        </w:rPr>
        <w:t>Removal or Replacement of a Lender</w:t>
      </w:r>
      <w:r>
        <w:rPr>
          <w:rFonts w:ascii="Times New Roman;serif" w:hAnsi="Times New Roman;serif"/>
          <w:b w:val="false"/>
          <w:color w:val="000000"/>
          <w:sz w:val="22"/>
        </w:rPr>
        <w:t>. Anything contained herein to the contrary notwithstanding, in the event that: (a) (i) any Lender (an “</w:t>
      </w:r>
      <w:r>
        <w:rPr>
          <w:rFonts w:ascii="Times New Roman;serif" w:hAnsi="Times New Roman;serif"/>
          <w:b w:val="false"/>
          <w:color w:val="000000"/>
          <w:sz w:val="22"/>
          <w:u w:val="single"/>
        </w:rPr>
        <w:t>Increased Cost Lender</w:t>
      </w:r>
      <w:r>
        <w:rPr>
          <w:color w:val="000000"/>
        </w:rPr>
        <w:t>”</w:t>
      </w:r>
      <w:r>
        <w:rPr>
          <w:rFonts w:ascii="Times New Roman;serif" w:hAnsi="Times New Roman;serif"/>
          <w:b w:val="false"/>
          <w:color w:val="000000"/>
          <w:sz w:val="22"/>
        </w:rPr>
        <w:t xml:space="preserve">) shall give notice to Company that such Lender is an Affected Lender or that such Lender is entitled to receive payments under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2.16</w:t>
      </w:r>
      <w:r>
        <w:rPr>
          <w:rFonts w:ascii="Times New Roman;serif" w:hAnsi="Times New Roman;serif"/>
          <w:b w:val="false"/>
          <w:color w:val="000000"/>
          <w:sz w:val="22"/>
        </w:rPr>
        <w:t xml:space="preserve">, (ii) the circumstances which have caused such Lender to be an Affected Lender or which entitle such Lender to receive such payments shall remain in effect, and (iii) such Lender has declined or is unwilling to designate a different lending office in accordance with Section 2.16; or (b) (i) any Lender shall become a Defaulting Lender, (ii) the Default Period for such Defaulting Lender shall remain in effect, and (iii) such Defaulting Lender shall fail to cure the default as a result of which it has become a Defaulting Lender within five Business Days after Company’s request that it cure such default; or (c) in connection with any proposed amendment, modification, termination, waiver or consent with respect to any of the provisions hereof as contemplated by </w:t>
      </w:r>
      <w:r>
        <w:rPr>
          <w:rFonts w:ascii="Times New Roman;serif" w:hAnsi="Times New Roman;serif"/>
          <w:b w:val="false"/>
          <w:color w:val="000000"/>
          <w:sz w:val="22"/>
          <w:u w:val="single"/>
        </w:rPr>
        <w:t>Section 10.5(b)</w:t>
      </w:r>
      <w:r>
        <w:rPr>
          <w:rFonts w:ascii="Times New Roman;serif" w:hAnsi="Times New Roman;serif"/>
          <w:b w:val="false"/>
          <w:color w:val="000000"/>
          <w:sz w:val="22"/>
        </w:rPr>
        <w:t>, the consent of Administrative Agent and Required Lenders shall have been obtained but the consent of one or more of such other Lenders (each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whose consent is required shall not have been obtained; then, with respect to each such Increased Cost Lender, Defaulting Lender or Non-Consenting Lender (the “</w:t>
      </w:r>
      <w:r>
        <w:rPr>
          <w:rFonts w:ascii="Times New Roman;serif" w:hAnsi="Times New Roman;serif"/>
          <w:b w:val="false"/>
          <w:color w:val="000000"/>
          <w:sz w:val="22"/>
          <w:u w:val="single"/>
        </w:rPr>
        <w:t>Terminated Lender</w:t>
      </w:r>
      <w:r>
        <w:rPr>
          <w:color w:val="000000"/>
        </w:rPr>
        <w:t>”</w:t>
      </w:r>
      <w:r>
        <w:rPr>
          <w:rFonts w:ascii="Times New Roman;serif" w:hAnsi="Times New Roman;serif"/>
          <w:b w:val="false"/>
          <w:color w:val="000000"/>
          <w:sz w:val="22"/>
        </w:rPr>
        <w:t>), Borrower may, by giving written notice to Company and any Terminated Lender of its election to do so, elect to cause such Terminated Lender (and such Terminated Lender hereby irrevocably agrees) to assign its outstanding Term Loans in full to one or more Eligible Assignees (each a “</w:t>
      </w:r>
      <w:r>
        <w:rPr>
          <w:rFonts w:ascii="Times New Roman;serif" w:hAnsi="Times New Roman;serif"/>
          <w:b w:val="false"/>
          <w:color w:val="000000"/>
          <w:sz w:val="22"/>
          <w:u w:val="single"/>
        </w:rPr>
        <w:t>Replacement Lender</w:t>
      </w:r>
      <w:r>
        <w:rPr>
          <w:color w:val="000000"/>
        </w:rPr>
        <w:t>”</w:t>
      </w:r>
      <w:r>
        <w:rPr>
          <w:rFonts w:ascii="Times New Roman;serif" w:hAnsi="Times New Roman;serif"/>
          <w:b w:val="false"/>
          <w:color w:val="000000"/>
          <w:sz w:val="22"/>
        </w:rPr>
        <w:t xml:space="preserve">) in accordance with the provisions of </w:t>
      </w:r>
      <w:r>
        <w:rPr>
          <w:rFonts w:ascii="Times New Roman;serif" w:hAnsi="Times New Roman;serif"/>
          <w:b w:val="false"/>
          <w:color w:val="000000"/>
          <w:sz w:val="22"/>
          <w:u w:val="single"/>
        </w:rPr>
        <w:t>Section 10.6</w:t>
      </w:r>
      <w:r>
        <w:rPr>
          <w:color w:val="000000"/>
        </w:rPr>
        <w:t xml:space="preserve"> </w:t>
      </w:r>
      <w:r>
        <w:rPr>
          <w:rFonts w:ascii="Times New Roman;serif" w:hAnsi="Times New Roman;serif"/>
          <w:b w:val="false"/>
          <w:color w:val="000000"/>
          <w:sz w:val="22"/>
        </w:rPr>
        <w:t xml:space="preserve">and Terminated Lender shall pay any fees payable thereunder in connection with such assignment;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(1) on the date of such assignment, the Replacement Lender shall pay to Terminated Lender an amount equal to the sum of (A) an amount equal to the principal of, and all accrued interest on, all outstanding Loans of the Terminated Lender and (B) an amount equal to all accrued, but theretofore unpaid fees owing to such Terminated Lender pursuant to </w:t>
      </w:r>
      <w:r>
        <w:rPr>
          <w:rFonts w:ascii="Times New Roman;serif" w:hAnsi="Times New Roman;serif"/>
          <w:b w:val="false"/>
          <w:color w:val="000000"/>
          <w:sz w:val="22"/>
          <w:u w:val="single"/>
        </w:rPr>
        <w:t>Section 2.7</w:t>
      </w:r>
      <w:r>
        <w:rPr>
          <w:rFonts w:ascii="Times New Roman;serif" w:hAnsi="Times New Roman;serif"/>
          <w:b w:val="false"/>
          <w:color w:val="000000"/>
          <w:sz w:val="22"/>
        </w:rPr>
        <w:t xml:space="preserve">; (2) on the date of such assignment, Company shall pay any amounts payable to such Terminated Lender pursuant to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2.15</w:t>
      </w:r>
      <w:r>
        <w:rPr>
          <w:rFonts w:ascii="Times New Roman;serif" w:hAnsi="Times New Roman;serif"/>
          <w:b w:val="false"/>
          <w:color w:val="000000"/>
          <w:sz w:val="22"/>
        </w:rPr>
        <w:t xml:space="preserve">; and (3)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any rights of such Terminated Lender to indemnification hereunder shall survive as to such Terminated Lender. For the avoidance of doubt, all fees that would otherwise be due and payable to any Non-Consenting Lender, including,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28650"/>
                <wp:effectExtent l="0" t="0" r="0" b="0"/>
                <wp:wrapNone/>
                <wp:docPr id="147" name="Frame1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limitation, any Yield Maintenance Premium, shall continue to be due and payable to such Non-Consenting Lender.</w:t>
      </w:r>
    </w:p>
    <w:p>
      <w:pPr>
        <w:pStyle w:val="TextBody"/>
        <w:bidi w:val="0"/>
        <w:spacing w:lineRule="auto" w:line="240" w:before="0" w:after="240"/>
        <w:jc w:val="center"/>
        <w:rPr/>
      </w:pPr>
      <w:r>
        <w:rPr>
          <w:rFonts w:ascii="Times New Roman;serif" w:hAnsi="Times New Roman;serif"/>
          <w:b w:val="false"/>
          <w:color w:val="010000"/>
          <w:sz w:val="22"/>
        </w:rPr>
        <w:t>Article III</w:t>
      </w:r>
      <w:r>
        <w:rPr>
          <w:rFonts w:ascii="Times New Roman;serif" w:hAnsi="Times New Roman;serif"/>
          <w:b w:val="false"/>
          <w:color w:val="000000"/>
          <w:sz w:val="22"/>
        </w:rPr>
        <w:br/>
        <w:br/>
        <w:t>CONDITIONS PRECEDENT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3.1</w:t>
      </w:r>
      <w:r>
        <w:rPr>
          <w:rFonts w:ascii="Times New Roman;serif" w:hAnsi="Times New Roman;serif"/>
          <w:b w:val="false"/>
          <w:color w:val="000000"/>
          <w:sz w:val="22"/>
          <w:u w:val="single"/>
        </w:rPr>
        <w:t>Closing Date</w:t>
      </w:r>
      <w:r>
        <w:rPr>
          <w:rFonts w:ascii="Times New Roman;serif" w:hAnsi="Times New Roman;serif"/>
          <w:b w:val="false"/>
          <w:color w:val="000000"/>
          <w:sz w:val="22"/>
        </w:rPr>
        <w:t xml:space="preserve">. The effectivness of this Agreement is subject to the satisfaction, or waiver in accordance with </w:t>
      </w:r>
      <w:r>
        <w:rPr>
          <w:rFonts w:ascii="Times New Roman;serif" w:hAnsi="Times New Roman;serif"/>
          <w:b w:val="false"/>
          <w:color w:val="000000"/>
          <w:sz w:val="22"/>
          <w:u w:val="single"/>
        </w:rPr>
        <w:t>Section 10.5</w:t>
      </w:r>
      <w:r>
        <w:rPr>
          <w:rFonts w:ascii="Times New Roman;serif" w:hAnsi="Times New Roman;serif"/>
          <w:b w:val="false"/>
          <w:color w:val="000000"/>
          <w:sz w:val="22"/>
        </w:rPr>
        <w:t>, of the following conditions on or before the Closing Date:</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Loan Documents</w:t>
      </w:r>
      <w:r>
        <w:rPr>
          <w:rFonts w:ascii="Times New Roman;serif" w:hAnsi="Times New Roman;serif"/>
          <w:b w:val="false"/>
          <w:color w:val="000000"/>
          <w:sz w:val="22"/>
        </w:rPr>
        <w:t>. Administrative Agent shall have received copies of each Loan Document duly executed and delivered by each applicable Loan Party for each Lender.</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Organizational Documents; Incumbency</w:t>
      </w:r>
      <w:r>
        <w:rPr>
          <w:rFonts w:ascii="Times New Roman;serif" w:hAnsi="Times New Roman;serif"/>
          <w:b w:val="false"/>
          <w:color w:val="000000"/>
          <w:sz w:val="22"/>
        </w:rPr>
        <w:t xml:space="preserve">. Administrative Agent shall have received a Secretary’s or Director’s Certificate for each Loan Party attaching (i) copies of each Organizational Document of such Loan Party and, to the extent applicable, certified as of a recent date by the appropriate governmental official, each dated the Closing Date or a recent date prior thereto; (ii) signature and incumbency certificates of the officers or directors of such Person executing the Loan Documents to which it is a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Closing Date, certified as of the Closing Date by its secretary, assistant secretary or a director as being in full force and effect without modification or amendment; (iv) a good standing certificate from the applicable Governmental Authority of such Loan Party’s jurisdiction of incorporation, organization or formation and in each jurisdiction in which it is qualified as a foreign corporation or other entity to do business, each dated a recent date prior to the Closing Date; and (v) such other documents as Administrative Agent may reasonably request. </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Organizational and Capital Structure</w:t>
      </w:r>
      <w:r>
        <w:rPr>
          <w:rFonts w:ascii="Times New Roman;serif" w:hAnsi="Times New Roman;serif"/>
          <w:b w:val="false"/>
          <w:color w:val="000000"/>
          <w:sz w:val="22"/>
        </w:rPr>
        <w:t xml:space="preserve">. The organizational structure and capital structure of Borrower and its Subsidiaries shall be as set forth on </w:t>
      </w:r>
      <w:r>
        <w:rPr>
          <w:rFonts w:ascii="Times New Roman;serif" w:hAnsi="Times New Roman;serif"/>
          <w:b w:val="false"/>
          <w:color w:val="000000"/>
          <w:sz w:val="22"/>
          <w:u w:val="single"/>
        </w:rPr>
        <w:t>Schedule 4.2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u w:val="single"/>
        </w:rPr>
        <w:t>Governmental Authorizations and Consents</w:t>
      </w:r>
      <w:r>
        <w:rPr>
          <w:rFonts w:ascii="Times New Roman;serif" w:hAnsi="Times New Roman;serif"/>
          <w:b w:val="false"/>
          <w:color w:val="000000"/>
          <w:sz w:val="22"/>
        </w:rPr>
        <w:t>. Each Loan Party shall have obtained all Governmental Authorizations and all consents of other Persons, in each case that are necessary or advisable in connection with the transactions contemplated by the Loan Documents and each of the foregoing shall be in full force and effect and in form and substance reasonably satisfactory to Administrative Agent. All applicable waiting periods shall have expired without any action being taken or threatened by any competent authority which would restrain, prevent or otherwise impose adverse conditions on the transactions contemplated by the Loan Documents or the financing thereof and no action, request for stay, petition for review or rehearing, reconsideration, or appeal with respect to any of the foregoing shall be pending, and the time for any applicable agency to take action to set aside its consent on its own motion shall have expired.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u w:val="single"/>
        </w:rPr>
        <w:t>Personal Property Collateral</w:t>
      </w:r>
      <w:r>
        <w:rPr>
          <w:rFonts w:ascii="Times New Roman;serif" w:hAnsi="Times New Roman;serif"/>
          <w:b w:val="false"/>
          <w:color w:val="000000"/>
          <w:sz w:val="22"/>
        </w:rPr>
        <w:t>. Administrative Agent shall have received:</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5.14</w:t>
      </w:r>
      <w:r>
        <w:rPr>
          <w:rFonts w:ascii="Times New Roman;serif" w:hAnsi="Times New Roman;serif"/>
          <w:b w:val="false"/>
          <w:color w:val="000000"/>
          <w:sz w:val="22"/>
        </w:rPr>
        <w:t>, evidence reasonably satisfactory to Administrative Agent of the compliance by each Loan Party of their obligations under the Pledge and Security Agreement and the other Collateral Documents (including, without limitation, their obligations to authorize or execute, as the case may be, and deliver UCC financing statements, originals of Capital Stock (including stock certificates, if any, representing pledged Capital Stock along with appropriate endorsements), instruments and chattel paper, and any agreements governing deposit and/or securities accounts as provided therein), together with (A) appropriate financing statements on Form UCC-1 in form for filing in such office or offices as may be necessary or, in the opinion of Administrative Agent, desirable to perfect the security interests purported to be created by each Pledge and Security Agreement and each other Collateral Document and (B) evidence satisfactory to Administrative Agent of the submission for filing of such UCC-1 financing statements;</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a completed Perfection Certificate dated the Closing Date and executed by an Authorized Officer of each Loan Party, together with all attachments contemplated thereby,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628650"/>
                <wp:effectExtent l="0" t="0" r="0" b="0"/>
                <wp:wrapNone/>
                <wp:docPr id="148" name="Frame14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(A) the results of a recent search, by a Person satisfactory to Administrative Agent, of all effective UCC financing statements (or equivalent filings) made with respect to any assets or property of any Loan Party in the jurisdictions specified in the Perfection Certificate, together with copies of all such filings disclosed by such search, and (B) UCC termination statements (or similar documents) duly executed by all applicable Persons for filing in all applicable jurisdictions as may be necessary to terminate any effective UCC financing statements (or equivalent filings) disclosed in such search (other than any such financing statements in respect of Permitted Liens); and</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(iii)</w:t>
      </w:r>
      <w:r>
        <w:rPr>
          <w:rFonts w:ascii="Times New Roman;serif" w:hAnsi="Times New Roman;serif"/>
          <w:b w:val="false"/>
          <w:color w:val="000000"/>
          <w:sz w:val="22"/>
        </w:rPr>
        <w:t>evidence that each Loan Party shall have taken or caused to be taken any other action, executed and delivered or caused to be executed and delivered any other agreement, document and instrument and made or caused to be made any other filing and recording reasonably required by Administrative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u w:val="single"/>
        </w:rPr>
        <w:t>Financial Statements; Projections</w:t>
      </w:r>
      <w:r>
        <w:rPr>
          <w:rFonts w:ascii="Times New Roman;serif" w:hAnsi="Times New Roman;serif"/>
          <w:b w:val="false"/>
          <w:color w:val="000000"/>
          <w:sz w:val="22"/>
        </w:rPr>
        <w:t>. Lenders shall have received from Borrower (i) the Historical Financial Statements, (ii) pro forma consolidated balance sheets of Borrower and its Subsidiaries, which shall be based on the financial statements of Borrower and its Subsidiaries for the Fiscal Quarter ended March 31, 2024, and adjusted to reflect the transactions contemplated by the Loan Documents to occur on or prior to the Closing Date, which pro forma financial statements shall be in form and substance satisfactory to Administrative Agent, and (iii) the Projections.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u w:val="single"/>
        </w:rPr>
        <w:t>Evidence of Insurance</w:t>
      </w:r>
      <w:r>
        <w:rPr>
          <w:rFonts w:ascii="Times New Roman;serif" w:hAnsi="Times New Roman;serif"/>
          <w:b w:val="false"/>
          <w:color w:val="000000"/>
          <w:sz w:val="22"/>
        </w:rPr>
        <w:t xml:space="preserve">. Administrative Agent shall have received a certificate from Company’s insurance broker or other evidence satisfactory to it that all insurance required to be maintained pursuant to </w:t>
      </w:r>
      <w:r>
        <w:rPr>
          <w:rFonts w:ascii="Times New Roman;serif" w:hAnsi="Times New Roman;serif"/>
          <w:b w:val="false"/>
          <w:color w:val="000000"/>
          <w:sz w:val="22"/>
          <w:u w:val="single"/>
        </w:rPr>
        <w:t>Section 5.5</w:t>
      </w:r>
      <w:r>
        <w:rPr>
          <w:color w:val="000000"/>
        </w:rPr>
        <w:t xml:space="preserve"> </w:t>
      </w:r>
      <w:r>
        <w:rPr>
          <w:rFonts w:ascii="Times New Roman;serif" w:hAnsi="Times New Roman;serif"/>
          <w:b w:val="false"/>
          <w:color w:val="000000"/>
          <w:sz w:val="22"/>
        </w:rPr>
        <w:t xml:space="preserve">is in full force and effect, together with, subject to </w:t>
      </w:r>
      <w:r>
        <w:rPr>
          <w:rFonts w:ascii="Times New Roman;serif" w:hAnsi="Times New Roman;serif"/>
          <w:b w:val="false"/>
          <w:color w:val="000000"/>
          <w:sz w:val="22"/>
          <w:u w:val="single"/>
        </w:rPr>
        <w:t>Section 5.14</w:t>
      </w:r>
      <w:r>
        <w:rPr>
          <w:rFonts w:ascii="Times New Roman;serif" w:hAnsi="Times New Roman;serif"/>
          <w:b w:val="false"/>
          <w:color w:val="000000"/>
          <w:sz w:val="22"/>
        </w:rPr>
        <w:t xml:space="preserve">, endorsements naming Administrative Agent, for the benefit of Secured Parties, as additional insured and loss payee thereunder to the extent required under </w:t>
      </w:r>
      <w:r>
        <w:rPr>
          <w:rFonts w:ascii="Times New Roman;serif" w:hAnsi="Times New Roman;serif"/>
          <w:b w:val="false"/>
          <w:color w:val="000000"/>
          <w:sz w:val="22"/>
          <w:u w:val="single"/>
        </w:rPr>
        <w:t>Section 5.5</w:t>
      </w:r>
      <w:r>
        <w:rPr>
          <w:rFonts w:ascii="Times New Roman;serif" w:hAnsi="Times New Roman;serif"/>
          <w:b w:val="false"/>
          <w:color w:val="000000"/>
          <w:sz w:val="22"/>
        </w:rPr>
        <w:t>, in each case, in form and substance reasonably satisfactory to Administrative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u w:val="single"/>
        </w:rPr>
        <w:t>Opinions of Counsel to Loan Parties</w:t>
      </w:r>
      <w:r>
        <w:rPr>
          <w:rFonts w:ascii="Times New Roman;serif" w:hAnsi="Times New Roman;serif"/>
          <w:b w:val="false"/>
          <w:color w:val="000000"/>
          <w:sz w:val="22"/>
        </w:rPr>
        <w:t>. Lenders and, with respect to the opinions of counsel for the Loan Parties, their respective counsel shall have received executed copies of the favorable written opinions of Gibson Dunn &amp; Crutcher LLP, counsel for the Loan Parties, as to such other matters as Administrative Agent may reasonably request, dated the Closing Date and otherwise in form and substance reasonably satisfactory to Administrative Agent (and each Loan Party hereby instructs such counsel to deliver such opinions to Administrative Agent and Lenders).</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Company shall have paid to Administrative Agent, the fees and expenses then due and payable pursuant to </w:t>
      </w:r>
      <w:r>
        <w:rPr>
          <w:rFonts w:ascii="Times New Roman;serif" w:hAnsi="Times New Roman;serif"/>
          <w:b w:val="false"/>
          <w:color w:val="000000"/>
          <w:sz w:val="22"/>
          <w:u w:val="single"/>
        </w:rPr>
        <w:t>Section 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On the Closing Date, Administrative Agent shall have received a duly executed Solvency Certificate of the chief financial officer of Borrower, dated as of the Closing Date and addressed to Administrative Agent and Lenders, and in form, scope and substance satisfactory to Administrative Agent, certifying that after giving effect to the consummation of the transactions contemplated herein including the funding of the Initial Term Loan on the Closing Date, Borrower and its Subsidiaries are and will be Solvent.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u w:val="single"/>
        </w:rPr>
        <w:t>Closing Date Certificate</w:t>
      </w:r>
      <w:r>
        <w:rPr>
          <w:rFonts w:ascii="Times New Roman;serif" w:hAnsi="Times New Roman;serif"/>
          <w:b w:val="false"/>
          <w:color w:val="000000"/>
          <w:sz w:val="22"/>
        </w:rPr>
        <w:t>. Company shall have delivered to Administrative Agent a duly executed Closing Date Certificate, together with all attachments thereto.</w:t>
      </w:r>
    </w:p>
    <w:p>
      <w:pPr>
        <w:pStyle w:val="TextBody"/>
        <w:bidi w:val="0"/>
        <w:spacing w:lineRule="auto" w:line="240"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u w:val="single"/>
        </w:rPr>
        <w:t>No Litigation</w:t>
      </w:r>
      <w:r>
        <w:rPr>
          <w:rFonts w:ascii="Times New Roman;serif" w:hAnsi="Times New Roman;serif"/>
          <w:b w:val="false"/>
          <w:color w:val="000000"/>
          <w:sz w:val="22"/>
        </w:rPr>
        <w:t>. There shall not exist any action, suit, investigation, litigation or proceeding or other legal or regulatory developments, pending or threatened in any court or before any arbitrator or Governmental Authority that, in the reasonable discretion of Administrative Agent, singly or in the aggregate, materially impairs the transactions contemplated by the Loan Documents or that would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u w:val="single"/>
        </w:rPr>
        <w:t>No Material Adverse Effect/Material Regulatory Liability</w:t>
      </w:r>
      <w:r>
        <w:rPr>
          <w:rFonts w:ascii="Times New Roman;serif" w:hAnsi="Times New Roman;serif"/>
          <w:b w:val="false"/>
          <w:color w:val="000000"/>
          <w:sz w:val="22"/>
        </w:rPr>
        <w:t>. Since [**], no event, circumstance or change shall have occurred that has caused or evidences, either in any case or in the aggregate, a Material Adverse Effect or a Material Regulatory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28650"/>
                <wp:effectExtent l="0" t="0" r="0" b="0"/>
                <wp:wrapNone/>
                <wp:docPr id="149" name="Frame14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u w:val="single"/>
        </w:rPr>
        <w:t>Bank Regulations</w:t>
      </w:r>
      <w:r>
        <w:rPr>
          <w:rFonts w:ascii="Times New Roman;serif" w:hAnsi="Times New Roman;serif"/>
          <w:b w:val="false"/>
          <w:color w:val="000000"/>
          <w:sz w:val="22"/>
        </w:rPr>
        <w:t>. Administrative Agent shall have received all documentation and other information reasonably requested that is required by bank regulatory authorities under applicable “know-your-customer” and anti-money laundering rules and regulations, including the Patriot Act and the Beneficial Ownership Regulation, and all such documentation (including the Beneficial Ownership Certification) and other information shall be in form and substance reasonably satisfactory to Administrative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The representations and warranties contained herein and in each other Loan Document, certificate or other writing delivered to Administrative Agent or any Lender pursuant hereto or thereto on or prior to the date hereof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the date hereof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pStyle w:val="TextBody"/>
        <w:bidi w:val="0"/>
        <w:spacing w:lineRule="auto" w:line="240"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u w:val="single"/>
        </w:rPr>
        <w:t>No Default or Event of Default</w:t>
      </w:r>
      <w:r>
        <w:rPr>
          <w:rFonts w:ascii="Times New Roman;serif" w:hAnsi="Times New Roman;serif"/>
          <w:b w:val="false"/>
          <w:color w:val="000000"/>
          <w:sz w:val="22"/>
        </w:rPr>
        <w:t>. No event shall have occurred and be continuing or would result from the consummation of the transactions contemplated herein that would constitute an Event of Default or a Default.</w:t>
      </w:r>
    </w:p>
    <w:p>
      <w:pPr>
        <w:pStyle w:val="TextBody"/>
        <w:bidi w:val="0"/>
        <w:spacing w:lineRule="auto" w:line="240" w:before="0" w:after="240"/>
        <w:ind w:left="0" w:right="0" w:firstLine="1440"/>
        <w:jc w:val="both"/>
        <w:rPr/>
      </w:pPr>
      <w:r>
        <w:rPr>
          <w:rFonts w:ascii="Times New Roman;serif" w:hAnsi="Times New Roman;serif"/>
          <w:b w:val="false"/>
          <w:color w:val="010000"/>
          <w:sz w:val="22"/>
        </w:rPr>
        <w:t>(q)</w:t>
      </w:r>
      <w:r>
        <w:rPr>
          <w:rFonts w:ascii="Times New Roman;serif" w:hAnsi="Times New Roman;serif"/>
          <w:b w:val="false"/>
          <w:color w:val="000000"/>
          <w:sz w:val="22"/>
          <w:u w:val="single"/>
        </w:rPr>
        <w:t>No Contravention</w:t>
      </w:r>
      <w:r>
        <w:rPr>
          <w:rFonts w:ascii="Times New Roman;serif" w:hAnsi="Times New Roman;serif"/>
          <w:b w:val="false"/>
          <w:color w:val="000000"/>
          <w:sz w:val="22"/>
        </w:rPr>
        <w:t>. The making of the Term Loan shall not contravene any law, rule or regulation applicable to Administrative Agent or any Lender.</w:t>
      </w:r>
    </w:p>
    <w:p>
      <w:pPr>
        <w:pStyle w:val="TextBody"/>
        <w:bidi w:val="0"/>
        <w:spacing w:lineRule="auto" w:line="240" w:before="0" w:after="240"/>
        <w:ind w:left="0" w:right="0" w:firstLine="1440"/>
        <w:jc w:val="both"/>
        <w:rPr/>
      </w:pPr>
      <w:r>
        <w:rPr>
          <w:rFonts w:ascii="Times New Roman;serif" w:hAnsi="Times New Roman;serif"/>
          <w:b w:val="false"/>
          <w:color w:val="010000"/>
          <w:sz w:val="22"/>
        </w:rPr>
        <w:t>(r)</w:t>
      </w:r>
      <w:r>
        <w:rPr>
          <w:rFonts w:ascii="Times New Roman;serif" w:hAnsi="Times New Roman;serif"/>
          <w:b w:val="false"/>
          <w:color w:val="000000"/>
          <w:sz w:val="22"/>
          <w:u w:val="single"/>
        </w:rPr>
        <w:t>Registrations</w:t>
      </w:r>
      <w:r>
        <w:rPr>
          <w:rFonts w:ascii="Times New Roman;serif" w:hAnsi="Times New Roman;serif"/>
          <w:b w:val="false"/>
          <w:color w:val="000000"/>
          <w:sz w:val="22"/>
        </w:rPr>
        <w:t>. All Registrations from the FDA, EMA and comparable Governmental Authorities in respect of the Products shall be valid and subsisting and in full force and effect.</w:t>
      </w:r>
    </w:p>
    <w:p>
      <w:pPr>
        <w:pStyle w:val="TextBody"/>
        <w:bidi w:val="0"/>
        <w:spacing w:lineRule="auto" w:line="240" w:before="0" w:after="240"/>
        <w:ind w:left="0" w:right="0" w:firstLine="1440"/>
        <w:jc w:val="both"/>
        <w:rPr/>
      </w:pPr>
      <w:r>
        <w:rPr>
          <w:rFonts w:ascii="Times New Roman;serif" w:hAnsi="Times New Roman;serif"/>
          <w:b w:val="false"/>
          <w:color w:val="010000"/>
          <w:sz w:val="22"/>
        </w:rPr>
        <w:t>(s)</w:t>
      </w:r>
      <w:r>
        <w:rPr>
          <w:rFonts w:ascii="Times New Roman;serif" w:hAnsi="Times New Roman;serif"/>
          <w:b w:val="false"/>
          <w:color w:val="000000"/>
          <w:sz w:val="22"/>
          <w:u w:val="single"/>
        </w:rPr>
        <w:t>Security Interests</w:t>
      </w:r>
      <w:r>
        <w:rPr>
          <w:rFonts w:ascii="Times New Roman;serif" w:hAnsi="Times New Roman;serif"/>
          <w:b w:val="false"/>
          <w:color w:val="000000"/>
          <w:sz w:val="22"/>
        </w:rPr>
        <w:t xml:space="preserve">. The Loan Documents shall create in favor of the Administrative Agent, for the benefit of the Secured Parties, a legal, valid and enforceable first priority security interest in the Collateral secured thereby (subject to Permitted Liens and </w:t>
      </w:r>
      <w:r>
        <w:rPr>
          <w:rFonts w:ascii="Times New Roman;serif" w:hAnsi="Times New Roman;serif"/>
          <w:b w:val="false"/>
          <w:color w:val="000000"/>
          <w:sz w:val="22"/>
          <w:u w:val="single"/>
        </w:rPr>
        <w:t>Section 5.14</w:t>
      </w:r>
      <w:r>
        <w:rPr>
          <w:rFonts w:ascii="Times New Roman;serif" w:hAnsi="Times New Roman;serif"/>
          <w:b w:val="false"/>
          <w:color w:val="000000"/>
          <w:sz w:val="22"/>
        </w:rPr>
        <w:t>) located in the United States to the extent permitted by law and subject to the perfection requirements set forth in the Pledge and Security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(t)</w:t>
      </w:r>
      <w:r>
        <w:rPr>
          <w:rFonts w:ascii="Times New Roman;serif" w:hAnsi="Times New Roman;serif"/>
          <w:b w:val="false"/>
          <w:color w:val="000000"/>
          <w:sz w:val="22"/>
          <w:u w:val="single"/>
        </w:rPr>
        <w:t>Sources and Uses</w:t>
      </w:r>
      <w:r>
        <w:rPr>
          <w:rFonts w:ascii="Times New Roman;serif" w:hAnsi="Times New Roman;serif"/>
          <w:b w:val="false"/>
          <w:color w:val="000000"/>
          <w:sz w:val="22"/>
        </w:rPr>
        <w:t>. On or prior to the Closing Date, Company shall have delivered to Administrative Agent Company’s reasonable best estimate of all sources and uses of Cash and other proceeds on the Closing Date.</w:t>
      </w:r>
    </w:p>
    <w:p>
      <w:pPr>
        <w:pStyle w:val="TextBody"/>
        <w:bidi w:val="0"/>
        <w:spacing w:lineRule="auto" w:line="240" w:before="0" w:after="240"/>
        <w:ind w:left="0" w:right="0" w:firstLine="1440"/>
        <w:jc w:val="both"/>
        <w:rPr/>
      </w:pPr>
      <w:r>
        <w:rPr>
          <w:rFonts w:ascii="Times New Roman;serif" w:hAnsi="Times New Roman;serif"/>
          <w:b w:val="false"/>
          <w:color w:val="010000"/>
          <w:sz w:val="22"/>
        </w:rPr>
        <w:t>(u)</w:t>
      </w:r>
      <w:r>
        <w:rPr>
          <w:rFonts w:ascii="Times New Roman;serif" w:hAnsi="Times New Roman;serif"/>
          <w:b w:val="false"/>
          <w:color w:val="000000"/>
          <w:sz w:val="22"/>
          <w:u w:val="single"/>
        </w:rPr>
        <w:t>Funding Notice</w:t>
      </w:r>
      <w:r>
        <w:rPr>
          <w:rFonts w:ascii="Times New Roman;serif" w:hAnsi="Times New Roman;serif"/>
          <w:b w:val="false"/>
          <w:color w:val="000000"/>
          <w:sz w:val="22"/>
        </w:rPr>
        <w:t xml:space="preserve">. Administrative Agent shall have received a fully executed and delivered Funding Notice as and when required by </w:t>
      </w:r>
      <w:r>
        <w:rPr>
          <w:rFonts w:ascii="Times New Roman;serif" w:hAnsi="Times New Roman;serif"/>
          <w:b w:val="false"/>
          <w:color w:val="000000"/>
          <w:sz w:val="22"/>
          <w:u w:val="single"/>
        </w:rPr>
        <w:t>Section 2.1(b)(i)</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(v)</w:t>
      </w:r>
      <w:r>
        <w:rPr>
          <w:rFonts w:ascii="Times New Roman;serif" w:hAnsi="Times New Roman;serif"/>
          <w:b w:val="false"/>
          <w:color w:val="000000"/>
          <w:sz w:val="22"/>
        </w:rPr>
        <w:t>Each Lender, by delivering its signature page to this Agreement and funding the Initial Term Loan on the Closing Date, shall be deemed to have acknowledged receipt of, and consented to and approved, each Loan Document and each other document or item required to be approved by or satisfactory to Administrative Agent, Required Lenders or Lenders, as applicable, on the Closing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3.2</w:t>
      </w:r>
      <w:r>
        <w:rPr>
          <w:rFonts w:ascii="Times New Roman;serif" w:hAnsi="Times New Roman;serif"/>
          <w:b w:val="false"/>
          <w:color w:val="000000"/>
          <w:sz w:val="22"/>
          <w:u w:val="single"/>
        </w:rPr>
        <w:t>Conditions to Each Credit Extension</w:t>
      </w:r>
      <w:r>
        <w:rPr>
          <w:rFonts w:ascii="Times New Roman;serif" w:hAnsi="Times New Roman;serif"/>
          <w:b w:val="false"/>
          <w:color w:val="000000"/>
          <w:sz w:val="22"/>
        </w:rPr>
        <w:t xml:space="preserve">. The obligation of each Lender to make any Loan on any date following the Closing Date is subject to the satisfaction, or waiver in accordance with </w:t>
      </w:r>
      <w:r>
        <w:rPr>
          <w:rFonts w:ascii="Times New Roman;serif" w:hAnsi="Times New Roman;serif"/>
          <w:b w:val="false"/>
          <w:color w:val="000000"/>
          <w:sz w:val="22"/>
          <w:u w:val="single"/>
        </w:rPr>
        <w:t>Section 10.5</w:t>
      </w:r>
      <w:r>
        <w:rPr>
          <w:rFonts w:ascii="Times New Roman;serif" w:hAnsi="Times New Roman;serif"/>
          <w:b w:val="false"/>
          <w:color w:val="000000"/>
          <w:sz w:val="22"/>
        </w:rPr>
        <w:t>, of the following conditions precedent: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with respect to any Delayed Draw Term Loans, on such Funding Date, at the time of the incurrence of such Delayed Draw Term Loan and also after giving effect thereto, no Event of Default under </w:t>
      </w:r>
      <w:r>
        <w:rPr>
          <w:rFonts w:ascii="Times New Roman;serif" w:hAnsi="Times New Roman;serif"/>
          <w:b w:val="false"/>
          <w:color w:val="000000"/>
          <w:sz w:val="22"/>
          <w:u w:val="single"/>
        </w:rPr>
        <w:t>Sections 8.1(f) and (g)</w:t>
      </w:r>
      <w:r>
        <w:rPr>
          <w:color w:val="000000"/>
        </w:rPr>
        <w:t xml:space="preserve"> </w:t>
      </w:r>
      <w:r>
        <w:rPr>
          <w:rFonts w:ascii="Times New Roman;serif" w:hAnsi="Times New Roman;serif"/>
          <w:b w:val="false"/>
          <w:color w:val="000000"/>
          <w:sz w:val="22"/>
        </w:rPr>
        <w:t>shall have occurred and be continuing; and</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28650"/>
                <wp:effectExtent l="0" t="0" r="0" b="0"/>
                <wp:wrapNone/>
                <wp:docPr id="150" name="Frame14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with respect to any Incremental Term Loans, the funding of such Term Loan shall have been approved by each Lender in its sole and absolute discretion.</w:t>
      </w:r>
    </w:p>
    <w:p>
      <w:pPr>
        <w:pStyle w:val="TextBody"/>
        <w:bidi w:val="0"/>
        <w:spacing w:lineRule="auto" w:line="240" w:before="0" w:after="240"/>
        <w:jc w:val="center"/>
        <w:rPr/>
      </w:pPr>
      <w:r>
        <w:rPr>
          <w:rFonts w:ascii="Times New Roman;serif" w:hAnsi="Times New Roman;serif"/>
          <w:b w:val="false"/>
          <w:color w:val="010000"/>
          <w:sz w:val="22"/>
        </w:rPr>
        <w:t>Article IV</w:t>
      </w:r>
      <w:r>
        <w:rPr>
          <w:rFonts w:ascii="Times New Roman;serif" w:hAnsi="Times New Roman;serif"/>
          <w:b w:val="false"/>
          <w:color w:val="000000"/>
          <w:sz w:val="22"/>
        </w:rPr>
        <w:br/>
        <w:br/>
        <w:t>REPRESENTATIONS AND WARRANTIES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order to induce the Administrative Agent and Lenders to enter into this Agreement and to make each Credit Extension to be made thereby, each Loan Party represents and warrants to the Administrative Agent and Lender, on the Closing Date, that the following statements are true and correct: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w:t>
      </w:r>
      <w:r>
        <w:rPr>
          <w:rFonts w:ascii="Times New Roman;serif" w:hAnsi="Times New Roman;serif"/>
          <w:b w:val="false"/>
          <w:color w:val="000000"/>
          <w:sz w:val="22"/>
          <w:u w:val="single"/>
        </w:rPr>
        <w:t>Organization; Requisite Power and Authority; Qualification</w:t>
      </w:r>
      <w:r>
        <w:rPr>
          <w:rFonts w:ascii="Times New Roman;serif" w:hAnsi="Times New Roman;serif"/>
          <w:b w:val="false"/>
          <w:color w:val="000000"/>
          <w:sz w:val="22"/>
        </w:rPr>
        <w:t xml:space="preserve">. Each of Borrower and its Subsidiaries (a) is duly organized or incorporated, validly existing and in good standing under the laws of its jurisdiction of organization or incorporation as identified in </w:t>
      </w:r>
      <w:r>
        <w:rPr>
          <w:rFonts w:ascii="Times New Roman;serif" w:hAnsi="Times New Roman;serif"/>
          <w:b w:val="false"/>
          <w:color w:val="000000"/>
          <w:sz w:val="22"/>
          <w:u w:val="single"/>
        </w:rPr>
        <w:t>Schedule 4.1</w:t>
      </w:r>
      <w:r>
        <w:rPr>
          <w:rFonts w:ascii="Times New Roman;serif" w:hAnsi="Times New Roman;serif"/>
          <w:b w:val="false"/>
          <w:color w:val="000000"/>
          <w:sz w:val="22"/>
        </w:rPr>
        <w:t>, (b) has all requisite power and authority to own and operate its properties, to carry on its business as now conducted and as proposed to be conducted, enter into the Loan Documents to which it is a party and to carry out the transactions contemplated thereby and, in the case of Company, to make the borrowings hereunder, and (c) is qualified to do business and in good standing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w:t>
      </w:r>
      <w:r>
        <w:rPr>
          <w:rFonts w:ascii="Times New Roman;serif" w:hAnsi="Times New Roman;serif"/>
          <w:b w:val="false"/>
          <w:color w:val="000000"/>
          <w:sz w:val="22"/>
          <w:u w:val="single"/>
        </w:rPr>
        <w:t>Capital Stock and Ownership</w:t>
      </w:r>
      <w:r>
        <w:rPr>
          <w:rFonts w:ascii="Times New Roman;serif" w:hAnsi="Times New Roman;serif"/>
          <w:b w:val="false"/>
          <w:color w:val="000000"/>
          <w:sz w:val="22"/>
        </w:rPr>
        <w:t xml:space="preserve">. The Capital Stock of each of the Subsidiaries of the Borrower has been duly authorized and validly issued and is fully paid and non-assessable. Except as set forth on </w:t>
      </w:r>
      <w:r>
        <w:rPr>
          <w:rFonts w:ascii="Times New Roman;serif" w:hAnsi="Times New Roman;serif"/>
          <w:b w:val="false"/>
          <w:color w:val="000000"/>
          <w:sz w:val="22"/>
          <w:u w:val="single"/>
        </w:rPr>
        <w:t>Schedule 4.2</w:t>
      </w:r>
      <w:r>
        <w:rPr>
          <w:rFonts w:ascii="Times New Roman;serif" w:hAnsi="Times New Roman;serif"/>
          <w:b w:val="false"/>
          <w:color w:val="000000"/>
          <w:sz w:val="22"/>
        </w:rPr>
        <w:t xml:space="preserve">, as of the date hereof, there is no existing option, warrant, call, right, commitment or other agreement to which any Subsidiaries of the Borrower is a party requiring, and there is no membership interest or other Capital Stock of any Subsidiary of the Borrower outstanding which upon conversion or exchange would require, the issuance by any Subsidiaries of the Borrower of any additional membership interests or other Capital Stock of any Subsidiaries of the Borrower or other securities convertible into, exchangeable for or evidencing the right to subscribe for or purchase, a membership interest or other Capital Stock of any Subsidiaries of the Borrower. </w:t>
      </w:r>
      <w:r>
        <w:rPr>
          <w:rFonts w:ascii="Times New Roman;serif" w:hAnsi="Times New Roman;serif"/>
          <w:b w:val="false"/>
          <w:color w:val="000000"/>
          <w:sz w:val="22"/>
          <w:u w:val="single"/>
        </w:rPr>
        <w:t>Schedule 4.2</w:t>
      </w:r>
      <w:r>
        <w:rPr>
          <w:color w:val="000000"/>
        </w:rPr>
        <w:t xml:space="preserve"> </w:t>
      </w:r>
      <w:r>
        <w:rPr>
          <w:rFonts w:ascii="Times New Roman;serif" w:hAnsi="Times New Roman;serif"/>
          <w:b w:val="false"/>
          <w:color w:val="000000"/>
          <w:sz w:val="22"/>
        </w:rPr>
        <w:t>correctly sets forth the ownership interest in each Subsidiary of Borrower and in their respective Subsidiaries.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4.3</w:t>
      </w:r>
      <w:r>
        <w:rPr>
          <w:rFonts w:ascii="Times New Roman;serif" w:hAnsi="Times New Roman;serif"/>
          <w:b w:val="false"/>
          <w:color w:val="000000"/>
          <w:sz w:val="22"/>
          <w:u w:val="single"/>
        </w:rPr>
        <w:t>Due Authorization</w:t>
      </w:r>
      <w:r>
        <w:rPr>
          <w:rFonts w:ascii="Times New Roman;serif" w:hAnsi="Times New Roman;serif"/>
          <w:b w:val="false"/>
          <w:color w:val="000000"/>
          <w:sz w:val="22"/>
        </w:rPr>
        <w:t>. The execution, delivery and performance of the Loan Documents and the consummation by each Loan Party of the transactions contemplated hereby and by the other Loan Documents have been duly authorized by all necessary action on the part of each Loan Party that is a party thereto.</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4.4</w:t>
      </w:r>
      <w:r>
        <w:rPr>
          <w:rFonts w:ascii="Times New Roman;serif" w:hAnsi="Times New Roman;serif"/>
          <w:b w:val="false"/>
          <w:color w:val="000000"/>
          <w:sz w:val="22"/>
          <w:u w:val="single"/>
        </w:rPr>
        <w:t>No Conflict</w:t>
      </w:r>
      <w:r>
        <w:rPr>
          <w:rFonts w:ascii="Times New Roman;serif" w:hAnsi="Times New Roman;serif"/>
          <w:b w:val="false"/>
          <w:color w:val="000000"/>
          <w:sz w:val="22"/>
        </w:rPr>
        <w:t>. The execution, delivery and performance by Loan Parties of the Loan Documents to which they are parties and the consummation of the transactions contemplated by the Loan Documents do not and will not (a) violate any provision of (i) any law or any governmental rule or regulation applicable to Borrower or any of its Subsidiaries, (ii) any of the Organizational Documents of Borrower or any of its Subsidiaries, or (iii) any order, judgment or decree of any court or other agency of government binding on Borrower or any of its Subsidiaries; (b) conflict with, result in a breach of or constitute (with due notice or lapse of time or both) a default under any Material Contract; (c) result in or require the creation or imposition of any Lien upon any of the properties or assets of Borrower or any of its Subsidiaries (other than any Liens created under any of the Loan Documents in favor of Administrative Agent, on behalf of Secured Parties); (d) result in any default, non-compliance, suspension revocation, impairment, forfeiture or non-renewal of any permit, license, authorization or approval applicable to its operations or any of its properties; or (e) require any approval of stockholders, members or partners or any approval or consent of any Person under any Material Contract, except for such approvals or consents which will be obtained on or before the Closing Date and disclosed in writing to Lenders.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4.5</w:t>
      </w:r>
      <w:r>
        <w:rPr>
          <w:rFonts w:ascii="Times New Roman;serif" w:hAnsi="Times New Roman;serif"/>
          <w:b w:val="false"/>
          <w:color w:val="000000"/>
          <w:sz w:val="22"/>
          <w:u w:val="single"/>
        </w:rPr>
        <w:t>Governmental Consents</w:t>
      </w:r>
      <w:r>
        <w:rPr>
          <w:rFonts w:ascii="Times New Roman;serif" w:hAnsi="Times New Roman;serif"/>
          <w:b w:val="false"/>
          <w:color w:val="000000"/>
          <w:sz w:val="22"/>
        </w:rPr>
        <w:t xml:space="preserve">. The execution, delivery and performance by Loan Parties of the Loan Documents to which they are parties and the consummation of the transactions contemplated by the Loan Documents do not and will not require any registration with, consent or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28650"/>
                <wp:effectExtent l="0" t="0" r="0" b="0"/>
                <wp:wrapNone/>
                <wp:docPr id="151" name="Frame1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approval of, or notice to, or other action to, with or by, any Governmental Authority except for filings and recordings with respect to applicable securities laws or the Collateral to be made, or otherwise delivered to Administrative Agent for filing and/or recordation, as of the Closing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4.6</w:t>
      </w:r>
      <w:r>
        <w:rPr>
          <w:rFonts w:ascii="Times New Roman;serif" w:hAnsi="Times New Roman;serif"/>
          <w:b w:val="false"/>
          <w:color w:val="000000"/>
          <w:sz w:val="22"/>
          <w:u w:val="single"/>
        </w:rPr>
        <w:t>Binding Obligation</w:t>
      </w:r>
      <w:r>
        <w:rPr>
          <w:rFonts w:ascii="Times New Roman;serif" w:hAnsi="Times New Roman;serif"/>
          <w:b w:val="false"/>
          <w:color w:val="000000"/>
          <w:sz w:val="22"/>
        </w:rPr>
        <w:t>. Each Loan Document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 or in the case of any Loan Document entered into by a Foreign Subsidiary that is a Loan Party, any applicable Foreign Legal Reservations.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4.7</w:t>
      </w:r>
      <w:r>
        <w:rPr>
          <w:rFonts w:ascii="Times New Roman;serif" w:hAnsi="Times New Roman;serif"/>
          <w:b w:val="false"/>
          <w:color w:val="000000"/>
          <w:sz w:val="22"/>
          <w:u w:val="single"/>
        </w:rPr>
        <w:t>Historical Financial Statements</w:t>
      </w:r>
      <w:r>
        <w:rPr>
          <w:rFonts w:ascii="Times New Roman;serif" w:hAnsi="Times New Roman;serif"/>
          <w:b w:val="false"/>
          <w:color w:val="000000"/>
          <w:sz w:val="22"/>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 end adjustments and the absence of footnotes. As of the Closing Date, neither Borrower nor any of its Subsidiaries has any contingent liability or liability for taxes, long term lease or unusual forward or long term commitment that is not reflected in the Historical Financial Statements or the notes thereto and which in any such case is material in relation to the business, operations, properties, assets and, condition (financial condition or otherwise) of the Company and prospects of Borrower and any of its Subsidiaries taken as a whole.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4.8</w:t>
      </w:r>
      <w:r>
        <w:rPr>
          <w:rFonts w:ascii="Times New Roman;serif" w:hAnsi="Times New Roman;serif"/>
          <w:b w:val="false"/>
          <w:color w:val="000000"/>
          <w:sz w:val="22"/>
          <w:u w:val="single"/>
        </w:rPr>
        <w:t>Projections</w:t>
      </w:r>
      <w:r>
        <w:rPr>
          <w:rFonts w:ascii="Times New Roman;serif" w:hAnsi="Times New Roman;serif"/>
          <w:b w:val="false"/>
          <w:color w:val="000000"/>
          <w:sz w:val="22"/>
        </w:rPr>
        <w:t>. On and as of the Closing Date, the projections of Borrower and its Subsidiaries for the period of Fiscal Year [**] through and including Fiscal Year [**] including quarterly projections for each Fiscal Quarter during the period of the Fiscal Quarter ended [**] through and including the Fiscal Quarter ending [**], (the “</w:t>
      </w:r>
      <w:r>
        <w:rPr>
          <w:rFonts w:ascii="Times New Roman;serif" w:hAnsi="Times New Roman;serif"/>
          <w:b w:val="false"/>
          <w:color w:val="000000"/>
          <w:sz w:val="22"/>
          <w:u w:val="single"/>
        </w:rPr>
        <w:t>Projections</w:t>
      </w:r>
      <w:r>
        <w:rPr>
          <w:color w:val="000000"/>
        </w:rPr>
        <w:t>”</w:t>
      </w:r>
      <w:r>
        <w:rPr>
          <w:rFonts w:ascii="Times New Roman;serif" w:hAnsi="Times New Roman;serif"/>
          <w:b w:val="false"/>
          <w:color w:val="000000"/>
          <w:sz w:val="22"/>
        </w:rPr>
        <w:t xml:space="preserve">) are based on good faith estimates and assumptions made by the management of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the Projections are not to be viewed as facts and that actual results during the period or periods covered by the Projections may differ from such Projections and that the differences may be material.</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4.9</w:t>
      </w:r>
      <w:r>
        <w:rPr>
          <w:rFonts w:ascii="Times New Roman;serif" w:hAnsi="Times New Roman;serif"/>
          <w:b w:val="false"/>
          <w:color w:val="000000"/>
          <w:sz w:val="22"/>
          <w:u w:val="single"/>
        </w:rPr>
        <w:t>No Material Adverse Effect</w:t>
      </w:r>
      <w:r>
        <w:rPr>
          <w:rFonts w:ascii="Times New Roman;serif" w:hAnsi="Times New Roman;serif"/>
          <w:b w:val="false"/>
          <w:color w:val="000000"/>
          <w:sz w:val="22"/>
        </w:rPr>
        <w:t>. Since [**], no event, circumstance or change has occurred that has caused or evidences, either in any case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4.10</w:t>
      </w:r>
      <w:r>
        <w:rPr>
          <w:rFonts w:ascii="Times New Roman;serif" w:hAnsi="Times New Roman;serif"/>
          <w:b w:val="false"/>
          <w:color w:val="000000"/>
          <w:sz w:val="22"/>
          <w:u w:val="single"/>
        </w:rPr>
        <w:t>Adverse Proceedings, Etc.</w:t>
      </w:r>
      <w:r>
        <w:rPr>
          <w:color w:val="000000"/>
        </w:rPr>
        <w:t xml:space="preserve"> </w:t>
      </w:r>
      <w:r>
        <w:rPr>
          <w:rFonts w:ascii="Times New Roman;serif" w:hAnsi="Times New Roman;serif"/>
          <w:b w:val="false"/>
          <w:color w:val="000000"/>
          <w:sz w:val="22"/>
        </w:rPr>
        <w:t>There are no Adverse Proceedings that (a) relate to any Loan Document or the transactions contemplated hereby or thereby or (b) individually or in the aggregate, would materially impair Administrative Agent’s security interest in the Collateral, Borrower’s and its Subsidiaries’ respective rights, powers or remedies with respect to applicable Products or could otherwise reasonably be expected to have a Material Adverse Effect. Neither Borrower nor any of its Subsidiaries is subject to or in default with respect to any final judgments, writs, injunctions, decrees, rules, laws or regulations of any court or any federal, state, municipal or other governmental department, commission, board, bureau, agency or instrumentality, domestic or foreign except to the extent such default could not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4.11</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xml:space="preserve">. All federal, state and other material Tax returns and reports of Borrower and its Subsidiaries required to be filed by or with respect to any of them have been timely filed, and all federal Taxes and all other material Taxes due and payable upon Borrower and its Subsidiaries and upon or with respect to their respective properties, assets, income, businesses and franchises which are due and payable have been paid when due and payable, except for (a) unpaid Taxes in an aggregate amount at any one time not in excess of $[**] and (b) Taxes that are being contested in good faith by appropriate proceedings diligenctly conducted and for which adequate reserves are being maintained in accordance with GAAP. </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4.12</w:t>
      </w:r>
      <w:r>
        <w:rPr>
          <w:rFonts w:ascii="Times New Roman;serif" w:hAnsi="Times New Roman;serif"/>
          <w:b w:val="false"/>
          <w:color w:val="000000"/>
          <w:sz w:val="22"/>
          <w:u w:val="single"/>
        </w:rPr>
        <w:t>Properties, Title</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Each of Borrower and its Subsidiaries has (i) good, sufficient, marketable and legal title to (in the case of fee interests in real property), (ii) valid leasehold interests in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28650"/>
                <wp:effectExtent l="0" t="0" r="0" b="0"/>
                <wp:wrapNone/>
                <wp:docPr id="152" name="Frame1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leasehold interests in real or personal property), and (iii) good and valid title to (in the case of all other personal property), all of their respective properties and assets reflected in their respective Historical Financial Statements referred to in </w:t>
      </w:r>
      <w:r>
        <w:rPr>
          <w:rFonts w:ascii="Times New Roman;serif" w:hAnsi="Times New Roman;serif"/>
          <w:b w:val="false"/>
          <w:color w:val="000000"/>
          <w:sz w:val="22"/>
          <w:u w:val="single"/>
        </w:rPr>
        <w:t>Section 4.7</w:t>
      </w:r>
      <w:r>
        <w:rPr>
          <w:color w:val="000000"/>
        </w:rPr>
        <w:t xml:space="preserve"> </w:t>
      </w:r>
      <w:r>
        <w:rPr>
          <w:rFonts w:ascii="Times New Roman;serif" w:hAnsi="Times New Roman;serif"/>
          <w:b w:val="false"/>
          <w:color w:val="000000"/>
          <w:sz w:val="22"/>
        </w:rPr>
        <w:t xml:space="preserve">and in the most recent financial statements delivered pursuant to </w:t>
      </w:r>
      <w:r>
        <w:rPr>
          <w:rFonts w:ascii="Times New Roman;serif" w:hAnsi="Times New Roman;serif"/>
          <w:b w:val="false"/>
          <w:color w:val="000000"/>
          <w:sz w:val="22"/>
          <w:u w:val="single"/>
        </w:rPr>
        <w:t>Section 5.1</w:t>
      </w:r>
      <w:r>
        <w:rPr>
          <w:rFonts w:ascii="Times New Roman;serif" w:hAnsi="Times New Roman;serif"/>
          <w:b w:val="false"/>
          <w:color w:val="000000"/>
          <w:sz w:val="22"/>
        </w:rPr>
        <w:t xml:space="preserve">, in each case except for (x) assets disposed of since the date of such financial statements in the ordinary course of business or as otherwise permitted under </w:t>
      </w:r>
      <w:r>
        <w:rPr>
          <w:rFonts w:ascii="Times New Roman;serif" w:hAnsi="Times New Roman;serif"/>
          <w:b w:val="false"/>
          <w:color w:val="000000"/>
          <w:sz w:val="22"/>
          <w:u w:val="single"/>
        </w:rPr>
        <w:t>Section 6.9</w:t>
      </w:r>
      <w:r>
        <w:rPr>
          <w:color w:val="000000"/>
        </w:rPr>
        <w:t xml:space="preserve"> </w:t>
      </w:r>
      <w:r>
        <w:rPr>
          <w:rFonts w:ascii="Times New Roman;serif" w:hAnsi="Times New Roman;serif"/>
          <w:b w:val="false"/>
          <w:color w:val="000000"/>
          <w:sz w:val="22"/>
        </w:rPr>
        <w:t xml:space="preserve">or (y) defects in title or interests which would not, individually or in the aggregate, reasonably be expected to interfere with the Borrower or its applicable Subsidiary’s ability to conduct its business as currently conducted or utilize such property for its intended purpose. All such properties and assets are in working order and condition, ordinary wear and tear excepted, and except as permitted by this Agreement, all such properties and assets are free and clear of Liens (other than Permitted Liens). As of the Closing Date, </w:t>
      </w:r>
      <w:r>
        <w:rPr>
          <w:rFonts w:ascii="Times New Roman;serif" w:hAnsi="Times New Roman;serif"/>
          <w:b w:val="false"/>
          <w:color w:val="000000"/>
          <w:sz w:val="22"/>
          <w:u w:val="single"/>
        </w:rPr>
        <w:t>Schedule 4.12</w:t>
      </w:r>
      <w:r>
        <w:rPr>
          <w:color w:val="000000"/>
        </w:rPr>
        <w:t xml:space="preserve"> </w:t>
      </w:r>
      <w:r>
        <w:rPr>
          <w:rFonts w:ascii="Times New Roman;serif" w:hAnsi="Times New Roman;serif"/>
          <w:b w:val="false"/>
          <w:color w:val="000000"/>
          <w:sz w:val="22"/>
        </w:rPr>
        <w:t xml:space="preserve">contains a true, accurate and complete list of all Real Property owned or leased by Borrower and its Subsidiaries or where Collateral or books and records are located. </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With respect to the Real Property:</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there are no pending threatened condemnation proceedings relating to such Real Property;</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each lease is in full force and effect and there are no defaults;</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(iii)</w:t>
      </w:r>
      <w:r>
        <w:rPr>
          <w:rFonts w:ascii="Times New Roman;serif" w:hAnsi="Times New Roman;serif"/>
          <w:b w:val="false"/>
          <w:color w:val="000000"/>
          <w:sz w:val="22"/>
        </w:rPr>
        <w:t>there are currently no options or rights of first refusal of any third party to purchase or lease such Real Property, or any portion thereof or interest therein; and</w:t>
      </w:r>
    </w:p>
    <w:p>
      <w:pPr>
        <w:pStyle w:val="TextBody"/>
        <w:bidi w:val="0"/>
        <w:spacing w:lineRule="auto" w:line="240" w:before="0" w:after="240"/>
        <w:ind w:left="0" w:right="0" w:firstLine="2160"/>
        <w:jc w:val="both"/>
        <w:rPr/>
      </w:pPr>
      <w:r>
        <w:rPr>
          <w:rFonts w:ascii="Times New Roman;serif" w:hAnsi="Times New Roman;serif"/>
          <w:b w:val="false"/>
          <w:color w:val="010000"/>
          <w:sz w:val="22"/>
        </w:rPr>
        <w:t>(iv)</w:t>
      </w:r>
      <w:r>
        <w:rPr>
          <w:rFonts w:ascii="Times New Roman;serif" w:hAnsi="Times New Roman;serif"/>
          <w:b w:val="false"/>
          <w:color w:val="000000"/>
          <w:sz w:val="22"/>
        </w:rPr>
        <w:t>each Loan Party and each of its Subsidiaries has good record and marketable title in fee simple to, or valid leasehold interests in, all Real Property necessary or used in the Company’s business, free and clear of all Liens other than Permitted Liens.</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4.13</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Except as any such failure could not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No Environmental Claim has been asserted against any Loan Party or any predecessor in interest nor has any Loan Party received written notice of any threatened or pending Environmental Claim against Loan Party or any predecessor in interest.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There has been no Release of Hazardous Materials and there are no Hazardous Materials present in violation of Environmental Law at each of the Real Property currently owned or operated by any Loan Party.</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The operation of the business of, and each of the Real Property owned or operated by, each Loan Party are in compliance with all Environmental Laws.</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Each Loan Party holds and is in compliance Governmental Authorizations required under any Environmental Laws in connection with the operations carried on by it and the Real Property owned or operated by it.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4.14</w:t>
      </w:r>
      <w:r>
        <w:rPr>
          <w:rFonts w:ascii="Times New Roman;serif" w:hAnsi="Times New Roman;serif"/>
          <w:b w:val="false"/>
          <w:color w:val="000000"/>
          <w:sz w:val="22"/>
          <w:u w:val="single"/>
        </w:rPr>
        <w:t>No Defaults</w:t>
      </w:r>
      <w:r>
        <w:rPr>
          <w:rFonts w:ascii="Times New Roman;serif" w:hAnsi="Times New Roman;serif"/>
          <w:b w:val="false"/>
          <w:color w:val="000000"/>
          <w:sz w:val="22"/>
        </w:rPr>
        <w:t>. Neither Borrower nor any of its Subsidiaries is in default in the performance, observance or fulfillment of any of the obligations, covenants or conditions contained in any of its Contractual Obligations, and no condition exists which, with the giving of notice or the lapse of time or both, could constitute such a default, except, in each case, where the consequences, direct or indirect, of such default or defaults, if any,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4.15</w:t>
      </w:r>
      <w:r>
        <w:rPr>
          <w:rFonts w:ascii="Times New Roman;serif" w:hAnsi="Times New Roman;serif"/>
          <w:b w:val="false"/>
          <w:color w:val="000000"/>
          <w:sz w:val="22"/>
          <w:u w:val="single"/>
        </w:rPr>
        <w:t>Material Contracts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Schedule 4.15</w:t>
      </w:r>
      <w:r>
        <w:rPr>
          <w:color w:val="000000"/>
        </w:rPr>
        <w:t xml:space="preserve"> </w:t>
      </w:r>
      <w:r>
        <w:rPr>
          <w:rFonts w:ascii="Times New Roman;serif" w:hAnsi="Times New Roman;serif"/>
          <w:b w:val="false"/>
          <w:color w:val="000000"/>
          <w:sz w:val="22"/>
        </w:rPr>
        <w:t xml:space="preserve">contains a true, correct and complete list of all the Material Contracts in effect on the Closing Date, which, together with any updates provided pursuant to </w:t>
      </w:r>
      <w:r>
        <w:rPr>
          <w:rFonts w:ascii="Times New Roman;serif" w:hAnsi="Times New Roman;serif"/>
          <w:b w:val="false"/>
          <w:color w:val="000000"/>
          <w:sz w:val="22"/>
          <w:u w:val="single"/>
        </w:rPr>
        <w:t>Section 5.1(l)</w:t>
      </w:r>
      <w:r>
        <w:rPr>
          <w:rFonts w:ascii="Times New Roman;serif" w:hAnsi="Times New Roman;serif"/>
          <w:b w:val="false"/>
          <w:color w:val="000000"/>
          <w:sz w:val="22"/>
        </w:rPr>
        <w:t xml:space="preserve">, all such Material Contracts are in full force and effect and no defaults currently exist thereunder (other than as described in </w:t>
      </w:r>
      <w:r>
        <w:rPr>
          <w:rFonts w:ascii="Times New Roman;serif" w:hAnsi="Times New Roman;serif"/>
          <w:b w:val="false"/>
          <w:color w:val="000000"/>
          <w:sz w:val="22"/>
          <w:u w:val="single"/>
        </w:rPr>
        <w:t>Schedule 4.15</w:t>
      </w:r>
      <w:r>
        <w:rPr>
          <w:color w:val="000000"/>
        </w:rPr>
        <w:t xml:space="preserve"> </w:t>
      </w:r>
      <w:r>
        <w:rPr>
          <w:rFonts w:ascii="Times New Roman;serif" w:hAnsi="Times New Roman;serif"/>
          <w:b w:val="false"/>
          <w:color w:val="000000"/>
          <w:sz w:val="22"/>
        </w:rPr>
        <w:t>or in such updates).</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28650"/>
                <wp:effectExtent l="0" t="0" r="0" b="0"/>
                <wp:wrapNone/>
                <wp:docPr id="153" name="Frame1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Except as described in </w:t>
      </w:r>
      <w:r>
        <w:rPr>
          <w:rFonts w:ascii="Times New Roman;serif" w:hAnsi="Times New Roman;serif"/>
          <w:b w:val="false"/>
          <w:color w:val="000000"/>
          <w:sz w:val="22"/>
          <w:u w:val="single"/>
        </w:rPr>
        <w:t>Schedule 4.15</w:t>
      </w:r>
      <w:r>
        <w:rPr>
          <w:rFonts w:ascii="Times New Roman;serif" w:hAnsi="Times New Roman;serif"/>
          <w:b w:val="false"/>
          <w:color w:val="000000"/>
          <w:sz w:val="22"/>
        </w:rPr>
        <w:t>, each Material Contract is a legal, valid and binding obligation of Borrower, its Subsidiaries and, to the knowledge of Borrower, each other party thereto, is enforceable in accordance with its terms and is in full force and effect, subject to bankruptcy, insolvency, fraudulent transfer, reorganization, moratorium and similar laws of general applicability relating to or affecting creditors’ rights and to general equity principles. Except as disclosed to the Administrative Agent prior to the Closing Date, neither Borrower nor its Subsidiaries, nor to the knowledge of Borrower or its Subsidiaries, any other party to any Material Contract, is or was in material breach or default, under the terms of any Material Contract. No condition exists which, with the giving of notice or the lapse of time or both, would reasonably be expected to constitute a material breach or default by Borrower or any of its Subsidiaries or that could result in any material liability or loss of rights of Borrower or such Subsidiary or termination of such Material Contract.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4.16</w:t>
      </w:r>
      <w:r>
        <w:rPr>
          <w:rFonts w:ascii="Times New Roman;serif" w:hAnsi="Times New Roman;serif"/>
          <w:b w:val="false"/>
          <w:color w:val="000000"/>
          <w:sz w:val="22"/>
          <w:u w:val="single"/>
        </w:rPr>
        <w:t>Governmental Regulation</w:t>
      </w:r>
      <w:r>
        <w:rPr>
          <w:rFonts w:ascii="Times New Roman;serif" w:hAnsi="Times New Roman;serif"/>
          <w:b w:val="false"/>
          <w:color w:val="000000"/>
          <w:sz w:val="22"/>
        </w:rPr>
        <w:t>. Neither Borrower nor any of its Subsidiaries is subject to regulation under the Public Utility Holding Company Act of 2005, the Federal Power Act or the Investment Company Act of 1940 or under any other federal or state statute or regulation which may limit its ability to incur Indebtedness or which may otherwise render all or any portion of the Obligations unenforceable. Neither Borrower nor any of its Subsidiaries is a “registered investment company” or a company “controlled” by a “registered investment company” or a “principal underwriter” of a “registered investment company” as such terms are defined in the Investment Company Act of 1940.</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4.17</w:t>
      </w:r>
      <w:r>
        <w:rPr>
          <w:rFonts w:ascii="Times New Roman;serif" w:hAnsi="Times New Roman;serif"/>
          <w:b w:val="false"/>
          <w:color w:val="000000"/>
          <w:sz w:val="22"/>
          <w:u w:val="single"/>
        </w:rPr>
        <w:t>Margin Stock</w:t>
      </w:r>
      <w:r>
        <w:rPr>
          <w:rFonts w:ascii="Times New Roman;serif" w:hAnsi="Times New Roman;serif"/>
          <w:b w:val="false"/>
          <w:color w:val="000000"/>
          <w:sz w:val="22"/>
        </w:rPr>
        <w:t>. Neither Borrower nor any of its Subsidiaries is engaged principally, or as one of its important activities, in the business of extending credit for the purpose of purchasing or carrying any Margin Stock. No part of the proceeds of the Term Loans made to such Loan Party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 or any similar regulation in any other jurisdiction.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4.18</w:t>
      </w:r>
      <w:r>
        <w:rPr>
          <w:rFonts w:ascii="Times New Roman;serif" w:hAnsi="Times New Roman;serif"/>
          <w:b w:val="false"/>
          <w:color w:val="000000"/>
          <w:sz w:val="22"/>
          <w:u w:val="single"/>
        </w:rPr>
        <w:t>Employee Benefit Plans</w:t>
      </w:r>
      <w:r>
        <w:rPr>
          <w:rFonts w:ascii="Times New Roman;serif" w:hAnsi="Times New Roman;serif"/>
          <w:b w:val="false"/>
          <w:color w:val="000000"/>
          <w:sz w:val="22"/>
        </w:rPr>
        <w:t>. No ERISA Event has occurred or is reasonably expected to occur that has resulted or could resaonably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4.19</w:t>
      </w:r>
      <w:r>
        <w:rPr>
          <w:rFonts w:ascii="Times New Roman;serif" w:hAnsi="Times New Roman;serif"/>
          <w:b w:val="false"/>
          <w:color w:val="000000"/>
          <w:sz w:val="22"/>
          <w:u w:val="single"/>
        </w:rPr>
        <w:t>Certain Fees</w:t>
      </w:r>
      <w:r>
        <w:rPr>
          <w:rFonts w:ascii="Times New Roman;serif" w:hAnsi="Times New Roman;serif"/>
          <w:b w:val="false"/>
          <w:color w:val="000000"/>
          <w:sz w:val="22"/>
        </w:rPr>
        <w:t>. Except as disclosed to Administrative Agent prior to the Closing Date, no broker’s or finder’s fee or commission will be payable with respect hereto or any of the transactions contemplated hereby.</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4.20</w:t>
      </w:r>
      <w:r>
        <w:rPr>
          <w:rFonts w:ascii="Times New Roman;serif" w:hAnsi="Times New Roman;serif"/>
          <w:b w:val="false"/>
          <w:color w:val="000000"/>
          <w:sz w:val="22"/>
          <w:u w:val="single"/>
        </w:rPr>
        <w:t>Solvency</w:t>
      </w:r>
      <w:r>
        <w:rPr>
          <w:rFonts w:ascii="Times New Roman;serif" w:hAnsi="Times New Roman;serif"/>
          <w:b w:val="false"/>
          <w:color w:val="000000"/>
          <w:sz w:val="22"/>
        </w:rPr>
        <w:t>. The Loan Parties and their Subsidiaries on a consolidated basis are, and upon the consummation of the transactions contemplated hereunder and the incurrence of the Credit Extension hereunder on the Closing Date, will be, Solvent.</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4.21</w:t>
      </w:r>
      <w:r>
        <w:rPr>
          <w:rFonts w:ascii="Times New Roman;serif" w:hAnsi="Times New Roman;serif"/>
          <w:b w:val="false"/>
          <w:color w:val="000000"/>
          <w:sz w:val="22"/>
          <w:u w:val="single"/>
        </w:rPr>
        <w:t>ERISA</w:t>
      </w:r>
      <w:r>
        <w:rPr>
          <w:rFonts w:ascii="Times New Roman;serif" w:hAnsi="Times New Roman;serif"/>
          <w:b w:val="false"/>
          <w:color w:val="000000"/>
          <w:sz w:val="22"/>
        </w:rPr>
        <w:t xml:space="preserve">. The underlying assets of Borrower and its Subsidiaries do not constitute “plan assets” (within the meaning of 29 CFR § 2510.3-101 </w:t>
      </w:r>
      <w:r>
        <w:rPr>
          <w:rFonts w:ascii="Times New Roman;serif" w:hAnsi="Times New Roman;serif"/>
          <w:b w:val="false"/>
          <w:i/>
          <w:color w:val="000000"/>
          <w:sz w:val="22"/>
        </w:rPr>
        <w:t>et seq.</w:t>
      </w:r>
      <w:r>
        <w:rPr>
          <w:rFonts w:ascii="Times New Roman;serif" w:hAnsi="Times New Roman;serif"/>
          <w:b w:val="false"/>
          <w:color w:val="000000"/>
          <w:sz w:val="22"/>
        </w:rPr>
        <w:t>, as modified by Section 3(42) of ERISA) of one or more Benefit Plans and the execution, delivery and performance of this Agreement and the other Loan Documents do not and will not constitute a non-exempt prohibited transaction under Section 406 of ERISA or Section 4975 of the Internal Revenue Code.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4.22</w:t>
      </w:r>
      <w:r>
        <w:rPr>
          <w:rFonts w:ascii="Times New Roman;serif" w:hAnsi="Times New Roman;serif"/>
          <w:b w:val="false"/>
          <w:color w:val="000000"/>
          <w:sz w:val="22"/>
          <w:u w:val="single"/>
        </w:rPr>
        <w:t>Compliance with Statutes, Etc.</w:t>
      </w:r>
      <w:r>
        <w:rPr>
          <w:color w:val="000000"/>
        </w:rPr>
        <w:t xml:space="preserve"> </w:t>
      </w:r>
      <w:r>
        <w:rPr>
          <w:rFonts w:ascii="Times New Roman;serif" w:hAnsi="Times New Roman;serif"/>
          <w:b w:val="false"/>
          <w:color w:val="000000"/>
          <w:sz w:val="22"/>
        </w:rPr>
        <w:t>Each of Borrower and its Subsidiaries is in compliance with (i) its Organizational Documents and (ii) all applicable laws, statutes, regulations and orders of, and all applicable restrictions imposed by, all Governmental Authorities, in respect of the conduct of its business and the ownership of its property, except such non-compliance that, individually or in the aggregate, could not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4.23</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To the knowledge of the Loan Parties, each of Borrower and its Subsidiaries own, or hold licenses in, all Intellectual Property Rights it purports to own or in-license that are necessary to the conduct of its business as currently conducted and currently proposed to be conducted, including the discovery, development, manufacture, use and Commercialization of the Products. Except as set forth in the License Agreements identified or not required to be identified on Schedule 4.23(b), Borrower and its Subsidiaries have the exclusive right and license to research, develop, manufacture, use and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28650"/>
                <wp:effectExtent l="0" t="0" r="0" b="0"/>
                <wp:wrapNone/>
                <wp:docPr id="154" name="Frame15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Commercialize the Products and use the Platform Technology under the Product Intellectual Property Rights and Platform Intellectual Property Rights, the Registrations, and the Regulatory Documentation, except where the failure to have such exclusive rights and licenses would not reasonably be likely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Schedule 4.23(b)</w:t>
      </w:r>
      <w:r>
        <w:rPr>
          <w:color w:val="000000"/>
        </w:rPr>
        <w:t xml:space="preserve"> </w:t>
      </w:r>
      <w:r>
        <w:rPr>
          <w:rFonts w:ascii="Times New Roman;serif" w:hAnsi="Times New Roman;serif"/>
          <w:b w:val="false"/>
          <w:color w:val="000000"/>
          <w:sz w:val="22"/>
        </w:rPr>
        <w:t>sets forth a true, correct and complete listing, under separate headings, of all Contractual Obligations, whether written or oral (i) under which Borrower or its Subsidiaries is granted a license or other material right to use any Product Intellectual Property Rights or Platform Intellectual Property Rights that any other Person owns or under which Borrower or its Subsidiaries owes any royalties or other payments to any Person, in each case, for the use of any such Intellectual Property Rights in the research, development, use, import or Commercialization of a Product (other than licenses received from contract research organizations (CROs), contract development and manufacturing organizations (CDMOs), contract manufacturing organizations (CMOs) or other service providers in the ordinary course of business), or (ii) under which Borrower or its Subsidiaries have granted any Person any right or interest in any Product Intellectual Property Rights, Platform Intellectual Property Rights, Registrations, and/or Regulatory Documentation (other than licenses given to contract research organizations (CROs), contract development and manufacturing organizations (CDMOs), contract manufacturing organizations (CMOs) or other service providers in the ordinary course of business), including co-existence agreements and covenants not to sue, except in each case of clauses (i) and (ii), Contractual Obligations relating solely to any Pipeline Product, where such Contractual Obligations are not material to the research, development, use, import or Commercialization of such Pipeline Product (collectively, “</w:t>
      </w:r>
      <w:r>
        <w:rPr>
          <w:rFonts w:ascii="Times New Roman;serif" w:hAnsi="Times New Roman;serif"/>
          <w:b w:val="false"/>
          <w:color w:val="000000"/>
          <w:sz w:val="22"/>
          <w:u w:val="single"/>
        </w:rPr>
        <w:t>License Agreements</w:t>
      </w:r>
      <w:r>
        <w:rPr>
          <w:color w:val="000000"/>
        </w:rPr>
        <w:t>”</w:t>
      </w:r>
      <w:r>
        <w:rPr>
          <w:rFonts w:ascii="Times New Roman;serif" w:hAnsi="Times New Roman;serif"/>
          <w:b w:val="false"/>
          <w:color w:val="000000"/>
          <w:sz w:val="22"/>
        </w:rPr>
        <w:t xml:space="preserve">) that are in effect as of the Effective Date. Upon written request by the Administrative Agent (but no more frequently than every Calendar Quarter), Borrower shall update </w:t>
      </w:r>
      <w:r>
        <w:rPr>
          <w:rFonts w:ascii="Times New Roman;serif" w:hAnsi="Times New Roman;serif"/>
          <w:b w:val="false"/>
          <w:color w:val="000000"/>
          <w:sz w:val="22"/>
          <w:u w:val="single"/>
        </w:rPr>
        <w:t>Schedule 4.23(b)</w:t>
      </w:r>
      <w:r>
        <w:rPr>
          <w:color w:val="000000"/>
        </w:rPr>
        <w:t xml:space="preserve"> </w:t>
      </w:r>
      <w:r>
        <w:rPr>
          <w:rFonts w:ascii="Times New Roman;serif" w:hAnsi="Times New Roman;serif"/>
          <w:b w:val="false"/>
          <w:color w:val="000000"/>
          <w:sz w:val="22"/>
        </w:rPr>
        <w:t xml:space="preserve">to list any new License Agreements entered into after the Effective Date (including, for the avoidance of doubt, any Permitted Zodasiran Agreement and any Permitted Plozasiran Agreement, if any). A true, correct and complete copy of each License Agreement has been provided to the Administrative Agent by the Borrower prior to the Closing Date. Neither the Borrower nor any of its Subsidiaries, on the one hand, nor the respective counterparty(ies) thereto has made or entered into any amendment, supplement or modification to, or granted any waiver under any provision of any License Agreement. Each License Agreement identified on </w:t>
      </w:r>
      <w:r>
        <w:rPr>
          <w:rFonts w:ascii="Times New Roman;serif" w:hAnsi="Times New Roman;serif"/>
          <w:b w:val="false"/>
          <w:color w:val="000000"/>
          <w:sz w:val="22"/>
          <w:u w:val="single"/>
        </w:rPr>
        <w:t>Schedule 4.23(b)</w:t>
      </w:r>
      <w:r>
        <w:rPr>
          <w:color w:val="000000"/>
        </w:rPr>
        <w:t xml:space="preserve"> </w:t>
      </w:r>
      <w:r>
        <w:rPr>
          <w:rFonts w:ascii="Times New Roman;serif" w:hAnsi="Times New Roman;serif"/>
          <w:b w:val="false"/>
          <w:color w:val="000000"/>
          <w:sz w:val="22"/>
        </w:rPr>
        <w:t xml:space="preserve">is a valid and binding obligation of Borrower and, to the knowledge of such Loan Party, the counterpart(ies) thereto, and, to the knowledge of such Loan Party, is enforceable against each counterparty thereto in accordance with its terms, except as may be limited by applicable Debtor Relief Laws or by general principles of equity (whether considered in a proceeding in equity or at law). Each License Agreement identified on </w:t>
      </w:r>
      <w:r>
        <w:rPr>
          <w:rFonts w:ascii="Times New Roman;serif" w:hAnsi="Times New Roman;serif"/>
          <w:b w:val="false"/>
          <w:color w:val="000000"/>
          <w:sz w:val="22"/>
          <w:u w:val="single"/>
        </w:rPr>
        <w:t>Schedule 4.23(b)</w:t>
      </w:r>
      <w:r>
        <w:rPr>
          <w:color w:val="000000"/>
        </w:rPr>
        <w:t xml:space="preserve"> </w:t>
      </w:r>
      <w:r>
        <w:rPr>
          <w:rFonts w:ascii="Times New Roman;serif" w:hAnsi="Times New Roman;serif"/>
          <w:b w:val="false"/>
          <w:color w:val="000000"/>
          <w:sz w:val="22"/>
        </w:rPr>
        <w:t xml:space="preserve">will continue to be legal, valid, binding, enforceable (except as such enforceability may be limited by applicable Debtor Relief Laws or by general principles of equity (whether considered in a proceeding in equity or at law)), and in full force and effect on identical terms, immediately following the consummation of the transactions contemplated by this Agreement. Borrower has not received any written notice in connection with any such License Agreement challenging the validity, enforceability or interpretation of any provision of such agreement. Borrower has not (A) given written notice to a counterparty of the termination of any such License Agreement (whether in whole or in part) or any written notice to a counterparty expressing any intention to terminate any such License Agreement or (B) received from a counterparty thereto any written notice of termination of any such License Agreement (whether in whole or in part) or any written notice from a counterparty stating its intention to terminate any such License Agreement. Except as set forth on Schedule 4.23(b), Borrower has not consented to any assignment by the counterparty to any License Agreement of any of its rights or obligations under any such License Agreement, and, to the knowledge of such Loan Party, the counterparty has not assigned any of its rights or obligations under any such License Agreement to any Person. Borrower has not notified in writing the respective counterparty to any License Agreement or any other Person of any claims for indemnification under any License Agreement nor has Borrower received any written claims for indemnification under any License Agreement. Borrower has not received any written notice from, or given any written notice to, any counterparty to any License Agreement alleging any infringement of any of the Patent rights licensed thereunder. To the knowledge of the Loan Parties, there are no sublicenses (excluding subcontracting) that have been granted by a Licensee under any License Agreement. Except as has been disclosed to the Administrative Agent prior to the Closing Date, there is and has been no breach or default under any provision of any License Agreement either by Borrower or, to the knowledge of Borrower, by the respective counterparty (or any predecessor thereof) thereto, and, to the knowledge of Borrower, there is no event that upon notice or the passage of time, or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28650"/>
                <wp:effectExtent l="0" t="0" r="0" b="0"/>
                <wp:wrapNone/>
                <wp:docPr id="155" name="Frame1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both, would reasonably be expected to give rise to any breach or default either by Borrower or by the respective counterparty to such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Schedule 4.23(c)</w:t>
      </w:r>
      <w:r>
        <w:rPr>
          <w:color w:val="000000"/>
        </w:rPr>
        <w:t xml:space="preserve"> </w:t>
      </w:r>
      <w:r>
        <w:rPr>
          <w:rFonts w:ascii="Times New Roman;serif" w:hAnsi="Times New Roman;serif"/>
          <w:b w:val="false"/>
          <w:color w:val="000000"/>
          <w:sz w:val="22"/>
        </w:rPr>
        <w:t xml:space="preserve">sets forth as of July 26, 2024 a true, correct and complete listing, including the owner and registration or application number, of (i) all the Product Intellectual Property Rights related to Zodasiran, Plozasiran and/or the Partnered Assets, and (ii) all Platform Intellectual Property Rights with respect to Material Products, in the case of (i) and (ii), that are U.S. (federal or state) and foreign (A) Patents, and identifies the owner of each such patent/application, (B) registered trademarks and trademark applications, (C) registered copyrights and copyright applications, (D) domain names, and (E) any other form of registered Product Intellectual Property Rights and Platform Intellectual Property Rights. Except as identified in Schedule 4.23(c): (1) the owner listed on Schedule 4.23(c) is the exclusive owner of such registration or application; (2) to the knowledge of such Loan Party, such registrations are valid, subsisting and enforceable; (3) none of such registrations or applications have lapsed or been abandoned, cancelled or expired, except for registrations or applications abandoned in the ordinary course of business; (5) Company has taken all reasonable steps to maintain such registrations or applications, including by timely filing fees and responses, except for registrations or applications abandoned in the ordinary course of business; and (5) to the knowledge of such Loan Party, each individual associated with the filing and prosecution of such registrations or applications, including the named inventors in the case of such Product Patents and Platform Patents, has complied in all material respects with all applicable duties of candor and good faith in dealing with any patent office, including the USPTO, in those jurisdictions where such duties exist. Company may update this list to add additional registrations or applications, so long as such amendment occurs by written notice to Administrative Agent, subject to Borrower’s obligations and restrictions under this Agreement. </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Neither Borrower nor any of its Subsidiaries has received written notice of any threat of any, opposition, interference, reexamination, inter partes review, post-grant review, derivation or other post-grant proceeding, injunction, claim, suit, action, subpoena, hearing, inquiry, investigation (by the International Trade Commission or otherwise), complaint, arbitration, mediation, demand, decree or other dispute, disagreement, proceeding or claim (collectively, “</w:t>
      </w:r>
      <w:r>
        <w:rPr>
          <w:rFonts w:ascii="Times New Roman;serif" w:hAnsi="Times New Roman;serif"/>
          <w:b w:val="false"/>
          <w:color w:val="000000"/>
          <w:sz w:val="22"/>
          <w:u w:val="single"/>
        </w:rPr>
        <w:t>Disputes</w:t>
      </w:r>
      <w:r>
        <w:rPr>
          <w:color w:val="000000"/>
        </w:rPr>
        <w:t>”</w:t>
      </w:r>
      <w:r>
        <w:rPr>
          <w:rFonts w:ascii="Times New Roman;serif" w:hAnsi="Times New Roman;serif"/>
          <w:b w:val="false"/>
          <w:color w:val="000000"/>
          <w:sz w:val="22"/>
        </w:rPr>
        <w:t>) that challenges the validity, enforceability, infringement, ownership, or inventorship of any of the Product Intellectual Property Rights or Platform Intellectual Property Rights identified in Schedule 4.23(c), the Registrations and/or the Regulatory Documentation. Borrower and its Subsidiaries have not received any written notice that there is any, and, to their knowledge, there is no, Person who is or claims to be an inventor under any of the Product Patents or Platform Patents identified in Schedule 4.23(c) who is not a named inventor thereof.</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Neither the Borrower nor any of its Subsidiaries is party to any past or pending and neither the Borrower nor its Subsidiaries has, since July 26, 2014, received written notice of any threat of any action, suit, or proceeding, or any investigation or claim by any Person that claims or alleges that the discovery, development, manufacture, use or Commercialization of any Product, once marketed, or the use of any Platform Technology does or could infringe on any Patent or other intellectual property rights of any other Person or constitute misappropriation of any other Person’s trade secrets or other intellectual property rights.</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Except as disclosed in </w:t>
      </w:r>
      <w:r>
        <w:rPr>
          <w:rFonts w:ascii="Times New Roman;serif" w:hAnsi="Times New Roman;serif"/>
          <w:b w:val="false"/>
          <w:color w:val="000000"/>
          <w:sz w:val="22"/>
          <w:u w:val="single"/>
        </w:rPr>
        <w:t>Schedule 4.23(f)</w:t>
      </w:r>
      <w:r>
        <w:rPr>
          <w:rFonts w:ascii="Times New Roman;serif" w:hAnsi="Times New Roman;serif"/>
          <w:b w:val="false"/>
          <w:color w:val="000000"/>
          <w:sz w:val="22"/>
        </w:rPr>
        <w:t>, neither Borrower nor its Subsidiaries has entered into any Contractual Obligation (i) creating a Lien (other than a Permitted Lien under clauses (a), (t) and (w) of the definition thereof) on the Product Intellectual Property Rights, Platform Intellectual Property Rights, Registrations, Regulatory Documentation or License Agreements or any of its Royalties on, or proceeds from, sales of any Product, (ii) pursuant to which Borrower or its Subsidiaries has sold, transferred, assigned or pledged to any Person, Royalties on, or proceeds from, sales of any Product or use of any Platform Technology, or (iii) providing for Milestones or similar development-, commercialization- or intellectual property-related payments to any Person applicable (or that with further development and commercialization may become applicable) to any such Product or Platform Technology.</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4.24</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Each of Borrower and its Subsidiaries keeps its property adequately insured and maintains (a) insurance to such extent and against such risks, as is customary with companies in the same or similar businesses, (b) workmen’s compensation insurance in the amount required by applicable law, (c) public liability insurance, which shall include product liability insurance,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28650"/>
                <wp:effectExtent l="0" t="0" r="0" b="0"/>
                <wp:wrapNone/>
                <wp:docPr id="156" name="Frame15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amount customary with companies in the same or similar business against claims for personal injury or death on properties owned, occupied or controlled by it, and (d) such other insurance as may be required by law or as may be reasonably required by Administrative Agent (including, without limitation, against larceny, embezzlement or other criminal misappropriation). </w:t>
      </w:r>
      <w:r>
        <w:rPr>
          <w:rFonts w:ascii="Times New Roman;serif" w:hAnsi="Times New Roman;serif"/>
          <w:b w:val="false"/>
          <w:color w:val="000000"/>
          <w:sz w:val="22"/>
          <w:u w:val="single"/>
        </w:rPr>
        <w:t>Schedule 4.24</w:t>
      </w:r>
      <w:r>
        <w:rPr>
          <w:color w:val="000000"/>
        </w:rPr>
        <w:t xml:space="preserve"> </w:t>
      </w:r>
      <w:r>
        <w:rPr>
          <w:rFonts w:ascii="Times New Roman;serif" w:hAnsi="Times New Roman;serif"/>
          <w:b w:val="false"/>
          <w:color w:val="000000"/>
          <w:sz w:val="22"/>
        </w:rPr>
        <w:t>sets forth a list of all insurance maintained by each Loan Party on the Closing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4.25</w:t>
      </w:r>
      <w:r>
        <w:rPr>
          <w:rFonts w:ascii="Times New Roman;serif" w:hAnsi="Times New Roman;serif"/>
          <w:b w:val="false"/>
          <w:color w:val="000000"/>
          <w:sz w:val="22"/>
          <w:u w:val="single"/>
        </w:rPr>
        <w:t>Permits, Etc.</w:t>
      </w:r>
      <w:r>
        <w:rPr>
          <w:color w:val="000000"/>
        </w:rPr>
        <w:t xml:space="preserve"> </w:t>
      </w:r>
      <w:r>
        <w:rPr>
          <w:rFonts w:ascii="Times New Roman;serif" w:hAnsi="Times New Roman;serif"/>
          <w:b w:val="false"/>
          <w:color w:val="000000"/>
          <w:sz w:val="22"/>
        </w:rPr>
        <w:t>Each Loan Party has, and is in compliance with, all permits, licenses, authorizations, approvals, entitlements, and accreditations required for such Person lawfully to own, lease, manage or operate, or to acquire, each business currently owned, leased, managed or operated, or to be acquired, by such Person, which, if not obtained, could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thereof is not in full force and effect, except, in each case, to the extent any such condition, event or claim could not be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4.26</w:t>
      </w:r>
      <w:r>
        <w:rPr>
          <w:rFonts w:ascii="Times New Roman;serif" w:hAnsi="Times New Roman;serif"/>
          <w:b w:val="false"/>
          <w:color w:val="000000"/>
          <w:sz w:val="22"/>
          <w:u w:val="single"/>
        </w:rPr>
        <w:t>Bank Accounts and Securities Accounts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4.27</w:t>
      </w:r>
      <w:r>
        <w:rPr>
          <w:color w:val="000000"/>
        </w:rPr>
        <w:t xml:space="preserve"> </w:t>
      </w:r>
      <w:r>
        <w:rPr>
          <w:rFonts w:ascii="Times New Roman;serif" w:hAnsi="Times New Roman;serif"/>
          <w:b w:val="false"/>
          <w:color w:val="000000"/>
          <w:sz w:val="22"/>
        </w:rPr>
        <w:t>sets forth a complete and accurate list as of the Closing Date of all deposit, checking and other bank accounts, all securities and other accounts maintained with any broker dealer and all other similar accounts maintained by each Loan Party, together with a description thereof (</w:t>
      </w:r>
      <w:r>
        <w:rPr>
          <w:rFonts w:ascii="Times New Roman;serif" w:hAnsi="Times New Roman;serif"/>
          <w:b w:val="false"/>
          <w:color w:val="000000"/>
          <w:sz w:val="22"/>
          <w:u w:val="single"/>
        </w:rPr>
        <w:t>i.e.</w:t>
      </w:r>
      <w:r>
        <w:rPr>
          <w:rFonts w:ascii="Times New Roman;serif" w:hAnsi="Times New Roman;serif"/>
          <w:b w:val="false"/>
          <w:color w:val="000000"/>
          <w:sz w:val="22"/>
        </w:rPr>
        <w:t>, the bank or broker dealer at which such deposit or other account is maintained and the account number and the purpose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4.27</w:t>
      </w:r>
      <w:r>
        <w:rPr>
          <w:rFonts w:ascii="Times New Roman;serif" w:hAnsi="Times New Roman;serif"/>
          <w:b w:val="false"/>
          <w:color w:val="000000"/>
          <w:sz w:val="22"/>
          <w:u w:val="single"/>
        </w:rPr>
        <w:t>Security Interests</w:t>
      </w:r>
      <w:r>
        <w:rPr>
          <w:rFonts w:ascii="Times New Roman;serif" w:hAnsi="Times New Roman;serif"/>
          <w:b w:val="false"/>
          <w:color w:val="000000"/>
          <w:sz w:val="22"/>
        </w:rPr>
        <w:t xml:space="preserve">. The Collateral Documents create in favor of Administrative Agent, for the benefit of Secured Parties, a legal, valid and enforceable security interest in the Collateral secured thereby. Upon the filing of the UCC-1 financing statements described in </w:t>
      </w:r>
      <w:r>
        <w:rPr>
          <w:rFonts w:ascii="Times New Roman;serif" w:hAnsi="Times New Roman;serif"/>
          <w:b w:val="false"/>
          <w:color w:val="000000"/>
          <w:sz w:val="22"/>
          <w:u w:val="single"/>
        </w:rPr>
        <w:t>Section 3.1(e)</w:t>
      </w:r>
      <w:r>
        <w:rPr>
          <w:rFonts w:ascii="Times New Roman;serif" w:hAnsi="Times New Roman;serif"/>
          <w:b w:val="false"/>
          <w:color w:val="000000"/>
          <w:sz w:val="22"/>
        </w:rPr>
        <w:t>, the posssession by Administrative Agent of any certificated Capital Stock or instrument owned by such Loan Party, the recording of the Collateral Assignments for Security referred to in each Pledge and Security Agreement in the United States Patent and Trademark Office and the United States Copyright Office, as applicable, such security interests in and Liens on the Collateral granted thereby shall be perfected, first priority security interests, and no further recordings or filings are or will be required in connection with the creation, perfection or enforcement of such security interests and Liens, other than (a) the filing of continuation statements in accordance with applicable law, (b) the recording of the Collateral Assignments for Security pursuant to each Pledge and Security Agreement in the United States Patent and Trademark Office and the United States Copyright Office, as applicable, with respect to after-acquired U.S. patent and trademark applications and registrations and U.S. copyrights and (c) the recordation of appropriate evidence of the security interest in the appropriate foreign registry with respect to all foreign Intellectual Property.</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4.28</w:t>
      </w:r>
      <w:r>
        <w:rPr>
          <w:rFonts w:ascii="Times New Roman;serif" w:hAnsi="Times New Roman;serif"/>
          <w:b w:val="false"/>
          <w:color w:val="000000"/>
          <w:sz w:val="22"/>
          <w:u w:val="single"/>
        </w:rPr>
        <w:t>PATRIOT ACT and FCPA</w:t>
      </w:r>
      <w:r>
        <w:rPr>
          <w:rFonts w:ascii="Times New Roman;serif" w:hAnsi="Times New Roman;serif"/>
          <w:b w:val="false"/>
          <w:color w:val="000000"/>
          <w:sz w:val="22"/>
        </w:rPr>
        <w:t>. To the extent applicable, each Loan Party is in compliance with (a) the laws, regulations and Executive Orders administered by OFAC, and (b) the Bank Secrecy Act, as amended by the Uniting and Strengthening America by Providing Appropriate Tools Required to Intercept and Obstruct Terrorism (USA PATRIOT Act) of 2001 (the “</w:t>
      </w:r>
      <w:r>
        <w:rPr>
          <w:rFonts w:ascii="Times New Roman;serif" w:hAnsi="Times New Roman;serif"/>
          <w:b w:val="false"/>
          <w:color w:val="000000"/>
          <w:sz w:val="22"/>
          <w:u w:val="single"/>
        </w:rPr>
        <w:t>PATRIOT Act</w:t>
      </w:r>
      <w:r>
        <w:rPr>
          <w:color w:val="000000"/>
        </w:rPr>
        <w:t>”</w:t>
      </w:r>
      <w:r>
        <w:rPr>
          <w:rFonts w:ascii="Times New Roman;serif" w:hAnsi="Times New Roman;serif"/>
          <w:b w:val="false"/>
          <w:color w:val="000000"/>
          <w:sz w:val="22"/>
        </w:rPr>
        <w:t>). Neither the Loan Parties nor any of their officers, directors, employees, agents or shareholders acting on the Loan Parties’ behalf shall use the proceeds of the Loans to make any payments, directly or indirectly (including through any third party intermediary), to any Foreign Official in violation of the United States Foreign Corrupt Practices Act of 1977 (the “</w:t>
      </w:r>
      <w:r>
        <w:rPr>
          <w:rFonts w:ascii="Times New Roman;serif" w:hAnsi="Times New Roman;serif"/>
          <w:b w:val="false"/>
          <w:color w:val="000000"/>
          <w:sz w:val="22"/>
          <w:u w:val="single"/>
        </w:rPr>
        <w:t>FCPA</w:t>
      </w:r>
      <w:r>
        <w:rPr>
          <w:color w:val="000000"/>
        </w:rPr>
        <w:t>”</w:t>
      </w:r>
      <w:r>
        <w:rPr>
          <w:rFonts w:ascii="Times New Roman;serif" w:hAnsi="Times New Roman;serif"/>
          <w:b w:val="false"/>
          <w:color w:val="000000"/>
          <w:sz w:val="22"/>
        </w:rPr>
        <w:t>). None of the Loan Parties nor any Affiliates of any Loan Parties, is in violation of any Anti-Terrorism Law or engages in or conspires to engage in any transaction that evades or avoids, or has the purpose of evading or avoiding, or attempts to violate, any of the Anti-Terrorism Laws. None of the Loan Parties, nor any Affiliates of any Loan Parties, or their respective agents acting or benefiting in any capacity in connection with the Loans or other transactions hereunder, is a Blocked Person. None of the Loan Parties, nor any of their agents acting in any capacity in connection with the Loans or other transactions contemplated hereunder (A) conducts any business or engages in making or receiving any contribution of funds, goods or services to or for the benefit of any Blocked Person, or (B) deals in, or otherwise engages in any transaction relating to, any property or interests in property blocked pursuant to any OFAC Sanctions Programs.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4.29</w:t>
      </w:r>
      <w:r>
        <w:rPr>
          <w:rFonts w:ascii="Times New Roman;serif" w:hAnsi="Times New Roman;serif"/>
          <w:b w:val="false"/>
          <w:color w:val="000000"/>
          <w:sz w:val="22"/>
          <w:u w:val="single"/>
        </w:rPr>
        <w:t>Disclosure</w:t>
      </w:r>
      <w:r>
        <w:rPr>
          <w:rFonts w:ascii="Times New Roman;serif" w:hAnsi="Times New Roman;serif"/>
          <w:b w:val="false"/>
          <w:color w:val="000000"/>
          <w:sz w:val="22"/>
        </w:rPr>
        <w:t xml:space="preserve">. No representation or warranty of any Loan Party contained in any Loan Document or in any other documents, certificates or written statements made or furnished to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28650"/>
                <wp:effectExtent l="0" t="0" r="0" b="0"/>
                <wp:wrapNone/>
                <wp:docPr id="157" name="Frame1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Lenders by or on behalf of Borrower or any of its Subsidiaries for use in connection with the transactions contemplated hereby, when taken as a whole, contains any untrue statement of a material fact or omits to state a material fact necessary in order to make the statements contained herein or therein not materially misleading in light of the circumstances in which the same were made. Any projections and pro forma financial information contained in such materials are based upon good faith estimates and assumptions believed by Company to be reasonable at the time made, it being recognized by Lenders that such projections as to future events are not to be viewed as facts and that actual results during the period or periods covered by any such projections may differ materially from the projected results. As of the Closing Date, there are no facts known (or which should upon the reasonable exercise of diligence be known) to Company (other than matters of a general economic nature) that, individually or in the aggregate, could have a material adverse impact on the transactions contemplated hereby or the Material Products that have not been disclosed herein or in such other documents, certificates and statements furnished to Lenders for use in connection with the transactions contemplated hereby. The information provided by the Loan Parties to Lenders in the Perfection Certificate (as supplemented in accordance with </w:t>
      </w:r>
      <w:r>
        <w:rPr>
          <w:rFonts w:ascii="Times New Roman;serif" w:hAnsi="Times New Roman;serif"/>
          <w:b w:val="false"/>
          <w:color w:val="000000"/>
          <w:sz w:val="22"/>
          <w:u w:val="single"/>
        </w:rPr>
        <w:t>Section 5.1(n)</w:t>
      </w:r>
      <w:r>
        <w:rPr>
          <w:rFonts w:ascii="Times New Roman;serif" w:hAnsi="Times New Roman;serif"/>
          <w:b w:val="false"/>
          <w:color w:val="000000"/>
          <w:sz w:val="22"/>
        </w:rPr>
        <w:t>) is true and correct in all material respects as of the date such Perfection Certificate was delivered.</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4.30</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proceeds of the Term Loans shall be applied by Company to fund working capital, capital expenditures and general corporate purposes of Borrower and its Subsidiaries; provided that, Incremental Term Loans shall be used in a manner as agreed upon between the Company and the Administrative Agent.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4.31</w:t>
      </w:r>
      <w:r>
        <w:rPr>
          <w:rFonts w:ascii="Times New Roman;serif" w:hAnsi="Times New Roman;serif"/>
          <w:b w:val="false"/>
          <w:color w:val="000000"/>
          <w:sz w:val="22"/>
          <w:u w:val="single"/>
        </w:rPr>
        <w:t>Regulatory Compliance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Each of Borrower and its Subsidiaries have all Registrations from the FDA, EMA, comparable foreign counterparts or any other Governmental Authority required to conduct their respective businesses as currently conducted, except where the failure to have all such Registrations would not reasonably be expected to, individually or in the aggregate, result in Material Regulatory Liabilities. Each of such Registrations is valid and subsisting in full force and effect, except where the failure to do so would not reasonably be expected to, individually or in the aggregate, result in Material Regulatory Liabilities. To the knowledge of the Loan Parties, neither FDA, EMA, nor any comparable Governmental Authority is considering limiting, suspending, or revoking such Registrations or changing the scope of the marketing authorization or the labeling of any Products subject to such Registrations. To the knowledge of the Loan Parties, there is no false or materially misleading information or significant omission in any Product application or other notification, submission or report to the FDA, EMA, or any comparable Governmental Authority that was not corrected by subsequent submission, and all such applications, notifications, submissions and reports provided Borrower and its Subsidiaries were true, complete, and correct in all material respects as of the date of submission to FDA, EMA, or any comparable Governmental Authority. Borrower and its Subsidiaries have not failed to fulfill and perform their obligations which are due under each such Registration, and no event has occurred or condition or state of facts exists which would constitute a breach or default under any such Registration, in each case that would reasonably be expected to cause the revocation, termination or suspension or material limitation of any such Registration, including but not limited to any form of clinical hold order. To the knowledge of the Loan Parties, any third party that develops, researches, manufactures, commercializes, distributes, stores, tests, advertises, promotes, sells or markets Products pursuant to an agreement with Borrower or its Subsidiaries (a “</w:t>
      </w:r>
      <w:r>
        <w:rPr>
          <w:rFonts w:ascii="Times New Roman;serif" w:hAnsi="Times New Roman;serif"/>
          <w:b w:val="false"/>
          <w:color w:val="000000"/>
          <w:sz w:val="22"/>
          <w:u w:val="single"/>
        </w:rPr>
        <w:t>Loan Party Partner</w:t>
      </w:r>
      <w:r>
        <w:rPr>
          <w:color w:val="000000"/>
        </w:rPr>
        <w:t>”</w:t>
      </w:r>
      <w:r>
        <w:rPr>
          <w:rFonts w:ascii="Times New Roman;serif" w:hAnsi="Times New Roman;serif"/>
          <w:b w:val="false"/>
          <w:color w:val="000000"/>
          <w:sz w:val="22"/>
        </w:rPr>
        <w:t>) is in compliance with all Registrations from the FDA, EMA, and any comparable Governmental Authority insofar as they pertain to Products, and each such Loan Party Partner is, and since [**] has been, in compliance with applicable Public Health Laws, except, in each case, where the failure to so be in compliance would not reasonably be expected to, individually or in the aggregate, result in Material Regulatory Liabilities.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Each of Borrower and its Subsidiaries is in compliance, and since [**] has been in compliance, with all Public Health Laws, except to the extent that any such non-compliance, individually or in the aggregate, could not reasonably be expected to result in Material Regulatory Liabilities.</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28650"/>
                <wp:effectExtent l="0" t="0" r="0" b="0"/>
                <wp:wrapNone/>
                <wp:docPr id="158" name="Frame15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To the extent applicable, all products designed, developed, investigated, manufactured, prepared, assembled, packaged, tested, labeled, distributed, sold, marketed or delivered by Borrower or any of its Subsidiaries or, to the knowledge of the Loan Parties, service providers providing services to Borrower or any of its Subsidiaries, that are subject to the jurisdiction of the FDA, EMA, or any comparable Governmental Authority have, since [**], been and are being designed, developed, investigated, manufactured, prepared, assembled, packaged, tested, labeled, distributed, sold, marketed or delivered in compliance with the applicable Public Health Laws, except for such noncompliance that would not reasonably be expected to, individually or in the aggregate, result in Material Regulatory Liabilities. To the knowledge of Borrower and its Subsidiaries, there are no defects in the design or technology embodied in any Material Products that are reasonably expected to prevent the safe and effective performance of any such Material Product for its intended use (other than such limitations specified in the applicable package insert, investigator brochure or informed consent), except for such defects that would not reasonably be expected to, individually or in the aggregate, result in Material Regulatory Liabilities or other Liabilities. None of the Products has been the subject of any tort, products liability or warranty action against Borrower or its Subsidiaries or, to the Borrower’s knowledge, any non-legal claim for clinical trial compensation by trial participants</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Neither Borrower nor any of its Subsidiaries is currently subject to any material obligation arising pursuant to a Regulatory Action and, to the knowledge of the Loan Parties, no such material obligation or Regulatory Action has been threatened or initiated by a Governmental Authority.</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(i) Neither Borrower nor any of its Subsidiaries has since [**] received any written notice or communication from the FDA, EMA, or any other Governmental Authority alleging material noncompliance with any Public Health Law and (ii) to the knowledge of the Loan Parties no Loan Party Partner has since [**] received any written notice or communication from the FDA, EMA, or any other Governmental Authority alleging material noncompliance with any Public Health Law, including without limitation any notice of inspectional observation, notice of adverse finding, notice of violation, warning letters, untitled letters or other notices from any Governmental Authority relating to such Loan Party Partner’s work for Borrower or such Subsidiary. There have been no recalls, field notifications, market withdrawals, administrative detentions, warnings, “dear doctor” letters, investigator notices, safety alerts or any other notices of action relating to an actual or potential lack of safety, efficacy, or regulatory compliance of any Products (“</w:t>
      </w:r>
      <w:r>
        <w:rPr>
          <w:rFonts w:ascii="Times New Roman;serif" w:hAnsi="Times New Roman;serif"/>
          <w:b w:val="false"/>
          <w:color w:val="000000"/>
          <w:sz w:val="22"/>
          <w:u w:val="single"/>
        </w:rPr>
        <w:t>Safety Notices</w:t>
      </w:r>
      <w:r>
        <w:rPr>
          <w:color w:val="000000"/>
        </w:rPr>
        <w:t>”</w:t>
      </w:r>
      <w:r>
        <w:rPr>
          <w:rFonts w:ascii="Times New Roman;serif" w:hAnsi="Times New Roman;serif"/>
          <w:b w:val="false"/>
          <w:color w:val="000000"/>
          <w:sz w:val="22"/>
        </w:rPr>
        <w:t>) and no clinical hold orders issued by the FDA, EMA, or any other oversight authority with respect to an ongoing or anticipated clinical trial of any Product, and to the knowledge of the Loan Parties, there are no facts or circumstances that are reasonably likely to result in (x) a Safety Notice or clinical hold order or (y) a termination or suspension of research, testing, distribution, manufacturing or commercialization of any Material Product.</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4.32</w:t>
      </w:r>
      <w:r>
        <w:rPr>
          <w:rFonts w:ascii="Times New Roman;serif" w:hAnsi="Times New Roman;serif"/>
          <w:b w:val="false"/>
          <w:color w:val="000000"/>
          <w:sz w:val="22"/>
          <w:u w:val="single"/>
        </w:rPr>
        <w:t>Government Contracts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4.34</w:t>
      </w:r>
      <w:r>
        <w:rPr>
          <w:color w:val="000000"/>
        </w:rPr>
        <w:t xml:space="preserve"> </w:t>
      </w:r>
      <w:r>
        <w:rPr>
          <w:rFonts w:ascii="Times New Roman;serif" w:hAnsi="Times New Roman;serif"/>
          <w:b w:val="false"/>
          <w:color w:val="000000"/>
          <w:sz w:val="22"/>
        </w:rPr>
        <w:t>as of the Closing Date hereof, neither Borrower nor any of its Subsidiaries is a party to any contract or agreement with any Governmental Authority and none of Borrower’s or such Subsidiary’s accounts receivables or other rights to receive payment are subject to the Federal Assignment of Claims Act (31 U.S.C. Section 3727) or any similar state, county or municipal law.</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4.33</w:t>
      </w:r>
      <w:r>
        <w:rPr>
          <w:rFonts w:ascii="Times New Roman;serif" w:hAnsi="Times New Roman;serif"/>
          <w:b w:val="false"/>
          <w:color w:val="000000"/>
          <w:sz w:val="22"/>
          <w:u w:val="single"/>
        </w:rPr>
        <w:t>Healthcare Regulatory 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None of Borrower and its Subsidiaries, nor, to their knowledge, any officer, director, managing employee or agent (as those terms are defined in 42 C.F.R. § 1001.1001) thereof, is a party to, or bound by, any written order, individual integrity agreement, corporate integrity agreement, deferred or non-prosecution agreement or other written agreement with any Governmental Authority concerning their compliance with Federal Health Care Program Laws.</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None of Borrower and its Subsidiaries, nor any officer, director, managing employee or agent (as those terms are defined in 42 C.F.R. § 1001.1001) thereof, nor to the knowledge of the Loan Parties, any Loan Party Partner: (i) has been, since [**], charged with or convicted of any criminal offense relating to the delivery of an item or service under any Federal Health Care Program; (ii) has had, since [**], a civil monetary penalty assessed against them under Section 1128A of the Social Security Act; (iii) has been listed on the U.S. General Services Administration published list of parties excluded from federal procurement programs and non-procurement programs; or (iv) to the knowledge of the Loan Parties, is the target or subject of any current or potential suit, claim, action,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28650"/>
                <wp:effectExtent l="0" t="0" r="0" b="0"/>
                <wp:wrapNone/>
                <wp:docPr id="159" name="Frame1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arbitration, mediation, inquiry, subpoena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2"/>
        </w:rPr>
        <w:t>investigation relating to any of the foregoing or any Federal Health Care Program-related offense, or which could result in the imposition of material penalties or the debarment, suspension or exclusion from participation in any Federal Health Care Program. None of Borrower and its Subsidiaries, nor any officer, director, managing employee or agent (as those terms are defined in 42 C.F.R. § 1001.1001) thereof, nor any Loan Party Partner, has been debarred, excluded, disqualified or suspended from participation in any Federal Health Care Program or under any FDA Laws (including 21 U.S.C. § 335a).</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None of Borrower and its Subsidiaries, nor any officer, director, managing employee or agent (as those terms are defined in 42 C.F.R. § 1001.1001) thereof, nor to the knowledge of the Loan Parties, any Loan Party Partner, has, since [**], violated or engaged in any activity that is in violation of any Federal Health Care Program Laws or cause for false claims liability, civil penalties or mandatory or permissive exclusion from any Federal Health Care Program, except where the violation would not reasonably be expected to result, either individually or in the aggregate, in Material Regulatory Liabilities.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To the knowledge of the Loan Parties, no person has filed or has threatened to file against Borrower or any of its Subsidiaries, an action relating to any FDA Law, Public Health Law or Federal Health Care Program Law under any whistleblower statute, including without limitation, the False Claims Act of 1863 (31 U.S.C. § 3729 et seq.).</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4.34</w:t>
      </w:r>
      <w:r>
        <w:rPr>
          <w:rFonts w:ascii="Times New Roman;serif" w:hAnsi="Times New Roman;serif"/>
          <w:b w:val="false"/>
          <w:color w:val="000000"/>
          <w:sz w:val="22"/>
          <w:u w:val="single"/>
        </w:rPr>
        <w:t>Data Protection</w:t>
      </w:r>
      <w:r>
        <w:rPr>
          <w:rFonts w:ascii="Times New Roman;serif" w:hAnsi="Times New Roman;serif"/>
          <w:b w:val="false"/>
          <w:color w:val="000000"/>
          <w:sz w:val="22"/>
        </w:rPr>
        <w:t xml:space="preserve">. Each of Borrower and its Subsidiaries is operating, and since [**] has been operating in material compliance with: (i) applicable Data Protection Laws; (ii) applicable industry standards; (iii) contractual obligations to which Borrower or any Subsidiaries is bound; and (iv) all of Borrower and each of its Subsidiaries’ internal privacy policies, in each case relating to privacy, data protection, consumer protection, consent or the collection, retention, protection, and use of Personal Information collected, used or maintained by Borrower or by third parties having access to the records of Borrower and each of its Subsidiaries that contain any Personal Information, except as would not reasonably be expected to, individually or in the aggregate, result in a Material Adverse Effect. Each of Borrower and its Subsidiaries has adopted and published privacy notices and policies that accurately describe in all material respects the privacy practices of Borrower or any Subsidiary (as applicable), to any website, mobile application or other electronic platform and complied with those notices and policies (collectively, with each of Borrower and each of its Subsidiaries’ internal privacy policies, the “Privacy Policies”). The execution, delivery and performance of this Agreement complies and will comply with all Data Protection Laws and Borrower’s and each Subsidiary’s Privacy Policies in each case in all material respects. Neither Borrower nor any Subsidiary, nor to the knowledge of the Loan Parties, any third party acting on behalf of Borrower or any Subsidiary, has experienced any material incidences in which Personal Information was or may have been stolen or improperly accessed, including any material breach of security or other material loss, unauthorized access, use or disclosure of Personal Information in the possession, custody or control of Borrower or any of its Subsidiaries or any third party acting on behalf of Borrower or any Subsidiary. Neither Borrower nor any Subsidiary, nor, to the knowledge of the Loan Parties, any third party acting on behalf of Borrower or any Subsidiary, has received any: (i) written, or to the knowledge of the Loan Parties, oral inquiry or complaint alleging material noncompliance with Data Protection Laws; (ii) written or, to the knowledge of the Loan Parties, oral claim for material compensation for loss or unauthorized collection, processing or disclosure of Data or other Personal Information; or (iii) written or, to the knowledge of the Loan Parties, oral notification of an application for rectification, erasure or destruction of material Data or other material Personal Information that is still outstanding. </w:t>
      </w:r>
    </w:p>
    <w:p>
      <w:pPr>
        <w:pStyle w:val="TextBody"/>
        <w:bidi w:val="0"/>
        <w:spacing w:lineRule="auto" w:line="240"/>
        <w:ind w:left="0" w:right="0" w:firstLine="720"/>
        <w:jc w:val="both"/>
        <w:rPr/>
      </w:pPr>
      <w:r>
        <w:rPr>
          <w:rFonts w:ascii="Times New Roman;serif" w:hAnsi="Times New Roman;serif"/>
          <w:b w:val="false"/>
          <w:color w:val="010000"/>
          <w:sz w:val="22"/>
        </w:rPr>
        <w:t>Section 4.35</w:t>
      </w:r>
      <w:r>
        <w:rPr>
          <w:rFonts w:ascii="Times New Roman;serif" w:hAnsi="Times New Roman;serif"/>
          <w:b w:val="false"/>
          <w:color w:val="000000"/>
          <w:sz w:val="22"/>
          <w:u w:val="single"/>
        </w:rPr>
        <w:t>Customers and Suppliers</w:t>
      </w:r>
      <w:r>
        <w:rPr>
          <w:rFonts w:ascii="Times New Roman;serif" w:hAnsi="Times New Roman;serif"/>
          <w:b w:val="false"/>
          <w:color w:val="000000"/>
          <w:sz w:val="22"/>
        </w:rPr>
        <w:t xml:space="preserve">. There exists no actual or threatened termination, cancellation or limitation of, or modification to or change in, the business relationship between (a) any of Company or its Subsidiaries, on the one hand, and any customer or any group thereof, on the other hand, whose agreements with any of Company or its Subsidiaries are individually or in the aggregate material to the business or operations of such Loan Party or any of its Subsidiaries, or (b) any of Company or its Subsidiaries, on the one hand, and any supplier or any group thereof, on the other hand, whose agreements with any of Company or its Subsidiaries are individually or in the aggregate material to the business or operations of Company or its Subsidiaries, in each case, that, individually or in the aggregate, could reasonably be expected to result in a Material Adverse Effect. There exists no present state of facts or circumstances that could give rise to or result in any such termination, cancellation,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628650"/>
                <wp:effectExtent l="0" t="0" r="0" b="0"/>
                <wp:wrapNone/>
                <wp:docPr id="160" name="Frame15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modification or change that, individually or in the aggregate, could reasonably be expected to result in a Material Adverse Effect.</w:t>
      </w:r>
    </w:p>
    <w:p>
      <w:pPr>
        <w:pStyle w:val="TextBody"/>
        <w:bidi w:val="0"/>
        <w:spacing w:lineRule="auto" w:line="240" w:before="0" w:after="240"/>
        <w:jc w:val="center"/>
        <w:rPr/>
      </w:pPr>
      <w:r>
        <w:rPr>
          <w:rFonts w:ascii="Times New Roman;serif" w:hAnsi="Times New Roman;serif"/>
          <w:b/>
          <w:color w:val="010000"/>
          <w:sz w:val="22"/>
        </w:rPr>
        <w:t>Article V</w:t>
      </w:r>
      <w:r>
        <w:rPr>
          <w:rFonts w:ascii="Times New Roman;serif" w:hAnsi="Times New Roman;serif"/>
          <w:b/>
          <w:color w:val="000000"/>
          <w:sz w:val="22"/>
        </w:rPr>
        <w:br/>
        <w:br/>
        <w:t>AFFIRMATIVE COVENANTS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each Loan Party shall perform, and shall cause each of its Subsidiaries to perform, all covenants in this </w:t>
      </w:r>
      <w:r>
        <w:rPr>
          <w:rFonts w:ascii="Times New Roman;serif" w:hAnsi="Times New Roman;serif"/>
          <w:b w:val="false"/>
          <w:color w:val="000000"/>
          <w:sz w:val="22"/>
          <w:u w:val="single"/>
        </w:rPr>
        <w:t>Article V</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5.1</w:t>
      </w:r>
      <w:r>
        <w:rPr>
          <w:rFonts w:ascii="Times New Roman;serif" w:hAnsi="Times New Roman;serif"/>
          <w:b w:val="false"/>
          <w:color w:val="000000"/>
          <w:sz w:val="22"/>
          <w:u w:val="single"/>
        </w:rPr>
        <w:t>Financial Statements and Other Reports</w:t>
      </w:r>
      <w:r>
        <w:rPr>
          <w:rFonts w:ascii="Times New Roman;serif" w:hAnsi="Times New Roman;serif"/>
          <w:b w:val="false"/>
          <w:color w:val="000000"/>
          <w:sz w:val="22"/>
        </w:rPr>
        <w:t>. Unless otherwise provided below, Borrower will deliver to Administrative Agent and Lenders:</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Cash Reports</w:t>
      </w:r>
      <w:r>
        <w:rPr>
          <w:rFonts w:ascii="Times New Roman;serif" w:hAnsi="Times New Roman;serif"/>
          <w:b w:val="false"/>
          <w:color w:val="000000"/>
          <w:sz w:val="22"/>
        </w:rPr>
        <w:t xml:space="preserve">. Promptly, but in any event within [**], after the end of each fiscal month of Borrower where, if at any time during such month, the aggregate market capitalization of the Company (based on the closing price of the Common Stock on the date of such calculation) is less than $[**], a report of the current Cash and Cash Equivalent balances of the Loan Parties, which report shall identify unrestricted and restricted Cash and Cash Equivalents;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at any time, the aggregate market capitalization of the Company (based on the closing price of the Common Stock on the date of such calculation) is less than $[**], Administrative Agent may request at any time, and Borrower shall promptly provide, a report of at least [**]% of the current Cash and Cash Equivalent balances of the Loan Parties, which report shall identify unrestricted and restricted Cash and Cash Equivalents (or, if greater, all Cash and Cash Equivalent balances required to satisfy the covenant set forth in </w:t>
      </w:r>
      <w:r>
        <w:rPr>
          <w:rFonts w:ascii="Times New Roman;serif" w:hAnsi="Times New Roman;serif"/>
          <w:b w:val="false"/>
          <w:color w:val="000000"/>
          <w:sz w:val="22"/>
          <w:u w:val="single"/>
        </w:rPr>
        <w:t>Section 6.8</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Within [**] after the end of each Fiscal Quarter of each Fiscal Year (excluding the fourth Fiscal Quarter), the consolidated balance sheets of Borrower and its Subsidiaries as at the end of such Fiscal Quarter and the related consolidated statements of income, stockholders’ equity and cash flows of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and a Narrative Report with respect thereto; provided that so long as the Borrower is a public filer with the SEC, upon written notice to the Administrative Agent, such [**] period (excluding with respect to the Narrative Report described in clause (b) of the definition thereof) may be extended in accordance with any grace periods provided by the SEC with respect to delivery of such financial statements described in this Section 5.1(b);</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Annual Financial Statements</w:t>
      </w:r>
      <w:r>
        <w:rPr>
          <w:rFonts w:ascii="Times New Roman;serif" w:hAnsi="Times New Roman;serif"/>
          <w:b w:val="false"/>
          <w:color w:val="000000"/>
          <w:sz w:val="22"/>
        </w:rPr>
        <w:t xml:space="preserve">. Within [**] after the end of each Fiscal Year, (i) the consolidated balance sheets of Borrower and its Subsidiaries as at the end of such Fiscal Year and the related consolidated statements of income, stockholders’ equity and cash flows of Borrower and its Subsidiaries for such Fiscal Year, setting forth in each case in comparative form the corresponding figures for the previous Fiscal Year, in reasonable detail, together with a Financial Officer Certification and Narrative Reports with respect thereto; and (ii) with respect to such consolidated financial statements a report thereon of KPMG LLP or other independent certified public accountants of recognized national standing selected by Borrower or that is otherwise reasonably satisfactory to Administrative Agent (which report shall be unqualified as to going concern and scope of audit, shall not contain any going concern emphasis of matter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 (other than any such exception, qualification or explanatory paragraph that is with respect to, or resulting from, the upcoming maturity of Indebtedness or any breach or potential breach of </w:t>
      </w:r>
      <w:r>
        <w:rPr>
          <w:rFonts w:ascii="Times New Roman;serif" w:hAnsi="Times New Roman;serif"/>
          <w:b w:val="false"/>
          <w:color w:val="000000"/>
          <w:sz w:val="22"/>
          <w:u w:val="single"/>
        </w:rPr>
        <w:t>Section 6.8</w:t>
      </w:r>
      <w:r>
        <w:rPr>
          <w:rFonts w:ascii="Times New Roman;serif" w:hAnsi="Times New Roman;serif"/>
          <w:b w:val="false"/>
          <w:color w:val="000000"/>
          <w:sz w:val="22"/>
        </w:rPr>
        <w:t>); provided that so long as the Borrower is a public filer with the SEC, upon written notice to the Administrative Agent, such [**] period (excluding with respect to the Narrative Report described in clause (b) of the definition thereof) may be extended in accordance with any grace periods provided by the SEC with respect to delivery of such financial statements described in this Section 5.1(c));</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28650"/>
                <wp:effectExtent l="0" t="0" r="0" b="0"/>
                <wp:wrapNone/>
                <wp:docPr id="161" name="Frame1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u w:val="single"/>
        </w:rPr>
        <w:t>Compliance Certificate</w:t>
      </w:r>
      <w:r>
        <w:rPr>
          <w:rFonts w:ascii="Times New Roman;serif" w:hAnsi="Times New Roman;serif"/>
          <w:b w:val="false"/>
          <w:color w:val="000000"/>
          <w:sz w:val="22"/>
        </w:rPr>
        <w:t xml:space="preserve">. Together with each delivery of financial statements of Borrower and its Subsidiaries pursuant to </w:t>
      </w:r>
      <w:r>
        <w:rPr>
          <w:rFonts w:ascii="Times New Roman;serif" w:hAnsi="Times New Roman;serif"/>
          <w:b w:val="false"/>
          <w:color w:val="000000"/>
          <w:sz w:val="22"/>
          <w:u w:val="single"/>
        </w:rPr>
        <w:t>Section 5.1(b)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5.1(c)</w:t>
      </w:r>
      <w:r>
        <w:rPr>
          <w:rFonts w:ascii="Times New Roman;serif" w:hAnsi="Times New Roman;serif"/>
          <w:b w:val="false"/>
          <w:color w:val="000000"/>
          <w:sz w:val="22"/>
        </w:rPr>
        <w:t>, a duly executed and completed Compliance Certificate, together with evidence attached of the Cash balances contained in each Deposit Account of the Loan Parties;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u w:val="single"/>
        </w:rPr>
        <w:t>Royalty Reports; Notice of Disputes</w:t>
      </w:r>
      <w:r>
        <w:rPr>
          <w:rFonts w:ascii="Times New Roman;serif" w:hAnsi="Times New Roman;serif"/>
          <w:b w:val="false"/>
          <w:color w:val="000000"/>
          <w:sz w:val="22"/>
        </w:rPr>
        <w:t>. Promptly (but in any event within [**] ) after receipt by Borrower or any of its Subsidiaries, a copy of any Royalty Reports, material written communications to or from the counterparty under any License Agreement (other than filings, submissions, reports, notices, correspondence and other documentation related to routine patent prosecution in the ordinary course and any materials that would be deemed privileged in connection with patent litigation) or any written notices regarding the commencement of, or material developments in, any material third party disputes with respect to a Material Product, any Material Contract, any Product Intellectual Property Rights, any Platform Intellectual Property Rights or any Permitted Product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u w:val="single"/>
        </w:rPr>
        <w:t>Notice of Default</w:t>
      </w:r>
      <w:r>
        <w:rPr>
          <w:rFonts w:ascii="Times New Roman;serif" w:hAnsi="Times New Roman;serif"/>
          <w:b w:val="false"/>
          <w:color w:val="000000"/>
          <w:sz w:val="22"/>
        </w:rPr>
        <w:t xml:space="preserve">. Promptly (but in any event within [**]) upon any executive officer of Borrower obtaining knowledge (i) of any condition or event that constitutes a Default or an Event of Default or that notice has been given to Borrower with respect thereto; (ii) that any Person has given any notice to Borrower or any of its Subsidiaries or taken any other action with respect to any event or condition set forth in </w:t>
      </w:r>
      <w:r>
        <w:rPr>
          <w:rFonts w:ascii="Times New Roman;serif" w:hAnsi="Times New Roman;serif"/>
          <w:b w:val="false"/>
          <w:color w:val="000000"/>
          <w:sz w:val="22"/>
          <w:u w:val="single"/>
        </w:rPr>
        <w:t>Section 8.1(b)</w:t>
      </w:r>
      <w:r>
        <w:rPr>
          <w:rFonts w:ascii="Times New Roman;serif" w:hAnsi="Times New Roman;serif"/>
          <w:b w:val="false"/>
          <w:color w:val="000000"/>
          <w:sz w:val="22"/>
        </w:rPr>
        <w:t>; or (iii) of the occurrence of any event or change that has caused or evidences or results in, in any case or in the aggregate, a Material Adverse Effect or Material Regulatory Liabilities, a certificate of its Authorized Officers specifying the nature and period of existence of such condition, event or change, or specifying the notice given and action taken by any such Person and the nature of such claimed Event of Default, Default, default, event or condition, and what action Company has taken, is taking and proposes to take with respect thereto;</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u w:val="single"/>
        </w:rPr>
        <w:t>Notice of Litigation</w:t>
      </w:r>
      <w:r>
        <w:rPr>
          <w:rFonts w:ascii="Times New Roman;serif" w:hAnsi="Times New Roman;serif"/>
          <w:b w:val="false"/>
          <w:color w:val="000000"/>
          <w:sz w:val="22"/>
        </w:rPr>
        <w:t xml:space="preserve">. (A) Promptly (but in any event within [**]) upon any executive officer of Company obtaining knowledge of (i) the institution of, or non-frivolous threat of, any Adverse Proceeding or (ii) any material development in any Adverse Proceeding that, in the case of either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relates to the Products, a material portion of the Collateral or the Material Contracts and would reasonably be expected to result in Material Regulatory Liabilities or Material Adverse Effect, or which seeks to enjoin or otherwise prevent the consummation of, or to recover any damages or obtain relief as a result of, the transactions contemplated hereby, written notice thereof together with such other information as may be reasonably requested by the Administrative Agent and available to Company and (B) concurrently with the delivery of the Compliance Certificate required under Section 5.1(c), a summary report of (i) the institution of, or non-frivolous threat of, any Adverse Proceeding or (ii) any material development in any Adverse Proceeding that, in the case of either clause (i) or (ii), relates to the Material Products, a material portion of the Collateral or the Material Contracts, in each case occurring with respect to the fiscal quarter ended prior to the delivery of such Compliance Certificate;</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u w:val="single"/>
        </w:rPr>
        <w:t>ERISA</w:t>
      </w:r>
      <w:r>
        <w:rPr>
          <w:rFonts w:ascii="Times New Roman;serif" w:hAnsi="Times New Roman;serif"/>
          <w:b w:val="false"/>
          <w:color w:val="000000"/>
          <w:sz w:val="22"/>
        </w:rPr>
        <w:t>. Promptly (but in any event within [**]) upon becoming aware of the occurrence of or forthcoming occurrence of any ERISA Event that would reasonably be expected to result in a material Liability to a Loan Party, a written notice specifying the nature thereof, what action a Loan Party or any ERISA Affiliate has taken, is taking or proposes to take with respect thereto and, when known, any action taken or threatened by the Internal Revenue Service, the Department of Labor or the PBGC with respect thereto;</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Insurance Report</w:t>
      </w:r>
      <w:r>
        <w:rPr>
          <w:rFonts w:ascii="Times New Roman;serif" w:hAnsi="Times New Roman;serif"/>
          <w:b w:val="false"/>
          <w:color w:val="000000"/>
          <w:sz w:val="22"/>
        </w:rPr>
        <w:t>. As soon as practicable and in any event by the last day of each Fiscal Year, a report in form and substance reasonably satisfactory to Administrative Agent outlining all material insurance coverage maintained as of the date of such report by Borrower and its Subsidiaries and all material insurance coverage planned to be maintained by Borrower and its Subsidiaries in the immediately succeeding Fiscal Year;</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u w:val="single"/>
        </w:rPr>
        <w:t>Regulatory and Product Notices</w:t>
      </w:r>
      <w:r>
        <w:rPr>
          <w:rFonts w:ascii="Times New Roman;serif" w:hAnsi="Times New Roman;serif"/>
          <w:b w:val="false"/>
          <w:color w:val="000000"/>
          <w:sz w:val="22"/>
        </w:rPr>
        <w:t>. Each Loan Party shall promptly (but in any event within [**]) after the receipt or occurrence thereof notify Administrative Agent of:</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color w:val="000000"/>
        </w:rPr>
        <w:t xml:space="preserve"> </w:t>
      </w:r>
      <w:r>
        <w:rPr>
          <w:rFonts w:ascii="Times New Roman;serif" w:hAnsi="Times New Roman;serif"/>
          <w:b w:val="false"/>
          <w:color w:val="000000"/>
          <w:sz w:val="22"/>
        </w:rPr>
        <w:t xml:space="preserve">any written notice received by Borrower or its Subsidiaries alleging potential or actual material violations of any Public Health Law by Borrower or its Subsidiaries,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628650"/>
                <wp:effectExtent l="0" t="0" r="0" b="0"/>
                <wp:wrapNone/>
                <wp:docPr id="162" name="Frame16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written notice from the FTC alleging potential unfair or anticompetitive business practices by Borrower or any of its Subsidiaries,</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any written notice that the FDA (or international equivalent) is limiting, suspending or revoking any Registration (including, but not limited to, by the issuance of a clinical hold order),</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(iii)</w:t>
      </w:r>
      <w:r>
        <w:rPr>
          <w:rFonts w:ascii="Times New Roman;serif" w:hAnsi="Times New Roman;serif"/>
          <w:b w:val="false"/>
          <w:color w:val="000000"/>
          <w:sz w:val="22"/>
        </w:rPr>
        <w:t>any written notice that Borrower or its Subsidiaries has become subject to any Regulatory Action (other than any routine inspection or investigation in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10000"/>
          <w:sz w:val="22"/>
        </w:rPr>
        <w:t>(iv)</w:t>
      </w:r>
      <w:r>
        <w:rPr>
          <w:rFonts w:ascii="Times New Roman;serif" w:hAnsi="Times New Roman;serif"/>
          <w:b w:val="false"/>
          <w:color w:val="000000"/>
          <w:sz w:val="22"/>
        </w:rPr>
        <w:t>the exclusion or debarment from any governmental healthcare program or debarment or disqualification by FDA (or international equivalent) of Borrower or its Subsidiaries or its or their Authorized Officers,</w:t>
      </w:r>
    </w:p>
    <w:p>
      <w:pPr>
        <w:pStyle w:val="TextBody"/>
        <w:bidi w:val="0"/>
        <w:spacing w:lineRule="auto" w:line="240" w:before="0" w:after="240"/>
        <w:ind w:left="0" w:right="0" w:firstLine="2160"/>
        <w:jc w:val="both"/>
        <w:rPr/>
      </w:pPr>
      <w:r>
        <w:rPr>
          <w:rFonts w:ascii="Times New Roman;serif" w:hAnsi="Times New Roman;serif"/>
          <w:b w:val="false"/>
          <w:color w:val="010000"/>
          <w:sz w:val="22"/>
        </w:rPr>
        <w:t>(v)</w:t>
      </w:r>
      <w:r>
        <w:rPr>
          <w:rFonts w:ascii="Times New Roman;serif" w:hAnsi="Times New Roman;serif"/>
          <w:b w:val="false"/>
          <w:color w:val="000000"/>
          <w:sz w:val="22"/>
        </w:rPr>
        <w:t>any written notice that a Borrower or any Subsidiary, or any of their Licensees (including Licensees under the Product Agreements or Material Contracts), is being investigated or is the subject of any allegation of potential or actual violations of any Federal Health Care Program Laws,</w:t>
      </w:r>
    </w:p>
    <w:p>
      <w:pPr>
        <w:pStyle w:val="TextBody"/>
        <w:bidi w:val="0"/>
        <w:spacing w:lineRule="auto" w:line="240" w:before="0" w:after="240"/>
        <w:ind w:left="0" w:right="0" w:firstLine="2160"/>
        <w:jc w:val="both"/>
        <w:rPr/>
      </w:pPr>
      <w:r>
        <w:rPr>
          <w:rFonts w:ascii="Times New Roman;serif" w:hAnsi="Times New Roman;serif"/>
          <w:b w:val="false"/>
          <w:color w:val="010000"/>
          <w:sz w:val="22"/>
        </w:rPr>
        <w:t>(vi)</w:t>
      </w:r>
      <w:r>
        <w:rPr>
          <w:rFonts w:ascii="Times New Roman;serif" w:hAnsi="Times New Roman;serif"/>
          <w:b w:val="false"/>
          <w:color w:val="000000"/>
          <w:sz w:val="22"/>
        </w:rPr>
        <w:t>any written notice that any Product of Borrower or its Subsidiaries has been seized, withdrawn, recalled, detained, or subject to a suspension of manufacturing, or the commencement of any proceedings in the United States or any other jurisdiction seeking the withdrawal, recall, suspension, import detention, or seizure of any Product are pending or threatened in writing against Borrower or its Subsidiaries,</w:t>
      </w:r>
    </w:p>
    <w:p>
      <w:pPr>
        <w:pStyle w:val="TextBody"/>
        <w:bidi w:val="0"/>
        <w:spacing w:lineRule="auto" w:line="240" w:before="0" w:after="240"/>
        <w:ind w:left="0" w:right="0" w:firstLine="2160"/>
        <w:jc w:val="both"/>
        <w:rPr/>
      </w:pPr>
      <w:r>
        <w:rPr>
          <w:rFonts w:ascii="Times New Roman;serif" w:hAnsi="Times New Roman;serif"/>
          <w:b w:val="false"/>
          <w:color w:val="010000"/>
          <w:sz w:val="22"/>
        </w:rPr>
        <w:t>(vii)</w:t>
      </w:r>
      <w:r>
        <w:rPr>
          <w:rFonts w:ascii="Times New Roman;serif" w:hAnsi="Times New Roman;serif"/>
          <w:b w:val="false"/>
          <w:color w:val="000000"/>
          <w:sz w:val="22"/>
        </w:rPr>
        <w:t xml:space="preserve">any change in the scope of marketing authorization or the labeling of the products of Borrower and its Subsidiaries under any Registrations (which may be satisfied by a press release issued by Borrower), </w:t>
      </w:r>
    </w:p>
    <w:p>
      <w:pPr>
        <w:pStyle w:val="TextBody"/>
        <w:bidi w:val="0"/>
        <w:spacing w:lineRule="auto" w:line="240" w:before="0" w:after="240"/>
        <w:ind w:left="0" w:right="0" w:firstLine="2160"/>
        <w:jc w:val="both"/>
        <w:rPr/>
      </w:pPr>
      <w:r>
        <w:rPr>
          <w:rFonts w:ascii="Times New Roman;serif" w:hAnsi="Times New Roman;serif"/>
          <w:b w:val="false"/>
          <w:color w:val="010000"/>
          <w:sz w:val="22"/>
        </w:rPr>
        <w:t>(viii)</w:t>
      </w:r>
      <w:r>
        <w:rPr>
          <w:rFonts w:ascii="Times New Roman;serif" w:hAnsi="Times New Roman;serif"/>
          <w:b w:val="false"/>
          <w:color w:val="000000"/>
          <w:sz w:val="22"/>
        </w:rPr>
        <w:t xml:space="preserve">any other Regulatory Action threatened or initiated by a Governmental Authority in writing, or </w:t>
      </w:r>
    </w:p>
    <w:p>
      <w:pPr>
        <w:pStyle w:val="TextBody"/>
        <w:bidi w:val="0"/>
        <w:spacing w:lineRule="auto" w:line="240" w:before="0" w:after="240"/>
        <w:ind w:left="0" w:right="0" w:firstLine="2160"/>
        <w:jc w:val="both"/>
        <w:rPr/>
      </w:pPr>
      <w:r>
        <w:rPr>
          <w:rFonts w:ascii="Times New Roman;serif" w:hAnsi="Times New Roman;serif"/>
          <w:b w:val="false"/>
          <w:color w:val="010000"/>
          <w:sz w:val="22"/>
        </w:rPr>
        <w:t>(ix)</w:t>
      </w:r>
      <w:r>
        <w:rPr>
          <w:rFonts w:ascii="Times New Roman;serif" w:hAnsi="Times New Roman;serif"/>
          <w:b w:val="false"/>
          <w:color w:val="000000"/>
          <w:sz w:val="22"/>
        </w:rPr>
        <w:t>any written notice by a Governmental Authority that, to the Borrower’s knowledge, is considering or implementing such other Regulatory Action,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except, in each case of (i) through (ix) above, where such action would not reasonably be expected to have, either individually or in the aggregate, Material Regulatory Liabilities;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u w:val="single"/>
        </w:rPr>
        <w:t>Notice Regarding Material Contracts</w:t>
      </w:r>
      <w:r>
        <w:rPr>
          <w:rFonts w:ascii="Times New Roman;serif" w:hAnsi="Times New Roman;serif"/>
          <w:b w:val="false"/>
          <w:color w:val="000000"/>
          <w:sz w:val="22"/>
        </w:rPr>
        <w:t xml:space="preserve">. Promptly (but in any event within [**]) (A) after a Loan Party or a Subsidiary of a Loan Party receives any notice (written or oral) of default or event of default under any Material Contracts, or (B) after Loan Party or a Subsidiary of a Loan Party receives or otherwise becomes aware of any dispute, litigation, purchase price adjustment (other than in accordance with the terms of such Material Contract), indemnity claim, exercise of rights of set-off or deduction (including any of the foregoing threatened in writing) under or with respect any Material Contract, in each case, reasonably expected to be in excess of $[**], and (ii) promptly (but in any event within [**]), after any new Material Contract (including any New License Agreement) is entered into, in each case of </w:t>
      </w:r>
      <w:r>
        <w:rPr>
          <w:rFonts w:ascii="Times New Roman;serif" w:hAnsi="Times New Roman;serif"/>
          <w:b w:val="false"/>
          <w:color w:val="000000"/>
          <w:sz w:val="22"/>
          <w:u w:val="single"/>
        </w:rPr>
        <w:t>clauses</w:t>
      </w:r>
      <w:r>
        <w:rPr>
          <w:color w:val="000000"/>
        </w:rPr>
        <w:t xml:space="preserve">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furnish to Administrative Agent a written statement describing such event, with copies of such notices or new contracts together with all pertinent detail and information relating thereto in such Loan Party or Subsidiary of Loan Party’s possession, custody or control and to the extent allowed to be delivered pursuant to its terms, and an explanation of any actions being taken with respect thereto. Borrower shall promptly provide Administrative Agent with written notice upon becoming aware of a counterparty’s material breach of its obligations under any Material Contract;</w:t>
      </w:r>
    </w:p>
    <w:p>
      <w:pPr>
        <w:pStyle w:val="TextBody"/>
        <w:bidi w:val="0"/>
        <w:spacing w:lineRule="auto" w:line="240"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u w:val="single"/>
        </w:rPr>
        <w:t>Information Regarding Collateral</w:t>
      </w:r>
      <w:r>
        <w:rPr>
          <w:rFonts w:ascii="Times New Roman;serif" w:hAnsi="Times New Roman;serif"/>
          <w:b w:val="false"/>
          <w:color w:val="000000"/>
          <w:sz w:val="22"/>
        </w:rPr>
        <w:t xml:space="preserve">. Company will furnish to Administrative Agent prior written notice of any change (a) in any Loan Party’s legal name, (b) in any Loan Party’s identity or corporate structure, or (c) in any Loan Party’s U.S. federal or other taxpayer identification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628650"/>
                <wp:effectExtent l="0" t="0" r="0" b="0"/>
                <wp:wrapNone/>
                <wp:docPr id="163" name="Frame16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number (if any). Company agrees not to effect or permit any change referred to in the preceding sentence unless all filings have been made under the UCC or otherwise that are required in order for Administrative Agent to continue at all times following such change to have a valid, legal and perfected security interest in all the Collateral and for the Collateral at all times following such change to have a valid, legal and perfected security interest as contemplated in the Collateral Documents. Company also agrees promptly to notify Administrative Agent if any material portion of the Collateral is damaged or destroyed;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u w:val="single"/>
        </w:rPr>
        <w:t>Annual Collateral Verification</w:t>
      </w:r>
      <w:r>
        <w:rPr>
          <w:rFonts w:ascii="Times New Roman;serif" w:hAnsi="Times New Roman;serif"/>
          <w:b w:val="false"/>
          <w:color w:val="000000"/>
          <w:sz w:val="22"/>
        </w:rPr>
        <w:t xml:space="preserve">. Each year, at the time of delivery of annual financial statements with respect to the preceding Fiscal Year pursuant to </w:t>
      </w:r>
      <w:r>
        <w:rPr>
          <w:rFonts w:ascii="Times New Roman;serif" w:hAnsi="Times New Roman;serif"/>
          <w:b w:val="false"/>
          <w:color w:val="000000"/>
          <w:sz w:val="22"/>
          <w:u w:val="single"/>
        </w:rPr>
        <w:t>Section 5.1(c)</w:t>
      </w:r>
      <w:r>
        <w:rPr>
          <w:rFonts w:ascii="Times New Roman;serif" w:hAnsi="Times New Roman;serif"/>
          <w:b w:val="false"/>
          <w:color w:val="000000"/>
          <w:sz w:val="22"/>
        </w:rPr>
        <w:t xml:space="preserve">, Company shall deliver to Administrative Agent an Officer’s Certificate (a) confirming that there has been no change in such information since the date of the Perfection Certificate delivered on the Closing Date or the date of the most recent certificate delivered pursuant to this </w:t>
      </w:r>
      <w:r>
        <w:rPr>
          <w:rFonts w:ascii="Times New Roman;serif" w:hAnsi="Times New Roman;serif"/>
          <w:b w:val="false"/>
          <w:color w:val="000000"/>
          <w:sz w:val="22"/>
          <w:u w:val="single"/>
        </w:rPr>
        <w:t>Section 5.1(n)</w:t>
      </w:r>
      <w:r>
        <w:rPr>
          <w:color w:val="000000"/>
        </w:rPr>
        <w:t xml:space="preserve"> </w:t>
      </w:r>
      <w:r>
        <w:rPr>
          <w:rFonts w:ascii="Times New Roman;serif" w:hAnsi="Times New Roman;serif"/>
          <w:b w:val="false"/>
          <w:color w:val="000000"/>
          <w:sz w:val="22"/>
        </w:rPr>
        <w:t>or identifying any such change and/or (b) identifying the UCC financing statements (including fixtures filings, as applicable) or other appropriate filings, recordings or registrations that must be made by the Administrative Agent to protect and perfect the security interests under the Collateral Documents during such [**] period;</w:t>
      </w:r>
    </w:p>
    <w:p>
      <w:pPr>
        <w:pStyle w:val="TextBody"/>
        <w:bidi w:val="0"/>
        <w:spacing w:lineRule="auto" w:line="240"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u w:val="single"/>
        </w:rPr>
        <w:t>Products</w:t>
      </w:r>
      <w:r>
        <w:rPr>
          <w:rFonts w:ascii="Times New Roman;serif" w:hAnsi="Times New Roman;serif"/>
          <w:b w:val="false"/>
          <w:color w:val="000000"/>
          <w:sz w:val="22"/>
        </w:rPr>
        <w:t>. Promptly, but in any event within [**] after the receipt by Borrower or any of its Subsidiaries or occurrence thereof, as applicable, notify Administrative Agent of:</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granting of any licenses or sublicenses under any Permitted Product Agreement received by Borrower;</w:t>
      </w:r>
    </w:p>
    <w:p>
      <w:pPr>
        <w:pStyle w:val="TextBody"/>
        <w:bidi w:val="0"/>
        <w:spacing w:lineRule="auto" w:line="240" w:before="0" w:after="240"/>
        <w:ind w:left="0" w:right="0" w:firstLine="1440"/>
        <w:jc w:val="both"/>
        <w:rPr/>
      </w:pPr>
      <w:r>
        <w:rPr>
          <w:rFonts w:ascii="Times New Roman;serif" w:hAnsi="Times New Roman;serif"/>
          <w:b w:val="false"/>
          <w:color w:val="010000"/>
          <w:sz w:val="22"/>
        </w:rPr>
        <w:t>(ii)</w:t>
      </w:r>
      <w:r>
        <w:rPr>
          <w:rFonts w:ascii="Times New Roman;serif" w:hAnsi="Times New Roman;serif"/>
          <w:b w:val="false"/>
          <w:color w:val="000000"/>
          <w:sz w:val="22"/>
        </w:rPr>
        <w:t>amending an existing Permitted Product Agreement, or entering into any new Permitted Product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(iii)</w:t>
      </w:r>
      <w:r>
        <w:rPr>
          <w:rFonts w:ascii="Times New Roman;serif" w:hAnsi="Times New Roman;serif"/>
          <w:b w:val="false"/>
          <w:color w:val="000000"/>
          <w:sz w:val="22"/>
        </w:rPr>
        <w:t>any material written communications received from the FDA or other Governmental Authority that would reasonably be expected to result in a Material Adverse Effect;</w:t>
      </w:r>
    </w:p>
    <w:p>
      <w:pPr>
        <w:pStyle w:val="TextBody"/>
        <w:bidi w:val="0"/>
        <w:spacing w:lineRule="auto" w:line="288" w:before="0" w:after="240"/>
        <w:jc w:val="both"/>
        <w:rPr/>
      </w:pPr>
      <w:r>
        <w:rPr>
          <w:rFonts w:ascii="Times New Roman;serif" w:hAnsi="Times New Roman;serif"/>
          <w:b w:val="false"/>
          <w:color w:val="000000"/>
          <w:sz w:val="22"/>
        </w:rPr>
        <w:t>(iv)</w:t>
      </w:r>
      <w:r>
        <w:rPr>
          <w:rFonts w:ascii="Times New Roman;serif" w:hAnsi="Times New Roman;serif"/>
          <w:b w:val="false"/>
          <w:color w:val="000000"/>
          <w:sz w:val="22"/>
        </w:rPr>
        <w:t>in each case, to the extent related to a Material Product.</w:t>
      </w:r>
    </w:p>
    <w:p>
      <w:pPr>
        <w:pStyle w:val="TextBody"/>
        <w:bidi w:val="0"/>
        <w:spacing w:lineRule="auto" w:line="240"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u w:val="single"/>
        </w:rPr>
        <w:t>Notices re Intellectual Property</w:t>
      </w:r>
      <w:r>
        <w:rPr>
          <w:rFonts w:ascii="Times New Roman;serif" w:hAnsi="Times New Roman;serif"/>
          <w:b w:val="false"/>
          <w:color w:val="000000"/>
          <w:sz w:val="22"/>
        </w:rPr>
        <w:t>. Promptly (but in any event within [**]), deliver notice of material infringements of any material Intellectual Property Rights owned or licensed by such Loan Party or any of its Subsidiaries that are known to any Loan Party;</w:t>
      </w:r>
    </w:p>
    <w:p>
      <w:pPr>
        <w:pStyle w:val="TextBody"/>
        <w:bidi w:val="0"/>
        <w:spacing w:lineRule="auto" w:line="240"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u w:val="single"/>
        </w:rPr>
        <w:t>Regulatory Documentation</w:t>
      </w:r>
      <w:r>
        <w:rPr>
          <w:rFonts w:ascii="Times New Roman;serif" w:hAnsi="Times New Roman;serif"/>
          <w:b w:val="false"/>
          <w:color w:val="000000"/>
          <w:sz w:val="22"/>
        </w:rPr>
        <w:t>. Except pursuant to the Company’s exercise of good faith business judgement to cease or limit the research or development of any such Product other than a Material Product, Company shall, either alone or through its Licensees (to the extent such Licensees have a sole control, responsibility and decision making rights over all regulatory submissions, filings and approvals for their respective Partnered Assets), be responsible for, and shall maintain, with respect to each Product, all submissions and filings for regulatory approval to and regulatory approvals granted by Governmental Authorities relating to such Products. Promptly following Administrative Agent’s reasonable request from time to time, Company shall promptly provide to Administrative Agent copies of any and all material regulatory filings submitted to any such Governmental Authorities with respect such Products;</w:t>
      </w:r>
    </w:p>
    <w:p>
      <w:pPr>
        <w:pStyle w:val="TextBody"/>
        <w:bidi w:val="0"/>
        <w:spacing w:lineRule="auto" w:line="240" w:before="0" w:after="240"/>
        <w:ind w:left="0" w:right="0" w:firstLine="1440"/>
        <w:jc w:val="both"/>
        <w:rPr/>
      </w:pPr>
      <w:r>
        <w:rPr>
          <w:rFonts w:ascii="Times New Roman;serif" w:hAnsi="Times New Roman;serif"/>
          <w:b w:val="false"/>
          <w:color w:val="010000"/>
          <w:sz w:val="22"/>
        </w:rPr>
        <w:t>(q)</w:t>
      </w:r>
      <w:r>
        <w:rPr>
          <w:rFonts w:ascii="Times New Roman;serif" w:hAnsi="Times New Roman;serif"/>
          <w:b w:val="false"/>
          <w:color w:val="000000"/>
          <w:sz w:val="22"/>
          <w:u w:val="single"/>
        </w:rPr>
        <w:t>Maintenance, Defense and Enforcement of Patents</w:t>
      </w:r>
      <w:r>
        <w:rPr>
          <w:rFonts w:ascii="Times New Roman;serif" w:hAnsi="Times New Roman;serif"/>
          <w:b w:val="false"/>
          <w:color w:val="000000"/>
          <w:sz w:val="22"/>
        </w:rPr>
        <w:t xml:space="preserve">. Company shall take all commercially reasonable steps to maintain, defend and enforce all Patents within the Product Intellectual Property Rights and Platform Intellectual Property Rights, including by timely filing fees and responses with the United States Patent and Trademark Office or any applicable foreign counterpart (excluding any such Patents for which the Licensee under its applicable Product Agreement has been given sole or a first right to control of such maintenance, defense or enforcement and such Licensee has elected to exercise such right); provided that, for clarity, in no event shall the foregoing preclude Company from abandoning any such Patent so long as such determination is made pursuant to Company’s exercise of its reasonable business judgement, and Company shall provide prompt written notice to Administrative Agent of any material adverse occurrences with respect to any Product Patents or Platform Patents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628650"/>
                <wp:effectExtent l="0" t="0" r="0" b="0"/>
                <wp:wrapNone/>
                <wp:docPr id="164" name="Frame16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necessary to the development, manufacture or Commercialization of the Material Products, and, upon Administrative Agent’s request from time to time, shall promptly provide Administrative Agent with complete and correct copies of (i) any certification received by Company, its Subsidiaries, or any of their respective licensors or licensees pursuant to 21 U.S.C. § 355(j)(2)(A)(vii)(I), (II), (III) or (IV) relating to any Orange Book Patents, and (ii) other than to the extent (and only to the extent) reasonably deemed privileged based on advice of Company counsel, any pleadings, briefs, declarations, correspondence and other documents relating to any Dispute involving any of the Orange Book Patents;</w:t>
      </w:r>
    </w:p>
    <w:p>
      <w:pPr>
        <w:pStyle w:val="TextBody"/>
        <w:bidi w:val="0"/>
        <w:spacing w:lineRule="auto" w:line="240" w:before="0" w:after="240"/>
        <w:ind w:left="0" w:right="0" w:firstLine="1440"/>
        <w:jc w:val="both"/>
        <w:rPr/>
      </w:pPr>
      <w:r>
        <w:rPr>
          <w:rFonts w:ascii="Times New Roman;serif" w:hAnsi="Times New Roman;serif"/>
          <w:b w:val="false"/>
          <w:color w:val="010000"/>
          <w:sz w:val="22"/>
        </w:rPr>
        <w:t>(r)</w:t>
      </w:r>
      <w:r>
        <w:rPr>
          <w:rFonts w:ascii="Times New Roman;serif" w:hAnsi="Times New Roman;serif"/>
          <w:b w:val="false"/>
          <w:color w:val="000000"/>
          <w:sz w:val="22"/>
          <w:u w:val="single"/>
        </w:rPr>
        <w:t>Other Information</w:t>
      </w:r>
      <w:r>
        <w:rPr>
          <w:rFonts w:ascii="Times New Roman;serif" w:hAnsi="Times New Roman;serif"/>
          <w:b w:val="false"/>
          <w:color w:val="000000"/>
          <w:sz w:val="22"/>
        </w:rPr>
        <w:t xml:space="preserve">. (A) Promptly upon their becoming available and in any event within [**] of Borrower’s receipt thereof, copies of all amendments, waivers, consents, notices of defaults and reservations of rights with respect to and received by Borrower or its Subsidiaries from any holder of its Indebtedness having a principal amount greater than the Threshold Amount, (B) promptly after submission to any Governmental Authority, all material documents, submissions and information furnished to such Governmental Authority in connection with any investigation of any Loan Party (other than a routine inquiry), and (C) such other information and data with respect to Borrower or any of its Subsidiaries as from time to time may be reasonably requested by Administrative Agent; provided that if such information is of the type otherwise described in the other clauses of this Section 5.1, the relevant limitations applicable in such other sections shall apply; and </w:t>
      </w:r>
    </w:p>
    <w:p>
      <w:pPr>
        <w:pStyle w:val="TextBody"/>
        <w:bidi w:val="0"/>
        <w:spacing w:lineRule="auto" w:line="240" w:before="0" w:after="240"/>
        <w:ind w:left="0" w:right="0" w:firstLine="1440"/>
        <w:jc w:val="both"/>
        <w:rPr/>
      </w:pPr>
      <w:r>
        <w:rPr>
          <w:rFonts w:ascii="Times New Roman;serif" w:hAnsi="Times New Roman;serif"/>
          <w:b w:val="false"/>
          <w:color w:val="010000"/>
          <w:sz w:val="22"/>
        </w:rPr>
        <w:t>(s)</w:t>
      </w:r>
      <w:r>
        <w:rPr>
          <w:rFonts w:ascii="Times New Roman;serif" w:hAnsi="Times New Roman;serif"/>
          <w:b w:val="false"/>
          <w:color w:val="000000"/>
          <w:sz w:val="22"/>
          <w:u w:val="single"/>
        </w:rPr>
        <w:t>Product Revenue</w:t>
      </w:r>
      <w:r>
        <w:rPr>
          <w:rFonts w:ascii="Times New Roman;serif" w:hAnsi="Times New Roman;serif"/>
          <w:b w:val="false"/>
          <w:color w:val="000000"/>
          <w:sz w:val="22"/>
        </w:rPr>
        <w:t>. From and after the First Commercial Sale of a Product in any country, for each Fiscal Quarter promptly, but in any event no later than [**] after the end of such, the Borrower shall provide to the Administrative Agent a report (a “</w:t>
      </w:r>
      <w:r>
        <w:rPr>
          <w:rFonts w:ascii="Times New Roman;serif" w:hAnsi="Times New Roman;serif"/>
          <w:b w:val="false"/>
          <w:color w:val="000000"/>
          <w:sz w:val="22"/>
          <w:u w:val="single"/>
        </w:rPr>
        <w:t>Product Revenue Report</w:t>
      </w:r>
      <w:r>
        <w:rPr>
          <w:color w:val="000000"/>
        </w:rPr>
        <w:t>”</w:t>
      </w:r>
      <w:r>
        <w:rPr>
          <w:rFonts w:ascii="Times New Roman;serif" w:hAnsi="Times New Roman;serif"/>
          <w:b w:val="false"/>
          <w:color w:val="000000"/>
          <w:sz w:val="22"/>
        </w:rPr>
        <w:t>) setting forth in reasonable detail with respect to each Product, (i) gross sales and Product Revenues for the applicable Fiscal Quarter and Fiscal Year to date, on a country-by-country basis (including all permitted deductions from gross sales used to determine Product Revenues in form and substance substantially similar to what the Company has delivered to the Administrative Agent prior to the Closing Date), (ii) the calculation of the Product Revenues payable to the Administrative Agent for the applicable Fiscal Quarter, identifying, on a Product-by-Product and country-by-country basis, the number of units of each Product sold by Borrower and its Subsidiaries, (iii) the foreign currency exchange rates used (which shall be rates of exchange determined in a manner consistent with the Borrower’s method for calculating rates of exchange in the preparation of Borrower’s annual financial statements in accordance with GAAP consistently applied) and (iv) a detailed itemization, on a Product by Product basis, of all Royalties, Milestones, Profit Share Amounts, Sublicense Revenue, Joint Venture Proceeds and all corresponding Permitted Reductions, as applicable, for such Fiscal Quarter and a calculation of all amounts owed to the Administrative Agent, on behalf of the Lenders, under this Agreement.</w:t>
      </w:r>
    </w:p>
    <w:p>
      <w:pPr>
        <w:pStyle w:val="TextBody"/>
        <w:bidi w:val="0"/>
        <w:spacing w:lineRule="auto" w:line="288" w:before="0" w:after="0"/>
        <w:jc w:val="both"/>
        <w:rPr/>
      </w:pPr>
      <w:r>
        <w:rPr>
          <w:rFonts w:ascii="Times New Roman;serif" w:hAnsi="Times New Roman;serif"/>
          <w:b w:val="false"/>
          <w:color w:val="000000"/>
          <w:sz w:val="22"/>
        </w:rPr>
        <w:t xml:space="preserve">Notwithstanding the foregoing, the obligations in paragraphs (b), (c) and (s)(A) of this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may be satisfied with respect to financial information of Borrower and its Subsidiaries by furnishing Borrower’s Form 10-K or 10-Q, as applicable, filed with the SEC;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such information is in lieu of information required to be provided under </w:t>
      </w:r>
      <w:r>
        <w:rPr>
          <w:rFonts w:ascii="Times New Roman;serif" w:hAnsi="Times New Roman;serif"/>
          <w:b w:val="false"/>
          <w:color w:val="000000"/>
          <w:sz w:val="22"/>
          <w:u w:val="single"/>
        </w:rPr>
        <w:t>Section 5.1(c)</w:t>
      </w:r>
      <w:r>
        <w:rPr>
          <w:rFonts w:ascii="Times New Roman;serif" w:hAnsi="Times New Roman;serif"/>
          <w:b w:val="false"/>
          <w:color w:val="000000"/>
          <w:sz w:val="22"/>
        </w:rPr>
        <w:t xml:space="preserve">, any such materials are accompanied by an auditor’s report (which report shall be unqualified as to going concern and scope of audit, shall not contain any going concern emphasis of matter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 (other than any such exception, qualification or explanatory paragraph that is with respect to, or resulting from, the upcoming maturity of Indebtedness or any breach or potential breach of </w:t>
      </w:r>
      <w:r>
        <w:rPr>
          <w:rFonts w:ascii="Times New Roman;serif" w:hAnsi="Times New Roman;serif"/>
          <w:b w:val="false"/>
          <w:color w:val="000000"/>
          <w:sz w:val="22"/>
          <w:u w:val="single"/>
        </w:rPr>
        <w:t>Section 6.8</w:t>
      </w:r>
      <w:r>
        <w:rPr>
          <w:rFonts w:ascii="Times New Roman;serif" w:hAnsi="Times New Roman;serif"/>
          <w:b w:val="false"/>
          <w:color w:val="000000"/>
          <w:sz w:val="22"/>
        </w:rPr>
        <w:t xml:space="preserve">)). Further, notwithstanding anything to the contrary in this </w:t>
      </w:r>
      <w:r>
        <w:rPr>
          <w:rFonts w:ascii="Times New Roman;serif" w:hAnsi="Times New Roman;serif"/>
          <w:b w:val="false"/>
          <w:color w:val="000000"/>
          <w:sz w:val="22"/>
          <w:u w:val="single"/>
        </w:rPr>
        <w:t>Section 5.1</w:t>
      </w:r>
      <w:r>
        <w:rPr>
          <w:rFonts w:ascii="Times New Roman;serif" w:hAnsi="Times New Roman;serif"/>
          <w:b w:val="false"/>
          <w:color w:val="000000"/>
          <w:sz w:val="22"/>
        </w:rPr>
        <w:t>, neither Borrower nor any of its Subsidiaries will be required to disclose or permit the inspection or discussion of, any document, information or other matter (i) in respect of which disclosure (or their respective representatives or contractors) is prohibited by Requirements of Law or any binding agreement or (ii) that is subject to attorney client or similar privilege or constitutes attorney work product, in each case based on the advice of counsel to Borrower.</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5.2</w:t>
      </w:r>
      <w:r>
        <w:rPr>
          <w:rFonts w:ascii="Times New Roman;serif" w:hAnsi="Times New Roman;serif"/>
          <w:b w:val="false"/>
          <w:color w:val="000000"/>
          <w:sz w:val="22"/>
          <w:u w:val="single"/>
        </w:rPr>
        <w:t>Existence</w:t>
      </w:r>
      <w:r>
        <w:rPr>
          <w:rFonts w:ascii="Times New Roman;serif" w:hAnsi="Times New Roman;serif"/>
          <w:b w:val="false"/>
          <w:color w:val="000000"/>
          <w:sz w:val="22"/>
        </w:rPr>
        <w:t xml:space="preserve">. Except as otherwise permitted under </w:t>
      </w:r>
      <w:r>
        <w:rPr>
          <w:rFonts w:ascii="Times New Roman;serif" w:hAnsi="Times New Roman;serif"/>
          <w:b w:val="false"/>
          <w:color w:val="000000"/>
          <w:sz w:val="22"/>
          <w:u w:val="single"/>
        </w:rPr>
        <w:t>Section 6.9</w:t>
      </w:r>
      <w:r>
        <w:rPr>
          <w:rFonts w:ascii="Times New Roman;serif" w:hAnsi="Times New Roman;serif"/>
          <w:b w:val="false"/>
          <w:color w:val="000000"/>
          <w:sz w:val="22"/>
        </w:rPr>
        <w:t xml:space="preserve">, each Loan Party will, and will cause each of Borrower’s Subsidiaries to, at all times preserve and keep in full force and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628650"/>
                <wp:effectExtent l="0" t="0" r="0" b="0"/>
                <wp:wrapNone/>
                <wp:docPr id="165" name="Frame1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effect its existence and all rights and Governmental Authorizations, qualifications, franchises, licenses and permits material to its business and to conduct its business in each jurisdiction in which its business is conducted; </w:t>
      </w:r>
      <w:r>
        <w:rPr>
          <w:rFonts w:ascii="Times New Roman;serif" w:hAnsi="Times New Roman;serif"/>
          <w:b w:val="false"/>
          <w:color w:val="000000"/>
          <w:sz w:val="22"/>
          <w:u w:val="single"/>
        </w:rPr>
        <w:t>provided</w:t>
      </w:r>
      <w:r>
        <w:rPr>
          <w:rFonts w:ascii="Times New Roman;serif" w:hAnsi="Times New Roman;serif"/>
          <w:b w:val="false"/>
          <w:color w:val="000000"/>
          <w:sz w:val="22"/>
        </w:rPr>
        <w:t>, no Loan Party or any of Borrower’s Subsidiaries shall be required to preserve any such existence, right or Governmental Authorizations, qualifications, franchise, licenses and permits if such Person’s Board of Directors (or similar governing body) or any senior officer of such Person shall determine that the preservation thereof is no longer desirable in the conduct of the business of such Person, and that the loss thereof is not disadvantageous in any material respect to such Person or to Lenders.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5.3</w:t>
      </w:r>
      <w:r>
        <w:rPr>
          <w:rFonts w:ascii="Times New Roman;serif" w:hAnsi="Times New Roman;serif"/>
          <w:b w:val="false"/>
          <w:color w:val="000000"/>
          <w:sz w:val="22"/>
          <w:u w:val="single"/>
        </w:rPr>
        <w:t>Payment of Taxes and Claims</w:t>
      </w:r>
      <w:r>
        <w:rPr>
          <w:rFonts w:ascii="Times New Roman;serif" w:hAnsi="Times New Roman;serif"/>
          <w:b w:val="false"/>
          <w:color w:val="000000"/>
          <w:sz w:val="22"/>
        </w:rPr>
        <w:t>. Each Loan Party will, and will cause each of Borrower’s Subsidiaries to, file all Tax returns required to be filed by or with respect to Borrower or any of its Subsidiaries and timely pay all Taxes imposed upon or with respect to it or any of its properties, assets,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except for (a) unpaid Taxes in an aggregate amount at any one time not in excess of $[**] and (b) Taxes that are being contested in good faith by appropriate proceedings diligently conducted and for which adequate reserves are being maintained in accordance with GAAP.</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5.4</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 xml:space="preserve">. Each Loan Party will, and will cause each of Borrower’s Subsidiaries to (a) maintain or cause to be maintained in good repair, working order and condition, ordinary wear and tear excepted, all properties used or useful in the business of Borrower and its Subsidiaries and from time to time will make or cause to be made all appropriate repairs, renewals and replacements thereof, except to the extent any such failure to maintain could not reasonably be expected to have a Material Adverse Effect, and (b) comply at all times with the provisions of all material leases to which it is a party as lessee or under which it occupies property, so as to prevent any loss or forfeiture thereof or thereunder, except to the extent any such failure to comply could not reasonably be expected to have a Material Adverse Effect. Each Loan Party shall, and shall cause its Subsidiaries to, (A) maintain adequate administrative, physical, and technical security measures and procedures to protect the confidentiality, integrity, and security of the Loan Parties’ data systems and the Loan Parties’ data in all material respects, in all cases including from theft, corruption, loss or unauthorized use, access, interruption, deletion, or modification by any Person, and (B) keep all Loan Party data systems operational and maintain adequate backups and disaster recovery arrangements that are at least reasonable and at least consistent with, as protective as, and no less rigorous than, industry standards for companies and businesses of similar size in similar industries. </w:t>
      </w:r>
      <w:r>
        <w:rPr>
          <w:rFonts w:ascii="Times New Roman;serif" w:hAnsi="Times New Roman;serif"/>
          <w:b w:val="false"/>
          <w:color w:val="000000"/>
          <w:sz w:val="22"/>
          <w:shd w:fill="FFFFFF" w:val="clear"/>
        </w:rPr>
        <w:t xml:space="preserve">Without limiting the generality of the foregoing, </w:t>
      </w:r>
      <w:r>
        <w:rPr>
          <w:rFonts w:ascii="Times New Roman;serif" w:hAnsi="Times New Roman;serif"/>
          <w:b w:val="false"/>
          <w:color w:val="000000"/>
          <w:sz w:val="22"/>
        </w:rPr>
        <w:t>each Loan Party shall, and shall cause its Subsidiaries to,</w:t>
      </w:r>
      <w:r>
        <w:rPr>
          <w:color w:val="000000"/>
          <w:shd w:fill="FFFFFF" w:val="clear"/>
        </w:rPr>
        <w:t xml:space="preserve"> </w:t>
      </w:r>
      <w:r>
        <w:rPr>
          <w:rFonts w:ascii="Times New Roman;serif" w:hAnsi="Times New Roman;serif"/>
          <w:b w:val="false"/>
          <w:color w:val="000000"/>
          <w:sz w:val="22"/>
          <w:shd w:fill="FFFFFF" w:val="clear"/>
        </w:rPr>
        <w:t>(x) maintain applicable equipment and software in physically secure premises, (y) utilize industry-accepted virus and intrusion checking software and firewalls, and (z) limit access to Loan Party data to only those employees and agents who need such access for the conduct of the business of the Loan Parties and their Subsidiaries, in each case except as would not reasonably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5.5</w:t>
      </w:r>
      <w:r>
        <w:rPr>
          <w:rFonts w:ascii="Times New Roman;serif" w:hAnsi="Times New Roman;serif"/>
          <w:b w:val="false"/>
          <w:color w:val="000000"/>
          <w:sz w:val="22"/>
          <w:u w:val="single"/>
        </w:rPr>
        <w:t>Insurance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Loan Parties will maintain or cause to be maintained, with financially sound and reputable insurers, (i) business interruption insurance, and (ii) casualty insurance, such public liability insurance, third party property damage insurance or such other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in each case as determined by the Borrower in its reasonable business judgment. Each such policy of insurance shall, subject to </w:t>
      </w:r>
      <w:r>
        <w:rPr>
          <w:rFonts w:ascii="Times New Roman;serif" w:hAnsi="Times New Roman;serif"/>
          <w:b w:val="false"/>
          <w:color w:val="000000"/>
          <w:sz w:val="22"/>
          <w:u w:val="single"/>
        </w:rPr>
        <w:t>Section 5.14</w:t>
      </w:r>
      <w:r>
        <w:rPr>
          <w:rFonts w:ascii="Times New Roman;serif" w:hAnsi="Times New Roman;serif"/>
          <w:b w:val="false"/>
          <w:color w:val="000000"/>
          <w:sz w:val="22"/>
        </w:rPr>
        <w:t xml:space="preserve">, (1) name Administrative Agent, on behalf of Lenders as an additional insured thereunder as its interests may appear, and (2) in the case of each casualty insurance policy, contain a loss payable clause or endorsement, satisfactory in form and substance to Administrative Agent, that names Administrative Agent, on behalf of Secured Parties as the loss payee thereunder. If any Loan Party or any of its Subsidiaries fails to maintain such insurance, Administrative Agent may, upon [**] prior written notice to Borrower, arrange for such insurance, but at Company’s expense and without any responsibility on Administrative Agent’s part for obtaining the insurance, the solvency of the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628650"/>
                <wp:effectExtent l="0" t="0" r="0" b="0"/>
                <wp:wrapNone/>
                <wp:docPr id="166" name="Frame16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companies, the adequacy of the coverage, or the collection of claims. Upon the occurrence and during the continuance of an Event of Default, Administrative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Each of the insurance policies required to be maintained under this </w:t>
      </w:r>
      <w:r>
        <w:rPr>
          <w:rFonts w:ascii="Times New Roman;serif" w:hAnsi="Times New Roman;serif"/>
          <w:b w:val="false"/>
          <w:color w:val="000000"/>
          <w:sz w:val="22"/>
          <w:u w:val="single"/>
        </w:rPr>
        <w:t>Section 5.5</w:t>
      </w:r>
      <w:r>
        <w:rPr>
          <w:color w:val="000000"/>
        </w:rPr>
        <w:t xml:space="preserve"> </w:t>
      </w:r>
      <w:r>
        <w:rPr>
          <w:rFonts w:ascii="Times New Roman;serif" w:hAnsi="Times New Roman;serif"/>
          <w:b w:val="false"/>
          <w:color w:val="000000"/>
          <w:sz w:val="22"/>
        </w:rPr>
        <w:t xml:space="preserve">shall, subject to </w:t>
      </w:r>
      <w:r>
        <w:rPr>
          <w:rFonts w:ascii="Times New Roman;serif" w:hAnsi="Times New Roman;serif"/>
          <w:b w:val="false"/>
          <w:color w:val="000000"/>
          <w:sz w:val="22"/>
          <w:u w:val="single"/>
        </w:rPr>
        <w:t>Section 5.14</w:t>
      </w:r>
      <w:r>
        <w:rPr>
          <w:rFonts w:ascii="Times New Roman;serif" w:hAnsi="Times New Roman;serif"/>
          <w:b w:val="false"/>
          <w:color w:val="000000"/>
          <w:sz w:val="22"/>
        </w:rPr>
        <w:t xml:space="preserve">, provide for either (i) at least [**] prior written notice to Administrative Agent of the cancellation or substantial modification thereof or (ii) if not permitted by the applicable insurance provider after the use of commercially reasonable efforts to obtain such prior written notice, prompt notice following any cancelation or substantial modification thereof. Receipt of such notice shall entitle Administrative Agent (but Administrative Agent shall not be obligated), upon [**] prior written notice to Loan Parties, to renew any such policies, cause the coverages and amounts thereof to be maintained at levels required pursuant to this </w:t>
      </w:r>
      <w:r>
        <w:rPr>
          <w:rFonts w:ascii="Times New Roman;serif" w:hAnsi="Times New Roman;serif"/>
          <w:b w:val="false"/>
          <w:color w:val="000000"/>
          <w:sz w:val="22"/>
          <w:u w:val="single"/>
        </w:rPr>
        <w:t>Section 5.5</w:t>
      </w:r>
      <w:r>
        <w:rPr>
          <w:color w:val="000000"/>
        </w:rPr>
        <w:t xml:space="preserve"> </w:t>
      </w:r>
      <w:r>
        <w:rPr>
          <w:rFonts w:ascii="Times New Roman;serif" w:hAnsi="Times New Roman;serif"/>
          <w:b w:val="false"/>
          <w:color w:val="000000"/>
          <w:sz w:val="22"/>
        </w:rPr>
        <w:t>or otherwise to obtain similar insurance (including with respect to coverage types, limits and premiums) in place of such policies, in each case at the expense of the Loan Parties.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5.6</w:t>
      </w:r>
      <w:r>
        <w:rPr>
          <w:rFonts w:ascii="Times New Roman;serif" w:hAnsi="Times New Roman;serif"/>
          <w:b w:val="false"/>
          <w:color w:val="000000"/>
          <w:sz w:val="22"/>
          <w:u w:val="single"/>
        </w:rPr>
        <w:t>Books and Records; Inspections</w:t>
      </w:r>
      <w:r>
        <w:rPr>
          <w:rFonts w:ascii="Times New Roman;serif" w:hAnsi="Times New Roman;serif"/>
          <w:b w:val="false"/>
          <w:color w:val="000000"/>
          <w:sz w:val="22"/>
        </w:rPr>
        <w:t xml:space="preserve">. Each Loan Party will, and will cause each of Borrower’s Subsidiaries to, (a) maintain at all times at the chief executive office of Borrower copies of all material books and records of Borrower and its Subsidiaries, (b) keep adequate books of record and account in which full, true and correct entries in all material respects are made of all dealings and transactions in relation to its business and activities, and (c) permit any representatives designated by Administrative Agent (including employees of Administrative Agent, any Lender or any consultants, auditors, accountants, lawyers and appraisers retained by Administrative Agent) to visit any of the properties of any Loan Party and any of Borrower’s Subsidiaries to inspect, copy and take extracts from its and their financial and accounting records, and to discuss its and their affairs, finances and accounts with its and their officers and independent accountants and auditors, all upon reasonable notice and at such reasonable times during normal business hours (so long as no Default or Event of Default has occurred and is continuing) and as often as may reasonably be requested;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absent the occurrence and continuance of an Event of Default, Administrative Agent and Lenders shall not exercise such rights more often than one time during any Fiscal Year. The Loan Parties agree to pay the reasonable and documented out-of-pocket costs and expenses incurred by the examiner in connection therewith. Upon the Administrative Agent’s request, which shall not be more frequently than once per Fiscal Year with respect to any individual License Agreement, the Borrower and its shall use commercially reasonable efforts to exercise any rights they may have under any License Agreement relating to a Product to cause an inspection and/or audit by an independent public accounting firm to be made of the books of account of any counterparty thereto for the purpose of determining the correctness of any payments made under the License Agreement and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5.7</w:t>
      </w:r>
      <w:r>
        <w:rPr>
          <w:rFonts w:ascii="Times New Roman;serif" w:hAnsi="Times New Roman;serif"/>
          <w:b w:val="false"/>
          <w:color w:val="000000"/>
          <w:sz w:val="22"/>
          <w:u w:val="single"/>
        </w:rPr>
        <w:t>Lenders Meetings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Borrower will, upon the reasonable request of Administrative Agent or Required Lenders, participate in a conference call of Administrative Agent and Lenders once during each Fiscal Year at such time as may be agreed to by Borrower and Administrative Agent.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5.8</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Each Loan Party will comply, and shall cause each of Borrower’s Subsidiaries and all other Persons, if any, on or occupying any Real Property, to comply in all respects, with the requirements of all applicable laws, rules, regulations and orders of any Governmental Authority (including all Environmental Laws), non-compliance with which would reasonably be expected to have, individually or in the aggregate,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Without limiting the generality of the foregoing, each Loan Party shall, and shall cause each of Borrower’s Subsidiaries to, comply with all FDA Laws and Public Health Laws, and with all applicable Federal Health Care Program Laws, except where the failure to comply would not reasonably be expected to result, either individually or in the aggregate, in Material Regulatory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28650"/>
                <wp:effectExtent l="0" t="0" r="0" b="0"/>
                <wp:wrapNone/>
                <wp:docPr id="167" name="Frame16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Liabilities. All products developed, manufactured, tested, investigated, distributed or marketed by or on behalf of the Loan Parties and Borrower’s Subsidiaries that are subject to the jurisdiction of the FDA or any comparable Governmental Authority have been and shall be developed, tested, manufactured, investigated, distributed, sold and marketed in compliance with the FDA Laws and any other Requirement of Law, including, without limitation, good manufacturing practices, labeling, advertising, record-keeping, and adverse event reporting, except where the failure to comply would not reasonably be expected to result, either individually or in the aggregate, in Material Regulatory Liabilities.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5.9</w:t>
      </w:r>
      <w:r>
        <w:rPr>
          <w:rFonts w:ascii="Times New Roman;serif" w:hAnsi="Times New Roman;serif"/>
          <w:b w:val="false"/>
          <w:color w:val="000000"/>
          <w:sz w:val="22"/>
          <w:u w:val="single"/>
        </w:rPr>
        <w:t>Environmental</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Each Loan Party shall (i) keep its real property free of any Environmental Liens; (ii) maintain and comply in all material respects with all Governmental Authorizations required under applicable Environmental Laws, except as any such failure could not reasonably be expected to result in a Material Adverse Effect; (iii) take all steps to prevent any Release of Hazardous Materials from any property owned or operated by any Loan Party, except as any such failure could not reasonably be expected to result in a Material Adverse Effect; and (iv) ensure that there are no Hazardous Materials on, at or migrating from any owned Real Property, except as any such failure could not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The Loan Parties shall promptly (but in any event within [**]) notify Administrative Agent in writing (A) of any material Environmental Claims asserted in writing against or material Environmental Liabilities and Costs of any Loan Party, and (B) any notice of Environmental Lien filed against any Real Property, and (ii) provide such other documents and information as reasonably requested by Administrative Agent in relation to any matter pursuant to this </w:t>
      </w:r>
      <w:r>
        <w:rPr>
          <w:rFonts w:ascii="Times New Roman;serif" w:hAnsi="Times New Roman;serif"/>
          <w:b w:val="false"/>
          <w:color w:val="000000"/>
          <w:sz w:val="22"/>
          <w:u w:val="single"/>
        </w:rPr>
        <w:t>Section 5.9(b)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5.10</w:t>
      </w:r>
      <w:r>
        <w:rPr>
          <w:rFonts w:ascii="Times New Roman;serif" w:hAnsi="Times New Roman;serif"/>
          <w:b w:val="false"/>
          <w:color w:val="000000"/>
          <w:sz w:val="22"/>
          <w:u w:val="single"/>
        </w:rPr>
        <w:t>Subsidiaries</w:t>
      </w:r>
      <w:r>
        <w:rPr>
          <w:rFonts w:ascii="Times New Roman;serif" w:hAnsi="Times New Roman;serif"/>
          <w:b w:val="false"/>
          <w:color w:val="000000"/>
          <w:sz w:val="22"/>
        </w:rPr>
        <w:t xml:space="preserve">. In the event that any Person becomes a Subsidiary of a Loan Party and such Person is not an Excluded Subsidiary, Company shall (a) within [**] of such Person becoming a Subsidiary or ceasing to be an Excluded Subsidiary cause such Subsidiary to become a Guarantor hereunder and a Grantor under the Pledge and Security Agreement and/or applicable non-U.S. security document by executing and delivering to Administrative Agent a Counterpart Agreement and any other applicable required documents, and (b) take all such actions and execute and deliver, or cause to be executed and delivered, all such documents, instruments, agreements, and certificates as are similar to those described in </w:t>
      </w:r>
      <w:r>
        <w:rPr>
          <w:rFonts w:ascii="Times New Roman;serif" w:hAnsi="Times New Roman;serif"/>
          <w:b w:val="false"/>
          <w:color w:val="000000"/>
          <w:sz w:val="22"/>
          <w:u w:val="single"/>
        </w:rPr>
        <w:t>Sections 3.1(b)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3.1(e)</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3.1(h)</w:t>
      </w:r>
      <w:r>
        <w:rPr>
          <w:rFonts w:ascii="Times New Roman;serif" w:hAnsi="Times New Roman;serif"/>
          <w:b w:val="false"/>
          <w:color w:val="000000"/>
          <w:sz w:val="22"/>
        </w:rPr>
        <w:t xml:space="preserve">. With respect to each such Subsidiary, Company shall promptly send to Administrative Agent written notice setting forth with respect to such Person (i) the date on which such Person became a Subsidiary of Company or ceased to be an Excluded Subsidiary, and (ii) all of the data required to be set forth in </w:t>
      </w:r>
      <w:r>
        <w:rPr>
          <w:rFonts w:ascii="Times New Roman;serif" w:hAnsi="Times New Roman;serif"/>
          <w:b w:val="false"/>
          <w:color w:val="000000"/>
          <w:sz w:val="22"/>
          <w:u w:val="single"/>
        </w:rPr>
        <w:t>Schedules 4.1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4.2</w:t>
      </w:r>
      <w:r>
        <w:rPr>
          <w:color w:val="000000"/>
        </w:rPr>
        <w:t xml:space="preserve"> </w:t>
      </w:r>
      <w:r>
        <w:rPr>
          <w:rFonts w:ascii="Times New Roman;serif" w:hAnsi="Times New Roman;serif"/>
          <w:b w:val="false"/>
          <w:color w:val="000000"/>
          <w:sz w:val="22"/>
        </w:rPr>
        <w:t xml:space="preserve">with respect to all Subsidiaries of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such written notice shall be deemed to supplement </w:t>
      </w:r>
      <w:r>
        <w:rPr>
          <w:rFonts w:ascii="Times New Roman;serif" w:hAnsi="Times New Roman;serif"/>
          <w:b w:val="false"/>
          <w:color w:val="000000"/>
          <w:sz w:val="22"/>
          <w:u w:val="single"/>
        </w:rPr>
        <w:t>Schedules 4.1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4.2</w:t>
      </w:r>
      <w:r>
        <w:rPr>
          <w:color w:val="000000"/>
        </w:rPr>
        <w:t xml:space="preserve"> </w:t>
      </w:r>
      <w:r>
        <w:rPr>
          <w:rFonts w:ascii="Times New Roman;serif" w:hAnsi="Times New Roman;serif"/>
          <w:b w:val="false"/>
          <w:color w:val="000000"/>
          <w:sz w:val="22"/>
        </w:rPr>
        <w:t>for all purposes hereof. In addition, at the election of Borrower, any Excluded Subsidiary of Borrower may become a Guarantor hereunder.</w:t>
      </w:r>
    </w:p>
    <w:p>
      <w:pPr>
        <w:pStyle w:val="TextBody"/>
        <w:bidi w:val="0"/>
        <w:spacing w:lineRule="auto" w:line="240"/>
        <w:ind w:left="0" w:right="0" w:firstLine="720"/>
        <w:jc w:val="both"/>
        <w:rPr/>
      </w:pPr>
      <w:r>
        <w:rPr>
          <w:rFonts w:ascii="Times New Roman;serif" w:hAnsi="Times New Roman;serif"/>
          <w:b w:val="false"/>
          <w:color w:val="010000"/>
          <w:sz w:val="22"/>
        </w:rPr>
        <w:t>Section 5.11</w:t>
      </w:r>
      <w:r>
        <w:rPr>
          <w:rFonts w:ascii="Times New Roman;serif" w:hAnsi="Times New Roman;serif"/>
          <w:b w:val="false"/>
          <w:color w:val="000000"/>
          <w:sz w:val="22"/>
          <w:u w:val="single"/>
        </w:rPr>
        <w:t>Real Estate Assets</w:t>
      </w:r>
      <w:r>
        <w:rPr>
          <w:rFonts w:ascii="Times New Roman;serif" w:hAnsi="Times New Roman;serif"/>
          <w:b w:val="false"/>
          <w:color w:val="000000"/>
          <w:sz w:val="22"/>
        </w:rPr>
        <w:t>. In the event that any Loan Party acquires fee title to a Material Real Property (other than the Wisconsin Facility) during the term of this Loan, Borrower shall send to Administrative Agent a written notice of the occurrence of any such event promptly upon the occurrence of same. Within [**] after the acquisition of any such Material Real Property (or such later time as agreed to by Administrative Agent in its reasonable discretion), such Loan Party shall deliver to Administrative Agent the following (the “</w:t>
      </w:r>
      <w:r>
        <w:rPr>
          <w:rFonts w:ascii="Times New Roman;serif" w:hAnsi="Times New Roman;serif"/>
          <w:b w:val="false"/>
          <w:color w:val="000000"/>
          <w:sz w:val="22"/>
          <w:u w:val="single"/>
        </w:rPr>
        <w:t>Mortgage Deliverables</w:t>
      </w:r>
      <w:r>
        <w:rPr>
          <w:color w:val="000000"/>
        </w:rPr>
        <w:t>”</w:t>
      </w:r>
      <w:r>
        <w:rPr>
          <w:rFonts w:ascii="Times New Roman;serif" w:hAnsi="Times New Roman;serif"/>
          <w:b w:val="false"/>
          <w:color w:val="000000"/>
          <w:sz w:val="22"/>
        </w:rPr>
        <w:t>): (a) a fully executed and notarized Mortgage, in proper form for creating a valid and enforceable lien on the Material Real Property described therein once recorded in the appropriate real estate records and in proper form for recording in such real estate records; (b) an opinion of counsel in the jurisdiction in which such Material Real Property is located with respect to the enforceability of such Mortgage and such other matters as Administrative Agent may reasonably request, in each case in form and substance reasonably satisfactory to Administrative Agent; (c)(i) an ALTA extended mortgagee title insurance policy or an unconditional commitment therefor with respect to such Mortgage (each, a “</w:t>
      </w:r>
      <w:r>
        <w:rPr>
          <w:rFonts w:ascii="Times New Roman;serif" w:hAnsi="Times New Roman;serif"/>
          <w:b w:val="false"/>
          <w:color w:val="000000"/>
          <w:sz w:val="22"/>
          <w:u w:val="single"/>
        </w:rPr>
        <w:t>Title Policy</w:t>
      </w:r>
      <w:r>
        <w:rPr>
          <w:color w:val="000000"/>
        </w:rPr>
        <w:t>”</w:t>
      </w:r>
      <w:r>
        <w:rPr>
          <w:rFonts w:ascii="Times New Roman;serif" w:hAnsi="Times New Roman;serif"/>
          <w:b w:val="false"/>
          <w:color w:val="000000"/>
          <w:sz w:val="22"/>
        </w:rPr>
        <w:t>) from a reputable nationally recognized title company reasonably satisfactory to Administrative Agent (the “</w:t>
      </w:r>
      <w:r>
        <w:rPr>
          <w:rFonts w:ascii="Times New Roman;serif" w:hAnsi="Times New Roman;serif"/>
          <w:b w:val="false"/>
          <w:color w:val="000000"/>
          <w:sz w:val="22"/>
          <w:u w:val="single"/>
        </w:rPr>
        <w:t>Title Company</w:t>
      </w:r>
      <w:r>
        <w:rPr>
          <w:color w:val="000000"/>
        </w:rPr>
        <w:t>”</w:t>
      </w:r>
      <w:r>
        <w:rPr>
          <w:rFonts w:ascii="Times New Roman;serif" w:hAnsi="Times New Roman;serif"/>
          <w:b w:val="false"/>
          <w:color w:val="000000"/>
          <w:sz w:val="22"/>
        </w:rPr>
        <w:t xml:space="preserve">), in an amount not less than the fair market value of such Real Estate Asset, together with a title report issued by the Title Company with respect thereto, dated not more than [**] prior to the date such Material Real Property was acquired and copies of all recorded documents listed as exceptions to title or otherwise referred to therein, which Title Policy shall be effective as of the date of the Mortgage and otherwise be in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628650"/>
                <wp:effectExtent l="0" t="0" r="0" b="0"/>
                <wp:wrapNone/>
                <wp:docPr id="168" name="Frame16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form and substance reasonably satisfactory to Administrative Agent and (ii) evidence satisfactory to Administrative Agent that such Loan Party has paid to or deposited with the Title Company all expenses and premiums of the Title Company and all other sums required in connection with the issuance of such Title Policy and all recording and stamp taxes (including mortgage recording and intangible taxes) payable in connection with recording the Mortgage for such Material Real Property in the appropriate real estate records; (d) a completed “Life-of-Loan” Federal Emergency Management Agency standard flood hazard determination with respect to each Material Real Property (together with a notice about special flood hazard area status and flood disaster assistance duly executed by the applicable Loan Party relating thereto), and to the extent required by law, evidence of flood insurance with respect to such Material Real Property in compliance with any applicable regulations of the Board of Governors of the Federal Reserve System, and in form and substance reasonably satisfactory to Administrative Agent; and (e) a Survey of such Material Real Property; provided, however, that a Survey shall not be required to the extent that (A) an existing survey together with an “affidavit of no change” satisfactory to the Title Company is delivered to the Administrative Agent and (B) the Title Company removes the standard survey exception and provides customary survey related endorsements and other coverages in the applicable Title Policy. In addition to the foregoing, Borrower shall, at the reasonable request of Required Lenders, deliver to Administrative Agent an appraisal of such Material Real Property to verify the amount of the Mortgage and/or Title Policy, but only if required by applicable law or regulation.</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5.12</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At any time or from time to time upon the request of Administrative Agent, each Loan Party will, at its expense, promptly execute, acknowledge and deliver such further documents and do such other acts and things as Administrative Agent may reasonably request in order to effect fully the purposes of the Loan Documents, including providing Lenders with any information reasonably requested hereunder. In furtherance and not in limitation of the foregoing, each Loan Party shall take such actions as Administrative Agent may reasonably request from time to time to ensure that the Obligations are guarantied by the Guarantors and are secured by substantially all of the assets of Borrower’s Subsidiaries and all of the outstanding Capital Stock of Borrower’s Subsidiaries. Notwithstanding anything to the contrary, (a) in no event shall the Borrower or any of its Subsidiaries be required to take any Excluded Perfection Actions and (b) in the event that the Borrower shall at any time desire or be required to join a Foreign Subsidiary as a Guarantor, the Borrower and the Administrative Agent shall reasonably negotiate in good faith to amend this Agreement to subject any guarantee and collateral requirements vis-à-vis any such Foreign Subsidiary, to “agreed security principles” that are customary for the jurisdiction of organization or formation of such Foreign Subsidiary for facilities substantially similar to those provided for in this Credit Agreement (the “Agreed Security Principles”), and all guarantee and collateral requirements hereunder and under the other Loan Documents (subject to the qualifications applying thereto) shall, apply to such Foreign Subsidiary Guarantor and be subject in all cases to such Agreed Security Principles.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Without limiting the provisions of this Article 5 or any other rights or remedies the Administrative Agent may have under this Agreement, if any Outbound License Agreement is terminated in its entirety prior to the Term Loan Maturity Date, then, the applicable Loan Party shall reasonably discuss with the Administrative Agent such Loan Party’s development or commercialization plan, as applicable, whether itself or through a new licensee, for the Partnered Asset under such terminated Outbound License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If Borrower enters into a new license with a third party, pursuant to which such third party is granted rights to make, have made, use, market, sell, offer for sale, import and otherwise exploit a Partnered Asset for any purpose that the original Licensee would have been permitted to make, have made, use, market, sell, offer for sale, import and otherwise exploit such Partnered Asset under the corresponding terminated Outbound License Agreement (a “</w:t>
      </w:r>
      <w:r>
        <w:rPr>
          <w:rFonts w:ascii="Times New Roman;serif" w:hAnsi="Times New Roman;serif"/>
          <w:b w:val="false"/>
          <w:color w:val="000000"/>
          <w:sz w:val="22"/>
          <w:u w:val="single"/>
        </w:rPr>
        <w:t>New License Agreement</w:t>
      </w:r>
      <w:r>
        <w:rPr>
          <w:color w:val="000000"/>
        </w:rPr>
        <w:t>”</w:t>
      </w:r>
      <w:r>
        <w:rPr>
          <w:rFonts w:ascii="Times New Roman;serif" w:hAnsi="Times New Roman;serif"/>
          <w:b w:val="false"/>
          <w:color w:val="000000"/>
          <w:sz w:val="22"/>
        </w:rPr>
        <w:t xml:space="preserve">), then thereafter, (i) the New License Agreement shall be included for all purposes in the definitions of “Outbound License Agreement” and “Material Contract” (and the licensees thereunder shall be included for all purposes in the definition of “Licensee”) under this Agreement, (ii) such Partnered Asset (solely to the extent licensed under such New License Agreement) shall be subject to the mandatory prepayments set forth in Section 2.10(e), provided that any upfront payment under such New License Agreement shall be deemed a “Milestone” for purposes of such prepayment, and (iii) any payments that are equivalent to the Royalties,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28650"/>
                <wp:effectExtent l="0" t="0" r="0" b="0"/>
                <wp:wrapNone/>
                <wp:docPr id="169" name="Frame16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Milestones, up-front payments, Profit Share Amounts and Joint Venture Proceeds due under such New License Agreement and any rights similar shall be included for all purposes under this Agreement, and the Borrower’s rights and obligations under this Agreement in respect of such Outbound License Agreement shall apply in respect of its rights and obligations under the New License Agreement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in each case without any further action by the parties hereto to amend this Agreement. In the event that no New License Agreement is entered into, the Partnered Asset that was the subject of the corresponding terminated Outbound License Agreement shall be subject to the mandatory prepayment provisions of </w:t>
      </w:r>
      <w:r>
        <w:rPr>
          <w:rFonts w:ascii="Times New Roman;serif" w:hAnsi="Times New Roman;serif"/>
          <w:b w:val="false"/>
          <w:color w:val="000000"/>
          <w:sz w:val="22"/>
          <w:u w:val="single"/>
        </w:rPr>
        <w:t>Section 2.10(i)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5.13</w:t>
      </w:r>
      <w:r>
        <w:rPr>
          <w:rFonts w:ascii="Times New Roman;serif" w:hAnsi="Times New Roman;serif"/>
          <w:b w:val="false"/>
          <w:color w:val="000000"/>
          <w:sz w:val="22"/>
          <w:u w:val="single"/>
        </w:rPr>
        <w:t>Control Agreements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5.14</w:t>
      </w:r>
      <w:r>
        <w:rPr>
          <w:rFonts w:ascii="Times New Roman;serif" w:hAnsi="Times New Roman;serif"/>
          <w:b w:val="false"/>
          <w:color w:val="000000"/>
          <w:sz w:val="22"/>
        </w:rPr>
        <w:t xml:space="preserve">, each of Borrower and each Guarantor Subsidiary shall hold all of its cash and Cash Equivalents in a Deposit Account or Security Account (i) in the case of any Deposit Account or Security Account maintained in the United States that is not an Excluded Account, subject to a Control Agreement and (ii) in the case of any Deposit Account or Security Account maintained outside of the United States that is not an Excluded Account, subject to a perfected first priority Lien under the laws of the applicable jurisdiction and subject to the Agreed Securities Principles, in each case, within [**] (or such later date reasonably acceptable to the Administrative Agent) after the later of (x) the Closing Date and (y) the opening of such Deposit Accounts or Securities Accounts. All such Control Agreements governed under the laws of a state or territory of the United States shall provide for “springing” cash dominion with respect to each such Deposit Account. </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5.14</w:t>
      </w:r>
      <w:r>
        <w:rPr>
          <w:rFonts w:ascii="Times New Roman;serif" w:hAnsi="Times New Roman;serif"/>
          <w:b w:val="false"/>
          <w:color w:val="000000"/>
          <w:sz w:val="22"/>
          <w:u w:val="single"/>
        </w:rPr>
        <w:t>Post-Closing Matters</w:t>
      </w:r>
      <w:r>
        <w:rPr>
          <w:rFonts w:ascii="Times New Roman;serif" w:hAnsi="Times New Roman;serif"/>
          <w:b w:val="false"/>
          <w:color w:val="000000"/>
          <w:sz w:val="22"/>
        </w:rPr>
        <w:t xml:space="preserve">. Company shall, and shall cause each of the Loan Parties to, satisfy the requirements set forth on </w:t>
      </w:r>
      <w:r>
        <w:rPr>
          <w:rFonts w:ascii="Times New Roman;serif" w:hAnsi="Times New Roman;serif"/>
          <w:b w:val="false"/>
          <w:color w:val="000000"/>
          <w:sz w:val="22"/>
          <w:u w:val="single"/>
        </w:rPr>
        <w:t>Schedule 5.14</w:t>
      </w:r>
      <w:r>
        <w:rPr>
          <w:color w:val="000000"/>
        </w:rPr>
        <w:t xml:space="preserve"> </w:t>
      </w:r>
      <w:r>
        <w:rPr>
          <w:rFonts w:ascii="Times New Roman;serif" w:hAnsi="Times New Roman;serif"/>
          <w:b w:val="false"/>
          <w:color w:val="000000"/>
          <w:sz w:val="22"/>
        </w:rPr>
        <w:t xml:space="preserve">(except as otherwise agreed in writing (which may be by electronic communication) between the Borrower and the Administrative Agent) on or before the date specified for such requirement or such later date to be determined by Administrative Agent in its reasonable discretion. </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5.15</w:t>
      </w:r>
      <w:r>
        <w:rPr>
          <w:rFonts w:ascii="Times New Roman;serif" w:hAnsi="Times New Roman;serif"/>
          <w:b w:val="false"/>
          <w:color w:val="000000"/>
          <w:sz w:val="22"/>
          <w:u w:val="single"/>
        </w:rPr>
        <w:t>Commercially Reasonably Efforts</w:t>
      </w:r>
      <w:r>
        <w:rPr>
          <w:rFonts w:ascii="Times New Roman;serif" w:hAnsi="Times New Roman;serif"/>
          <w:b w:val="false"/>
          <w:color w:val="000000"/>
          <w:sz w:val="22"/>
        </w:rPr>
        <w:t>. Each Loan Party shall, either itself or through its Licensee(s), use Commerically Reasonable Efforts to develop and Commericalize each Material Product during the term of this Agreement.</w:t>
      </w:r>
    </w:p>
    <w:p>
      <w:pPr>
        <w:pStyle w:val="TextBody"/>
        <w:bidi w:val="0"/>
        <w:spacing w:lineRule="auto" w:line="240" w:before="0" w:after="240"/>
        <w:jc w:val="center"/>
        <w:rPr/>
      </w:pPr>
      <w:r>
        <w:rPr>
          <w:rFonts w:ascii="Times New Roman;serif" w:hAnsi="Times New Roman;serif"/>
          <w:b w:val="false"/>
          <w:color w:val="010000"/>
          <w:sz w:val="22"/>
        </w:rPr>
        <w:t>Article VI</w:t>
      </w:r>
      <w:r>
        <w:rPr>
          <w:rFonts w:ascii="Times New Roman;serif" w:hAnsi="Times New Roman;serif"/>
          <w:b w:val="false"/>
          <w:color w:val="000000"/>
          <w:sz w:val="22"/>
        </w:rPr>
        <w:br/>
        <w:br/>
        <w:t>NEGATIVE COVENANTS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Each Loan Party covenants and agrees that, so long as any Commitment is in effect and until payment in full of all Obligations (other than any such contingent obligations or liabilities hereunder that by the express terms thereof survive such payment in full of all Obligations), such Loan Party shall perform, and shall cause each of its Subsidiaries to perform, all covenants in this </w:t>
      </w:r>
      <w:r>
        <w:rPr>
          <w:rFonts w:ascii="Times New Roman;serif" w:hAnsi="Times New Roman;serif"/>
          <w:b w:val="false"/>
          <w:color w:val="000000"/>
          <w:sz w:val="22"/>
          <w:u w:val="single"/>
        </w:rPr>
        <w:t>Article VI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w:t>
      </w:r>
      <w:r>
        <w:rPr>
          <w:rFonts w:ascii="Times New Roman;serif" w:hAnsi="Times New Roman;serif"/>
          <w:b w:val="false"/>
          <w:color w:val="000000"/>
          <w:sz w:val="22"/>
          <w:u w:val="single"/>
        </w:rPr>
        <w:t>Indebtedness</w:t>
      </w:r>
      <w:r>
        <w:rPr>
          <w:rFonts w:ascii="Times New Roman;serif" w:hAnsi="Times New Roman;serif"/>
          <w:b w:val="false"/>
          <w:color w:val="000000"/>
          <w:sz w:val="22"/>
        </w:rPr>
        <w:t>. No Loan Party shall, nor shall it permit any of Borrower’s Subsidiaries to, directly or indirectly, create, incur, assume or guaranty, or otherwise become or remain directly or indirectly liable with respect to any Indebtedness, except Permitted Indebtedness.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6.2</w:t>
      </w:r>
      <w:r>
        <w:rPr>
          <w:rFonts w:ascii="Times New Roman;serif" w:hAnsi="Times New Roman;serif"/>
          <w:b w:val="false"/>
          <w:color w:val="000000"/>
          <w:sz w:val="22"/>
          <w:u w:val="single"/>
        </w:rPr>
        <w:t>Liens</w:t>
      </w:r>
      <w:r>
        <w:rPr>
          <w:rFonts w:ascii="Times New Roman;serif" w:hAnsi="Times New Roman;serif"/>
          <w:b w:val="false"/>
          <w:color w:val="000000"/>
          <w:sz w:val="22"/>
        </w:rPr>
        <w:t>. No Loan Party shall, nor shall it permit any of its Subsidiaries to, directly or indirectly, create, incur, assume or permit to exist any Lien on or with respect to any property or asset of any kind (including any document or instrument in respect of goods or accounts receivable) of Borrower or any of its Subsidiaries,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 in each case of the foregoing, for Permitted Liens.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6.3</w:t>
      </w:r>
      <w:r>
        <w:rPr>
          <w:rFonts w:ascii="Times New Roman;serif" w:hAnsi="Times New Roman;serif"/>
          <w:b w:val="false"/>
          <w:color w:val="000000"/>
          <w:sz w:val="22"/>
          <w:u w:val="single"/>
        </w:rPr>
        <w:t>Material Contracts</w:t>
      </w:r>
      <w:r>
        <w:rPr>
          <w:rFonts w:ascii="Times New Roman;serif" w:hAnsi="Times New Roman;serif"/>
          <w:b w:val="false"/>
          <w:color w:val="000000"/>
          <w:sz w:val="22"/>
        </w:rPr>
        <w:t xml:space="preserve">. Except as otherwise consented to by the Administrative Agent, none of Borrower or any of its Subsidiaries shall agree to any set-off, counterclaim or other deduction under or with respect to any Material Contract, other than any such set-off, counter claim or other deduction that is explicitly required by the terms of such Material Contract as in effect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28650"/>
                <wp:effectExtent l="0" t="0" r="0" b="0"/>
                <wp:wrapNone/>
                <wp:docPr id="170" name="Frame16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Closing Date or, with respect to any Material Contract entered into after the Closing Date, on the date such Material Contract became effective. Borrower and its Subsidiaries shall not materially breach any Material Contract, or otherwise default under any Material Contract, in such a manner as could reasonably be expected to give rise to a termination right of any other party to such Material Contract or loss of rights of any Loan Party thereunder. Except as otherwise consented to by the Administrative Agent, none of Borrower or any of its Subsidiaries shall amend or permit the amendment of any provision of any Material Contract the result of which would be economically adverse in any material respect, taken as a whole, to Borrower.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6.4</w:t>
      </w:r>
      <w:r>
        <w:rPr>
          <w:rFonts w:ascii="Times New Roman;serif" w:hAnsi="Times New Roman;serif"/>
          <w:b w:val="false"/>
          <w:color w:val="000000"/>
          <w:sz w:val="22"/>
          <w:u w:val="single"/>
        </w:rPr>
        <w:t>No Further Negative Pledges</w:t>
      </w:r>
      <w:r>
        <w:rPr>
          <w:rFonts w:ascii="Times New Roman;serif" w:hAnsi="Times New Roman;serif"/>
          <w:b w:val="false"/>
          <w:color w:val="000000"/>
          <w:sz w:val="22"/>
        </w:rPr>
        <w:t xml:space="preserve">. Except with respect to (a) specific property encumbered to secure payment of particular Indebtedness or to be sold pursuant to an executed agreement with respect to an Asset Sale permitted under </w:t>
      </w:r>
      <w:r>
        <w:rPr>
          <w:rFonts w:ascii="Times New Roman;serif" w:hAnsi="Times New Roman;serif"/>
          <w:b w:val="false"/>
          <w:color w:val="000000"/>
          <w:sz w:val="22"/>
          <w:u w:val="single"/>
        </w:rPr>
        <w:t>Section 6.9</w:t>
      </w:r>
      <w:r>
        <w:rPr>
          <w:rFonts w:ascii="Times New Roman;serif" w:hAnsi="Times New Roman;serif"/>
          <w:b w:val="false"/>
          <w:color w:val="000000"/>
          <w:sz w:val="22"/>
        </w:rPr>
        <w:t>, (b) restrictions by reason of customary provisions restricting assignments, Liens, subletting or other transfers contained in leases, licenses and similar agreements entered into in the ordinary course of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restrictions are limited to the property or assets secured by such Liens or the property or assets subject to such leases, licenses or similar agreements, as the case may be), (c) restrictions under any agreement or other instrument of a Person acquired by or merged, amalgamated or consolidated with or into Loan Party that was in existence at the time of such acquisition (or at the time it merges with or into any Loan Party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designation, (d) restrictions on cash or other deposits or net worth imposed by customers under commercial contracts entered into in the ordinary course of business, (e) [reserved], (f) customary provisions in joint venture agreements or arrangements and other similar agreements or arrangements relating solely to the applicable joint venture, (g) any encumbrance or restriction contained in Indebtedness otherwise permitted to be incurred hereunder and (h) any encumbrances or restrictions of the type referred to in the immediately preceding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above imposed by any amendments, modifications, restatements, renewals, increases, supplements, refundings, replacements or refinancings of the contracts, instruments or obligations referred to such immediately preceding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 no Loan Party nor any of Borrower’s Subsidiaries shall enter into any agreement prohibiting the creation or assumption of any Lien upon any of its properties or assets, whether now owned or hereafter acquired.</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6.5</w:t>
      </w:r>
      <w:r>
        <w:rPr>
          <w:rFonts w:ascii="Times New Roman;serif" w:hAnsi="Times New Roman;serif"/>
          <w:b w:val="false"/>
          <w:color w:val="000000"/>
          <w:sz w:val="22"/>
          <w:u w:val="single"/>
        </w:rPr>
        <w:t>Restricted Junior Payments</w:t>
      </w:r>
      <w:r>
        <w:rPr>
          <w:rFonts w:ascii="Times New Roman;serif" w:hAnsi="Times New Roman;serif"/>
          <w:b w:val="false"/>
          <w:color w:val="000000"/>
          <w:sz w:val="22"/>
        </w:rPr>
        <w:t>. No Loan Party shall, nor shall it permit any of its Subsidiaries through any manner or means or through any other Person to, directly or indirectly, declare, order, pay, make or set apart, or agree to declare, order, pay, make or set apart, any sum for any Restricted Junior Payment, in each case, except for: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the payment of dividends to Company’s equityholders in the form of Common Stock;</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(i) the issuance of Capital Stock of Company upon the exercise of any warrants, options or rights to acquire such Capital Stock, including upon conversion of any Indebtedness that is convertible into or exchangeable for Capital Stock of Company, and (ii) cash payments in lieu of issuing fractional shares in connection with the exercise of warrants, options or other securities convertible or exchangeable into Capital Stock of Company;</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the payment of dividends or other Restricted Junior Payments by a Subsidiary of Borrower to any Loan Party or such Subsidiary’s direct parent company;</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repurchase, retirement or other acquisition or retirement for value of Company’s Capital Stock held by any future, present or former employee, director, manager, officer or consultant (or any Affiliates, spouses, former spouses, other immediate family members, successors, executors, administrators, heirs, legatees or distributees of any of the foregoing) of Company or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28650"/>
                <wp:effectExtent l="0" t="0" r="0" b="0"/>
                <wp:wrapNone/>
                <wp:docPr id="171" name="Frame16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Subsidiaries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amounts of all such payments made pursuant to this </w:t>
      </w:r>
      <w:r>
        <w:rPr>
          <w:rFonts w:ascii="Times New Roman;serif" w:hAnsi="Times New Roman;serif"/>
          <w:b w:val="false"/>
          <w:color w:val="000000"/>
          <w:sz w:val="22"/>
          <w:u w:val="single"/>
        </w:rPr>
        <w:t>clause</w:t>
      </w:r>
      <w:r>
        <w:rPr>
          <w:color w:val="000000"/>
        </w:rPr>
        <w:t xml:space="preserve"> </w:t>
      </w:r>
      <w:r>
        <w:rPr>
          <w:rFonts w:ascii="Times New Roman;serif" w:hAnsi="Times New Roman;serif"/>
          <w:b w:val="false"/>
          <w:color w:val="000000"/>
          <w:sz w:val="22"/>
          <w:u w:val="single"/>
        </w:rPr>
        <w:t>(d)</w:t>
      </w:r>
      <w:r>
        <w:rPr>
          <w:rFonts w:ascii="Times New Roman;serif" w:hAnsi="Times New Roman;serif"/>
          <w:b w:val="false"/>
          <w:color w:val="000000"/>
          <w:sz w:val="22"/>
        </w:rPr>
        <w:t>, shall not, in the aggregate, exceed $[**];</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any payments pursuant to any Permitted Royalty Transaction; </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(i) the purchase by Borrower of Common Stock (including pursuant to Permitted Equity Derivatives) contemporaneously and otherwise in connection with the incurrence of Permitted Convertible Indebtedness; provided that the aggregate consideration for such Common Stock in connection with such purchases shall not exceed [**]% of the net proceeds received by Borrower from the incurrence of such Permitted Convertible Indebtedness, and (ii) any non-cash settlement or unwind of a Permitted Equity Derivative;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so long as no Event of Default has occurred and is continuing or would result therefrom, other payments in an aggregate amount not to exceed $[**]; </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rPr>
        <w:t>any payment on subordinated Indebtedness in accordance with the subordination agreement governing such Indebtedness;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Payment of Indebtedness secured by a Permitted Lien if the asset securing such Indebtedness has been sold or otherwise disposed of in accordance with </w:t>
      </w:r>
      <w:r>
        <w:rPr>
          <w:rFonts w:ascii="Times New Roman;serif" w:hAnsi="Times New Roman;serif"/>
          <w:b w:val="false"/>
          <w:color w:val="000000"/>
          <w:sz w:val="22"/>
          <w:u w:val="single"/>
        </w:rPr>
        <w:t>Section 6.9</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rPr>
        <w:t xml:space="preserve">converting (or exchanging) any Indebtedness to (or for) Qualified Capital Stock of Borrower; </w:t>
      </w:r>
    </w:p>
    <w:p>
      <w:pPr>
        <w:pStyle w:val="TextBody"/>
        <w:bidi w:val="0"/>
        <w:spacing w:lineRule="auto" w:line="240"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rPr>
        <w:t>the issuance of Capital Stock (and cash in lieu of fractional shares in connection with such issuance) of the Borrower in connection with any conversion, exercise, repurchase, exchange, redemption, settlement or early termination or cancellation of Permitted Convertible Indebtedness;</w:t>
      </w:r>
    </w:p>
    <w:p>
      <w:pPr>
        <w:pStyle w:val="TextBody"/>
        <w:bidi w:val="0"/>
        <w:spacing w:lineRule="auto" w:line="240"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rPr>
        <w:t>the issuance of Permitted Convertible Indebtedness or subordinated debt that constitutes Permitted Refinancing Indebtedness in exchange for other Permitted Convertible Indebtedness, (g) the redemption, purchase, exchange, early termination or cancellation of Permitted Convertible Indebtedness in an aggregate principal amount not to exceed the Net Proceeds received by the Borrower from the substantially concurrent issuance of additional Permitted Convertible Indebtedness, subordinated debt or Capital Stock in connection with a refinancing of the Permitted Convertible Indebtedness being redeemed, purchased, exchanged, terminated or cancelled; provided that additional Permitted Convertible Indebtedness constitutes Permitted Refinancing Indebtedness;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rPr>
        <w:t xml:space="preserve">the purchase, acquisition, redemption or retirement for value of Company’s Capital Stock held by Sarepta Therapeutics Investments, Inc. (or any of its Affiliates); provided that, the aggregate amounts of all such payments made pursuant to this clause (m), shall not, in the aggregate, exceed $[**]. </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6.6</w:t>
      </w:r>
      <w:r>
        <w:rPr>
          <w:rFonts w:ascii="Times New Roman;serif" w:hAnsi="Times New Roman;serif"/>
          <w:b w:val="false"/>
          <w:color w:val="000000"/>
          <w:sz w:val="22"/>
          <w:u w:val="single"/>
        </w:rPr>
        <w:t>Restrictions on Subsidiary Distributions</w:t>
      </w:r>
      <w:r>
        <w:rPr>
          <w:rFonts w:ascii="Times New Roman;serif" w:hAnsi="Times New Roman;serif"/>
          <w:b w:val="false"/>
          <w:color w:val="000000"/>
          <w:sz w:val="22"/>
        </w:rPr>
        <w:t xml:space="preserve">. Except as provided herein, no Loan Party shall, nor shall it permit any of Borrower’s Subsidiaries to, create or otherwise cause or suffer to exist or become effective any consensual encumbrance or restriction of any kind on the ability of any Subsidiary of Company to (a) pay dividends or make any other distributions on any of such Subsidiary’s Capital Stock owned by Company or any other Subsidiary of Company, (b) repay or prepay any Indebtedness owed by such Subsidiary to Company or any other Subsidiary of Company, (c) make loans or advances to Company or any other Subsidiary of Company, or (d) transfer any of its property or assets to Company or any other Subsidiary of Company other than restrictions (i) in agreements evidencing purchase money Indebtedness permitted by clause (h) of the definition of Permitted Indebtedness that impose restrictions on the property so acquired, (ii) by reason of customary provisions restricting assignments, change of control, subletting or other transfers contained in leases, licenses, joint venture agreements and other agreements entered into in the ordinary course of business or as expressly permitted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628650"/>
                <wp:effectExtent l="0" t="0" r="0" b="0"/>
                <wp:wrapNone/>
                <wp:docPr id="172" name="Frame17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by this Agreement, and (iii) that are or were created by virtue of any transfer of, agreement to transfer or option or right with respect to any property, assets or Capital Stock not otherwise prohibited under this Agreement. No Loan Party shall, nor shall it permit its Subsidiaries to, enter into any Contractual Obligations which would prohibit a Subsidiary of Borrower from being a Loan Party (other than Subsidiaries that are Excluded Subsidiaries, other than by virtue of </w:t>
      </w:r>
      <w:r>
        <w:rPr>
          <w:rFonts w:ascii="Times New Roman;serif" w:hAnsi="Times New Roman;serif"/>
          <w:b w:val="false"/>
          <w:color w:val="000000"/>
          <w:sz w:val="22"/>
          <w:u w:val="single"/>
        </w:rPr>
        <w:t>clause</w:t>
      </w:r>
      <w:r>
        <w:rPr>
          <w:color w:val="000000"/>
        </w:rPr>
        <w:t xml:space="preserve">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of the definition thereof). </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6.7</w:t>
      </w:r>
      <w:r>
        <w:rPr>
          <w:rFonts w:ascii="Times New Roman;serif" w:hAnsi="Times New Roman;serif"/>
          <w:b w:val="false"/>
          <w:color w:val="000000"/>
          <w:sz w:val="22"/>
          <w:u w:val="single"/>
        </w:rPr>
        <w:t>Investments</w:t>
      </w:r>
      <w:r>
        <w:rPr>
          <w:rFonts w:ascii="Times New Roman;serif" w:hAnsi="Times New Roman;serif"/>
          <w:b w:val="false"/>
          <w:color w:val="000000"/>
          <w:sz w:val="22"/>
        </w:rPr>
        <w:t xml:space="preserve">. Borrower shall not, nor shall it permit any of its Subsidiaries to, directly or indirectly, make or own any Investment in any Person, including without limitation any Joint Venture, except Permitted Investments. Notwithstanding the foregoing, in no event shall any Loan Party make any Investment which results in the making of any Restricted Junior Payment not otherwise permitted under the terms of </w:t>
      </w:r>
      <w:r>
        <w:rPr>
          <w:rFonts w:ascii="Times New Roman;serif" w:hAnsi="Times New Roman;serif"/>
          <w:b w:val="false"/>
          <w:color w:val="000000"/>
          <w:sz w:val="22"/>
          <w:u w:val="single"/>
        </w:rPr>
        <w:t>Section 6.5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6.8</w:t>
      </w:r>
      <w:r>
        <w:rPr>
          <w:rFonts w:ascii="Times New Roman;serif" w:hAnsi="Times New Roman;serif"/>
          <w:b w:val="false"/>
          <w:color w:val="000000"/>
          <w:sz w:val="22"/>
          <w:u w:val="single"/>
        </w:rPr>
        <w:t>Minimum Qualified Cash</w:t>
      </w:r>
      <w:r>
        <w:rPr>
          <w:rFonts w:ascii="Times New Roman;serif" w:hAnsi="Times New Roman;serif"/>
          <w:b w:val="false"/>
          <w:color w:val="000000"/>
          <w:sz w:val="22"/>
        </w:rPr>
        <w:t>. The Loan Parties shall not permit Qualified Cash at any time after the Amendment No. 2 Effective Date to be less than the sum of (a) $[**] and (b) any outstanding Zodasiran Upfront Payment Balance.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6.9</w:t>
      </w:r>
      <w:r>
        <w:rPr>
          <w:rFonts w:ascii="Times New Roman;serif" w:hAnsi="Times New Roman;serif"/>
          <w:b w:val="false"/>
          <w:color w:val="000000"/>
          <w:sz w:val="22"/>
          <w:u w:val="single"/>
        </w:rPr>
        <w:t>Fundamental Changes; Disposition of Assets</w:t>
      </w:r>
      <w:r>
        <w:rPr>
          <w:rFonts w:ascii="Times New Roman;serif" w:hAnsi="Times New Roman;serif"/>
          <w:b w:val="false"/>
          <w:color w:val="000000"/>
          <w:sz w:val="22"/>
        </w:rPr>
        <w:t>. No Loan Party shall, nor shall it permit any of its Subsidiaries to:</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enter into any transaction of merger or consolidation, or liquidate, wind up or dissolve itself (or suffer any liquidation or dissolution), including by means of a “plan of division” under the Delaware Limited Liability Company Act or any comparable transaction under any similar law, except:</w:t>
      </w:r>
    </w:p>
    <w:p>
      <w:pPr>
        <w:pStyle w:val="TextBody"/>
        <w:bidi w:val="0"/>
        <w:spacing w:lineRule="auto" w:line="288"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(i)    (x) any Subsidiary of Borrower that is a Loan Party may be merged with or into Company or any Guarantor Subsidiary, or be liquidated, wound up or dissolved, or all or any part of its business, property or assets may be conveyed, sold, leased, transferred or otherwise disposed of, in one transaction or a series of transactions, to Company or any Guarantor Subsidiary; and (y) any Subsidiary of Borrower that is not a Loan Party may be merged with or into Borrower or any other Subsidiary, or be liquidated, wound up or dissolved, or all or any part of its business, property or assets may be conveyed, sold, leased, transferred or otherwise disposed of, in one transaction or a series of transactions, to Company or any other Subsidiary;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each case of clauses (x) and (y), in the case of such merger involving Borrower, Borrower shall be the continuing or surviving Person and in the case of such merger not involving Borrower but involving a Guarantor Subsidiary, the Guarantor Subsidiary shall be the continuing or surviving person; or</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(ii)    in connection with Permitted Acquisitions and other Permitted Investments;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consummate any Asset Sale, in each case, in one transaction or a series of transactions, of all or any part of its business, assets or property of any kind whatsoever (including, without limitation, any Product (including, without limitation, any Intellectual Property Rights related thereto), any Product Agreement (including, without limitation, any of Company’s rights thereunder), and any Registration), whether real, personal or mixed and whether tangible or intangible, whether now owned or hereafter acquired, except the following, provided, that, (A) in the case of clauses (x) (other than Asset Sales to the Borrower or any of its Subsidiaries), (xi), (xiv), (xv) (xvii), (xviii), (xix), (xx) (other than in the case of agreements or transactions between Loan Parties) and (xxii) which shall be on arms’ length and market terms and for fair market value and (B) any agreements or transactions existing on the Closing Date shall be deemed to be on arms’ length and market terms and for fair market value: </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[reserved]:</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28650"/>
                <wp:effectExtent l="0" t="0" r="0" b="0"/>
                <wp:wrapNone/>
                <wp:docPr id="173" name="Frame17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10000"/>
          <w:sz w:val="22"/>
        </w:rPr>
        <w:t>(iii)</w:t>
      </w:r>
      <w:r>
        <w:rPr>
          <w:rFonts w:ascii="Times New Roman;serif" w:hAnsi="Times New Roman;serif"/>
          <w:b w:val="false"/>
          <w:color w:val="000000"/>
          <w:sz w:val="22"/>
        </w:rPr>
        <w:t>[reserved];</w:t>
      </w:r>
    </w:p>
    <w:p>
      <w:pPr>
        <w:pStyle w:val="TextBody"/>
        <w:bidi w:val="0"/>
        <w:spacing w:lineRule="auto" w:line="240" w:before="0" w:after="240"/>
        <w:ind w:left="0" w:right="0" w:firstLine="2160"/>
        <w:jc w:val="both"/>
        <w:rPr/>
      </w:pPr>
      <w:r>
        <w:rPr>
          <w:rFonts w:ascii="Times New Roman;serif" w:hAnsi="Times New Roman;serif"/>
          <w:b w:val="false"/>
          <w:color w:val="010000"/>
          <w:sz w:val="22"/>
        </w:rPr>
        <w:t>(iv)</w:t>
      </w:r>
      <w:r>
        <w:rPr>
          <w:rFonts w:ascii="Times New Roman;serif" w:hAnsi="Times New Roman;serif"/>
          <w:b w:val="false"/>
          <w:color w:val="000000"/>
          <w:sz w:val="22"/>
        </w:rPr>
        <w:t>[reserved];</w:t>
      </w:r>
    </w:p>
    <w:p>
      <w:pPr>
        <w:pStyle w:val="TextBody"/>
        <w:bidi w:val="0"/>
        <w:spacing w:lineRule="auto" w:line="240" w:before="0" w:after="240"/>
        <w:ind w:left="0" w:right="0" w:firstLine="2160"/>
        <w:jc w:val="both"/>
        <w:rPr/>
      </w:pPr>
      <w:r>
        <w:rPr>
          <w:rFonts w:ascii="Times New Roman;serif" w:hAnsi="Times New Roman;serif"/>
          <w:b w:val="false"/>
          <w:color w:val="010000"/>
          <w:sz w:val="22"/>
        </w:rPr>
        <w:t>(v)</w:t>
      </w:r>
      <w:r>
        <w:rPr>
          <w:rFonts w:ascii="Times New Roman;serif" w:hAnsi="Times New Roman;serif"/>
          <w:b w:val="false"/>
          <w:color w:val="000000"/>
          <w:sz w:val="22"/>
        </w:rPr>
        <w:t>the disposition, unwinding or other termination of any Hedging Agreement or any Permitted Equity Derivative or the entry into any Permitted Equity Derivatives;</w:t>
      </w:r>
    </w:p>
    <w:p>
      <w:pPr>
        <w:pStyle w:val="TextBody"/>
        <w:bidi w:val="0"/>
        <w:spacing w:lineRule="auto" w:line="240" w:before="0" w:after="240"/>
        <w:ind w:left="0" w:right="0" w:firstLine="2160"/>
        <w:jc w:val="both"/>
        <w:rPr/>
      </w:pPr>
      <w:r>
        <w:rPr>
          <w:rFonts w:ascii="Times New Roman;serif" w:hAnsi="Times New Roman;serif"/>
          <w:b w:val="false"/>
          <w:color w:val="010000"/>
          <w:sz w:val="22"/>
        </w:rPr>
        <w:t>(vi)</w:t>
      </w:r>
      <w:r>
        <w:rPr>
          <w:rFonts w:ascii="Times New Roman;serif" w:hAnsi="Times New Roman;serif"/>
          <w:b w:val="false"/>
          <w:color w:val="000000"/>
          <w:sz w:val="22"/>
        </w:rPr>
        <w:t>(A) Asset Sales of inventory and immaterial assets in the ordinary course of business and (B) the abandonment, disclaimer, forfeiture, dedication to the public, cancellation, non-renewal of Intellectual Property Rights in the ordinary course of business that is not material to any Material Product or Platform Technology and is no longer useful in any material respect in the business of the Borrower and its Subsidiaries;</w:t>
      </w:r>
    </w:p>
    <w:p>
      <w:pPr>
        <w:pStyle w:val="TextBody"/>
        <w:bidi w:val="0"/>
        <w:spacing w:lineRule="auto" w:line="240" w:before="0" w:after="240"/>
        <w:ind w:left="0" w:right="0" w:firstLine="2160"/>
        <w:jc w:val="both"/>
        <w:rPr/>
      </w:pPr>
      <w:r>
        <w:rPr>
          <w:rFonts w:ascii="Times New Roman;serif" w:hAnsi="Times New Roman;serif"/>
          <w:b w:val="false"/>
          <w:color w:val="010000"/>
          <w:sz w:val="22"/>
        </w:rPr>
        <w:t>(vii)</w:t>
      </w:r>
      <w:r>
        <w:rPr>
          <w:rFonts w:ascii="Times New Roman;serif" w:hAnsi="Times New Roman;serif"/>
          <w:b w:val="false"/>
          <w:color w:val="000000"/>
          <w:sz w:val="22"/>
        </w:rPr>
        <w:t>Asset Sales of obsolete or worn out, retired or surplus property, whether now owned or hereafter acquired, in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10000"/>
          <w:sz w:val="22"/>
        </w:rPr>
        <w:t>(viii)</w:t>
      </w:r>
      <w:r>
        <w:rPr>
          <w:rFonts w:ascii="Times New Roman;serif" w:hAnsi="Times New Roman;serif"/>
          <w:b w:val="false"/>
          <w:color w:val="000000"/>
          <w:sz w:val="22"/>
        </w:rPr>
        <w:t>surrender or waiver of contractual rights and settlement or waiver of contractual or litigation claims in the ordinary course of business;</w:t>
      </w:r>
    </w:p>
    <w:p>
      <w:pPr>
        <w:pStyle w:val="TextBody"/>
        <w:bidi w:val="0"/>
        <w:spacing w:lineRule="auto" w:line="240" w:before="0" w:after="240"/>
        <w:ind w:left="0" w:right="0" w:firstLine="2160"/>
        <w:jc w:val="both"/>
        <w:rPr/>
      </w:pPr>
      <w:r>
        <w:rPr>
          <w:rFonts w:ascii="Times New Roman;serif" w:hAnsi="Times New Roman;serif"/>
          <w:b w:val="false"/>
          <w:color w:val="010000"/>
          <w:sz w:val="22"/>
        </w:rPr>
        <w:t>(ix)</w:t>
      </w:r>
      <w:r>
        <w:rPr>
          <w:rFonts w:ascii="Times New Roman;serif" w:hAnsi="Times New Roman;serif"/>
          <w:b w:val="false"/>
          <w:color w:val="000000"/>
          <w:sz w:val="22"/>
        </w:rPr>
        <w:t xml:space="preserve">Asset Sales to any Loan Party; </w:t>
      </w:r>
    </w:p>
    <w:p>
      <w:pPr>
        <w:pStyle w:val="TextBody"/>
        <w:bidi w:val="0"/>
        <w:spacing w:lineRule="auto" w:line="240" w:before="0" w:after="240"/>
        <w:ind w:left="0" w:right="0" w:firstLine="2160"/>
        <w:jc w:val="both"/>
        <w:rPr/>
      </w:pPr>
      <w:r>
        <w:rPr>
          <w:rFonts w:ascii="Times New Roman;serif" w:hAnsi="Times New Roman;serif"/>
          <w:b w:val="false"/>
          <w:color w:val="010000"/>
          <w:sz w:val="22"/>
        </w:rPr>
        <w:t>(x)</w:t>
      </w:r>
      <w:r>
        <w:rPr>
          <w:rFonts w:ascii="Times New Roman;serif" w:hAnsi="Times New Roman;serif"/>
          <w:b w:val="false"/>
          <w:color w:val="000000"/>
          <w:sz w:val="22"/>
        </w:rPr>
        <w:t xml:space="preserve">Asset Sales by any Subsidiary that is not a Loan Party; provided that, in connection with such Asset Sales the Company shall receive consideration of which not less than [**]% shall be in cash or Cash Equivalents; </w:t>
      </w:r>
    </w:p>
    <w:p>
      <w:pPr>
        <w:pStyle w:val="TextBody"/>
        <w:bidi w:val="0"/>
        <w:spacing w:lineRule="auto" w:line="240" w:before="0" w:after="240"/>
        <w:ind w:left="0" w:right="0" w:firstLine="2160"/>
        <w:jc w:val="both"/>
        <w:rPr/>
      </w:pPr>
      <w:r>
        <w:rPr>
          <w:rFonts w:ascii="Times New Roman;serif" w:hAnsi="Times New Roman;serif"/>
          <w:b w:val="false"/>
          <w:color w:val="010000"/>
          <w:sz w:val="22"/>
        </w:rPr>
        <w:t>(xi)</w:t>
      </w:r>
      <w:r>
        <w:rPr>
          <w:rFonts w:ascii="Times New Roman;serif" w:hAnsi="Times New Roman;serif"/>
          <w:b w:val="false"/>
          <w:color w:val="000000"/>
          <w:sz w:val="22"/>
        </w:rPr>
        <w:t>Asset Sales of Plozasiran pursuant to a Permitted Royalty Transaction under clause (b) of the definition thereof, which shall be subject to the prepayment provisions of Section 2.10(g);</w:t>
      </w:r>
    </w:p>
    <w:p>
      <w:pPr>
        <w:pStyle w:val="TextBody"/>
        <w:bidi w:val="0"/>
        <w:spacing w:lineRule="auto" w:line="240" w:before="0" w:after="240"/>
        <w:ind w:left="0" w:right="0" w:firstLine="2160"/>
        <w:jc w:val="both"/>
        <w:rPr/>
      </w:pPr>
      <w:r>
        <w:rPr>
          <w:rFonts w:ascii="Times New Roman;serif" w:hAnsi="Times New Roman;serif"/>
          <w:b w:val="false"/>
          <w:color w:val="010000"/>
          <w:sz w:val="22"/>
        </w:rPr>
        <w:t>(xii)</w:t>
      </w:r>
      <w:r>
        <w:rPr>
          <w:rFonts w:ascii="Times New Roman;serif" w:hAnsi="Times New Roman;serif"/>
          <w:b w:val="false"/>
          <w:color w:val="000000"/>
          <w:sz w:val="22"/>
        </w:rPr>
        <w:t>Asset Sales consisting of Permitted Liens and permitted Restricted Junior Payments;</w:t>
      </w:r>
    </w:p>
    <w:p>
      <w:pPr>
        <w:pStyle w:val="TextBody"/>
        <w:bidi w:val="0"/>
        <w:spacing w:lineRule="auto" w:line="240" w:before="0" w:after="240"/>
        <w:ind w:left="0" w:right="0" w:firstLine="2160"/>
        <w:jc w:val="both"/>
        <w:rPr/>
      </w:pPr>
      <w:r>
        <w:rPr>
          <w:rFonts w:ascii="Times New Roman;serif" w:hAnsi="Times New Roman;serif"/>
          <w:b w:val="false"/>
          <w:color w:val="010000"/>
          <w:sz w:val="22"/>
        </w:rPr>
        <w:t>(xiii)</w:t>
      </w:r>
      <w:r>
        <w:rPr>
          <w:rFonts w:ascii="Times New Roman;serif" w:hAnsi="Times New Roman;serif"/>
          <w:b w:val="false"/>
          <w:color w:val="000000"/>
          <w:sz w:val="22"/>
        </w:rPr>
        <w:t>use or transfer of Cash or Cash Equivalents, including the sale or disposition of Cash Equivalents for cash or other Cash Equivalents;</w:t>
      </w:r>
    </w:p>
    <w:p>
      <w:pPr>
        <w:pStyle w:val="TextBody"/>
        <w:bidi w:val="0"/>
        <w:spacing w:lineRule="auto" w:line="240" w:before="0" w:after="240"/>
        <w:ind w:left="0" w:right="0" w:firstLine="2160"/>
        <w:jc w:val="both"/>
        <w:rPr/>
      </w:pPr>
      <w:r>
        <w:rPr>
          <w:rFonts w:ascii="Times New Roman;serif" w:hAnsi="Times New Roman;serif"/>
          <w:b w:val="false"/>
          <w:color w:val="010000"/>
          <w:sz w:val="22"/>
        </w:rPr>
        <w:t>(xiv)</w:t>
      </w:r>
      <w:r>
        <w:rPr>
          <w:rFonts w:ascii="Times New Roman;serif" w:hAnsi="Times New Roman;serif"/>
          <w:b w:val="false"/>
          <w:color w:val="000000"/>
          <w:sz w:val="22"/>
        </w:rPr>
        <w:t xml:space="preserve">Asset Sales of Capital Stock in any Joint Venture to the other holders of Capital Stock in such Joint Venture; provided that in connection with such Asset Sales the Company shall receive consideration of which not less than [**]% shall be in cash or Cash Equivalents; </w:t>
      </w:r>
    </w:p>
    <w:p>
      <w:pPr>
        <w:pStyle w:val="TextBody"/>
        <w:bidi w:val="0"/>
        <w:spacing w:lineRule="auto" w:line="240" w:before="0" w:after="240"/>
        <w:ind w:left="0" w:right="0" w:firstLine="2160"/>
        <w:jc w:val="both"/>
        <w:rPr/>
      </w:pPr>
      <w:r>
        <w:rPr>
          <w:rFonts w:ascii="Times New Roman;serif" w:hAnsi="Times New Roman;serif"/>
          <w:b w:val="false"/>
          <w:color w:val="010000"/>
          <w:sz w:val="22"/>
        </w:rPr>
        <w:t>(xv)</w:t>
      </w:r>
      <w:r>
        <w:rPr>
          <w:rFonts w:ascii="Times New Roman;serif" w:hAnsi="Times New Roman;serif"/>
          <w:b w:val="false"/>
          <w:color w:val="000000"/>
          <w:sz w:val="22"/>
        </w:rPr>
        <w:t>other Asset Sales in an amount not to exceed $[**]; provided that in connection with such Asset Sales the Company shall receive consideration of which not less than [**]% shall be in cash or Cash Equivalents;</w:t>
      </w:r>
    </w:p>
    <w:p>
      <w:pPr>
        <w:pStyle w:val="TextBody"/>
        <w:bidi w:val="0"/>
        <w:spacing w:lineRule="auto" w:line="240" w:before="0" w:after="240"/>
        <w:ind w:left="0" w:right="0" w:firstLine="2160"/>
        <w:jc w:val="both"/>
        <w:rPr/>
      </w:pPr>
      <w:r>
        <w:rPr>
          <w:rFonts w:ascii="Times New Roman;serif" w:hAnsi="Times New Roman;serif"/>
          <w:b w:val="false"/>
          <w:color w:val="010000"/>
          <w:sz w:val="22"/>
        </w:rPr>
        <w:t>(xvi)</w:t>
      </w:r>
      <w:r>
        <w:rPr>
          <w:rFonts w:ascii="Times New Roman;serif" w:hAnsi="Times New Roman;serif"/>
          <w:b w:val="false"/>
          <w:color w:val="000000"/>
          <w:sz w:val="22"/>
        </w:rPr>
        <w:t>Asset Sales described in clause (c) of the definition thereof so long as any cash proceeds are subject to the requirements of Section 2.10(d);</w:t>
      </w:r>
    </w:p>
    <w:p>
      <w:pPr>
        <w:pStyle w:val="TextBody"/>
        <w:bidi w:val="0"/>
        <w:spacing w:lineRule="auto" w:line="240" w:before="0" w:after="240"/>
        <w:ind w:left="0" w:right="0" w:firstLine="2160"/>
        <w:jc w:val="both"/>
        <w:rPr/>
      </w:pPr>
      <w:r>
        <w:rPr>
          <w:rFonts w:ascii="Times New Roman;serif" w:hAnsi="Times New Roman;serif"/>
          <w:b w:val="false"/>
          <w:color w:val="010000"/>
          <w:sz w:val="22"/>
        </w:rPr>
        <w:t>(xvii)</w:t>
      </w:r>
      <w:r>
        <w:rPr>
          <w:rFonts w:ascii="Times New Roman;serif" w:hAnsi="Times New Roman;serif"/>
          <w:b w:val="false"/>
          <w:color w:val="000000"/>
          <w:sz w:val="22"/>
        </w:rPr>
        <w:t xml:space="preserve">Asset Sales of Pipeline Assets pursuant to one or more Pipeline Asset Monetizations (but excluding, for the avoidance of doubt, any Asset Sales in connection with any tangible (other than inventory) or intangible assets specific to (x) any Material Product, (y) any Specified Transaction, subject to the mandatory prepayments required by </w:t>
      </w:r>
      <w:r>
        <w:rPr>
          <w:rFonts w:ascii="Times New Roman;serif" w:hAnsi="Times New Roman;serif"/>
          <w:b w:val="false"/>
          <w:color w:val="000000"/>
          <w:sz w:val="22"/>
          <w:u w:val="single"/>
        </w:rPr>
        <w:t>Section 2.10(h),</w:t>
      </w:r>
      <w:r>
        <w:rPr>
          <w:color w:val="000000"/>
        </w:rPr>
        <w:t xml:space="preserve"> </w:t>
      </w:r>
      <w:r>
        <w:rPr>
          <w:rFonts w:ascii="Times New Roman;serif" w:hAnsi="Times New Roman;serif"/>
          <w:b w:val="false"/>
          <w:color w:val="000000"/>
          <w:sz w:val="22"/>
        </w:rPr>
        <w:t>and (z) any out-license of Platform Intellectual Property Rights other than pursuant to a Permitted Product Agreement solely for use in of such Platform Intellectual Property Rights in the development, manufacture and /or Commercialization of a Product or back-ups or follow-ons of such Product); provided that, in connection with such Asset Sales the Company shall receive consideration of which not less than [**]% shall be in cash or Cash Equivalents;</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628650"/>
                <wp:effectExtent l="0" t="0" r="0" b="0"/>
                <wp:wrapNone/>
                <wp:docPr id="174" name="Frame17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10000"/>
          <w:sz w:val="22"/>
        </w:rPr>
        <w:t>(xviii)</w:t>
      </w:r>
      <w:r>
        <w:rPr>
          <w:rFonts w:ascii="Times New Roman;serif" w:hAnsi="Times New Roman;serif"/>
          <w:b w:val="false"/>
          <w:color w:val="000000"/>
          <w:sz w:val="22"/>
        </w:rPr>
        <w:t xml:space="preserve">Asset Sales with respect to Pipeline Assets in connection with any Specified Transaction pursuant to a Permitted Product Agreement; provided that such Specified Transaction is consummated on terms no less favorable than those last disclosed in writing to the Administrative Agent prior to the consummation of such Asset Sale; provided, that, after the consummation of any such Specified Transaction, the assets subject to such Specified Transaction shall become Partnered Assets and shall be subject to the prepayments required by </w:t>
      </w:r>
      <w:r>
        <w:rPr>
          <w:rFonts w:ascii="Times New Roman;serif" w:hAnsi="Times New Roman;serif"/>
          <w:b w:val="false"/>
          <w:color w:val="000000"/>
          <w:sz w:val="22"/>
          <w:u w:val="single"/>
        </w:rPr>
        <w:t>Section 2.10(e)</w:t>
      </w:r>
      <w:r>
        <w:rPr>
          <w:color w:val="000000"/>
        </w:rPr>
        <w:t xml:space="preserve"> </w:t>
      </w:r>
      <w:r>
        <w:rPr>
          <w:rFonts w:ascii="Times New Roman;serif" w:hAnsi="Times New Roman;serif"/>
          <w:b w:val="false"/>
          <w:color w:val="000000"/>
          <w:sz w:val="22"/>
        </w:rPr>
        <w:t xml:space="preserve">(excluding any upfront fee received in connection with such Specified Transaction);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if any Specified Transaction is not consummated within the timeframe required in the definition of “Specified Transaction”, the Pipeline Assets that were the subject thereof shall continue to be subject to the mandatory prepayments required by </w:t>
      </w:r>
      <w:r>
        <w:rPr>
          <w:rFonts w:ascii="Times New Roman;serif" w:hAnsi="Times New Roman;serif"/>
          <w:b w:val="false"/>
          <w:color w:val="000000"/>
          <w:sz w:val="22"/>
          <w:u w:val="single"/>
        </w:rPr>
        <w:t>Section 2.10(i)</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10000"/>
          <w:sz w:val="22"/>
        </w:rPr>
        <w:t>(xix)</w:t>
      </w:r>
      <w:r>
        <w:rPr>
          <w:rFonts w:ascii="Times New Roman;serif" w:hAnsi="Times New Roman;serif"/>
          <w:b w:val="false"/>
          <w:color w:val="000000"/>
          <w:sz w:val="22"/>
        </w:rPr>
        <w:t xml:space="preserve">transactions pursuant to any Permitted Zodasiran Agreement; provided that, (A) if such transaction is with respect to any Non-Core Market, such transaction (x) shall be permitted without the consent of the Administrative Agent and (y) shall not be subject to any prepayments pursuant to </w:t>
      </w:r>
      <w:r>
        <w:rPr>
          <w:rFonts w:ascii="Times New Roman;serif" w:hAnsi="Times New Roman;serif"/>
          <w:b w:val="false"/>
          <w:color w:val="000000"/>
          <w:sz w:val="22"/>
          <w:u w:val="single"/>
        </w:rPr>
        <w:t>Section 2.10(f)</w:t>
      </w:r>
      <w:r>
        <w:rPr>
          <w:color w:val="000000"/>
        </w:rPr>
        <w:t xml:space="preserve"> </w:t>
      </w:r>
      <w:r>
        <w:rPr>
          <w:rFonts w:ascii="Times New Roman;serif" w:hAnsi="Times New Roman;serif"/>
          <w:b w:val="false"/>
          <w:color w:val="000000"/>
          <w:sz w:val="22"/>
        </w:rPr>
        <w:t>and (B) if such transaction is with respect to any Core Market, such transaction shall be permitted (1) (x) subject to the consent of the Administrative Agent (such consent not to be unreasonably withheld, conditioned or delayed) or (y) without the consent of the Administrative Agent if such transaction is with a Qualified Entity, (2) so long as the Company receives an upfront payment in cash from such Person (including any Qualified Entity) in an amount equal to or greater than $[**] (or the dollar equivalent) (such payment, the “</w:t>
      </w:r>
      <w:r>
        <w:rPr>
          <w:rFonts w:ascii="Times New Roman;serif" w:hAnsi="Times New Roman;serif"/>
          <w:b w:val="false"/>
          <w:color w:val="000000"/>
          <w:sz w:val="22"/>
          <w:u w:val="single"/>
        </w:rPr>
        <w:t>Zodasiran Upfront Payment</w:t>
      </w:r>
      <w:r>
        <w:rPr>
          <w:color w:val="000000"/>
        </w:rPr>
        <w:t>”</w:t>
      </w:r>
      <w:r>
        <w:rPr>
          <w:rFonts w:ascii="Times New Roman;serif" w:hAnsi="Times New Roman;serif"/>
          <w:b w:val="false"/>
          <w:color w:val="000000"/>
          <w:sz w:val="22"/>
        </w:rPr>
        <w:t xml:space="preserve">), and (3) subject to the required prepayments set forth in </w:t>
      </w:r>
      <w:r>
        <w:rPr>
          <w:rFonts w:ascii="Times New Roman;serif" w:hAnsi="Times New Roman;serif"/>
          <w:b w:val="false"/>
          <w:color w:val="000000"/>
          <w:sz w:val="22"/>
          <w:u w:val="single"/>
        </w:rPr>
        <w:t>Section 2.10(f)</w:t>
      </w:r>
      <w:r>
        <w:rPr>
          <w:rFonts w:ascii="Times New Roman;serif" w:hAnsi="Times New Roman;serif"/>
          <w:b w:val="false"/>
          <w:color w:val="000000"/>
          <w:sz w:val="22"/>
        </w:rPr>
        <w:t xml:space="preserve">; provided further that, for the avoidance of doubt, in the event the Borrower does not enter into a Permitted Zodasiran Agreement within the time period set forth in the definition of “Permitted Zodasiran Agreement”, Zodasiran shall continue to be a Material Product subject to the prepayment obligations of </w:t>
      </w:r>
      <w:r>
        <w:rPr>
          <w:rFonts w:ascii="Times New Roman;serif" w:hAnsi="Times New Roman;serif"/>
          <w:b w:val="false"/>
          <w:color w:val="000000"/>
          <w:sz w:val="22"/>
          <w:u w:val="single"/>
        </w:rPr>
        <w:t>Section 2.10(f)</w:t>
      </w:r>
      <w:r>
        <w:rPr>
          <w:rFonts w:ascii="Times New Roman;serif" w:hAnsi="Times New Roman;serif"/>
          <w:b w:val="false"/>
          <w:color w:val="000000"/>
          <w:sz w:val="22"/>
        </w:rPr>
        <w:t xml:space="preserve">, and Borrower shall not be permitted to enter into any Asset Sale with respect to Zodasiran without the prior written consent of the Administrative Agent.; </w:t>
      </w:r>
    </w:p>
    <w:p>
      <w:pPr>
        <w:pStyle w:val="TextBody"/>
        <w:bidi w:val="0"/>
        <w:spacing w:lineRule="auto" w:line="240" w:before="0" w:after="240"/>
        <w:ind w:left="0" w:right="0" w:firstLine="2160"/>
        <w:jc w:val="both"/>
        <w:rPr/>
      </w:pPr>
      <w:r>
        <w:rPr>
          <w:rFonts w:ascii="Times New Roman;serif" w:hAnsi="Times New Roman;serif"/>
          <w:b w:val="false"/>
          <w:color w:val="010000"/>
          <w:sz w:val="22"/>
        </w:rPr>
        <w:t>(xx)</w:t>
      </w:r>
      <w:r>
        <w:rPr>
          <w:rFonts w:ascii="Times New Roman;serif" w:hAnsi="Times New Roman;serif"/>
          <w:b w:val="false"/>
          <w:color w:val="000000"/>
          <w:sz w:val="22"/>
        </w:rPr>
        <w:t>the non-exclusive licensing or non-exclusive sublicensing of any Intellectual Property Rights and intercompany licenses or grants of rights of distribution, co-promotion or similar commercial rights, in each case, in the ordinary course of business and consistent with industry practice and, in each case, which does not materially interfere with the ordinary conduct of the business of Borrower or any of its Subsidiaries;</w:t>
      </w:r>
    </w:p>
    <w:p>
      <w:pPr>
        <w:pStyle w:val="TextBody"/>
        <w:bidi w:val="0"/>
        <w:spacing w:lineRule="auto" w:line="240" w:before="0" w:after="240"/>
        <w:ind w:left="0" w:right="0" w:firstLine="2160"/>
        <w:jc w:val="both"/>
        <w:rPr/>
      </w:pPr>
      <w:r>
        <w:rPr>
          <w:rFonts w:ascii="Times New Roman;serif" w:hAnsi="Times New Roman;serif"/>
          <w:b w:val="false"/>
          <w:color w:val="010000"/>
          <w:sz w:val="22"/>
        </w:rPr>
        <w:t>(xxi)</w:t>
      </w:r>
      <w:r>
        <w:rPr>
          <w:rFonts w:ascii="Times New Roman;serif" w:hAnsi="Times New Roman;serif"/>
          <w:b w:val="false"/>
          <w:color w:val="000000"/>
          <w:sz w:val="22"/>
        </w:rPr>
        <w:t xml:space="preserve">the Sarepta Transactions; </w:t>
      </w:r>
    </w:p>
    <w:p>
      <w:pPr>
        <w:pStyle w:val="TextBody"/>
        <w:bidi w:val="0"/>
        <w:spacing w:lineRule="auto" w:line="240" w:before="0" w:after="240"/>
        <w:ind w:left="0" w:right="0" w:firstLine="2160"/>
        <w:jc w:val="both"/>
        <w:rPr/>
      </w:pPr>
      <w:r>
        <w:rPr>
          <w:rFonts w:ascii="Times New Roman;serif" w:hAnsi="Times New Roman;serif"/>
          <w:b w:val="false"/>
          <w:color w:val="010000"/>
          <w:sz w:val="22"/>
        </w:rPr>
        <w:t>(xxii)</w:t>
      </w:r>
      <w:r>
        <w:rPr>
          <w:rFonts w:ascii="Times New Roman;serif" w:hAnsi="Times New Roman;serif"/>
          <w:b w:val="false"/>
          <w:color w:val="000000"/>
          <w:sz w:val="22"/>
        </w:rPr>
        <w:t>the lease, assignment or sublease of any real or personal property (other than any Product, Intellectual Property Rights or dispositions described in clause (e) of the definition of Asset Sale) in the ordinary course of business which do not materially interfere with the ordinary conduct of the business of Borrower or any of its Subsidiaries; and</w:t>
      </w:r>
    </w:p>
    <w:p>
      <w:pPr>
        <w:pStyle w:val="TextBody"/>
        <w:bidi w:val="0"/>
        <w:spacing w:lineRule="auto" w:line="240" w:before="0" w:after="240"/>
        <w:ind w:left="0" w:right="0" w:firstLine="2160"/>
        <w:jc w:val="both"/>
        <w:rPr/>
      </w:pPr>
      <w:r>
        <w:rPr>
          <w:rFonts w:ascii="Times New Roman;serif" w:hAnsi="Times New Roman;serif"/>
          <w:b w:val="false"/>
          <w:color w:val="010000"/>
          <w:sz w:val="22"/>
        </w:rPr>
        <w:t>(xxiii)</w:t>
      </w:r>
      <w:r>
        <w:rPr>
          <w:rFonts w:ascii="Times New Roman;serif" w:hAnsi="Times New Roman;serif"/>
          <w:b w:val="false"/>
          <w:color w:val="000000"/>
          <w:sz w:val="22"/>
        </w:rPr>
        <w:t>involuntary loss, damage or description of property or any involuntary condemnation, seizure or taking, by exercise of the power of eminent domain or otherwise, or confiscation or requisition of use of property.</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6.10</w:t>
      </w:r>
      <w:r>
        <w:rPr>
          <w:rFonts w:ascii="Times New Roman;serif" w:hAnsi="Times New Roman;serif"/>
          <w:b w:val="false"/>
          <w:color w:val="000000"/>
          <w:sz w:val="22"/>
          <w:u w:val="single"/>
        </w:rPr>
        <w:t>Disposal of Subsidiary Interests</w:t>
      </w:r>
      <w:r>
        <w:rPr>
          <w:rFonts w:ascii="Times New Roman;serif" w:hAnsi="Times New Roman;serif"/>
          <w:b w:val="false"/>
          <w:color w:val="000000"/>
          <w:sz w:val="22"/>
        </w:rPr>
        <w:t xml:space="preserve">. Except for any sale of its interests in the Capital Stock of any of its Subsidiaries in compliance with the provisions of </w:t>
      </w:r>
      <w:r>
        <w:rPr>
          <w:rFonts w:ascii="Times New Roman;serif" w:hAnsi="Times New Roman;serif"/>
          <w:b w:val="false"/>
          <w:color w:val="000000"/>
          <w:sz w:val="22"/>
          <w:u w:val="single"/>
        </w:rPr>
        <w:t xml:space="preserve">Section 6.9 </w:t>
      </w:r>
      <w:r>
        <w:rPr>
          <w:rFonts w:ascii="Times New Roman;serif" w:hAnsi="Times New Roman;serif"/>
          <w:b w:val="false"/>
          <w:color w:val="000000"/>
          <w:sz w:val="22"/>
        </w:rPr>
        <w:t>or with respect to Permitted Liens, no Loan Party shall, nor shall it permit any of Borrower’s Subsidiaries to, in each case solely with respect to the interests of or in Loan Party, (a) directly or indirectly sell, assign, pledge or otherwise encumber or dispose of any Capital Stock of any of its Subsidiaries, except to qualify directors if required by applicable law; or (b) permit any of its Subsidiaries directly or indirectly to sell, assign, pledge or otherwise encumber or dispose of any Capital Stock of any of its Subsidiaries, except to another Loan Party (subject to the restrictions on such disposition otherwise imposed hereunder), or to qualify directors if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6.11</w:t>
      </w:r>
      <w:r>
        <w:rPr>
          <w:rFonts w:ascii="Times New Roman;serif" w:hAnsi="Times New Roman;serif"/>
          <w:b w:val="false"/>
          <w:color w:val="000000"/>
          <w:sz w:val="22"/>
          <w:u w:val="single"/>
        </w:rPr>
        <w:t>Sales and Lease Backs</w:t>
      </w:r>
      <w:r>
        <w:rPr>
          <w:rFonts w:ascii="Times New Roman;serif" w:hAnsi="Times New Roman;serif"/>
          <w:b w:val="false"/>
          <w:color w:val="000000"/>
          <w:sz w:val="22"/>
        </w:rPr>
        <w:t xml:space="preserve">. No Loan Party shall, nor shall it permit any of Borrower’s Subsidiaries to, directly or indirectly, become or remain liable as lessee or as a guarantor or other surety with respect to any lease of any property (whether real, personal or mixed), whether now owned or hereafter acquired, which such Loan Party (a) has sold or transferred or is to sell or to transfer to any other Person (other than Borrower or any of its Subsidiaries) or (b) intends to use for substantially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28650"/>
                <wp:effectExtent l="0" t="0" r="0" b="0"/>
                <wp:wrapNone/>
                <wp:docPr id="175" name="Frame17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same purpose as any other property which has been or is to be sold or transferred by such Loan Party to any Person (other than Borrower or any of its Subsidiaries) in connection with such lease.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6.12</w:t>
      </w:r>
      <w:r>
        <w:rPr>
          <w:rFonts w:ascii="Times New Roman;serif" w:hAnsi="Times New Roman;serif"/>
          <w:b w:val="false"/>
          <w:color w:val="000000"/>
          <w:sz w:val="22"/>
          <w:u w:val="single"/>
        </w:rPr>
        <w:t>Transactions with Shareholders and Affiliates</w:t>
      </w:r>
      <w:r>
        <w:rPr>
          <w:rFonts w:ascii="Times New Roman;serif" w:hAnsi="Times New Roman;serif"/>
          <w:b w:val="false"/>
          <w:color w:val="000000"/>
          <w:sz w:val="22"/>
        </w:rPr>
        <w:t xml:space="preserve">. No Loan Party shall, nor shall it permit any of Borrower’s Subsidiaries to, directly or indirectly, enter into or permit to exist any transaction (including the purchase, sale, lease or exchange of any property or the rendering of any service) with any direct or indirect holder of [**]% or more of any class of Capital Stock of Borrower or any of its Subsidiaries or, or series of related transactions, with any Affiliate of Borrower or of any such holder with a value in excess of $[**];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Loan Parties and Borrower’s Subsidiaries may enter into or permit to exist any such transaction if Administrative Agent has consented thereto in writing prior to the consummation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foregoing restrictions shall not apply to any of the following:</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any transaction among the Borrower and its Subsidiaries that are not expressly prohibited hereunder; </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reasonable and customary fees paid to current or former members of the Board of Directors (or similar governing body) of Borrower and its Subsidiaries;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compensation arrangements for current and former officers, directors, employees and consultants of Borrower and its Subsidiaries entered into in the ordinary course of business; </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transactions (or series of related transactions) that have a value not in excess of $[**] in the aggregate during the term of this Agreement and that are, in the case of each such transaction (or series of related transactions), on terms that are not less favorable to the Borrower or a Subsidiary in any material respect than would be obtainable by the Borrower or such Subsidiary at such time in a comparable arm’s-length transaction with a Person other than an Affiliate (as determined in good faith by the senior management or the board of directors of the Borrower); provided that, to the extent such transaction pursuant to this clause (d) has a value equal to or in excess of $[**], such transaction must be approved by the independent board of directors of the Borrower; </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any such transaction if Administrative Agent has consented thereto in writing prior to the consummation in its reasonable discretion;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transactions pursuant to the Visirna JV Documents; provided that, they do not adversely affect (except in an immaterial amount) the Royalties required to be paid to the Borrower under the Visirna License Agreement as of the Closing Date;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transactions described in </w:t>
      </w:r>
      <w:r>
        <w:rPr>
          <w:rFonts w:ascii="Times New Roman;serif" w:hAnsi="Times New Roman;serif"/>
          <w:b w:val="false"/>
          <w:color w:val="000000"/>
          <w:sz w:val="22"/>
          <w:u w:val="single"/>
        </w:rPr>
        <w:t>Schedule 6.12</w:t>
      </w:r>
      <w:r>
        <w:rPr>
          <w:color w:val="000000"/>
        </w:rPr>
        <w:t xml:space="preserve"> </w:t>
      </w:r>
      <w:r>
        <w:rPr>
          <w:rFonts w:ascii="Times New Roman;serif" w:hAnsi="Times New Roman;serif"/>
          <w:b w:val="false"/>
          <w:color w:val="000000"/>
          <w:sz w:val="22"/>
        </w:rPr>
        <w:t>(including without limitation, any intercompany licenses or other arrangements existing on the Closing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6.13</w:t>
      </w:r>
      <w:r>
        <w:rPr>
          <w:rFonts w:ascii="Times New Roman;serif" w:hAnsi="Times New Roman;serif"/>
          <w:b w:val="false"/>
          <w:color w:val="000000"/>
          <w:sz w:val="22"/>
          <w:u w:val="single"/>
        </w:rPr>
        <w:t>Conduct of Business</w:t>
      </w:r>
      <w:r>
        <w:rPr>
          <w:rFonts w:ascii="Times New Roman;serif" w:hAnsi="Times New Roman;serif"/>
          <w:b w:val="false"/>
          <w:color w:val="000000"/>
          <w:sz w:val="22"/>
        </w:rPr>
        <w:t>. From and after the Closing Date, no Loan Party shall, nor shall it permit any of its Subsidiaries to, engage in any material line of business other than the businesses engaged in by such Loan Party or its Subsidiaries on the Closing Date or any business reasonably related, complementary, incidental, ancillary thereto or any reasonable extensions thereto.</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6.14</w:t>
      </w:r>
      <w:r>
        <w:rPr>
          <w:rFonts w:ascii="Times New Roman;serif" w:hAnsi="Times New Roman;serif"/>
          <w:b w:val="false"/>
          <w:color w:val="000000"/>
          <w:sz w:val="22"/>
          <w:u w:val="single"/>
        </w:rPr>
        <w:t>Changes to Certain Agreements and Organizational Documents</w:t>
      </w:r>
      <w:r>
        <w:rPr>
          <w:rFonts w:ascii="Times New Roman;serif" w:hAnsi="Times New Roman;serif"/>
          <w:b w:val="false"/>
          <w:color w:val="000000"/>
          <w:sz w:val="22"/>
        </w:rPr>
        <w:t>. No Loan Party shall (i) amend or permit any amendments to any Loan Party’s Organizational Documents in a manner that is materially adverse to the Lenders in their capacities as such, including, without limitation, any amendment, modification or change to any of Loan Party’s Organizational Documents to effect a division or plan of division pursuant to Section 18-217 of the Delaware Limited Liability Company Act (or any similar statute or provision under applicable law); (ii) amend or otherwise modify any provision of any Permitted Convertible Indebtedness if such amendment or change would be materially adverse to Administrative Agent or the Lenders; or (iii) amend or permit any amendments to, or terminate or waive any provision of, any Material Contract, if such amendment, termination, or waiver would be materially adverse to Administrative Agent or the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628650"/>
                <wp:effectExtent l="0" t="0" r="0" b="0"/>
                <wp:wrapNone/>
                <wp:docPr id="176" name="Frame17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6.15</w:t>
      </w:r>
      <w:r>
        <w:rPr>
          <w:rFonts w:ascii="Times New Roman;serif" w:hAnsi="Times New Roman;serif"/>
          <w:b w:val="false"/>
          <w:color w:val="000000"/>
          <w:sz w:val="22"/>
          <w:u w:val="single"/>
        </w:rPr>
        <w:t>Accounting Methods</w:t>
      </w:r>
      <w:r>
        <w:rPr>
          <w:rFonts w:ascii="Times New Roman;serif" w:hAnsi="Times New Roman;serif"/>
          <w:b w:val="false"/>
          <w:color w:val="000000"/>
          <w:sz w:val="22"/>
        </w:rPr>
        <w:t>. The Loan Parties will not and will not permit any of their Subsidiaries to modify or change its fiscal year or its method of accounting (other than as may be required to conform to GAAP).</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6.16</w:t>
      </w:r>
      <w:r>
        <w:rPr>
          <w:rFonts w:ascii="Times New Roman;serif" w:hAnsi="Times New Roman;serif"/>
          <w:b w:val="false"/>
          <w:color w:val="000000"/>
          <w:sz w:val="22"/>
          <w:u w:val="single"/>
        </w:rPr>
        <w:t>Deposit Accounts and Securities Accounts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and except for Excluded Accounts, no Loan Party shall establish or maintain a Deposit Account or a Securities Account that is not subject to a Control Agreement (or, with respect to any Deposit Accounts or Securities Accounts not maintained in the United States, a perfected first priority Lien under the laws of the applicable jurisdiction and subject to the Agreed Securities Principles) subject to non-consensual Permitted Liens described in clauses (u) and (v) of the definition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6.17</w:t>
      </w:r>
      <w:r>
        <w:rPr>
          <w:rFonts w:ascii="Times New Roman;serif" w:hAnsi="Times New Roman;serif"/>
          <w:b w:val="false"/>
          <w:color w:val="000000"/>
          <w:sz w:val="22"/>
          <w:u w:val="single"/>
        </w:rPr>
        <w:t>Anti-Terrorism Laws</w:t>
      </w:r>
      <w:r>
        <w:rPr>
          <w:rFonts w:ascii="Times New Roman;serif" w:hAnsi="Times New Roman;serif"/>
          <w:b w:val="false"/>
          <w:color w:val="000000"/>
          <w:sz w:val="22"/>
        </w:rPr>
        <w:t>. None of the Loan Parties, nor any of their Affiliates or agents shall:</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conduct any business or engage in any transaction or dealing with any Blocked Person, including the making or receiving any contribution of funds, goods or services to or for the benefit of any Blocked Person,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deal in, or otherwise engage in any transaction relating to, any property or interests in property blocked pursuant to the OFAC Sanctions Programs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engage in or conspire to engage in any transaction that evades or avoids, or has the purpose of evading or avoiding, or attempts to violate, any of the prohibitions set forth in the OFAC Sanctions Programs, the USA PATRIOT Act or any other Anti-Terrorism Law.</w:t>
      </w:r>
    </w:p>
    <w:p>
      <w:pPr>
        <w:pStyle w:val="TextBody"/>
        <w:bidi w:val="0"/>
        <w:spacing w:lineRule="auto" w:line="288" w:before="0" w:after="240"/>
        <w:jc w:val="both"/>
        <w:rPr/>
      </w:pPr>
      <w:r>
        <w:rPr>
          <w:rFonts w:ascii="Times New Roman;serif" w:hAnsi="Times New Roman;serif"/>
          <w:b w:val="false"/>
          <w:color w:val="000000"/>
          <w:sz w:val="22"/>
        </w:rPr>
        <w:t xml:space="preserve">Borrower shall deliver to the Lenders any certification or other evidence requested from time to time by any Lender in its reasonable discretion, confirming Borrower’s compliance with this </w:t>
      </w:r>
      <w:r>
        <w:rPr>
          <w:rFonts w:ascii="Times New Roman;serif" w:hAnsi="Times New Roman;serif"/>
          <w:b w:val="false"/>
          <w:color w:val="000000"/>
          <w:sz w:val="22"/>
          <w:u w:val="single"/>
        </w:rPr>
        <w:t>Section 6.18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6.18</w:t>
      </w:r>
      <w:r>
        <w:rPr>
          <w:rFonts w:ascii="Times New Roman;serif" w:hAnsi="Times New Roman;serif"/>
          <w:b w:val="false"/>
          <w:color w:val="000000"/>
          <w:sz w:val="22"/>
          <w:u w:val="single"/>
        </w:rPr>
        <w:t>Anti-Corruption Laws</w:t>
      </w:r>
      <w:r>
        <w:rPr>
          <w:rFonts w:ascii="Times New Roman;serif" w:hAnsi="Times New Roman;serif"/>
          <w:b w:val="false"/>
          <w:color w:val="000000"/>
          <w:sz w:val="22"/>
        </w:rPr>
        <w:t>. No Loan Party shall use, or permit any of its Subsidiaries to use, directly or indirectly, any of the proceeds of any Loan for the purpose of an offer, payment, promise to pay, or authorization of the payment or giving of money, or anything else of value, to any Person in violation of any Anti-Corruption Law.</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6.19</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The Loan Parties will not and will not permit any of their Subsidiaries to use the proceeds of any Loan to directly, or to any Loan Party’s knowledge after due care and inquiry,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no part of the proceeds of any Loan will be used directly or, to any Loan Party’s knowledge after due care and inquiry, indirectly in furtherance of an offer, payment, promise to pay, or authorization of the payment or giving of money, or anything else of value, to any Person in violation of any Sanctions, Anti-Corruption Laws or Anti-Terrorism Laws.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6.20</w:t>
      </w:r>
      <w:r>
        <w:rPr>
          <w:rFonts w:ascii="Times New Roman;serif" w:hAnsi="Times New Roman;serif"/>
          <w:b w:val="false"/>
          <w:color w:val="000000"/>
          <w:sz w:val="22"/>
          <w:u w:val="single"/>
        </w:rPr>
        <w:t>Termination of Any Material Contract; Amendment of Any Outbound License Agreement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Borrower shall not, and shall cause its Subsidiaries not to, (i) without the prior written consent of the Administrative Agent (such consent not to be unreasoanbly witheld, conditioned or delayed), exercise any termination right granted thereunder to terminate any Material Contract in its entirety or otherwise agree with the applicable counterparty thereto to terminate any Material Contract in its entirety, or (ii) exercise any termination right granted thereunder to terminate any Material Contract in part or otherwise agree with the applicable counterparty thereto to terminate any Material Contract in part; provided however that, in each case ((i) and (ii)), Borrower entering into any agreement that includes provisions (A) permitting termination for convenience of a Material Contract or (B) acknowledging that a counterparty to a Material Contract has terminated for convenience such Material Contract,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628650"/>
                <wp:effectExtent l="0" t="0" r="0" b="0"/>
                <wp:wrapNone/>
                <wp:docPr id="177" name="Frame17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 and (B)) are not a breach of this Section 6.20 or an instance of Borrower “agreeing” to terminate a Material Contract.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Borrower shall not, and shall cause its Subsidiaries not to, without the prior written consent of the Administrative Agent (such consent not to be unreasonably withheld, conditioned or delayed), take any action with respect to any Outbound License Agreement which would reasonably be expected to have a material adverse effect on the amount, timing or duration of any Royalties, Milestones, Profit Share Amounts or Joint Venture Proceeds payable to the Borrower under such Outbound License Agreement.</w:t>
      </w:r>
    </w:p>
    <w:p>
      <w:pPr>
        <w:pStyle w:val="TextBody"/>
        <w:bidi w:val="0"/>
        <w:spacing w:lineRule="auto" w:line="240" w:before="0" w:after="240"/>
        <w:jc w:val="center"/>
        <w:rPr/>
      </w:pPr>
      <w:r>
        <w:rPr>
          <w:rFonts w:ascii="Times New Roman;serif" w:hAnsi="Times New Roman;serif"/>
          <w:b w:val="false"/>
          <w:color w:val="010000"/>
          <w:sz w:val="22"/>
        </w:rPr>
        <w:t>Article VII</w:t>
      </w:r>
      <w:r>
        <w:rPr>
          <w:rFonts w:ascii="Times New Roman;serif" w:hAnsi="Times New Roman;serif"/>
          <w:b w:val="false"/>
          <w:color w:val="000000"/>
          <w:sz w:val="22"/>
        </w:rPr>
        <w:br/>
        <w:br/>
        <w:t>GUARANTY</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7.1</w:t>
      </w:r>
      <w:r>
        <w:rPr>
          <w:rFonts w:ascii="Times New Roman;serif" w:hAnsi="Times New Roman;serif"/>
          <w:b w:val="false"/>
          <w:color w:val="000000"/>
          <w:sz w:val="22"/>
          <w:u w:val="single"/>
        </w:rPr>
        <w:t>Guaranty of the Obligations</w:t>
      </w:r>
      <w:r>
        <w:rPr>
          <w:rFonts w:ascii="Times New Roman;serif" w:hAnsi="Times New Roman;serif"/>
          <w:b w:val="false"/>
          <w:color w:val="000000"/>
          <w:sz w:val="22"/>
        </w:rPr>
        <w:t xml:space="preserve">. Subject to the provisions of </w:t>
      </w:r>
      <w:r>
        <w:rPr>
          <w:rFonts w:ascii="Times New Roman;serif" w:hAnsi="Times New Roman;serif"/>
          <w:b w:val="false"/>
          <w:color w:val="000000"/>
          <w:sz w:val="22"/>
          <w:u w:val="single"/>
        </w:rPr>
        <w:t>Section 7.2</w:t>
      </w:r>
      <w:r>
        <w:rPr>
          <w:rFonts w:ascii="Times New Roman;serif" w:hAnsi="Times New Roman;serif"/>
          <w:b w:val="false"/>
          <w:color w:val="000000"/>
          <w:sz w:val="22"/>
        </w:rPr>
        <w:t>, Guarantors jointly and severally hereby irrevocably and unconditionally guaranty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serif" w:hAnsi="Times New Roman;serif"/>
          <w:b w:val="false"/>
          <w:color w:val="000000"/>
          <w:sz w:val="22"/>
          <w:u w:val="single"/>
        </w:rPr>
        <w:t>Guaranteed Obligations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7.2</w:t>
      </w:r>
      <w:r>
        <w:rPr>
          <w:rFonts w:ascii="Times New Roman;serif" w:hAnsi="Times New Roman;serif"/>
          <w:b w:val="false"/>
          <w:color w:val="000000"/>
          <w:sz w:val="22"/>
          <w:u w:val="single"/>
        </w:rPr>
        <w:t>Contribution by Guarantors</w:t>
      </w:r>
      <w:r>
        <w:rPr>
          <w:rFonts w:ascii="Times New Roman;serif" w:hAnsi="Times New Roman;serif"/>
          <w:b w:val="false"/>
          <w:color w:val="000000"/>
          <w:sz w:val="22"/>
        </w:rPr>
        <w:t>.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serif" w:hAnsi="Times New Roman;serif"/>
          <w:b w:val="false"/>
          <w:color w:val="000000"/>
          <w:sz w:val="22"/>
          <w:u w:val="single"/>
        </w:rPr>
        <w:t>Fair Share</w:t>
      </w:r>
      <w:r>
        <w:rPr>
          <w:color w:val="000000"/>
        </w:rPr>
        <w:t xml:space="preserve">” </w:t>
      </w:r>
      <w:r>
        <w:rPr>
          <w:rFonts w:ascii="Times New Roman;serif" w:hAnsi="Times New Roman;serif"/>
          <w:b w:val="false"/>
          <w:color w:val="000000"/>
          <w:sz w:val="22"/>
        </w:rPr>
        <w:t>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obligations Guaranteed. “</w:t>
      </w:r>
      <w:r>
        <w:rPr>
          <w:rFonts w:ascii="Times New Roman;serif" w:hAnsi="Times New Roman;serif"/>
          <w:b w:val="false"/>
          <w:color w:val="000000"/>
          <w:sz w:val="22"/>
          <w:u w:val="single"/>
        </w:rPr>
        <w:t>Fair Share Contribution Amount</w:t>
      </w:r>
      <w:r>
        <w:rPr>
          <w:color w:val="000000"/>
        </w:rPr>
        <w:t xml:space="preserve">” </w:t>
      </w:r>
      <w:r>
        <w:rPr>
          <w:rFonts w:ascii="Times New Roman;serif" w:hAnsi="Times New Roman;serif"/>
          <w:b w:val="false"/>
          <w:color w:val="000000"/>
          <w:sz w:val="22"/>
        </w:rPr>
        <w:t xml:space="preserve">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Times New Roman;serif" w:hAnsi="Times New Roman;serif"/>
          <w:b w:val="false"/>
          <w:color w:val="000000"/>
          <w:sz w:val="22"/>
          <w:u w:val="single"/>
        </w:rPr>
        <w:t>provided</w:t>
      </w:r>
      <w:r>
        <w:rPr>
          <w:rFonts w:ascii="Times New Roman;serif" w:hAnsi="Times New Roman;serif"/>
          <w:b w:val="false"/>
          <w:color w:val="000000"/>
          <w:sz w:val="22"/>
        </w:rPr>
        <w:t>, solely for purposes of calculating the “</w:t>
      </w:r>
      <w:r>
        <w:rPr>
          <w:rFonts w:ascii="Times New Roman;serif" w:hAnsi="Times New Roman;serif"/>
          <w:b w:val="false"/>
          <w:color w:val="000000"/>
          <w:sz w:val="22"/>
          <w:u w:val="single"/>
        </w:rPr>
        <w:t>Fair Share Contribution Amount</w:t>
      </w:r>
      <w:r>
        <w:rPr>
          <w:color w:val="000000"/>
        </w:rPr>
        <w:t xml:space="preserve">” </w:t>
      </w:r>
      <w:r>
        <w:rPr>
          <w:rFonts w:ascii="Times New Roman;serif" w:hAnsi="Times New Roman;serif"/>
          <w:b w:val="false"/>
          <w:color w:val="000000"/>
          <w:sz w:val="22"/>
        </w:rPr>
        <w:t xml:space="preserve">with respect to any Guarantor for purposes of this </w:t>
      </w:r>
      <w:r>
        <w:rPr>
          <w:rFonts w:ascii="Times New Roman;serif" w:hAnsi="Times New Roman;serif"/>
          <w:b w:val="false"/>
          <w:color w:val="000000"/>
          <w:sz w:val="22"/>
          <w:u w:val="single"/>
        </w:rPr>
        <w:t>Section 7.2</w:t>
      </w:r>
      <w:r>
        <w:rPr>
          <w:rFonts w:ascii="Times New Roman;serif" w:hAnsi="Times New Roman;serif"/>
          <w:b w:val="false"/>
          <w:color w:val="000000"/>
          <w:sz w:val="22"/>
        </w:rPr>
        <w:t>,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serif" w:hAnsi="Times New Roman;serif"/>
          <w:b w:val="false"/>
          <w:color w:val="000000"/>
          <w:sz w:val="22"/>
          <w:u w:val="single"/>
        </w:rPr>
        <w:t>Aggregate Payments</w:t>
      </w:r>
      <w:r>
        <w:rPr>
          <w:color w:val="000000"/>
        </w:rPr>
        <w:t xml:space="preserve">” </w:t>
      </w:r>
      <w:r>
        <w:rPr>
          <w:rFonts w:ascii="Times New Roman;serif" w:hAnsi="Times New Roman;serif"/>
          <w:b w:val="false"/>
          <w:color w:val="000000"/>
          <w:sz w:val="22"/>
        </w:rPr>
        <w:t xml:space="preserve">means, with respect to any Guarantor as of any date of determination, an amount equal to (A) the aggregate amount of all payments and distributions made on or before such date by such Guarantor in respect of this Guaranty (including, without limitation, in respect of this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aggregate amount of all payments received on or before such date by such Guarantor from the other Guarantors as contributions under this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The amounts payable as contributions hereunder shall be determined as of the date on which the related payment or distribution is made by the applicable Guarantor. The allocation among Guarantors of their obligations as set forth in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shall not be construed in any way to limit the liability of any Guarantor hereunder. Each Guarantor is a third party beneficiary to the contribution agreement set forth in this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7.3</w:t>
      </w:r>
      <w:r>
        <w:rPr>
          <w:rFonts w:ascii="Times New Roman;serif" w:hAnsi="Times New Roman;serif"/>
          <w:b w:val="false"/>
          <w:color w:val="000000"/>
          <w:sz w:val="22"/>
          <w:u w:val="single"/>
        </w:rPr>
        <w:t>Payment by Guarantors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Guarantors hereby jointly and severally agree, in furtherance of the foregoing and not in limitation of any other right which any Beneficiary may have at law or in equity against any Guarantor by virtue hereof, that upon the failure of Company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628650"/>
                <wp:effectExtent l="0" t="0" r="0" b="0"/>
                <wp:wrapNone/>
                <wp:docPr id="178" name="Frame17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such Guaranteed Obligations (including interest which, but for Company’s becoming the subject of a case under the Bankruptcy Code, would have accrued on such Guaranteed Obligations, whether or not a claim is allowed against Company for such interest in the related bankruptcy case) and all other Guaranteed Obligations then owed to Beneficiaries as aforesaid.</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7.4</w:t>
      </w:r>
      <w:r>
        <w:rPr>
          <w:rFonts w:ascii="Times New Roman;serif" w:hAnsi="Times New Roman;serif"/>
          <w:b w:val="false"/>
          <w:color w:val="000000"/>
          <w:sz w:val="22"/>
          <w:u w:val="single"/>
        </w:rPr>
        <w:t>Liability of Guarantors Absolute</w:t>
      </w:r>
      <w:r>
        <w:rPr>
          <w:rFonts w:ascii="Times New Roman;serif" w:hAnsi="Times New Roman;serif"/>
          <w:b w:val="false"/>
          <w:color w:val="000000"/>
          <w:sz w:val="22"/>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this Guaranty is a guaranty of payment when due and not of collectability. This Guaranty is a primary obligation of each Guarantor and not merely a contract of surety;</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Administrative Agent may enforce this Guaranty upon the occurrence of an Event of Default notwithstanding the existence of any dispute between Company and any Beneficiary with respect to the existence of such Event of Default;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the obligations of each Guarantor hereunder are independent of the obligations of Company and the obligations of any other guarantor (including any other Guarantor) of the obligations of Company, and a separate action or actions may be brought and prosecuted against such Guarantor whether or not any action is brought against Company or any of such other guarantors and whether or not Company is joined in any such action or actions;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solely with respect to the applicable Guarantor (and without limiting the Borrower’s rights hereunder), 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Company or any security for the Guaranteed Obligations; and (vi) exercise any other rights available to it under the Loan Documents;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this Guaranty and the obligations of Guarantors hereunder shall be valid and enforceable and shall not be subject to any reduction, limitation, impairment, discharge or termination for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628650"/>
                <wp:effectExtent l="0" t="0" r="0" b="0"/>
                <wp:wrapNone/>
                <wp:docPr id="179" name="Frame17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reason (other than payment in full in cash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Borrower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Company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7.5</w:t>
      </w:r>
      <w:r>
        <w:rPr>
          <w:rFonts w:ascii="Times New Roman;serif" w:hAnsi="Times New Roman;serif"/>
          <w:b w:val="false"/>
          <w:color w:val="000000"/>
          <w:sz w:val="22"/>
          <w:u w:val="single"/>
        </w:rPr>
        <w:t>Waivers by Guarantors</w:t>
      </w:r>
      <w:r>
        <w:rPr>
          <w:rFonts w:ascii="Times New Roman;serif" w:hAnsi="Times New Roman;serif"/>
          <w:b w:val="false"/>
          <w:color w:val="000000"/>
          <w:sz w:val="22"/>
        </w:rPr>
        <w:t xml:space="preserve">. Each Guarantor hereby waives, for the benefit of Beneficiaries: (a) any right to require any Beneficiary, as a condition of payment or performance by such Guarantor, to (i) proceed against Company, any other guarantor (including any other Guarantor) of the Guaranteed Obligations or any other Person, (ii) proceed against or exhaust any security held from Company, any such other guarantor or any other Person, (iii) proceed against or have resort to any balance of any Deposit Account or credit on the books of any Beneficiary in favor of Company or any other Person, or (iv) pursue any other remedy in the power of any Beneficiary whatsoever; (b) any defense arising by reason of the incapacity, lack of authority or any disability or other defense of Company or any other Guarantor including any defense based on or arising out of the lack of validity or the unenforceability of the Guaranteed Obligations or any agreement or instrument relating thereto or by reason of the cessation of the liability of Company or any other Guarantor from any cause other than payment in full in cash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Company and notices of any of the matters referred to in </w:t>
      </w:r>
      <w:r>
        <w:rPr>
          <w:rFonts w:ascii="Times New Roman;serif" w:hAnsi="Times New Roman;serif"/>
          <w:b w:val="false"/>
          <w:color w:val="000000"/>
          <w:sz w:val="22"/>
          <w:u w:val="single"/>
        </w:rPr>
        <w:t>Section 7.4</w:t>
      </w:r>
      <w:r>
        <w:rPr>
          <w:color w:val="000000"/>
        </w:rPr>
        <w:t xml:space="preserve"> </w:t>
      </w:r>
      <w:r>
        <w:rPr>
          <w:rFonts w:ascii="Times New Roman;serif" w:hAnsi="Times New Roman;serif"/>
          <w:b w:val="false"/>
          <w:color w:val="000000"/>
          <w:sz w:val="22"/>
        </w:rPr>
        <w:t>and any right to consent to any thereof; and (g) any defenses or benefits that may be derived from or afforded by law which limit the liability of or exonerate guarantors or sureties, or which may conflict with the terms 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7.6</w:t>
      </w:r>
      <w:r>
        <w:rPr>
          <w:rFonts w:ascii="Times New Roman;serif" w:hAnsi="Times New Roman;serif"/>
          <w:b w:val="false"/>
          <w:color w:val="000000"/>
          <w:sz w:val="22"/>
          <w:u w:val="single"/>
        </w:rPr>
        <w:t>Guarantors’ Rights of Subrogation, Contribution, Etc.</w:t>
      </w:r>
      <w:r>
        <w:rPr>
          <w:color w:val="000000"/>
        </w:rPr>
        <w:t xml:space="preserve"> </w:t>
      </w:r>
      <w:r>
        <w:rPr>
          <w:rFonts w:ascii="Times New Roman;serif" w:hAnsi="Times New Roman;serif"/>
          <w:b w:val="false"/>
          <w:color w:val="000000"/>
          <w:sz w:val="22"/>
        </w:rPr>
        <w:t xml:space="preserve">Until the Guaranteed Obligations shall have been indefeasibly paid in cash in full and the Delayed Draw Term Loan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628650"/>
                <wp:effectExtent l="0" t="0" r="0" b="0"/>
                <wp:wrapNone/>
                <wp:docPr id="180" name="Frame17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Commitments have been terminated, each Guarantor hereby waives any claim, right or remedy, direct or indirect, that such Guarantor now has or may hereafter have against Company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Company with respect to the Guaranteed Obligations, (b) any right to enforce, or to participate in, any claim, right or remedy that any Beneficiary now has or may hereafter have against Company, and (c) any benefit of, and any right to participate in, any collateral or security now or hereafter held by any Beneficiary. In addition, until the Guaranteed Obligations shall have been indefeasibly paid in full and the Delayed Draw Term Loan Commitments have been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serif" w:hAnsi="Times New Roman;serif"/>
          <w:b w:val="false"/>
          <w:color w:val="000000"/>
          <w:sz w:val="22"/>
          <w:u w:val="single"/>
        </w:rPr>
        <w:t>Section 7.2</w:t>
      </w:r>
      <w:r>
        <w:rPr>
          <w:rFonts w:ascii="Times New Roman;serif" w:hAnsi="Times New Roman;serif"/>
          <w:b w:val="false"/>
          <w:color w:val="000000"/>
          <w:sz w:val="22"/>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Company or against any collateral or security, and any rights of contribution such Guarantor may have against any such other guarantor, shall be junior and subordinate to any rights any Beneficiary may have against Company,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7.7</w:t>
      </w:r>
      <w:r>
        <w:rPr>
          <w:rFonts w:ascii="Times New Roman;serif" w:hAnsi="Times New Roman;serif"/>
          <w:b w:val="false"/>
          <w:color w:val="000000"/>
          <w:sz w:val="22"/>
          <w:u w:val="single"/>
        </w:rPr>
        <w:t>Subordination of Other Obligations</w:t>
      </w:r>
      <w:r>
        <w:rPr>
          <w:rFonts w:ascii="Times New Roman;serif" w:hAnsi="Times New Roman;serif"/>
          <w:b w:val="false"/>
          <w:color w:val="000000"/>
          <w:sz w:val="22"/>
        </w:rPr>
        <w:t>. Any Indebtedness of Company or any Guarantor now or hereafter held by any Guarantor is hereby subordinated in right of payment to the Guaranteed Obligations, and any such indebtedness collected or received by such Guarantor after an Event of Default has occurred and is continuing shall be held in trust for Administrative Agent on behalf of the Beneficiaries shall forthwith be paid over to Administrative Agent for the benefit of Beneficiaries to be credited and applied against the Guaranteed Obligations but without affecting, impairing or limiting in any manner the liability of such Guarantor under any other provision 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7.8</w:t>
      </w:r>
      <w:r>
        <w:rPr>
          <w:rFonts w:ascii="Times New Roman;serif" w:hAnsi="Times New Roman;serif"/>
          <w:b w:val="false"/>
          <w:color w:val="000000"/>
          <w:sz w:val="22"/>
          <w:u w:val="single"/>
        </w:rPr>
        <w:t>Continuing Guaranty</w:t>
      </w:r>
      <w:r>
        <w:rPr>
          <w:rFonts w:ascii="Times New Roman;serif" w:hAnsi="Times New Roman;serif"/>
          <w:b w:val="false"/>
          <w:color w:val="000000"/>
          <w:sz w:val="22"/>
        </w:rPr>
        <w:t>. This Guaranty is a continuing guaranty and shall remain in effect until the Termination Date. Each Guarantor hereby irrevocably waives any right to revoke this Guaranty as to future transactions giving rise to any Guaranteed Obligations.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7.9</w:t>
      </w:r>
      <w:r>
        <w:rPr>
          <w:rFonts w:ascii="Times New Roman;serif" w:hAnsi="Times New Roman;serif"/>
          <w:b w:val="false"/>
          <w:color w:val="000000"/>
          <w:sz w:val="22"/>
          <w:u w:val="single"/>
        </w:rPr>
        <w:t>Authority of Guarantors or Company</w:t>
      </w:r>
      <w:r>
        <w:rPr>
          <w:rFonts w:ascii="Times New Roman;serif" w:hAnsi="Times New Roman;serif"/>
          <w:b w:val="false"/>
          <w:color w:val="000000"/>
          <w:sz w:val="22"/>
        </w:rPr>
        <w:t>. It is not necessary for any Beneficiary to inquire into the capacity or powers of any Guarantor or Company or the officers, directors or agents acting or purporting to act on behalf of any of them.</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7.10</w:t>
      </w:r>
      <w:r>
        <w:rPr>
          <w:rFonts w:ascii="Times New Roman;serif" w:hAnsi="Times New Roman;serif"/>
          <w:b w:val="false"/>
          <w:color w:val="000000"/>
          <w:sz w:val="22"/>
          <w:u w:val="single"/>
        </w:rPr>
        <w:t>Financial Condition of Company</w:t>
      </w:r>
      <w:r>
        <w:rPr>
          <w:rFonts w:ascii="Times New Roman;serif" w:hAnsi="Times New Roman;serif"/>
          <w:b w:val="false"/>
          <w:color w:val="000000"/>
          <w:sz w:val="22"/>
        </w:rPr>
        <w:t>. Any Credit Extension may be made to Company or continued from time to time without notice to or authorization from any Guarantor regardless of the financial or other condition of Company at the time of any such grant or continuation is entered into, as the case may be. No Beneficiary shall have any obligation to disclose or discuss with any Guarantor its assessment, or any Guarantor’s assessment, of the financial condition of Company. Each Guarantor has adequate means to obtain information from Company on a continuing basis concerning the financial condition of Company and its ability to perform its obligations under the Loan Documents, and each Guarantor assumes the responsibility for being and keeping informed of the financial condition of Company and of all circumstances bearing upon the risk of non-payment of the Guaranteed Obligations. Each Guarantor hereby waives and relinquishes any duty on the part of any Beneficiary to disclose any matter, fact or thing relating to the business, operations or conditions of Company now known or hereafter known by any Beneficiary.</w:t>
      </w:r>
    </w:p>
    <w:p>
      <w:pPr>
        <w:pStyle w:val="TextBody"/>
        <w:bidi w:val="0"/>
        <w:spacing w:lineRule="auto" w:line="240"/>
        <w:ind w:left="0" w:right="0" w:firstLine="720"/>
        <w:jc w:val="both"/>
        <w:rPr/>
      </w:pPr>
      <w:r>
        <w:rPr>
          <w:rFonts w:ascii="Times New Roman;serif" w:hAnsi="Times New Roman;serif"/>
          <w:b w:val="false"/>
          <w:color w:val="010000"/>
          <w:sz w:val="22"/>
        </w:rPr>
        <w:t>Section 7.11</w:t>
      </w:r>
      <w:r>
        <w:rPr>
          <w:rFonts w:ascii="Times New Roman;serif" w:hAnsi="Times New Roman;serif"/>
          <w:b w:val="false"/>
          <w:color w:val="000000"/>
          <w:sz w:val="22"/>
          <w:u w:val="single"/>
        </w:rPr>
        <w:t>Bankruptcy, Etc.</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28650"/>
                <wp:effectExtent l="0" t="0" r="0" b="0"/>
                <wp:wrapNone/>
                <wp:docPr id="181" name="Frame17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Company or any other Guarantor. The obligations of Guarantors hereunder shall not be reduced, limited, impaired, discharged, deferred, suspended or terminated by any case or proceeding, voluntary or involuntary, involving the bankruptcy, insolvency, receivership, administration, reorganization, liquidation or arrangement of Company or any other Guarantor or by any defense which Company or any other Guarantor may have by reason of the order, decree or decision of any court or administrative body resulting from any such proceeding.</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Each Guarantor acknowledges and agrees that any interest on any portion of the Guaranteed Obligations which accrues after the commencement of any case or proceeding referred to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Company of any portion of such Guaranteed Obligations. Guarantors will permit any trustee in bankruptcy, receiver, administrator, debtor in possession, assignee for the benefit of creditors or similar person to pay Administrative Agent, or allow the claim of Administrative Agent in respect of, any such interest accruing after the date on which such case or proceeding is commenced.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In the event that all or any portion of the Guaranteed Obligations are paid by Company,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7.12</w:t>
      </w:r>
      <w:r>
        <w:rPr>
          <w:rFonts w:ascii="Times New Roman;serif" w:hAnsi="Times New Roman;serif"/>
          <w:b w:val="false"/>
          <w:color w:val="000000"/>
          <w:sz w:val="22"/>
          <w:u w:val="single"/>
        </w:rPr>
        <w:t>Discharge of Guaranty Upon Sale of Guarantor</w:t>
      </w:r>
      <w:r>
        <w:rPr>
          <w:rFonts w:ascii="Times New Roman;serif" w:hAnsi="Times New Roman;serif"/>
          <w:b w:val="false"/>
          <w:color w:val="000000"/>
          <w:sz w:val="22"/>
        </w:rPr>
        <w:t>. If all of the Capital Stock of any Guarantor or any of its successors in interest hereunder shall be sold or otherwise disposed of (including by merger or consolidation)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w:t>
      </w:r>
      <w:r>
        <w:rPr>
          <w:color w:val="000000"/>
        </w:rPr>
        <w:t xml:space="preserve"> </w:t>
      </w:r>
    </w:p>
    <w:p>
      <w:pPr>
        <w:pStyle w:val="TextBody"/>
        <w:bidi w:val="0"/>
        <w:spacing w:lineRule="auto" w:line="240" w:before="0" w:after="240"/>
        <w:jc w:val="center"/>
        <w:rPr/>
      </w:pPr>
      <w:r>
        <w:rPr>
          <w:rFonts w:ascii="Times New Roman;serif" w:hAnsi="Times New Roman;serif"/>
          <w:b w:val="false"/>
          <w:color w:val="010000"/>
          <w:sz w:val="22"/>
        </w:rPr>
        <w:t>Article VIII</w:t>
      </w:r>
      <w:r>
        <w:rPr>
          <w:rFonts w:ascii="Times New Roman;serif" w:hAnsi="Times New Roman;serif"/>
          <w:b w:val="false"/>
          <w:color w:val="000000"/>
          <w:sz w:val="22"/>
        </w:rPr>
        <w:br/>
        <w:br/>
        <w:t>EVENTS OF DEFAULT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8.1</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If any one or more of the following conditions or events shall occur:</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Failure to Make Payments When Due</w:t>
      </w:r>
      <w:r>
        <w:rPr>
          <w:rFonts w:ascii="Times New Roman;serif" w:hAnsi="Times New Roman;serif"/>
          <w:b w:val="false"/>
          <w:color w:val="000000"/>
          <w:sz w:val="22"/>
        </w:rPr>
        <w:t>. Failure by Company to pay (i) the principal of and premium, if any, on any Term Loan when due whether at stated maturity, by acceleration or otherwise; or (ii) within [**] when due any interest on any Term Loan or any fee or any other amount due hereunder;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Default in Other Agreements</w:t>
      </w:r>
      <w:r>
        <w:rPr>
          <w:rFonts w:ascii="Times New Roman;serif" w:hAnsi="Times New Roman;serif"/>
          <w:b w:val="false"/>
          <w:color w:val="000000"/>
          <w:sz w:val="22"/>
        </w:rPr>
        <w:t xml:space="preserve">. (i) Failure of any Loan Party or any Loan Party’s Subsidiaries to pay when due any principal of or interest on or any other amount payable in respect of one or more items of Indebtedness (other than Indebtedness referred to in </w:t>
      </w:r>
      <w:r>
        <w:rPr>
          <w:rFonts w:ascii="Times New Roman;serif" w:hAnsi="Times New Roman;serif"/>
          <w:b w:val="false"/>
          <w:color w:val="000000"/>
          <w:sz w:val="22"/>
          <w:u w:val="single"/>
        </w:rPr>
        <w:t>Section 8.1(a)</w:t>
      </w:r>
      <w:r>
        <w:rPr>
          <w:rFonts w:ascii="Times New Roman;serif" w:hAnsi="Times New Roman;serif"/>
          <w:b w:val="false"/>
          <w:color w:val="000000"/>
          <w:sz w:val="22"/>
        </w:rPr>
        <w:t xml:space="preserve">) in a principal amount in excess of the Threshold Amount, in each case beyond the grace period, if any, provided therefor, or (ii) breach or default by any Loan Party with respect to any other material term of (A) one or more items of Indebtedness in the principal amount referred to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or (B)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28650"/>
                <wp:effectExtent l="0" t="0" r="0" b="0"/>
                <wp:wrapNone/>
                <wp:docPr id="182" name="Frame18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cause, that Indebtedness to become or be declared due and payable (or subject to a compulsory repurchase or redeemable) or to require the prepayment, redemption, repurchase or defeasance of, or to cause Borrower or any of Borrower’s Subsidiaries to make any offer to prepay, redeem, repurchase or defease such Indebtedness, prior to its stated maturity or the stated maturity of any underlying obligation, as the case may be;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Breach of Certain Covenants</w:t>
      </w:r>
      <w:r>
        <w:rPr>
          <w:rFonts w:ascii="Times New Roman;serif" w:hAnsi="Times New Roman;serif"/>
          <w:b w:val="false"/>
          <w:color w:val="000000"/>
          <w:sz w:val="22"/>
        </w:rPr>
        <w:t xml:space="preserve">. Failure of any Loan Party to perform or comply with any term or condition contained in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(j)-(o),</w:t>
      </w:r>
      <w:r>
        <w:rPr>
          <w:color w:val="000000"/>
        </w:rPr>
        <w:t xml:space="preserve"> </w:t>
      </w:r>
      <w:r>
        <w:rPr>
          <w:rFonts w:ascii="Times New Roman;serif" w:hAnsi="Times New Roman;serif"/>
          <w:b w:val="false"/>
          <w:color w:val="000000"/>
          <w:sz w:val="22"/>
          <w:u w:val="single"/>
        </w:rPr>
        <w:t>(q)</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 xml:space="preserve">Section 5.14, </w:t>
      </w:r>
      <w:r>
        <w:rPr>
          <w:rFonts w:ascii="Times New Roman;serif" w:hAnsi="Times New Roman;serif"/>
          <w:b w:val="false"/>
          <w:color w:val="000000"/>
          <w:sz w:val="22"/>
        </w:rPr>
        <w:t xml:space="preserve">Section 5.15 or </w:t>
      </w:r>
      <w:r>
        <w:rPr>
          <w:rFonts w:ascii="Times New Roman;serif" w:hAnsi="Times New Roman;serif"/>
          <w:b w:val="false"/>
          <w:color w:val="000000"/>
          <w:sz w:val="22"/>
          <w:u w:val="single"/>
        </w:rPr>
        <w:t>Article VI</w:t>
      </w:r>
      <w:r>
        <w:rPr>
          <w:rFonts w:ascii="Times New Roman;serif" w:hAnsi="Times New Roman;serif"/>
          <w:b w:val="false"/>
          <w:color w:val="000000"/>
          <w:sz w:val="22"/>
        </w:rPr>
        <w:t>;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u w:val="single"/>
        </w:rPr>
        <w:t>Breach of Representations, Etc.</w:t>
      </w:r>
      <w:r>
        <w:rPr>
          <w:color w:val="000000"/>
        </w:rPr>
        <w:t xml:space="preserve"> </w:t>
      </w:r>
      <w:r>
        <w:rPr>
          <w:rFonts w:ascii="Times New Roman;serif" w:hAnsi="Times New Roman;serif"/>
          <w:b w:val="false"/>
          <w:color w:val="000000"/>
          <w:sz w:val="22"/>
        </w:rPr>
        <w:t>Any representation, warranty, certification or other statement made or deemed made by any Loan Party in any Loan Document or in any statement or certificate at any time given by any Loan Party or any of Borrower’s Subsidiaries in writing pursuant hereto or thereto or in connection herewith or therewith shall be false in any material respect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made or deemed made;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u w:val="single"/>
        </w:rPr>
        <w:t>Other Defaults Under Loan Documents</w:t>
      </w:r>
      <w:r>
        <w:rPr>
          <w:rFonts w:ascii="Times New Roman;serif" w:hAnsi="Times New Roman;serif"/>
          <w:b w:val="false"/>
          <w:color w:val="000000"/>
          <w:sz w:val="22"/>
        </w:rPr>
        <w:t xml:space="preserve">. Any Loan Party shall default in the performance of or compliance with any term contained herein or any of the other Loan Documents, other than any such term referred to in any other Section of this </w:t>
      </w:r>
      <w:r>
        <w:rPr>
          <w:rFonts w:ascii="Times New Roman;serif" w:hAnsi="Times New Roman;serif"/>
          <w:b w:val="false"/>
          <w:color w:val="000000"/>
          <w:sz w:val="22"/>
          <w:u w:val="single"/>
        </w:rPr>
        <w:t>Section 8.1</w:t>
      </w:r>
      <w:r>
        <w:rPr>
          <w:rFonts w:ascii="Times New Roman;serif" w:hAnsi="Times New Roman;serif"/>
          <w:b w:val="false"/>
          <w:color w:val="000000"/>
          <w:sz w:val="22"/>
        </w:rPr>
        <w:t>, and such default shall not have been remedied or waived within [**] after the earlier of (i) an officer of such Loan Party becoming aware of such default, or (ii) receipt by Company of notice from Administrative Agent or any Lender of such default;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u w:val="single"/>
        </w:rPr>
        <w:t>Involuntary Bankruptcy; Appointment of Receiver, Etc.</w:t>
      </w:r>
      <w:r>
        <w:rPr>
          <w:color w:val="000000"/>
        </w:rPr>
        <w:t xml:space="preserve"> </w:t>
      </w:r>
      <w:r>
        <w:rPr>
          <w:rFonts w:ascii="Times New Roman;serif" w:hAnsi="Times New Roman;serif"/>
          <w:b w:val="false"/>
          <w:color w:val="000000"/>
          <w:sz w:val="22"/>
        </w:rPr>
        <w:t xml:space="preserve">(i) A court of competent jurisdiction shall enter a decree or order for relief in respect of Borrower or any of its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Borrower or any of its Subsidiaries under the Bankruptcy Code or under any other applicable bankruptcy, insolvency or similar law now or hereafter in effect; or a decree or order of a court having jurisdiction in the premises for the appointment of a receiver, administrator, liquidator, sequestrator, trustee, custodian or other officer having similar powers over Borrower or any of its Subsidiaries, or over all or a substantial part of its property, shall have been entered; or there shall have occurred the involuntary appointment of an interim receiver, administrator, trustee or other custodian of Borrowers or any of its Subsidiaries for all or a substantial part of its property; or a warrant of attachment, execution or similar process shall have been issued against any substantial part of the property of Borrower or any of its Subsidiaries, and any such event described in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shall continue for [**] without having been dismissed, bonded or discharged;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u w:val="single"/>
        </w:rPr>
        <w:t>Voluntary Bankruptcy; Appointment of Receiver, Etc.</w:t>
      </w:r>
      <w:r>
        <w:rPr>
          <w:color w:val="000000"/>
        </w:rPr>
        <w:t xml:space="preserve"> </w:t>
      </w:r>
      <w:r>
        <w:rPr>
          <w:rFonts w:ascii="Times New Roman;serif" w:hAnsi="Times New Roman;serif"/>
          <w:b w:val="false"/>
          <w:color w:val="000000"/>
          <w:sz w:val="22"/>
        </w:rPr>
        <w:t xml:space="preserve">(i) Borrower or any of its Subsidiaries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administrator, trustee or other custodian for all or a substantial part of its property; or Borrower or any of its Subsidiaries shall make any assignment for the benefit of creditors; or (ii) Borrower or any of its Subsidiaries shall be unable, or shall fail generally, or shall admit in writing its inability, to pay its debts as such debts become due; or the Board of Directors (or similar governing body) of Borrower or any of its Subsidiaries shall adopt any resolution or otherwise authorize any action to approve any of the actions referred to herein or in </w:t>
      </w:r>
      <w:r>
        <w:rPr>
          <w:rFonts w:ascii="Times New Roman;serif" w:hAnsi="Times New Roman;serif"/>
          <w:b w:val="false"/>
          <w:color w:val="000000"/>
          <w:sz w:val="22"/>
          <w:u w:val="single"/>
        </w:rPr>
        <w:t>Section 8.1(f)</w:t>
      </w:r>
      <w:r>
        <w:rPr>
          <w:rFonts w:ascii="Times New Roman;serif" w:hAnsi="Times New Roman;serif"/>
          <w:b w:val="false"/>
          <w:color w:val="000000"/>
          <w:sz w:val="22"/>
        </w:rPr>
        <w:t>;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u w:val="single"/>
        </w:rPr>
        <w:t>Judgments and Attachments</w:t>
      </w:r>
      <w:r>
        <w:rPr>
          <w:rFonts w:ascii="Times New Roman;serif" w:hAnsi="Times New Roman;serif"/>
          <w:b w:val="false"/>
          <w:color w:val="000000"/>
          <w:sz w:val="22"/>
        </w:rPr>
        <w:t xml:space="preserve">. Any money judgment, writ or warrant of attachment or similar process involving in any individual case an amount in excess of the Threshold Amount (to the extent not adequately covered by insurance as to which a solvent and unaffiliated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28650"/>
                <wp:effectExtent l="0" t="0" r="0" b="0"/>
                <wp:wrapNone/>
                <wp:docPr id="183" name="Frame18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insurance company has acknowledged coverage) shall be entered or filed against Borrower or any of its Subsidiaries or any of their respective assets and shall remain undischarged, unvacated, unbonded or unstayed for a period of [**] (or in any event later than [**] prior to the date of any proposed sale thereunder);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Dissolution</w:t>
      </w:r>
      <w:r>
        <w:rPr>
          <w:rFonts w:ascii="Times New Roman;serif" w:hAnsi="Times New Roman;serif"/>
          <w:b w:val="false"/>
          <w:color w:val="000000"/>
          <w:sz w:val="22"/>
        </w:rPr>
        <w:t>. Any order, judgment or decree shall be entered against any Loan Party or any of its Subsidiaries decreeing the dissolution or split up of such Loan Party or any of its Subsidiaries and such order shall remain undischarged or unstayed for a period in excess of [**];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(j)</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A Change of Control shall occur;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(k)</w:t>
      </w:r>
      <w:r>
        <w:rPr>
          <w:rFonts w:ascii="Times New Roman;serif" w:hAnsi="Times New Roman;serif"/>
          <w:b w:val="false"/>
          <w:color w:val="000000"/>
          <w:sz w:val="22"/>
          <w:u w:val="single"/>
        </w:rPr>
        <w:t>Guaranties, Collateral Documents and other Loan Documents</w:t>
      </w:r>
      <w:r>
        <w:rPr>
          <w:rFonts w:ascii="Times New Roman;serif" w:hAnsi="Times New Roman;serif"/>
          <w:b w:val="false"/>
          <w:color w:val="000000"/>
          <w:sz w:val="22"/>
        </w:rPr>
        <w:t>. At any time after the execution and delivery thereof, (i) the Guaranty for any reason, other than the satisfaction in full in cash of all Obligations,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in cash of the Obligations in accordance with the terms hereof) or shall be declared null and void, or Administrative Agent shall not have or shall cease to have a valid and perfected Lien in any Collateral purported to be covered by the Collateral Documents with the priority required by the relevant Collateral Document, in each case for any reason other than the failure of Administrative Agent or any Secured Party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(l)</w:t>
      </w:r>
      <w:r>
        <w:rPr>
          <w:rFonts w:ascii="Times New Roman;serif" w:hAnsi="Times New Roman;serif"/>
          <w:b w:val="false"/>
          <w:color w:val="000000"/>
          <w:sz w:val="22"/>
          <w:u w:val="single"/>
        </w:rPr>
        <w:t>Proceedings</w:t>
      </w:r>
      <w:r>
        <w:rPr>
          <w:rFonts w:ascii="Times New Roman;serif" w:hAnsi="Times New Roman;serif"/>
          <w:b w:val="false"/>
          <w:color w:val="000000"/>
          <w:sz w:val="22"/>
        </w:rPr>
        <w:t>. The indictment of any Loan Party or any of its Subsidiaries under any criminal statute, or commencement of criminal or civil proceedings against any Loan Party or any of its Subsidiaries pursuant to which statute or proceedings the penalties or remedies sought or available include forfeiture to any Governmental Authority of any material portion of the property of such Person and such event has resulted or would reasonably be expected to result in a Material Adverse Effect;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(m)</w:t>
      </w:r>
      <w:r>
        <w:rPr>
          <w:rFonts w:ascii="Times New Roman;serif" w:hAnsi="Times New Roman;serif"/>
          <w:b w:val="false"/>
          <w:color w:val="000000"/>
          <w:sz w:val="22"/>
          <w:u w:val="single"/>
        </w:rPr>
        <w:t>ERISA</w:t>
      </w:r>
      <w:r>
        <w:rPr>
          <w:rFonts w:ascii="Times New Roman;serif" w:hAnsi="Times New Roman;serif"/>
          <w:b w:val="false"/>
          <w:color w:val="000000"/>
          <w:sz w:val="22"/>
        </w:rPr>
        <w:t>. The occurrence of any ERISA Event which, individually or in the aggregate, has resulted or would reasonably be expected to result in a Material Adverse Effect;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(n)</w:t>
      </w:r>
      <w:r>
        <w:rPr>
          <w:rFonts w:ascii="Times New Roman;serif" w:hAnsi="Times New Roman;serif"/>
          <w:b w:val="false"/>
          <w:color w:val="000000"/>
          <w:sz w:val="22"/>
          <w:u w:val="single"/>
        </w:rPr>
        <w:t>[Reserved];</w:t>
      </w:r>
    </w:p>
    <w:p>
      <w:pPr>
        <w:pStyle w:val="TextBody"/>
        <w:bidi w:val="0"/>
        <w:spacing w:lineRule="auto" w:line="240" w:before="0" w:after="240"/>
        <w:ind w:left="0" w:right="0" w:firstLine="1440"/>
        <w:jc w:val="both"/>
        <w:rPr/>
      </w:pPr>
      <w:r>
        <w:rPr>
          <w:rFonts w:ascii="Times New Roman;serif" w:hAnsi="Times New Roman;serif"/>
          <w:b w:val="false"/>
          <w:color w:val="010000"/>
          <w:sz w:val="22"/>
        </w:rPr>
        <w:t>(o)</w:t>
      </w:r>
      <w:r>
        <w:rPr>
          <w:rFonts w:ascii="Times New Roman;serif" w:hAnsi="Times New Roman;serif"/>
          <w:b w:val="false"/>
          <w:color w:val="000000"/>
          <w:sz w:val="22"/>
          <w:u w:val="single"/>
        </w:rPr>
        <w:t>Regulatory Event</w:t>
      </w:r>
      <w:r>
        <w:rPr>
          <w:rFonts w:ascii="Times New Roman;serif" w:hAnsi="Times New Roman;serif"/>
          <w:b w:val="false"/>
          <w:color w:val="000000"/>
          <w:sz w:val="22"/>
        </w:rPr>
        <w:t>. A Regulatory Action or a Material Regulatory Liability with respect to any Product has occurred, and such event has resulted or would reasonably be expected to result in a Material Adverse Effect; or</w:t>
      </w:r>
    </w:p>
    <w:p>
      <w:pPr>
        <w:pStyle w:val="TextBody"/>
        <w:bidi w:val="0"/>
        <w:spacing w:lineRule="auto" w:line="240" w:before="0" w:after="240"/>
        <w:ind w:left="0" w:right="0" w:firstLine="1440"/>
        <w:jc w:val="both"/>
        <w:rPr/>
      </w:pPr>
      <w:r>
        <w:rPr>
          <w:rFonts w:ascii="Times New Roman;serif" w:hAnsi="Times New Roman;serif"/>
          <w:b w:val="false"/>
          <w:color w:val="010000"/>
          <w:sz w:val="22"/>
        </w:rPr>
        <w:t>(p)</w:t>
      </w:r>
      <w:r>
        <w:rPr>
          <w:rFonts w:ascii="Times New Roman;serif" w:hAnsi="Times New Roman;serif"/>
          <w:b w:val="false"/>
          <w:color w:val="000000"/>
          <w:sz w:val="22"/>
          <w:u w:val="single"/>
        </w:rPr>
        <w:t>Cessation of Business</w:t>
      </w:r>
      <w:r>
        <w:rPr>
          <w:rFonts w:ascii="Times New Roman;serif" w:hAnsi="Times New Roman;serif"/>
          <w:b w:val="false"/>
          <w:color w:val="000000"/>
          <w:sz w:val="22"/>
        </w:rPr>
        <w:t>. (i) Any Loan Party or any of its Subsidiaries is enjoined, restrained or in any way prevented by the order of any court or any Governmental Authority from conducting all or any material part of its business for more than [**]; (ii) any other cessation of a substantial part of the business of Company or any of its Subsidiaries for a period which materially and adversely affects Company or any of its Subsidiaries; or (iii) any material damage to, or loss, theft or destruction of, any Collateral whether or not insured or any strike, lockout, labor dispute, embargo, condemnation, act of God or public enemy, or other casualty which causes, for more than [**], the cessation or substantial curtailment of revenue producing activities, if any such event or circumstance referred to in this subclause (iii)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8.2</w:t>
      </w:r>
      <w:r>
        <w:rPr>
          <w:rFonts w:ascii="Times New Roman;serif" w:hAnsi="Times New Roman;serif"/>
          <w:b w:val="false"/>
          <w:color w:val="000000"/>
          <w:sz w:val="22"/>
          <w:u w:val="single"/>
        </w:rPr>
        <w:t>Remedies</w:t>
      </w:r>
      <w:r>
        <w:rPr>
          <w:rFonts w:ascii="Times New Roman;serif" w:hAnsi="Times New Roman;serif"/>
          <w:b w:val="false"/>
          <w:color w:val="000000"/>
          <w:sz w:val="22"/>
        </w:rPr>
        <w:t>. Upon the occurrence and during the continuance of any Event of Default, Administrative Agent may, and shall at the request of the Required Lenders:</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declare that all or any portion of the Delayed Draw Term Loan Commitments shall immediately terminate and the unpaid principal amount of all outstanding Term Loans, all interest accrued and unpaid thereon, and all other amounts owing or payable hereunder or under any other Loan Document to be immediately due and payable; without presentment, demand, protest or other notice of any kind, all of which are hereby expressly waived by each Loan Party; and/or</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28650"/>
                <wp:effectExtent l="0" t="0" r="0" b="0"/>
                <wp:wrapNone/>
                <wp:docPr id="184" name="Frame18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exercise on behalf of themselves and the Lenders all rights and remedies available to them and the Lenders under the Loan Documents or applicable law or in equity or under any other instrument, document or agreement now existing or hereafter arising; </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upon the occurrence of any event specified in </w:t>
      </w:r>
      <w:r>
        <w:rPr>
          <w:rFonts w:ascii="Times New Roman;serif" w:hAnsi="Times New Roman;serif"/>
          <w:b w:val="false"/>
          <w:color w:val="000000"/>
          <w:sz w:val="22"/>
          <w:u w:val="single"/>
        </w:rPr>
        <w:t>Section 8.1(f)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above, the unpaid principal amount of all outstanding Term Loans and all interest and other amounts as aforesaid shall automatically become due and payable without further act of Administrative Agent or any Lender.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8.3</w:t>
      </w:r>
      <w:r>
        <w:rPr>
          <w:rFonts w:ascii="Times New Roman;serif" w:hAnsi="Times New Roman;serif"/>
          <w:b w:val="false"/>
          <w:color w:val="000000"/>
          <w:sz w:val="22"/>
          <w:u w:val="single"/>
        </w:rPr>
        <w:t>Rights Not Exclusive</w:t>
      </w:r>
      <w:r>
        <w:rPr>
          <w:rFonts w:ascii="Times New Roman;serif" w:hAnsi="Times New Roman;serif"/>
          <w:b w:val="false"/>
          <w:color w:val="000000"/>
          <w:sz w:val="22"/>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pStyle w:val="TextBody"/>
        <w:bidi w:val="0"/>
        <w:spacing w:lineRule="auto" w:line="240" w:before="0" w:after="240"/>
        <w:jc w:val="center"/>
        <w:rPr/>
      </w:pPr>
      <w:r>
        <w:rPr>
          <w:rFonts w:ascii="Times New Roman;serif" w:hAnsi="Times New Roman;serif"/>
          <w:b w:val="false"/>
          <w:color w:val="010000"/>
          <w:sz w:val="22"/>
        </w:rPr>
        <w:t>Article IX</w:t>
      </w:r>
      <w:r>
        <w:rPr>
          <w:rFonts w:ascii="Times New Roman;serif" w:hAnsi="Times New Roman;serif"/>
          <w:b w:val="false"/>
          <w:color w:val="000000"/>
          <w:sz w:val="22"/>
        </w:rPr>
        <w:br/>
        <w:br/>
        <w:t>ADMINISTRATIVE AGENT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9.1</w:t>
      </w:r>
      <w:r>
        <w:rPr>
          <w:rFonts w:ascii="Times New Roman;serif" w:hAnsi="Times New Roman;serif"/>
          <w:b w:val="false"/>
          <w:color w:val="000000"/>
          <w:sz w:val="22"/>
          <w:u w:val="single"/>
        </w:rPr>
        <w:t>Appointment of Administrative Agent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Sixth Street is hereby appointed Administrative Agent hereunder and under the other Loan Documents and each Lender hereby authorizes Sixth Street, in such capacity, to act as its agent in accordance with the terms hereof and the other Loan Documents to perform, exercise and enforce any and all other rights and remedies of the Lenders with respect to the Loan Parties, the Obligations or otherwise related to any of same to the extent reasonably incidental to the exercise by Administrative Agent of the rights and remedies specifically authorized to be exercised by Administrative Agent by the terms of this Agreement or any other Loan Parties.</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Administrative Agent hereby agrees to act upon the express conditions contained herein and the other Loan Documents, as applicable.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9.8(a)(ii)</w:t>
      </w:r>
      <w:r>
        <w:rPr>
          <w:rFonts w:ascii="Times New Roman;serif" w:hAnsi="Times New Roman;serif"/>
          <w:b w:val="false"/>
          <w:color w:val="000000"/>
          <w:sz w:val="22"/>
        </w:rPr>
        <w:t>) are solely for the benefit of Administrative Agent and Lenders and no Loan Party shall have any rights as a third party beneficiary of any of the provisions thereof. In performing its functions and duties hereunder, Administrative Agent shall act solely as an agent of Lenders and does not assume and shall not be deemed to have assumed any obligation towards or relationship of agency or trust with or for Borrower or any of its Subsidiaries.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9.2</w:t>
      </w:r>
      <w:r>
        <w:rPr>
          <w:rFonts w:ascii="Times New Roman;serif" w:hAnsi="Times New Roman;serif"/>
          <w:b w:val="false"/>
          <w:color w:val="000000"/>
          <w:sz w:val="22"/>
          <w:u w:val="single"/>
        </w:rPr>
        <w:t>Powers and Duties</w:t>
      </w:r>
      <w:r>
        <w:rPr>
          <w:rFonts w:ascii="Times New Roman;serif" w:hAnsi="Times New Roman;serif"/>
          <w:b w:val="false"/>
          <w:color w:val="000000"/>
          <w:sz w:val="22"/>
        </w:rPr>
        <w:t>. Each Lender irrevocably authorizes Administrative Agent to take such action on such Lender’s behalf and to 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herein and the other Loan Documents. Administrative Agent may exercise such powers, rights and remedies and perform such duties by or through its agents or employees Administrative Agent shall not have, by reason hereof or any of the other Loan Documents, a fiduciary relationship in respect of any Lender; and nothing herein or any of the other Loan Documents, expressed or implied, is intended to or shall be so construed as to impose upon Administrative Agent any obligations in respect hereof or any of the other Loan Documents except as expressly set forth herein or therein.</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9.3</w:t>
      </w:r>
      <w:r>
        <w:rPr>
          <w:rFonts w:ascii="Times New Roman;serif" w:hAnsi="Times New Roman;serif"/>
          <w:b w:val="false"/>
          <w:color w:val="000000"/>
          <w:sz w:val="22"/>
          <w:u w:val="single"/>
        </w:rPr>
        <w:t>General Immunity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No Responsibility for Certain Matters</w:t>
      </w:r>
      <w:r>
        <w:rPr>
          <w:rFonts w:ascii="Times New Roman;serif" w:hAnsi="Times New Roman;serif"/>
          <w:b w:val="false"/>
          <w:color w:val="000000"/>
          <w:sz w:val="22"/>
        </w:rPr>
        <w:t xml:space="preserve">. Administrative Agent shall not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Administrative Agent to Lenders or by or on behalf of any Loan Party to Administrative Agent or any Lender in connection with the Loan Documents and the transactions contemplated thereby or for the financial condition or business affairs of any Loan Party or any other Person liable for the payment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28650"/>
                <wp:effectExtent l="0" t="0" r="0" b="0"/>
                <wp:wrapNone/>
                <wp:docPr id="185" name="Frame18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nor shall Administrative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 or the component amounts thereof.</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 xml:space="preserve">. Neither Administrative Agent nor any of its officers, partners, directors, employees or agents shall be liable to Lenders for any action taken or omitted by Administrative Agent under or in connection with any of the Loan Documents except to the extent caused by Administrative Agent’s gross negligence or willful misconduct, as determined by a court of competent jurisdiction in a final, non-appealable order.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Administrative Agent shall have received instructions in respect thereof from Required Lenders (or such other Lenders as may be required to give such instructions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and, upon receipt of such instructions from Required Lenders (or such other Lenders, as the case may be), Administrative Agent shall be entitled to act or (where so instructed) refrain from acting, or to exercise such power, discretion or authority, in accordance with such instructions. Without prejudice to the generality of the foregoing, (i) Administrative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Borrower and its Subsidiaries), accountants, experts and other professional advisors selected by it; and (ii) no Lender shall have any right of action whatsoever against Administrative Agent as a result of Administrative Agent acting or (where so instructed) refraining from acting hereunder or any of the other Loan Documents in accordance with the instructions of Required Lenders (or such other Lenders as may be required to give such instructions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Notice of Default</w:t>
      </w:r>
      <w:r>
        <w:rPr>
          <w:rFonts w:ascii="Times New Roman;serif" w:hAnsi="Times New Roman;serif"/>
          <w:b w:val="false"/>
          <w:color w:val="000000"/>
          <w:sz w:val="22"/>
        </w:rPr>
        <w:t xml:space="preserve">. Administrative Agent shall not be deemed to have knowledge or notice of the occurrence of any Default or Event of Default, except with respect to Events of Default in the payment of principal, interest and fees required to be paid to Administrative Agent for the account of the Lenders, unless Administrative Agent shall have received written notice from a Lender or the Loan Party referring to this Agreement, describing such Default or Event of Default and stating that such notice is a “notice of default.” Administrative Agent will notify the Lenders of its receipt of any such notice. Administrative Agent shall take such action with respect to any such Default or Event of Default as may be directed by the Required Lenders in accordance with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unless and until Administrative Agent has received any such direction, Administrative Agent may (but shall not be obligated to) take such action, or refrain from taking such action, with respect to such Default or Event of Default as it shall deem advisable or in the best interest of the Lenders.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9.4</w:t>
      </w:r>
      <w:r>
        <w:rPr>
          <w:rFonts w:ascii="Times New Roman;serif" w:hAnsi="Times New Roman;serif"/>
          <w:b w:val="false"/>
          <w:color w:val="000000"/>
          <w:sz w:val="22"/>
          <w:u w:val="single"/>
        </w:rPr>
        <w:t>Administrative Agent Entitled to Act as Lender</w:t>
      </w:r>
      <w:r>
        <w:rPr>
          <w:rFonts w:ascii="Times New Roman;serif" w:hAnsi="Times New Roman;serif"/>
          <w:b w:val="false"/>
          <w:color w:val="000000"/>
          <w:sz w:val="22"/>
        </w:rPr>
        <w:t>. The agency hereby created shall in no way impair or affect any of the rights and powers of, or impose any duties or obligations upon, Administrative Agent in its individual capacity as a Lender hereunder. With respect to its participation in the Term Loans, Administrative Agent shall have the same rights and powers hereunder as any other Lender and may exercise the same as if it were not performing the duties and functions delegated to it hereunder, and the term “Lender” shall, unless the context clearly otherwise indicates, include Administrative Agent in its individual capacity. Administrative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Company for services in connection herewith and otherwise without having to account for the same to Lenders.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9.5</w:t>
      </w:r>
      <w:r>
        <w:rPr>
          <w:rFonts w:ascii="Times New Roman;serif" w:hAnsi="Times New Roman;serif"/>
          <w:b w:val="false"/>
          <w:color w:val="000000"/>
          <w:sz w:val="22"/>
          <w:u w:val="single"/>
        </w:rPr>
        <w:t>Lenders’ Representations, Warranties and Acknowledgment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Each Lender represents and warrants that it has made its own independent investigation of the financial condition and affairs of Borrower and its Subsidiaries in connection with Credit Extensions hereunder and that it has made and shall continue to make its own appraisal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28650"/>
                <wp:effectExtent l="0" t="0" r="0" b="0"/>
                <wp:wrapNone/>
                <wp:docPr id="186" name="Frame18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Administrative Agent shall not have any responsibility with respect to the accuracy of or the completeness of any information provided to Lenders.</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Each Lender, by delivering its signature page to this Agreement and funding its Term Loan on the Closing Date, shall be deemed to have acknowledged receipt of, and consented to and approved, each Loan Document and each other document required to be approved by Administrative Agent, Required Lenders or Lenders, as applicable on the Closing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9.6</w:t>
      </w:r>
      <w:r>
        <w:rPr>
          <w:rFonts w:ascii="Times New Roman;serif" w:hAnsi="Times New Roman;serif"/>
          <w:b w:val="false"/>
          <w:color w:val="000000"/>
          <w:sz w:val="22"/>
          <w:u w:val="single"/>
        </w:rPr>
        <w:t>Right to Indemnity</w:t>
      </w:r>
      <w:r>
        <w:rPr>
          <w:rFonts w:ascii="Times New Roman;serif" w:hAnsi="Times New Roman;serif"/>
          <w:b w:val="false"/>
          <w:color w:val="000000"/>
          <w:sz w:val="22"/>
        </w:rPr>
        <w:t>. EACH LENDER, IN PROPORTION TO ITS PRO RATA SHARE, SEVERALLY AGREES TO INDEMNIFY ADMINISTRATIVE AGENT, ITS AFFILIATES AND ITS RESPECTIVE OFFICERS, PARTNERS, DIRECTORS, TRUSTEES, EMPLOYEES AND AGENTS OF ADMINISTRATIVE AGENT (EACH, AN “</w:t>
      </w:r>
      <w:r>
        <w:rPr>
          <w:rFonts w:ascii="Times New Roman;serif" w:hAnsi="Times New Roman;serif"/>
          <w:b w:val="false"/>
          <w:color w:val="000000"/>
          <w:sz w:val="22"/>
          <w:u w:val="single"/>
        </w:rPr>
        <w:t>INDEMNITEE AGENT PARTY</w:t>
      </w:r>
      <w:r>
        <w:rPr>
          <w:color w:val="000000"/>
        </w:rPr>
        <w:t>”</w:t>
      </w:r>
      <w:r>
        <w:rPr>
          <w:rFonts w:ascii="Times New Roman;serif" w:hAnsi="Times New Roman;serif"/>
          <w:b w:val="false"/>
          <w:color w:val="000000"/>
          <w:sz w:val="22"/>
        </w:rPr>
        <w:t xml:space="preserve">), TO THE EXTENT THAT SUCH INDEMNITEE AGENT PARTY SHALL NOT 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INDEMNITEE AGENT PARTY IN EXERCISING ITS POWERS, RIGHTS AND REMEDIES OR PERFORMING ITS DUTIES HEREUNDER OR UNDER THE OTHER LOAN DOCUMENTS OR OTHERWISE IN ITS CAPACITY AS SUCH INDEMNITEE AGENT PARTY IN ANY WAY RELATING TO OR ARISING OUT OF THIS AGREEMENT OR THE OTHER LOAN DOCUMENTS, </w:t>
      </w:r>
      <w:r>
        <w:rPr>
          <w:rFonts w:ascii="Times New Roman;serif" w:hAnsi="Times New Roman;serif"/>
          <w:b/>
          <w:color w:val="000000"/>
          <w:sz w:val="22"/>
        </w:rPr>
        <w:t>IN ALL CASES, WHETHER OR NOT CAUSED BY OR ARISING, IN WHOLE OR IN PART, OUT OF THE COMPARATIVE, CONTRIBUTORY, OR SOLE NEGLIGENCE OF SUCH INDEMNITEE AGENT PARTY</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NO LENDER SHALL BE LIABLE FOR ANY PORTION OF SUCH LIABILITIES, OBLIGATIONS, LOSSES, DAMAGES, PENALTIES, ACTIONS, JUDGMENTS, SUITS, COSTS, EXPENSES OR DISBURSEMENTS RESULTING FROM SUCH INDEMNITEE AGENT PARTY’S GROSS NEGLIGENCE OR WILLFUL MISCONDUCT, AS DETERMINED BY A COURT OF COMPETENT JURISDICTION IN A FINAL, NON-APPEALABLE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IN NO EVENT SHALL THIS SENTENCE REQUIRE ANY LENDER TO INDEMNIFY ANY INDEMNITEE AGENT PARTY AGAINST ANY LIABILITY, OBLIGATION, LOSS, DAMAGE, PENALTY, ACTION, JUDGMENT, SUIT, COST, EXPENSE OR DISBURSEMENT IN EXCESS OF SUCH LENDER’S PRO RATA SHARE THEREOF;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THIS SENTENCE SHALL NOT BE DEEMED TO REQUIRE ANY LENDER TO INDEMNIFY ANY INDEMNITEE AGENT PARTY AGAINST ANY LIABILITY, OBLIGATION, LOSS, DAMAGE, PENALTY, ACTION, JUDGMENT, SUIT, COST, EXPENSE OR DISBURSEMENT DESCRIBED IN THE PROVISO IN THE IMMEDIATELY PRECEDING SENTENCE.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9.7</w:t>
      </w:r>
      <w:r>
        <w:rPr>
          <w:rFonts w:ascii="Times New Roman;serif" w:hAnsi="Times New Roman;serif"/>
          <w:b w:val="false"/>
          <w:color w:val="000000"/>
          <w:sz w:val="22"/>
          <w:u w:val="single"/>
        </w:rPr>
        <w:t>Successor Administrative Agent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Administrative Agent may resign at any time by giving thirty days’ (or such shorter period as shall be agreed by the Required Lenders) prior written notice thereof to Lenders and Company. Upon any such notice of resignation, Required Lenders shall have the right, upon five Business Days’ notice to Company, to appoint a successor Administrative Agent. If no successor shall have been so appointed by the Required Lenders and shall have accepted such appointment within thirty (30) days after the retiring Administrative Agent gives notice of its resignation, then the retiring Administrative Agent may, on behalf of the Lenders appoint a successor Administrative Agent from among the Lenders.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28650"/>
                <wp:effectExtent l="0" t="0" r="0" b="0"/>
                <wp:wrapNone/>
                <wp:docPr id="187" name="Frame18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 retiring Administrative Agent shall promptly (i) transfer to such successor Administrative Agent all sums, securities or Capital Stock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After any retiring Administrative Agent’s resignation hereunder as Administrative Agent,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shall inure to its benefit as to any actions taken or omitted to be taken by it while it was Administrative Agent hereunder.</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Notwithstanding anything herein to the contrary, Administrative Agent may assign its rights and duties as Administrative Agent, as applicable, hereunder to an Affiliate of Sixth Street without the prior written consent of, or prior written notice to, Company or the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Company and the Lenders may deem and treat such assigning Administrative Agent as Administrative Agent for all purposes hereof, unless and until such assigning Administrative Agent provides written notice to Company and the Lenders of such assignment. Upon such assignment such Affiliate shall succeed to and become vested with all rights, powers, privileges and duties as Administrative Agent hereunder and under the other Loan Documents.</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Administrative Agent may perform any and all of its duties and exercise its rights and powers under this Agreement or under any other Loan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w:t>
      </w:r>
      <w:r>
        <w:rPr>
          <w:rFonts w:ascii="Times New Roman;serif" w:hAnsi="Times New Roman;serif"/>
          <w:b w:val="false"/>
          <w:color w:val="000000"/>
          <w:sz w:val="22"/>
          <w:u w:val="single"/>
        </w:rPr>
        <w:t>Section 9.3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 xml:space="preserve">and of this </w:t>
      </w:r>
      <w:r>
        <w:rPr>
          <w:rFonts w:ascii="Times New Roman;serif" w:hAnsi="Times New Roman;serif"/>
          <w:b w:val="false"/>
          <w:color w:val="000000"/>
          <w:sz w:val="22"/>
          <w:u w:val="single"/>
        </w:rPr>
        <w:t>Section 9.7</w:t>
      </w:r>
      <w:r>
        <w:rPr>
          <w:color w:val="000000"/>
        </w:rPr>
        <w:t xml:space="preserve"> </w:t>
      </w:r>
      <w:r>
        <w:rPr>
          <w:rFonts w:ascii="Times New Roman;serif" w:hAnsi="Times New Roman;serif"/>
          <w:b w:val="false"/>
          <w:color w:val="000000"/>
          <w:sz w:val="22"/>
        </w:rPr>
        <w:t xml:space="preserve">shall apply to any of the Affiliates of Administrative Agent and shall apply to their respective activities in connection with the syndication of the credit facilities provided for herein as well as activities as Administrative Agent. All of the rights, benefits and privileges (including the exculpatory and indemnification provisions) of </w:t>
      </w:r>
      <w:r>
        <w:rPr>
          <w:rFonts w:ascii="Times New Roman;serif" w:hAnsi="Times New Roman;serif"/>
          <w:b w:val="false"/>
          <w:color w:val="000000"/>
          <w:sz w:val="22"/>
          <w:u w:val="single"/>
        </w:rPr>
        <w:t>Section 9.3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 xml:space="preserve">and of this </w:t>
      </w:r>
      <w:r>
        <w:rPr>
          <w:rFonts w:ascii="Times New Roman;serif" w:hAnsi="Times New Roman;serif"/>
          <w:b w:val="false"/>
          <w:color w:val="000000"/>
          <w:sz w:val="22"/>
          <w:u w:val="single"/>
        </w:rPr>
        <w:t>Section 9.7</w:t>
      </w:r>
      <w:r>
        <w:rPr>
          <w:color w:val="000000"/>
        </w:rPr>
        <w:t xml:space="preserve"> </w:t>
      </w:r>
      <w:r>
        <w:rPr>
          <w:rFonts w:ascii="Times New Roman;serif" w:hAnsi="Times New Roman;serif"/>
          <w:b w:val="false"/>
          <w:color w:val="000000"/>
          <w:sz w:val="22"/>
        </w:rPr>
        <w:t>shall apply to any such sub-agent and to the Affiliates of any such sub-agent, and shall apply to their respective activities as sub-agent as if such sub-agent and Affiliates were named herein. Notwithstanding anything herein to the contrary, with respect to each sub-agent appointed by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Loan Party, Lender or any other Person and no Loan Party, Lender or any other Person shall have the rights, directly or indirectly, as a third party beneficiary or otherwise, against such sub-agent.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9.8</w:t>
      </w:r>
      <w:r>
        <w:rPr>
          <w:rFonts w:ascii="Times New Roman;serif" w:hAnsi="Times New Roman;serif"/>
          <w:b w:val="false"/>
          <w:color w:val="000000"/>
          <w:sz w:val="22"/>
          <w:u w:val="single"/>
        </w:rPr>
        <w:t>Collateral Documents and Guaranty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Administrative Agent under Collateral Documents and Guaranty</w:t>
      </w:r>
      <w:r>
        <w:rPr>
          <w:rFonts w:ascii="Times New Roman;serif" w:hAnsi="Times New Roman;serif"/>
          <w:b w:val="false"/>
          <w:color w:val="000000"/>
          <w:sz w:val="22"/>
        </w:rPr>
        <w:t xml:space="preserve">. Each Lender hereby further authorizes Administrative Agent on behalf of and for the benefit of Lenders, to be the agent for and representative of Lenders with respect to the Guaranty, the Collateral and the Collateral Documents. Subject to </w:t>
      </w:r>
      <w:r>
        <w:rPr>
          <w:rFonts w:ascii="Times New Roman;serif" w:hAnsi="Times New Roman;serif"/>
          <w:b w:val="false"/>
          <w:color w:val="000000"/>
          <w:sz w:val="22"/>
          <w:u w:val="single"/>
        </w:rPr>
        <w:t xml:space="preserve">Section 10.5 </w:t>
      </w:r>
      <w:r>
        <w:rPr>
          <w:rFonts w:ascii="Times New Roman;serif" w:hAnsi="Times New Roman;serif"/>
          <w:b w:val="false"/>
          <w:color w:val="000000"/>
          <w:sz w:val="22"/>
        </w:rPr>
        <w:t xml:space="preserve">and without limiting subsection (b) below, without further written consent or authorization from Lenders, Administrative Agent (i) may execute any documents or instruments necessary to (A) release any Lien encumbering any item of Collateral that is the subject of a sale or other disposition of assets permitted hereby or to which Required Lenders (or such other Lenders as may be required to give such consent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have otherwise consented, or (B) release any Guarantor from the Guaranty pursuant to </w:t>
      </w:r>
      <w:r>
        <w:rPr>
          <w:rFonts w:ascii="Times New Roman;serif" w:hAnsi="Times New Roman;serif"/>
          <w:b w:val="false"/>
          <w:color w:val="000000"/>
          <w:sz w:val="22"/>
          <w:u w:val="single"/>
        </w:rPr>
        <w:t>Section 7.12</w:t>
      </w:r>
      <w:r>
        <w:rPr>
          <w:color w:val="000000"/>
        </w:rPr>
        <w:t xml:space="preserve"> </w:t>
      </w:r>
      <w:r>
        <w:rPr>
          <w:rFonts w:ascii="Times New Roman;serif" w:hAnsi="Times New Roman;serif"/>
          <w:b w:val="false"/>
          <w:color w:val="000000"/>
          <w:sz w:val="22"/>
        </w:rPr>
        <w:t xml:space="preserve">or with respect to which Required Lenders (or such other Lenders as may be required to give such consent under </w:t>
      </w:r>
      <w:r>
        <w:rPr>
          <w:rFonts w:ascii="Times New Roman;serif" w:hAnsi="Times New Roman;serif"/>
          <w:b w:val="false"/>
          <w:color w:val="000000"/>
          <w:sz w:val="22"/>
          <w:u w:val="single"/>
        </w:rPr>
        <w:t>Section 10.5</w:t>
      </w:r>
      <w:r>
        <w:rPr>
          <w:rFonts w:ascii="Times New Roman;serif" w:hAnsi="Times New Roman;serif"/>
          <w:b w:val="false"/>
          <w:color w:val="000000"/>
          <w:sz w:val="22"/>
        </w:rPr>
        <w:t xml:space="preserve">) have otherwise consented and (ii) shall (A) enter into an intercreditor agreement, on terms and in form and substance reasonably satisfactory to Administrative Agent with respect to any Permitted Royalty Transaction, and (B) if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28650"/>
                <wp:effectExtent l="0" t="0" r="0" b="0"/>
                <wp:wrapNone/>
                <wp:docPr id="188" name="Frame18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requested by Borrower, enter into customary non-disturbance agreements or other similar agreements, in form and substance reasonably satisfactory to the Administrative Agent, in connection with the entry by Borrower or any Subsidiary into any Permitted Product Agreement; provided, that prior to or concurrently with making any request pursuant to this </w:t>
      </w:r>
      <w:r>
        <w:rPr>
          <w:rFonts w:ascii="Times New Roman;serif" w:hAnsi="Times New Roman;serif"/>
          <w:b w:val="false"/>
          <w:color w:val="000000"/>
          <w:sz w:val="22"/>
          <w:u w:val="single"/>
        </w:rPr>
        <w:t>Section 9.8(a)(ii)(C)</w:t>
      </w:r>
      <w:r>
        <w:rPr>
          <w:rFonts w:ascii="Times New Roman;serif" w:hAnsi="Times New Roman;serif"/>
          <w:b w:val="false"/>
          <w:color w:val="000000"/>
          <w:sz w:val="22"/>
        </w:rPr>
        <w:t xml:space="preserve">, Borrower shall have used commercially reasonable efforts to negotiate the Permitted Product Agreement without a Lien release (and shall provide Administrative Agent reasonable documentation of the same); </w:t>
      </w:r>
      <w:r>
        <w:rPr>
          <w:rFonts w:ascii="Times New Roman;serif" w:hAnsi="Times New Roman;serif"/>
          <w:b w:val="false"/>
          <w:color w:val="000000"/>
          <w:sz w:val="22"/>
          <w:u w:val="single"/>
        </w:rPr>
        <w:t>provided</w:t>
      </w:r>
      <w:r>
        <w:rPr>
          <w:rFonts w:ascii="Times New Roman;serif" w:hAnsi="Times New Roman;serif"/>
          <w:b w:val="false"/>
          <w:color w:val="000000"/>
          <w:sz w:val="22"/>
        </w:rPr>
        <w:t>, further that the Administrative Agent, on behalf of and for the benefit of Lenders, will have a first priority security interest in all cash proceeds received or to be received by Borrower or any Subsidiary from such Permitted Product Agreement and Borrower shall use commercially reasonable efforts to grant to Administrative Agent, on behalf of and for the benefit of Lenders, a first priority security in such Permitted Product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The Lenders and the Administrative Agent further hereby irrevocably agree that the Administrative Agent shall take all action necessary to release the Liens granted to the Administrative Agent by the Loan Parties on any Collateral (and the Lenders authorize the Administrative Agent to effect and document such release) (i) in full, upon the Termination Date, (ii) that is the subject of a sale or other disposition of assets permitted under this Agreement or to which Required Lenders (or such other Lenders as may be required to give such consent under Section 10.5) have otherwise consented, (iii) to the extent such Collateral is comprised of property leased or licensed to a Loan Party, upon termination or expiration of such lease or license, (iv) if the release of such Lien is approved, authorized or ratified in writing by the Required Lenders (or such other percentage of the Lenders whose consent may be required in accordance with Section 10.05), (v) to the extent the property constituting such Collateral is owned by any Guarantor, upon the release of such Guarantor from its obligations under the Guaranty in accordance with the terms of this Agreement, or (vii) if such assets constitute Excluded Assets. The Administrative Agent shall be entitled to rely on a certificate in which the Borrower certifies that the Liens granted to the Administrative Agent on such assets may be released pursuant hereto or such assets constitute Excluded Assets or such Guarantor is an Excluded Subsidiary without further inquiry. The Lenders hereby authorize and instruct the Administrative Agent to, and the Administrative Agent agrees to, execute and deliver any instruments, acknowledgements, documents and agreements reasonably necessary or reasonably requested by the Borrower to evidence and confirm the release of any Guarantor or Collateral pursuant to the foregoing provisions of this paragraph, all without the further consent or joinder of any Lender and without any representation or warranty of any such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Right to Realize on Collateral and Enforce Guaranty</w:t>
      </w:r>
      <w:r>
        <w:rPr>
          <w:rFonts w:ascii="Times New Roman;serif" w:hAnsi="Times New Roman;serif"/>
          <w:b w:val="false"/>
          <w:color w:val="000000"/>
          <w:sz w:val="22"/>
        </w:rPr>
        <w:t xml:space="preserve">. Anything contained in any of the Loan Documents to the contrary notwithstanding, Company, Administrative Agent and each Lender hereby agree that (i) no Lender shall have any right individually to realize upon any of the Collateral or to enforce the Guaranty, it being understood and agreed that all powers, rights and remedies hereunder may be exercised solely by Administrative Agent, on behalf of Lenders in accordance with the terms hereof and all powers, rights and remedies under the Collateral Documents may be exercised solely by Administrative Agent, and (ii) in the event of a foreclosure by Administrative Agent on any of the Collateral pursuant to a public or private sale or any sale of the Collateral in a case under the Bankruptcy Code, Administrative Agent or any Lender may be the purchaser of any or all of such Collateral at any such sale and Administrative Agent, as agent for and representative of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28650"/>
                <wp:effectExtent l="0" t="0" r="0" b="0"/>
                <wp:wrapNone/>
                <wp:docPr id="189" name="Frame18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9.9</w:t>
      </w:r>
      <w:r>
        <w:rPr>
          <w:rFonts w:ascii="Times New Roman;serif" w:hAnsi="Times New Roman;serif"/>
          <w:b w:val="false"/>
          <w:color w:val="000000"/>
          <w:sz w:val="22"/>
          <w:u w:val="single"/>
        </w:rPr>
        <w:t>Agency for Perfection</w:t>
      </w:r>
      <w:r>
        <w:rPr>
          <w:rFonts w:ascii="Times New Roman;serif" w:hAnsi="Times New Roman;serif"/>
          <w:b w:val="false"/>
          <w:color w:val="000000"/>
          <w:sz w:val="22"/>
        </w:rPr>
        <w:t>. Administrative Agent and each Lender hereby appoints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Administrative Agent and each Lender hereby acknowledges that it holds possession of or otherwise controls any such Collateral for the benefit of the Lenders as secured party. Should any Lender obtain possession or control of any such Collateral, such Lender shall notify Administrative Agent thereof, and, promptly upon Administrative Agent’s request therefore shall deliver such Collateral to Administrative Agent or in accordance with Administrative Agent’s instructions. In addition, Administrative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9.10</w:t>
      </w:r>
      <w:r>
        <w:rPr>
          <w:rFonts w:ascii="Times New Roman;serif" w:hAnsi="Times New Roman;serif"/>
          <w:b w:val="false"/>
          <w:color w:val="000000"/>
          <w:sz w:val="22"/>
          <w:u w:val="single"/>
        </w:rPr>
        <w:t>Reports and Other Information; Confidentiality; Disclaimers</w:t>
      </w:r>
      <w:r>
        <w:rPr>
          <w:rFonts w:ascii="Times New Roman;serif" w:hAnsi="Times New Roman;serif"/>
          <w:b w:val="false"/>
          <w:color w:val="000000"/>
          <w:sz w:val="22"/>
        </w:rPr>
        <w:t>. By becoming a party to this Agreement, each Lender:</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is deemed to have requested that Administrative Agent furnish such Lender or Administrative Agent, promptly after it becomes available, a copy of each field audit or examination report with respect to Borrower or its Subsidiaries (each a “Report” and collectively, “Reports”) prepared by or at the request of Administrative Agent, and Administrative Agent shall so furnish each Lender with such Reports,</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628650"/>
                <wp:effectExtent l="0" t="0" r="0" b="0"/>
                <wp:wrapNone/>
                <wp:docPr id="190" name="Frame18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expressly agrees and acknowledges that Administrative Agent does not (i) make any representation or warranty as to the accuracy of any Report, and (ii) shall not be liable for any information contained in any Report, </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expressly agrees and acknowledges that the Reports are not comprehensive audits or examinations, that Administrative Agent or other party performing any audit or examination will inspect only specific information regarding Borrower and its Subsidiaries and will rely significantly upon Borrower’s and its Subsidiaries’ books and records, as well as on representations of such Person’s personnel,</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agrees to keep all Reports and other material, non-public information regarding Borrower and its Subsidiaries and their operations, assets, and existing and contemplated business plans in a confidential manner in accordance with </w:t>
      </w:r>
      <w:r>
        <w:rPr>
          <w:rFonts w:ascii="Times New Roman;serif" w:hAnsi="Times New Roman;serif"/>
          <w:b w:val="false"/>
          <w:color w:val="000000"/>
          <w:sz w:val="22"/>
          <w:u w:val="single"/>
        </w:rPr>
        <w:t>Section 10.20</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without limiting the generality of any other indemnification provision contained in this Agreement, agrees: (i) to hold Administrative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Company, or the indemnifying Lender’s participation in, or the indemnifying Lender’s purchase of, a loan or loans of Company, and (ii) to pay and protect, and indemnify, defend and hold Administrative Agent, and any such other Lender preparing a Report harmless from and against, the claims, actions, proceedings, damages, costs, expenses, and other amounts (including, attorneys’ fees and costs) incurred by Administrative Agent and any such other Lender or agent preparing a Report as the direct or indirect result of any third parties who might obtain all or part of any Report through the indemnifying Lender or Administrative Agent.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addition to the foregoing: (x) any Lender may from time to time request of Administrative Agent in writing that Administrative Agent provide to such Lender a copy of any report or document provided by Borrower or its Subsidiaries to Administrative Agent that has not been contemporaneously provided by Borrower or such Subsidiary to such Lender, and, upon receipt of such request, Administrative Agent promptly shall provide a copy of same to such Lender, (y) to the extent that Administrative Agent is entitled, under any provision of the Loan Documents, to request additional reports or information from Borrower or its Subsidiaries, any Lender may, from time to time, reasonably request Administrative Agent to exercise such right as specified in such Lender’s notice to Administrative Agent, whereupon Administrative Agent promptly shall request of Company the additional reports or information reasonably specified by such Lender, and, upon receipt thereof from Company or such Subsidiary, Administrative Agent promptly shall provide a copy of same to such Lender, and (z) any time that Administrative Agent renders to Company a statement regarding the Loan Account, Administrative Agent shall send a copy of such statement to each Lender.</w:t>
      </w:r>
    </w:p>
    <w:p>
      <w:pPr>
        <w:pStyle w:val="TextBody"/>
        <w:bidi w:val="0"/>
        <w:spacing w:lineRule="auto" w:line="240"/>
        <w:ind w:left="0" w:right="0" w:firstLine="720"/>
        <w:jc w:val="both"/>
        <w:rPr/>
      </w:pPr>
      <w:r>
        <w:rPr>
          <w:rFonts w:ascii="Times New Roman;serif" w:hAnsi="Times New Roman;serif"/>
          <w:b w:val="false"/>
          <w:color w:val="010000"/>
          <w:sz w:val="22"/>
        </w:rPr>
        <w:t>Section 9.11</w:t>
      </w:r>
      <w:r>
        <w:rPr>
          <w:rFonts w:ascii="Times New Roman;serif" w:hAnsi="Times New Roman;serif"/>
          <w:b w:val="false"/>
          <w:color w:val="000000"/>
          <w:sz w:val="22"/>
          <w:u w:val="single"/>
        </w:rPr>
        <w:t>Protective Advances</w:t>
      </w:r>
      <w:r>
        <w:rPr>
          <w:rFonts w:ascii="Times New Roman;serif" w:hAnsi="Times New Roman;serif"/>
          <w:b w:val="false"/>
          <w:color w:val="000000"/>
          <w:sz w:val="22"/>
        </w:rPr>
        <w:t>. Subject to the limitations set forth below, upon the occurrence and during the continuance of an Event of Default, Administrative Agent is authorized by Company and the Lenders, from time to time in Administrative Agent’s reasonable discretion (but Administrative Agent shall have absolutely no obligation to), to make disbursements or advances to Company, which Administrative Agent, in its reasonable discretion, deems necessary or desirable (i) to preserve or protect the Collateral, or any portion thereof, (ii) to enhance the likelihood of, or maximize the amount of, repayment of the Loans and other Obligations, or (iii) to pay any other amount chargeable to or required to be paid by Company pursuant to the terms of this Agreement and the other Loan Documents, including, without limitation, payments of principal, interest, fees and reimbursable expenses (in each case a “</w:t>
      </w:r>
      <w:r>
        <w:rPr>
          <w:rFonts w:ascii="Times New Roman;serif" w:hAnsi="Times New Roman;serif"/>
          <w:b w:val="false"/>
          <w:color w:val="000000"/>
          <w:sz w:val="22"/>
          <w:u w:val="single"/>
        </w:rPr>
        <w:t>Protective Advances</w:t>
      </w:r>
      <w:r>
        <w:rPr>
          <w:color w:val="000000"/>
        </w:rPr>
        <w:t>”</w:t>
      </w:r>
      <w:r>
        <w:rPr>
          <w:rFonts w:ascii="Times New Roman;serif" w:hAnsi="Times New Roman;serif"/>
          <w:b w:val="false"/>
          <w:color w:val="000000"/>
          <w:sz w:val="22"/>
        </w:rPr>
        <w:t xml:space="preserve">). Protective Advances may be made even if the conditions precedent set forth in Article III have not been satisfied. The interest rate on all Protective Advances shall be 15% per annum. Each Protective Advance shall be secured by the Liens in favor of Administrative Agent in and to the Collateral and shall constitute Obligations hereunder. The Protective Advances shall constitute Obligations hereunder which may be charged to the Loan Account in accordance with </w:t>
      </w:r>
      <w:r>
        <w:rPr>
          <w:rFonts w:ascii="Times New Roman;serif" w:hAnsi="Times New Roman;serif"/>
          <w:b w:val="false"/>
          <w:color w:val="000000"/>
          <w:sz w:val="22"/>
          <w:u w:val="single"/>
        </w:rPr>
        <w:t>Section 2.12(i)</w:t>
      </w:r>
      <w:r>
        <w:rPr>
          <w:rFonts w:ascii="Times New Roman;serif" w:hAnsi="Times New Roman;serif"/>
          <w:b w:val="false"/>
          <w:color w:val="000000"/>
          <w:sz w:val="22"/>
        </w:rPr>
        <w:t xml:space="preserve">. Company shall pay the unpaid principal amount and all unpaid and accrued interest of each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628650"/>
                <wp:effectExtent l="0" t="0" r="0" b="0"/>
                <wp:wrapNone/>
                <wp:docPr id="191" name="Frame18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Protective Advance on the earlier of the Term Loan Maturity Date and the date on which demand for payment is made by Administrative Agent. Administrative Agent shall notify each Lender and Company in writing of each such Protective Advance, which notice shall include a description of the purpose of such Protective Advance. Without limitation to its obligations pursuant to </w:t>
      </w:r>
      <w:r>
        <w:rPr>
          <w:rFonts w:ascii="Times New Roman;serif" w:hAnsi="Times New Roman;serif"/>
          <w:b w:val="false"/>
          <w:color w:val="000000"/>
          <w:sz w:val="22"/>
          <w:u w:val="single"/>
        </w:rPr>
        <w:t>Section 9.6</w:t>
      </w:r>
      <w:r>
        <w:rPr>
          <w:rFonts w:ascii="Times New Roman;serif" w:hAnsi="Times New Roman;serif"/>
          <w:b w:val="false"/>
          <w:color w:val="000000"/>
          <w:sz w:val="22"/>
        </w:rPr>
        <w:t>, each Lender agrees that it shall make available to Administrative Agent, upon such Administrative Agent’s demand, in Dollars in immediately available funds, the amount equal to such Lender’s Pro Rata Share of each such Protective Advance. If such funds are not made available to Administrative Agent by such Lender, Administrative Agent shall be entitled to recover such funds on demand from such Lender, together with interest thereon for each day from the date such payment was due until the date such amount is paid to Administrative Agent, at the Federal Funds Rate for three (3) Business Days and thereafter at the Prime Rate.</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9.12</w:t>
      </w:r>
      <w:r>
        <w:rPr>
          <w:rFonts w:ascii="Times New Roman;serif" w:hAnsi="Times New Roman;serif"/>
          <w:b w:val="false"/>
          <w:color w:val="000000"/>
          <w:sz w:val="22"/>
          <w:u w:val="single"/>
        </w:rPr>
        <w:t>Erroneous Distribution</w:t>
      </w:r>
      <w:r>
        <w:rPr>
          <w:rFonts w:ascii="Times New Roman;serif" w:hAnsi="Times New Roman;serif"/>
          <w:b w:val="false"/>
          <w:color w:val="000000"/>
          <w:sz w:val="22"/>
        </w:rPr>
        <w:t>. If all or any part of any payment or other distribution by or on behalf of the Administrative Agent to the Company or any of its Subsidiaries, any Lender, or other Person, on behalf of a Lender, is determined by the Administrative Agent in its sole discretion to have been made in error as determined by the Administrative Agent (any such distribution, an “</w:t>
      </w:r>
      <w:r>
        <w:rPr>
          <w:rFonts w:ascii="Times New Roman;serif" w:hAnsi="Times New Roman;serif"/>
          <w:b w:val="false"/>
          <w:color w:val="000000"/>
          <w:sz w:val="22"/>
          <w:u w:val="single"/>
        </w:rPr>
        <w:t>Erroneous Distribution</w:t>
      </w:r>
      <w:r>
        <w:rPr>
          <w:color w:val="000000"/>
        </w:rPr>
        <w:t>”</w:t>
      </w:r>
      <w:r>
        <w:rPr>
          <w:rFonts w:ascii="Times New Roman;serif" w:hAnsi="Times New Roman;serif"/>
          <w:b w:val="false"/>
          <w:color w:val="000000"/>
          <w:sz w:val="22"/>
        </w:rPr>
        <w:t>), then the Company or the relevant Subsidiary, the relevant Lender or other Person, on behalf of a Lender, shall forthwith on written demand (accompanied by a reasonably detailed calculation of such Erroneous Distribution) repay to the Administrative Agent the amount of such Erroneous Distribution received by such Person. Any determination by the Administrative Agent, in its sole discretion, that all or a portion of any distribution to the Company or any of its Subsidiaries, a Lender or other Person, on behalf of a Lender, was an Erroneous Distribution shall be conclusive absent manifest error. Each of the Company and any of its Subsidiaries, Lender and other potential recipient, on behalf of a Lender, of an Erroneous Distribution hereunder waives any claim of discharge for value and any other claim of entitlement to, or in respect of, any Erroneous Distribution</w:t>
      </w:r>
      <w:r>
        <w:rPr>
          <w:rFonts w:ascii="Times New Roman;serif" w:hAnsi="Times New Roman;serif"/>
          <w:b/>
          <w:color w:val="000000"/>
          <w:sz w:val="22"/>
        </w:rPr>
        <w:t>.</w:t>
      </w:r>
    </w:p>
    <w:p>
      <w:pPr>
        <w:pStyle w:val="TextBody"/>
        <w:bidi w:val="0"/>
        <w:spacing w:lineRule="auto" w:line="240" w:before="0" w:after="240"/>
        <w:jc w:val="center"/>
        <w:rPr/>
      </w:pPr>
      <w:r>
        <w:rPr>
          <w:rFonts w:ascii="Times New Roman;serif" w:hAnsi="Times New Roman;serif"/>
          <w:b w:val="false"/>
          <w:color w:val="010000"/>
          <w:sz w:val="22"/>
        </w:rPr>
        <w:t>Article X</w:t>
      </w:r>
      <w:r>
        <w:rPr>
          <w:rFonts w:ascii="Times New Roman;serif" w:hAnsi="Times New Roman;serif"/>
          <w:b w:val="false"/>
          <w:color w:val="000000"/>
          <w:sz w:val="22"/>
        </w:rPr>
        <w:br/>
        <w:br/>
        <w:t>MISCELLANEOUS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w:t>
      </w:r>
      <w:r>
        <w:rPr>
          <w:rFonts w:ascii="Times New Roman;serif" w:hAnsi="Times New Roman;serif"/>
          <w:b w:val="false"/>
          <w:color w:val="000000"/>
          <w:sz w:val="22"/>
          <w:u w:val="single"/>
        </w:rPr>
        <w:t>Notices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Notices Generally</w:t>
      </w:r>
      <w:r>
        <w:rPr>
          <w:rFonts w:ascii="Times New Roman;serif" w:hAnsi="Times New Roman;serif"/>
          <w:b w:val="false"/>
          <w:color w:val="000000"/>
          <w:sz w:val="22"/>
        </w:rPr>
        <w:t xml:space="preserve">. Unless otherwise specifically provided herein, any notice or other communication herein required or permitted to be given to a Loan Party, Administrative Agent, shall be sent to such Person’s address as set forth on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 xml:space="preserve">or in the other relevant Loan Document, and in the case of any Lender, the address as indicated on </w:t>
      </w:r>
      <w:r>
        <w:rPr>
          <w:rFonts w:ascii="Times New Roman;serif" w:hAnsi="Times New Roman;serif"/>
          <w:b w:val="false"/>
          <w:color w:val="000000"/>
          <w:sz w:val="22"/>
          <w:u w:val="single"/>
        </w:rPr>
        <w:t>Appendix B</w:t>
      </w:r>
      <w:r>
        <w:rPr>
          <w:color w:val="000000"/>
        </w:rPr>
        <w:t xml:space="preserve"> </w:t>
      </w:r>
      <w:r>
        <w:rPr>
          <w:rFonts w:ascii="Times New Roman;serif" w:hAnsi="Times New Roman;serif"/>
          <w:b w:val="false"/>
          <w:color w:val="000000"/>
          <w:sz w:val="22"/>
        </w:rPr>
        <w:t xml:space="preserve">or otherwise indicated to Administrative Agent in writing. Each notice hereunder shall be in writing and may be personally served, telexed or sent by facsimile or United States mail or courier service and shall be deemed to have been given when delivered in person or by courier service and signed for against receipt thereof, upon receipt of facsimile, or three (3) Business Days after depositing it in the United States mail with postage prepaid and properly addressed; </w:t>
      </w:r>
      <w:r>
        <w:rPr>
          <w:rFonts w:ascii="Times New Roman;serif" w:hAnsi="Times New Roman;serif"/>
          <w:b w:val="false"/>
          <w:color w:val="000000"/>
          <w:sz w:val="22"/>
          <w:u w:val="single"/>
        </w:rPr>
        <w:t>provided</w:t>
      </w:r>
      <w:r>
        <w:rPr>
          <w:rFonts w:ascii="Times New Roman;serif" w:hAnsi="Times New Roman;serif"/>
          <w:b w:val="false"/>
          <w:color w:val="000000"/>
          <w:sz w:val="22"/>
        </w:rPr>
        <w:t>, no notice to Administrative Agent shall be effective until received by Administrative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Electronic Communications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Administrative Agent and Company may,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approval of such procedures may be limited to particular notices or communications. Notices and other communications to the Lenders hereunder may be delivered or furnished by electronic communication (including e-mail and Internet or intranet websites) pursuant to procedures approved by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to any Lender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if such Lender has notified Administrative Agent that it is incapable of receiving notices under such Article by electronic communication.</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Unless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of notification that such notice or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28650"/>
                <wp:effectExtent l="0" t="0" r="0" b="0"/>
                <wp:wrapNone/>
                <wp:docPr id="192" name="Frame19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communication is available and identifying the website address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both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10.2</w:t>
      </w:r>
      <w:r>
        <w:rPr>
          <w:rFonts w:ascii="Times New Roman;serif" w:hAnsi="Times New Roman;serif"/>
          <w:b w:val="false"/>
          <w:color w:val="000000"/>
          <w:sz w:val="22"/>
          <w:u w:val="single"/>
        </w:rPr>
        <w:t>Expenses</w:t>
      </w:r>
      <w:r>
        <w:rPr>
          <w:rFonts w:ascii="Times New Roman;serif" w:hAnsi="Times New Roman;serif"/>
          <w:b w:val="false"/>
          <w:color w:val="000000"/>
          <w:sz w:val="22"/>
        </w:rPr>
        <w:t>. Whether or not the transactions contemplated hereby shall be consummated, Company agrees to pay promptly (a) all of Administrative Agent’s actual and reasonable out-of-pocket costs and expenses of preparation, negotiation, execution and administration of the Loan Documents and any consents, amendments, waivers or other modifications thereto; (b) all the reasonable fees, expenses and disbursements of counsel to Administrative Agent in connection with the negotiation, preparation, execution and administration of the Loan Documents and any consents, amendments, waivers or other modifications thereto and any other documents or matters requested by Company; (c) all the actual documented costs and reasonable expenses of creating and perfecting Liens in favor of Administrative Agent, for the benefit of Secured Parties, including filing and recording fees, expenses and taxes, stamp or documentary taxes, search fees, title insurance premiums and reasonable fees, expenses and disbursements of counsel to Administrative Agent and of counsel providing any opinions that Administrative Agent or Required Lenders may request in respect of the Collateral or the Liens created pursuant to the Collateral Documents; (d) all of Administrative Agent ‘s actual documented costs and reasonable fees, expenses for, and disbursements of any of Administrative Agent’s auditors, accountants, consultants or appraisers whether internal or external, and all reasonable and documented out-of-pocket attorneys’ fees (including expenses and disbursements of outside counsel but excluding allocated costs of internal counsel) incurred by Administrative Agent; (e) all the actual documented costs and reasonable and documented expenses (including the reasonable and documented out-of-pocket fees, expenses and disbursements of any appraisers, consultants, advisors and agents employed or retained by Administrative Agent and its counsel) in connection with the custody or preservation of any of the Collateral; (f) [reserved]; (g) all other actual and reasonable costs and expenses incurred by Administrative Agent in connection with the syndication of the Loans and Commitments and the negotiation, preparation and execution of the Loan Documents and any consents, amendments, waivers or other modifications thereto and the transactions contemplated thereby; and (h) after the occurrence of a Default or an Event of Default, all costs and expenses, including reasonable attorneys’ fees (including allocated costs of internal counsel) and costs of settlement, incurred by Administrative Agent and Lenders in enforcing any Obligations of or in collecting any payments due from any Loan Party hereunder or under the other Loan Documents by reason of such Default or Event of Default (including in connection with the sale of, collection from, or other realization upon any of the Collateral or the enforcement of the Guaranty) or in connection with any refinancing or restructuring of the credit arrangements provided hereunder in the nature of a “work out” or pursuant to any insolvency or bankruptcy cases or proceedings.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10.3</w:t>
      </w:r>
      <w:r>
        <w:rPr>
          <w:rFonts w:ascii="Times New Roman;serif" w:hAnsi="Times New Roman;serif"/>
          <w:b w:val="false"/>
          <w:color w:val="000000"/>
          <w:sz w:val="22"/>
          <w:u w:val="single"/>
        </w:rPr>
        <w:t>Indemnity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IN ADDITION TO THE PAYMENT OF EXPENSES PURSUANT TO </w:t>
      </w:r>
      <w:r>
        <w:rPr>
          <w:rFonts w:ascii="Times New Roman;serif" w:hAnsi="Times New Roman;serif"/>
          <w:b w:val="false"/>
          <w:color w:val="000000"/>
          <w:sz w:val="22"/>
          <w:u w:val="single"/>
        </w:rPr>
        <w:t>SECTION 10.2</w:t>
      </w:r>
      <w:r>
        <w:rPr>
          <w:rFonts w:ascii="Times New Roman;serif" w:hAnsi="Times New Roman;serif"/>
          <w:b w:val="false"/>
          <w:color w:val="000000"/>
          <w:sz w:val="22"/>
        </w:rPr>
        <w:t>, WHETHER OR NOT THE TRANSACTIONS CONTEMPLATED HEREBY SHALL BE CONSUMMATED, EACH LOAN PARTY AGREES TO DEFEND (SUBJECT TO INDEMNITEES’ SELECTION OF COUNSEL), INDEMNIFY, PAY AND HOLD HARMLESS, ADMINISTRATIVE AGENT AND LENDER, THEIR AFFILIATES AND THEIR RESPECTIVE OFFICERS, PARTNERS, DIRECTORS, TRUSTEES, EMPLOYEES AND AGENTS OF ADMINISTRATIVE AGENT AND EACH LENDER (EACH,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FROM AND AGAINST ANY AND ALL INDEMNIFIED LIABILITIES, </w:t>
      </w:r>
      <w:r>
        <w:rPr>
          <w:rFonts w:ascii="Times New Roman;serif" w:hAnsi="Times New Roman;serif"/>
          <w:b/>
          <w:color w:val="000000"/>
          <w:sz w:val="22"/>
        </w:rPr>
        <w:t>IN ALL CASES, WHETHER OR NOT CAUSED BY OR ARISING, IN WHOLE OR IN PART, OUT OF THE COMPARATIVE, CONTRIBUTORY, OR SOLE NEGLIGENCE OF SUCH INDEMNITEE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NO LOAN PARTY SHALL HAVE ANY OBLIGATION TO ANY INDEMNITEE 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serif" w:hAnsi="Times New Roman;serif"/>
          <w:b w:val="false"/>
          <w:color w:val="000000"/>
          <w:sz w:val="22"/>
          <w:u w:val="single"/>
        </w:rPr>
        <w:t>SECTION 10.3</w:t>
      </w:r>
      <w:r>
        <w:rPr>
          <w:color w:val="000000"/>
        </w:rPr>
        <w:t xml:space="preserve"> </w:t>
      </w:r>
      <w:r>
        <w:rPr>
          <w:rFonts w:ascii="Times New Roman;serif" w:hAnsi="Times New Roman;serif"/>
          <w:b w:val="false"/>
          <w:color w:val="000000"/>
          <w:sz w:val="22"/>
        </w:rPr>
        <w:t xml:space="preserve">MAY BE UNENFORCEABLE IN WHOLE OR IN PART BECAUSE THEY ARE VIOLATIVE OF ANY LAW OR PUBLIC POLICY, THE APPLICABLE LOAN PARTY SHALL CONTRIBUTE THE MAXIMUM PORTION THAT IT IS PERMITTED TO PAY AND SATISFY UNDER APPLICABLE LAW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28650"/>
                <wp:effectExtent l="0" t="0" r="0" b="0"/>
                <wp:wrapNone/>
                <wp:docPr id="193" name="Frame19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PAYMENT AND SATISFACTION OF ALL INDEMNIFIED LIABILITIES INCURRED BY INDEMNITEES OR ANY OF THEM.</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To the extent permitted by applicable law, no Loan Party shall assert, and each Loan Party hereby waives, any claim against Lenders, Administrative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Company hereby waives, releases and agrees not to sue upon any such claim or any such damages, whether or not accrued and whether or not known or suspected to exist in its favor.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10.4</w:t>
      </w:r>
      <w:r>
        <w:rPr>
          <w:rFonts w:ascii="Times New Roman;serif" w:hAnsi="Times New Roman;serif"/>
          <w:b w:val="false"/>
          <w:color w:val="000000"/>
          <w:sz w:val="22"/>
          <w:u w:val="single"/>
        </w:rPr>
        <w:t>Set-Off</w:t>
      </w:r>
      <w:r>
        <w:rPr>
          <w:rFonts w:ascii="Times New Roman;serif" w:hAnsi="Times New Roman;serif"/>
          <w:b w:val="false"/>
          <w:color w:val="000000"/>
          <w:sz w:val="22"/>
        </w:rPr>
        <w:t xml:space="preserve">. In addition to any rights now or hereafter granted under applicable law and not by way of limitation of any such rights, upon the occurrence of any Event of Default each Lender, and their respective Affiliates is hereby authorized by each Loan Party at any time or from time to time subject to the consent of Administrative Agent (such consent not to be unreasonably withheld or delayed), without notice to any Loan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Loan Party (in whatever currency) against and on account of the obligations and liabilities of any Loan Party to such Lender hereunder, the participations under the other Loan Documents, including all claims of any nature or description arising out of or connected hereto, or with any other Loan Document, irrespective of whether or not (a) such Lender shall have made any demand hereunder, (b) the principal of or interest on the Term Loans or any other amounts due hereunder shall have become due and payable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and although such obligations and liabilities, or any of them, may be contingent or unmatured or (c) such obligation or liability is owed to a branch or office of such Lender different from the branch or office holding such deposit or obligation or such Indebtedness.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10.5</w:t>
      </w:r>
      <w:r>
        <w:rPr>
          <w:rFonts w:ascii="Times New Roman;serif" w:hAnsi="Times New Roman;serif"/>
          <w:b w:val="false"/>
          <w:color w:val="000000"/>
          <w:sz w:val="22"/>
          <w:u w:val="single"/>
        </w:rPr>
        <w:t>Amendments and Waivers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Required Lenders’ Consent</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10.5(b)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10.5(b)(i)</w:t>
      </w:r>
      <w:r>
        <w:rPr>
          <w:rFonts w:ascii="Times New Roman;serif" w:hAnsi="Times New Roman;serif"/>
          <w:b w:val="false"/>
          <w:color w:val="000000"/>
          <w:sz w:val="22"/>
        </w:rPr>
        <w:t>, no amendment, modification, termination or waiver of any provision of the Loan Documents, or consent to any departure by any Loan Party therefrom, shall in any event be effective without the written consent of Administrative Agent and the Required Lenders.</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Affected Lenders’ Consent</w:t>
      </w:r>
      <w:r>
        <w:rPr>
          <w:rFonts w:ascii="Times New Roman;serif" w:hAnsi="Times New Roman;serif"/>
          <w:b w:val="false"/>
          <w:color w:val="000000"/>
          <w:sz w:val="22"/>
        </w:rPr>
        <w:t>. Without the written consent of each Lender (other than a Defaulting Lender) that would be affected thereby, no amendment, modification, termination, or consent shall be effective if the effect thereof would:</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extend the scheduled final maturity of any Loan or Note;</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waive, reduce or postpone any scheduled repayment (but not prepayment);</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(iii)</w:t>
      </w:r>
      <w:r>
        <w:rPr>
          <w:rFonts w:ascii="Times New Roman;serif" w:hAnsi="Times New Roman;serif"/>
          <w:b w:val="false"/>
          <w:color w:val="000000"/>
          <w:sz w:val="22"/>
        </w:rPr>
        <w:t xml:space="preserve">reduce the rate of interest on any Loan (other than any waiver of any increase in the interest rate applicable to any Loan pursuant to </w:t>
      </w:r>
      <w:r>
        <w:rPr>
          <w:rFonts w:ascii="Times New Roman;serif" w:hAnsi="Times New Roman;serif"/>
          <w:b w:val="false"/>
          <w:color w:val="000000"/>
          <w:sz w:val="22"/>
          <w:u w:val="single"/>
        </w:rPr>
        <w:t>Section 2.6</w:t>
      </w:r>
      <w:r>
        <w:rPr>
          <w:rFonts w:ascii="Times New Roman;serif" w:hAnsi="Times New Roman;serif"/>
          <w:b w:val="false"/>
          <w:color w:val="000000"/>
          <w:sz w:val="22"/>
        </w:rPr>
        <w:t>) or any fee payable hereunder;</w:t>
      </w:r>
    </w:p>
    <w:p>
      <w:pPr>
        <w:pStyle w:val="TextBody"/>
        <w:bidi w:val="0"/>
        <w:spacing w:lineRule="auto" w:line="240" w:before="0" w:after="240"/>
        <w:ind w:left="0" w:right="0" w:firstLine="2160"/>
        <w:jc w:val="both"/>
        <w:rPr/>
      </w:pPr>
      <w:r>
        <w:rPr>
          <w:rFonts w:ascii="Times New Roman;serif" w:hAnsi="Times New Roman;serif"/>
          <w:b w:val="false"/>
          <w:color w:val="010000"/>
          <w:sz w:val="22"/>
        </w:rPr>
        <w:t>(iv)</w:t>
      </w:r>
      <w:r>
        <w:rPr>
          <w:rFonts w:ascii="Times New Roman;serif" w:hAnsi="Times New Roman;serif"/>
          <w:b w:val="false"/>
          <w:color w:val="000000"/>
          <w:sz w:val="22"/>
        </w:rPr>
        <w:t>extend the time for payment of any such interest or fees;</w:t>
      </w:r>
    </w:p>
    <w:p>
      <w:pPr>
        <w:pStyle w:val="TextBody"/>
        <w:bidi w:val="0"/>
        <w:spacing w:lineRule="auto" w:line="240" w:before="0" w:after="240"/>
        <w:ind w:left="0" w:right="0" w:firstLine="2160"/>
        <w:jc w:val="both"/>
        <w:rPr/>
      </w:pPr>
      <w:r>
        <w:rPr>
          <w:rFonts w:ascii="Times New Roman;serif" w:hAnsi="Times New Roman;serif"/>
          <w:b w:val="false"/>
          <w:color w:val="010000"/>
          <w:sz w:val="22"/>
        </w:rPr>
        <w:t>(v)</w:t>
      </w:r>
      <w:r>
        <w:rPr>
          <w:rFonts w:ascii="Times New Roman;serif" w:hAnsi="Times New Roman;serif"/>
          <w:b w:val="false"/>
          <w:color w:val="000000"/>
          <w:sz w:val="22"/>
        </w:rPr>
        <w:t>reduce the principal amount of any Loan;</w:t>
      </w:r>
    </w:p>
    <w:p>
      <w:pPr>
        <w:pStyle w:val="TextBody"/>
        <w:bidi w:val="0"/>
        <w:spacing w:lineRule="auto" w:line="240" w:before="0" w:after="240"/>
        <w:ind w:left="0" w:right="0" w:firstLine="2160"/>
        <w:jc w:val="both"/>
        <w:rPr/>
      </w:pPr>
      <w:r>
        <w:rPr>
          <w:rFonts w:ascii="Times New Roman;serif" w:hAnsi="Times New Roman;serif"/>
          <w:b w:val="false"/>
          <w:color w:val="010000"/>
          <w:sz w:val="22"/>
        </w:rPr>
        <w:t>(vi)</w:t>
      </w:r>
      <w:r>
        <w:rPr>
          <w:rFonts w:ascii="Times New Roman;serif" w:hAnsi="Times New Roman;serif"/>
          <w:b w:val="false"/>
          <w:color w:val="000000"/>
          <w:sz w:val="22"/>
        </w:rPr>
        <w:t xml:space="preserve">amend, modify, terminate or waive any provision of this </w:t>
      </w:r>
      <w:r>
        <w:rPr>
          <w:rFonts w:ascii="Times New Roman;serif" w:hAnsi="Times New Roman;serif"/>
          <w:b w:val="false"/>
          <w:color w:val="000000"/>
          <w:sz w:val="22"/>
          <w:u w:val="single"/>
        </w:rPr>
        <w:t>Section 10.5(b)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10.5(b)(i)</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28650"/>
                <wp:effectExtent l="0" t="0" r="0" b="0"/>
                <wp:wrapNone/>
                <wp:docPr id="194" name="Frame19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10000"/>
          <w:sz w:val="22"/>
        </w:rPr>
        <w:t>(vii)</w:t>
      </w:r>
      <w:r>
        <w:rPr>
          <w:rFonts w:ascii="Times New Roman;serif" w:hAnsi="Times New Roman;serif"/>
          <w:b w:val="false"/>
          <w:color w:val="000000"/>
          <w:sz w:val="22"/>
        </w:rPr>
        <w:t>amend the definition of “Required Lenders” or “Pro Rata Share”;</w:t>
      </w:r>
    </w:p>
    <w:p>
      <w:pPr>
        <w:pStyle w:val="TextBody"/>
        <w:bidi w:val="0"/>
        <w:spacing w:lineRule="auto" w:line="240" w:before="0" w:after="240"/>
        <w:ind w:left="0" w:right="0" w:firstLine="2160"/>
        <w:jc w:val="both"/>
        <w:rPr/>
      </w:pPr>
      <w:r>
        <w:rPr>
          <w:rFonts w:ascii="Times New Roman;serif" w:hAnsi="Times New Roman;serif"/>
          <w:b w:val="false"/>
          <w:color w:val="010000"/>
          <w:sz w:val="22"/>
        </w:rPr>
        <w:t>(viii)</w:t>
      </w:r>
      <w:r>
        <w:rPr>
          <w:rFonts w:ascii="Times New Roman;serif" w:hAnsi="Times New Roman;serif"/>
          <w:b w:val="false"/>
          <w:color w:val="000000"/>
          <w:sz w:val="22"/>
        </w:rPr>
        <w:t>release all or substantially all of the Collateral or all or substantially all of the Guarantors from the Guaranty except as expressly provided in the Loan Documents;</w:t>
      </w:r>
    </w:p>
    <w:p>
      <w:pPr>
        <w:pStyle w:val="TextBody"/>
        <w:bidi w:val="0"/>
        <w:spacing w:lineRule="auto" w:line="240" w:before="0" w:after="240"/>
        <w:ind w:left="0" w:right="0" w:firstLine="2160"/>
        <w:jc w:val="both"/>
        <w:rPr/>
      </w:pPr>
      <w:r>
        <w:rPr>
          <w:rFonts w:ascii="Times New Roman;serif" w:hAnsi="Times New Roman;serif"/>
          <w:b w:val="false"/>
          <w:color w:val="010000"/>
          <w:sz w:val="22"/>
        </w:rPr>
        <w:t>(ix)</w:t>
      </w:r>
      <w:r>
        <w:rPr>
          <w:rFonts w:ascii="Times New Roman;serif" w:hAnsi="Times New Roman;serif"/>
          <w:b w:val="false"/>
          <w:color w:val="000000"/>
          <w:sz w:val="22"/>
        </w:rPr>
        <w:t>subordinate (x) any of the Obligations or (y) any Lien created by this Agreement or any other Loan Document, except, in the case of this clause (y), Liens securing Permitted Product Transaction, Permitted Royalty Transaction or other transaction expressly permitted hereunder that is contemplated to have priority over the Liens securing the Obligations; or</w:t>
      </w:r>
    </w:p>
    <w:p>
      <w:pPr>
        <w:pStyle w:val="TextBody"/>
        <w:bidi w:val="0"/>
        <w:spacing w:lineRule="auto" w:line="240" w:before="0" w:after="240"/>
        <w:ind w:left="0" w:right="0" w:firstLine="2160"/>
        <w:jc w:val="both"/>
        <w:rPr/>
      </w:pPr>
      <w:r>
        <w:rPr>
          <w:rFonts w:ascii="Times New Roman;serif" w:hAnsi="Times New Roman;serif"/>
          <w:b w:val="false"/>
          <w:color w:val="010000"/>
          <w:sz w:val="22"/>
        </w:rPr>
        <w:t>(x)</w:t>
      </w:r>
      <w:r>
        <w:rPr>
          <w:rFonts w:ascii="Times New Roman;serif" w:hAnsi="Times New Roman;serif"/>
          <w:b w:val="false"/>
          <w:color w:val="000000"/>
          <w:sz w:val="22"/>
        </w:rPr>
        <w:t>consent to the assignment or transfer by any Loan Party of any of its rights and obligations under any Loan Document.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Other Consents</w:t>
      </w:r>
      <w:r>
        <w:rPr>
          <w:rFonts w:ascii="Times New Roman;serif" w:hAnsi="Times New Roman;serif"/>
          <w:b w:val="false"/>
          <w:color w:val="000000"/>
          <w:sz w:val="22"/>
        </w:rPr>
        <w:t xml:space="preserve">. No amendment, modification, termination or waiver of any provision of the Loan Documents, or consent to any departure by any Loan Party therefrom, shall amend, modify, terminate or waive any provision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as the same applies to Administrative Agent, or any other provision hereof as the same applies to the rights or obligations of Administrative Agent, in each case without the consent of Administrative Agent.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u w:val="single"/>
        </w:rPr>
        <w:t>Execution of Amendments, Etc.</w:t>
      </w:r>
      <w:r>
        <w:rPr>
          <w:color w:val="000000"/>
        </w:rPr>
        <w:t xml:space="preserve"> </w:t>
      </w:r>
      <w:r>
        <w:rPr>
          <w:rFonts w:ascii="Times New Roman;serif" w:hAnsi="Times New Roman;serif"/>
          <w:b w:val="false"/>
          <w:color w:val="000000"/>
          <w:sz w:val="22"/>
        </w:rPr>
        <w:t xml:space="preserve">Administrative Agent may, but shall have no obligation to, with the consent of any 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shall be binding upon each Lender at the time outstanding, each future Lender and, if signed by a Loan Party, on such Loan Party.</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10.6</w:t>
      </w:r>
      <w:r>
        <w:rPr>
          <w:rFonts w:ascii="Times New Roman;serif" w:hAnsi="Times New Roman;serif"/>
          <w:b w:val="false"/>
          <w:color w:val="000000"/>
          <w:sz w:val="22"/>
          <w:u w:val="single"/>
        </w:rPr>
        <w:t>Successors and Assigns; Participations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Generally</w:t>
      </w:r>
      <w:r>
        <w:rPr>
          <w:rFonts w:ascii="Times New Roman;serif" w:hAnsi="Times New Roman;serif"/>
          <w:b w:val="false"/>
          <w:color w:val="000000"/>
          <w:sz w:val="22"/>
        </w:rPr>
        <w:t xml:space="preserve">. This Agreement shall be binding upon the parties hereto and their respective successors and assigns and shall inure to the benefit of the parties hereto and the successors and assigns of Lenders. No Loan Party’s rights or obligations hereunder nor any interest therein may be assigned or delegated by any Loan Party without the prior written consent of all Lenders. Nothing in this Agreement, expressed or implied, shall be construed to confer upon any Person (other than the parties hereto, Indemnitee Agent Parties under </w:t>
      </w:r>
      <w:r>
        <w:rPr>
          <w:rFonts w:ascii="Times New Roman;serif" w:hAnsi="Times New Roman;serif"/>
          <w:b w:val="false"/>
          <w:color w:val="000000"/>
          <w:sz w:val="22"/>
          <w:u w:val="single"/>
        </w:rPr>
        <w:t>Section 9.6</w:t>
      </w:r>
      <w:r>
        <w:rPr>
          <w:rFonts w:ascii="Times New Roman;serif" w:hAnsi="Times New Roman;serif"/>
          <w:b w:val="false"/>
          <w:color w:val="000000"/>
          <w:sz w:val="22"/>
        </w:rPr>
        <w:t xml:space="preserve">, Indemnitees under </w:t>
      </w:r>
      <w:r>
        <w:rPr>
          <w:rFonts w:ascii="Times New Roman;serif" w:hAnsi="Times New Roman;serif"/>
          <w:b w:val="false"/>
          <w:color w:val="000000"/>
          <w:sz w:val="22"/>
          <w:u w:val="single"/>
        </w:rPr>
        <w:t>Section 10.3</w:t>
      </w:r>
      <w:r>
        <w:rPr>
          <w:rFonts w:ascii="Times New Roman;serif" w:hAnsi="Times New Roman;serif"/>
          <w:b w:val="false"/>
          <w:color w:val="000000"/>
          <w:sz w:val="22"/>
        </w:rPr>
        <w:t>, their respective successors and assigns permitted hereby and, to the extent expressly contemplated hereby, Affiliates of each of Administrative Agent and Lenders) any legal or equitable right, remedy or claim under or by reason of this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Maintenance of the Register</w:t>
      </w:r>
      <w:r>
        <w:rPr>
          <w:rFonts w:ascii="Times New Roman;serif" w:hAnsi="Times New Roman;serif"/>
          <w:b w:val="false"/>
          <w:color w:val="000000"/>
          <w:sz w:val="22"/>
        </w:rPr>
        <w:t xml:space="preserve">. Company, Administrative Agent and Lenders shall, in accordance with the Register provisions of Section 2.3(b), deem and treat the Persons listed as Lenders in the Register as the holders and owners of the corresponding Commitments and Loans listed therein for all purposes hereof, and no assignment or transfer of any such Term Loan Commitment or Loan shall be effective, in each case, unless and until an Assignment Agreement effecting the assignment or transfer thereof shall have been delivered to and accepted by Administrative Agent and recorded in the Register as provided in </w:t>
      </w:r>
      <w:r>
        <w:rPr>
          <w:rFonts w:ascii="Times New Roman;serif" w:hAnsi="Times New Roman;serif"/>
          <w:b w:val="false"/>
          <w:color w:val="000000"/>
          <w:sz w:val="22"/>
          <w:u w:val="single"/>
        </w:rPr>
        <w:t>Section 10.6(e)</w:t>
      </w:r>
      <w:r>
        <w:rPr>
          <w:rFonts w:ascii="Times New Roman;serif" w:hAnsi="Times New Roman;serif"/>
          <w:b w:val="false"/>
          <w:color w:val="000000"/>
          <w:sz w:val="22"/>
        </w:rPr>
        <w:t>. Prior to such recordation, all amounts owed with respect to the applicable Term Loan Commitment or Loan shall be owed to the Lender listed in the Register as the owner thereof.</w:t>
      </w:r>
    </w:p>
    <w:p>
      <w:pPr>
        <w:pStyle w:val="TextBody"/>
        <w:bidi w:val="0"/>
        <w:spacing w:lineRule="auto" w:line="240"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u w:val="single"/>
        </w:rPr>
        <w:t>Right to Assign</w:t>
      </w:r>
      <w:r>
        <w:rPr>
          <w:rFonts w:ascii="Times New Roman;serif" w:hAnsi="Times New Roman;serif"/>
          <w:b w:val="false"/>
          <w:color w:val="000000"/>
          <w:sz w:val="22"/>
        </w:rPr>
        <w:t>. Each Lender shall have the right at any time to sell, assign or transfer all or a portion of its rights and obligations under this Agreement, including, without limitation, all or a portion of its Term Loan Commitment or Loans owing to it or other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each such assignment shall be of a uniform, and not varying, percentage of all rights and obligations under and in respect of any Loan and any related Commitments; provided, however, that each such assignment of an Initial Term Loan or Delayed Draw Term Loan Commitment shall be accompanied by a pro rata assignment of such Lender’s Delayed Draw Term Loan Commitments or Initial Term Loans,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28650"/>
                <wp:effectExtent l="0" t="0" r="0" b="0"/>
                <wp:wrapNone/>
                <wp:docPr id="195" name="Frame19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to any Person meeting the criteria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of the definition of the term of “</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upon the giving of notice to Company and Administrative Agent; and</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to any Person otherwise constituting an Eligible Assignee with the consent of Company (so long as no Default or Event of Default has occurred and is continuing)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Company shall not have responded in writing within [**] after receipt of written notice of the proposed assignment, Company shall be deemed to have approved such assignment) and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each such assignment pursuant to this </w:t>
      </w:r>
      <w:r>
        <w:rPr>
          <w:rFonts w:ascii="Times New Roman;serif" w:hAnsi="Times New Roman;serif"/>
          <w:b w:val="false"/>
          <w:color w:val="000000"/>
          <w:sz w:val="22"/>
          <w:u w:val="single"/>
        </w:rPr>
        <w:t>Section 10.6(c)(ii)</w:t>
      </w:r>
      <w:r>
        <w:rPr>
          <w:color w:val="000000"/>
        </w:rPr>
        <w:t xml:space="preserve"> </w:t>
      </w:r>
      <w:r>
        <w:rPr>
          <w:rFonts w:ascii="Times New Roman;serif" w:hAnsi="Times New Roman;serif"/>
          <w:b w:val="false"/>
          <w:color w:val="000000"/>
          <w:sz w:val="22"/>
        </w:rPr>
        <w:t xml:space="preserve">shall be in an aggregate amount of not less than $[**] (or such lesser amount as may be agreed to by Company and Administrative Agent). </w:t>
      </w:r>
    </w:p>
    <w:p>
      <w:pPr>
        <w:pStyle w:val="TextBody"/>
        <w:bidi w:val="0"/>
        <w:spacing w:lineRule="auto" w:line="240"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u w:val="single"/>
        </w:rPr>
        <w:t>Mechanics</w:t>
      </w:r>
      <w:r>
        <w:rPr>
          <w:rFonts w:ascii="Times New Roman;serif" w:hAnsi="Times New Roman;serif"/>
          <w:b w:val="false"/>
          <w:color w:val="000000"/>
          <w:sz w:val="22"/>
        </w:rPr>
        <w:t xml:space="preserve">. The assigning Lender and the assignee thereof shall execute and deliver to Administrative Agent an Assignment Agreement, together with such forms or certificates with respect to tax withholding matters as the assignee under such Assignment Agreement may be required to deliver to Administrative Agent pursuant to </w:t>
      </w:r>
      <w:r>
        <w:rPr>
          <w:rFonts w:ascii="Times New Roman;serif" w:hAnsi="Times New Roman;serif"/>
          <w:b w:val="false"/>
          <w:color w:val="000000"/>
          <w:sz w:val="22"/>
          <w:u w:val="single"/>
        </w:rPr>
        <w:t>Section 2.15(d)</w:t>
      </w:r>
      <w:r>
        <w:rPr>
          <w:color w:val="000000"/>
        </w:rPr>
        <w:t xml:space="preserve"> </w:t>
      </w:r>
      <w:r>
        <w:rPr>
          <w:rFonts w:ascii="Times New Roman;serif" w:hAnsi="Times New Roman;serif"/>
          <w:b w:val="false"/>
          <w:color w:val="000000"/>
          <w:sz w:val="22"/>
        </w:rPr>
        <w:t>and all “know your customer” documentation.</w:t>
      </w:r>
    </w:p>
    <w:p>
      <w:pPr>
        <w:pStyle w:val="TextBody"/>
        <w:bidi w:val="0"/>
        <w:spacing w:lineRule="auto" w:line="240"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u w:val="single"/>
        </w:rPr>
        <w:t>Notice of Assignment</w:t>
      </w:r>
      <w:r>
        <w:rPr>
          <w:rFonts w:ascii="Times New Roman;serif" w:hAnsi="Times New Roman;serif"/>
          <w:b w:val="false"/>
          <w:color w:val="000000"/>
          <w:sz w:val="22"/>
        </w:rPr>
        <w:t>. Upon its receipt and acceptance of a duly executed and completed Assignment Agreement, any forms or certificates required by this Agreement in connection therewith, Administrative Agent shall record the information contained in such Assignment Agreement in the Register, shall give prompt notice thereof to Company and shall maintain a copy of such Assignment Agreement.</w:t>
      </w:r>
    </w:p>
    <w:p>
      <w:pPr>
        <w:pStyle w:val="TextBody"/>
        <w:bidi w:val="0"/>
        <w:spacing w:lineRule="auto" w:line="240"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u w:val="single"/>
        </w:rPr>
        <w:t>Representations and Warranties of Assignee</w:t>
      </w:r>
      <w:r>
        <w:rPr>
          <w:rFonts w:ascii="Times New Roman;serif" w:hAnsi="Times New Roman;serif"/>
          <w:b w:val="false"/>
          <w:color w:val="000000"/>
          <w:sz w:val="22"/>
        </w:rPr>
        <w:t>. Each Lender, upon execution and delivery hereof or upon executing and delivering an Assignment Agreement, as the case may be, represents and warrants as of the Closing Date or as of the applicable Effective Date (as defined in the applicable Assignment Agreement) that (i) it is an Eligible Assignee; (ii) it has experience and expertise in the making of or investing in commitments or loans such as the applicable Term Loan Commitments or Loans, as the case may be; and (iii) it will make or invest in, as the case may be, its Term Loan Commitments or Loans for its own account in the ordinary course of its business and without a view to distribution of such Term Loan Commitments or Loans within the meaning of the Securities Act or the Exchange Act or other federal securities laws.</w:t>
      </w:r>
    </w:p>
    <w:p>
      <w:pPr>
        <w:pStyle w:val="TextBody"/>
        <w:bidi w:val="0"/>
        <w:spacing w:lineRule="auto" w:line="240" w:before="0" w:after="240"/>
        <w:ind w:left="0" w:right="0" w:firstLine="1440"/>
        <w:jc w:val="both"/>
        <w:rPr/>
      </w:pPr>
      <w:r>
        <w:rPr>
          <w:rFonts w:ascii="Times New Roman;serif" w:hAnsi="Times New Roman;serif"/>
          <w:b w:val="false"/>
          <w:color w:val="010000"/>
          <w:sz w:val="22"/>
        </w:rPr>
        <w:t>(g)</w:t>
      </w:r>
      <w:r>
        <w:rPr>
          <w:rFonts w:ascii="Times New Roman;serif" w:hAnsi="Times New Roman;serif"/>
          <w:b w:val="false"/>
          <w:color w:val="000000"/>
          <w:sz w:val="22"/>
          <w:u w:val="single"/>
        </w:rPr>
        <w:t>Effect of Assignment</w:t>
      </w:r>
      <w:r>
        <w:rPr>
          <w:rFonts w:ascii="Times New Roman;serif" w:hAnsi="Times New Roman;serif"/>
          <w:b w:val="false"/>
          <w:color w:val="000000"/>
          <w:sz w:val="22"/>
        </w:rPr>
        <w:t xml:space="preserve">. Subject to the terms and conditions of this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as of the later (i) of the “Effective Date” specified in the applicable Assignment Agreement or (ii) the date such assignment is recorded in the Register: (A) the assignee thereunder shall have the rights and obligations of a “Lender” hereunder to the extent such rights and obligations hereunder have been assigned to it pursuant to such Assignment Agreement and shall thereafter be a party hereto and a “Lender” for all purposes hereof; (B) the assigning Lender thereunder shall, to the extent that rights and obligations hereunder have been assigned thereby pursuant to such Assignment Agreement, relinquish its rights (other than any rights which survive the termination hereof under </w:t>
      </w:r>
      <w:r>
        <w:rPr>
          <w:rFonts w:ascii="Times New Roman;serif" w:hAnsi="Times New Roman;serif"/>
          <w:b w:val="false"/>
          <w:color w:val="000000"/>
          <w:sz w:val="22"/>
          <w:u w:val="single"/>
        </w:rPr>
        <w:t>Section 10.8</w:t>
      </w:r>
      <w:r>
        <w:rPr>
          <w:rFonts w:ascii="Times New Roman;serif" w:hAnsi="Times New Roman;serif"/>
          <w:b w:val="false"/>
          <w:color w:val="000000"/>
          <w:sz w:val="22"/>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anything contained in any of the Loan Documents to the contrary notwithstanding, such assigning Lender shall continue to be entitled to the benefit of all indemnities hereunder as specified herein with respect to matters arising out of the prior involvement of such assigning Lender as a Lender hereunder); (C) the Commitments shall be modified to reflect the Commitment of such assignee and any Commitment of such assigning Lender, if any; and (D) if any such assignment occurs after the issuance of any Note hereunder, the assigning Lender shall, upon the effectiveness of such assignment or as promptly thereafter as practicable, surrender its applicable Notes to Administrative Agent for cancellation, and thereupon Company shall issue and deliver new Notes, if so requested by the assignee and/or assigning Lender, to such assignee and/or to such assigning Lender, with appropriate insertions, to reflect the new Commitments and/or outstanding Loans of the assignee and/or the assigning Lender.</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28650"/>
                <wp:effectExtent l="0" t="0" r="0" b="0"/>
                <wp:wrapNone/>
                <wp:docPr id="196" name="Frame19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2"/>
        </w:rPr>
        <w:t>(h)</w:t>
      </w:r>
      <w:r>
        <w:rPr>
          <w:rFonts w:ascii="Times New Roman;serif" w:hAnsi="Times New Roman;serif"/>
          <w:b w:val="false"/>
          <w:color w:val="000000"/>
          <w:sz w:val="22"/>
          <w:u w:val="single"/>
        </w:rPr>
        <w:t>Participations</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10000"/>
          <w:sz w:val="22"/>
        </w:rPr>
        <w:t>(i)</w:t>
      </w:r>
      <w:r>
        <w:rPr>
          <w:rFonts w:ascii="Times New Roman;serif" w:hAnsi="Times New Roman;serif"/>
          <w:b w:val="false"/>
          <w:color w:val="000000"/>
          <w:sz w:val="22"/>
        </w:rPr>
        <w:t xml:space="preserve">Each Lender shall have the right at any time to sell one or more participations to any Person (other than Borrower, any of its Subsidiaries or any of its Affiliates) in all or any part of its Commitments, Loans or in any other Obligation. The holder of any such participation, other than an Affiliate of the Lender granting such participation, shall not be entitled to require such Lender to take or omit to take any action hereunder except with respect to any amendment, modification or waiver that would (i) extend the final scheduled maturity of any Term Loan or Note in which such participant is participating, or reduce the rate or extend the time of payment of interest or fees thereon (except in connection with a waiver of applicability of any post 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Term Loan Commitment or Loan shall be permitted without the consent of any participant if the participant’s participation is not increased as a result thereof), (ii) consent to the assignment or transfer by any Loan Party of any of its rights and obligations under this Agreement, or (iii) release all or substantially all of the Collateral under the Collateral Documents or all or substantially all of the Guarantors from the Guaranty (in each case, except as expressly provided in the Loan Documents) supporting the Loans hereunder in which such participant is participating. Company agrees that each participant shall be entitled to the benefits of </w:t>
      </w:r>
      <w:r>
        <w:rPr>
          <w:rFonts w:ascii="Times New Roman;serif" w:hAnsi="Times New Roman;serif"/>
          <w:b w:val="false"/>
          <w:color w:val="000000"/>
          <w:sz w:val="22"/>
          <w:u w:val="single"/>
        </w:rPr>
        <w:t>Sections</w:t>
      </w:r>
      <w:r>
        <w:rPr>
          <w:color w:val="000000"/>
        </w:rPr>
        <w:t xml:space="preserve"> </w:t>
      </w:r>
      <w:r>
        <w:rPr>
          <w:rFonts w:ascii="Times New Roman;serif" w:hAnsi="Times New Roman;serif"/>
          <w:b w:val="false"/>
          <w:color w:val="000000"/>
          <w:sz w:val="22"/>
          <w:u w:val="single"/>
        </w:rPr>
        <w:t>2.14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(it being understood that the documentation required under Section 2.15(d) shall be delivered to the participating Lender) to the same extent as if it were a Lender and had acquired its interest by assignment pursuant to </w:t>
      </w:r>
      <w:r>
        <w:rPr>
          <w:rFonts w:ascii="Times New Roman;serif" w:hAnsi="Times New Roman;serif"/>
          <w:b w:val="false"/>
          <w:color w:val="000000"/>
          <w:sz w:val="22"/>
          <w:u w:val="single"/>
        </w:rPr>
        <w:t>Section 10.6(c)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(A) a participant shall not be entitled to the benefits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unless, at the time such participant is claiming such benefits, Company is notified of the participation sold to such participant and such participant agrees, for the benefit of Company, to comply with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as though it were a Lender (B) the participant agrees to be subject to the provisions of Section 2.16 as if it were a Lender; and (C) the participant shall not be entitled to receive any greater payment under Section 2.14 or 2.15,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serif" w:hAnsi="Times New Roman;serif"/>
          <w:b w:val="false"/>
          <w:color w:val="000000"/>
          <w:sz w:val="22"/>
          <w:u w:val="single"/>
        </w:rPr>
        <w:t>Section 10.4</w:t>
      </w:r>
      <w:r>
        <w:rPr>
          <w:color w:val="000000"/>
        </w:rPr>
        <w:t xml:space="preserve"> </w:t>
      </w:r>
      <w:r>
        <w:rPr>
          <w:rFonts w:ascii="Times New Roman;serif" w:hAnsi="Times New Roman;serif"/>
          <w:b w:val="false"/>
          <w:color w:val="000000"/>
          <w:sz w:val="22"/>
        </w:rPr>
        <w:t xml:space="preserve">as though it were a Lender, provided such participant agrees to be subject to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as though it were a Lender.</w:t>
      </w:r>
    </w:p>
    <w:p>
      <w:pPr>
        <w:pStyle w:val="TextBody"/>
        <w:bidi w:val="0"/>
        <w:spacing w:lineRule="auto" w:line="240" w:before="0" w:after="240"/>
        <w:ind w:left="0" w:right="0" w:firstLine="2160"/>
        <w:jc w:val="both"/>
        <w:rPr/>
      </w:pPr>
      <w:r>
        <w:rPr>
          <w:rFonts w:ascii="Times New Roman;serif" w:hAnsi="Times New Roman;serif"/>
          <w:b w:val="false"/>
          <w:color w:val="010000"/>
          <w:sz w:val="22"/>
        </w:rPr>
        <w:t>(ii)</w:t>
      </w:r>
      <w:r>
        <w:rPr>
          <w:rFonts w:ascii="Times New Roman;serif" w:hAnsi="Times New Roman;serif"/>
          <w:b w:val="false"/>
          <w:color w:val="000000"/>
          <w:sz w:val="22"/>
        </w:rPr>
        <w:t>In the event that any Lender sells participations in its Commitments, Loans or in any other Obligation hereunder, such Lender shall, acting solely for this purpose as a non-fiduciary agent of Company, maintain a register on which it enters the name and address of all participants in the Commitments, Loans or Obligations held by it and the principal amount (and stated interest thereon) of the portion of such Commitments, Loans or Obligations which are the subject of the participation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 Commitment, Loan or Obligation hereunder may be participated in whole or in part only by registration of such participation on the Participant Register (and each Note shall expressly so provide). The Participant Register shall be available for inspection by Company at any reasonable time and from time to time upon reasonable prior notice. For the avoidance of doubt, Administrative Agent (in its capacity as administrative agent) shall not have any responsibility for maintaining a Participant Register. </w:t>
      </w:r>
    </w:p>
    <w:p>
      <w:pPr>
        <w:pStyle w:val="TextBody"/>
        <w:bidi w:val="0"/>
        <w:spacing w:lineRule="auto" w:line="240" w:before="0" w:after="240"/>
        <w:ind w:left="0" w:right="0" w:firstLine="144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Certain Other Assignments</w:t>
      </w:r>
      <w:r>
        <w:rPr>
          <w:rFonts w:ascii="Times New Roman;serif" w:hAnsi="Times New Roman;serif"/>
          <w:b w:val="false"/>
          <w:color w:val="000000"/>
          <w:sz w:val="22"/>
        </w:rPr>
        <w:t xml:space="preserve">. In addition to any other assignment permitted pursuant to this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any Lender or Administrative Agent may assign, pledge and/or grant a security interest in, all or any portion of its Loans, the other Obligations owed by or to such Lender, and its Notes, if any, to secure obligations of such Lender or Administrative Agent or any of its Affiliates to any Person providing any loan, letter of credit or other extension of credit or financial arrangement to or for the account of such Lender or Administrative Agent or any of its Affiliates and any agent, trustee or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628650"/>
                <wp:effectExtent l="0" t="0" r="0" b="0"/>
                <wp:wrapNone/>
                <wp:docPr id="197" name="Frame19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representative of such Person (without the consent of, or notice to, or any other action by, any other party hereto), including, without limitation, any Federal Reserve Bank as collateral security pursuant to Regulation A of the Board of Governors of the Federal Reserve System and any operating circular issued by such Federal Reserve Bank;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no Lender or Administrative Agent, as between Company and such Lender or Administrative Agent, shall be relieved of any of its obligations hereunder as a result of any such assignment and pledge; </w:t>
      </w:r>
      <w:r>
        <w:rPr>
          <w:rFonts w:ascii="Times New Roman;serif" w:hAnsi="Times New Roman;serif"/>
          <w:b w:val="false"/>
          <w:color w:val="000000"/>
          <w:sz w:val="22"/>
          <w:u w:val="single"/>
        </w:rPr>
        <w:t>provided further</w:t>
      </w:r>
      <w:r>
        <w:rPr>
          <w:rFonts w:ascii="Times New Roman;serif" w:hAnsi="Times New Roman;serif"/>
          <w:b w:val="false"/>
          <w:color w:val="000000"/>
          <w:sz w:val="22"/>
        </w:rPr>
        <w:t>, in no event shall such Person, agent, trustee or representative of such Person or the applicable Federal Reserve Bank be considered to be a “Lender” or “Agent” or be entitled to require the assigning Lender or Administrative Agent to take or omit to take any action hereunder.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10.7</w:t>
      </w:r>
      <w:r>
        <w:rPr>
          <w:rFonts w:ascii="Times New Roman;serif" w:hAnsi="Times New Roman;serif"/>
          <w:b w:val="false"/>
          <w:color w:val="000000"/>
          <w:sz w:val="22"/>
          <w:u w:val="single"/>
        </w:rPr>
        <w:t>Independence of Covenants</w:t>
      </w:r>
      <w:r>
        <w:rPr>
          <w:rFonts w:ascii="Times New Roman;serif" w:hAnsi="Times New Roman;serif"/>
          <w:b w:val="false"/>
          <w:color w:val="000000"/>
          <w:sz w:val="22"/>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10.8</w:t>
      </w:r>
      <w:r>
        <w:rPr>
          <w:rFonts w:ascii="Times New Roman;serif" w:hAnsi="Times New Roman;serif"/>
          <w:b w:val="false"/>
          <w:color w:val="000000"/>
          <w:sz w:val="22"/>
          <w:u w:val="single"/>
        </w:rPr>
        <w:t>Survival of Representations, Warranties and Agreements</w:t>
      </w:r>
      <w:r>
        <w:rPr>
          <w:rFonts w:ascii="Times New Roman;serif" w:hAnsi="Times New Roman;serif"/>
          <w:b w:val="false"/>
          <w:color w:val="000000"/>
          <w:sz w:val="22"/>
        </w:rPr>
        <w:t xml:space="preserve">. All representations, warranties and agreements made herein shall survive the execution and delivery hereof and the making of any Credit Extension. Notwithstanding anything herein or implied by law to the contrary, the agreements of each Loan Party set forth in </w:t>
      </w:r>
      <w:r>
        <w:rPr>
          <w:rFonts w:ascii="Times New Roman;serif" w:hAnsi="Times New Roman;serif"/>
          <w:b w:val="false"/>
          <w:color w:val="000000"/>
          <w:sz w:val="22"/>
          <w:u w:val="single"/>
        </w:rPr>
        <w:t>Sections 2.14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10.4</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10.10</w:t>
      </w:r>
      <w:r>
        <w:rPr>
          <w:color w:val="000000"/>
        </w:rPr>
        <w:t xml:space="preserve"> </w:t>
      </w:r>
      <w:r>
        <w:rPr>
          <w:rFonts w:ascii="Times New Roman;serif" w:hAnsi="Times New Roman;serif"/>
          <w:b w:val="false"/>
          <w:color w:val="000000"/>
          <w:sz w:val="22"/>
        </w:rPr>
        <w:t xml:space="preserve">and the agreements of Lenders set forth in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9.3(b),</w:t>
      </w:r>
      <w:r>
        <w:rPr>
          <w:color w:val="000000"/>
        </w:rPr>
        <w:t xml:space="preserve"> </w:t>
      </w:r>
      <w:r>
        <w:rPr>
          <w:rFonts w:ascii="Times New Roman;serif" w:hAnsi="Times New Roman;serif"/>
          <w:b w:val="false"/>
          <w:color w:val="000000"/>
          <w:sz w:val="22"/>
          <w:u w:val="single"/>
        </w:rPr>
        <w:t>9.6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10.20</w:t>
      </w:r>
      <w:r>
        <w:rPr>
          <w:color w:val="000000"/>
        </w:rPr>
        <w:t xml:space="preserve"> </w:t>
      </w:r>
      <w:r>
        <w:rPr>
          <w:rFonts w:ascii="Times New Roman;serif" w:hAnsi="Times New Roman;serif"/>
          <w:b w:val="false"/>
          <w:color w:val="000000"/>
          <w:sz w:val="22"/>
        </w:rPr>
        <w:t>shall survive the payment of the Term Loans and the termination 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10.9</w:t>
      </w:r>
      <w:r>
        <w:rPr>
          <w:rFonts w:ascii="Times New Roman;serif" w:hAnsi="Times New Roman;serif"/>
          <w:b w:val="false"/>
          <w:color w:val="000000"/>
          <w:sz w:val="22"/>
          <w:u w:val="single"/>
        </w:rPr>
        <w:t>No Waiver; Remedies Cumulative</w:t>
      </w:r>
      <w:r>
        <w:rPr>
          <w:rFonts w:ascii="Times New Roman;serif" w:hAnsi="Times New Roman;serif"/>
          <w:b w:val="false"/>
          <w:color w:val="000000"/>
          <w:sz w:val="22"/>
        </w:rPr>
        <w:t>. No failure or delay on the part of Administrative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Administrative Agent and each Lender hereby are cumulative and shall be in addition to and independent of all rights, powers and remedies existing by virtue of any statute or rule of law or in any of the other Loan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10.10</w:t>
      </w:r>
      <w:r>
        <w:rPr>
          <w:rFonts w:ascii="Times New Roman;serif" w:hAnsi="Times New Roman;serif"/>
          <w:b w:val="false"/>
          <w:color w:val="000000"/>
          <w:sz w:val="22"/>
          <w:u w:val="single"/>
        </w:rPr>
        <w:t>Marshalling; Payments Set Aside</w:t>
      </w:r>
      <w:r>
        <w:rPr>
          <w:rFonts w:ascii="Times New Roman;serif" w:hAnsi="Times New Roman;serif"/>
          <w:b w:val="false"/>
          <w:color w:val="000000"/>
          <w:sz w:val="22"/>
        </w:rPr>
        <w:t>. Neither Administrative Agent nor any Lender shall be under any obligation to marshal any assets in favor of any Loan Party or any other Person or against or in payment of any or all of the Obligations. To the extent that any Loan Party makes a payment or payments to Administrative Agent or Lenders (or to Administrative Agent, on behalf of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10.11</w:t>
      </w:r>
      <w:r>
        <w:rPr>
          <w:rFonts w:ascii="Times New Roman;serif" w:hAnsi="Times New Roman;serif"/>
          <w:b w:val="false"/>
          <w:color w:val="000000"/>
          <w:sz w:val="22"/>
          <w:u w:val="single"/>
        </w:rPr>
        <w:t>Severability</w:t>
      </w:r>
      <w:r>
        <w:rPr>
          <w:rFonts w:ascii="Times New Roman;serif" w:hAnsi="Times New Roman;serif"/>
          <w:b w:val="false"/>
          <w:color w:val="000000"/>
          <w:sz w:val="22"/>
        </w:rPr>
        <w:t>. In case any provision in or obligation hereunder or any Note or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10.12</w:t>
      </w:r>
      <w:r>
        <w:rPr>
          <w:rFonts w:ascii="Times New Roman;serif" w:hAnsi="Times New Roman;serif"/>
          <w:b w:val="false"/>
          <w:color w:val="000000"/>
          <w:sz w:val="22"/>
          <w:u w:val="single"/>
        </w:rPr>
        <w:t>Obligations Several; Independent Nature of Lenders’ Rights</w:t>
      </w:r>
      <w:r>
        <w:rPr>
          <w:rFonts w:ascii="Times New Roman;serif" w:hAnsi="Times New Roman;serif"/>
          <w:b w:val="false"/>
          <w:color w:val="000000"/>
          <w:sz w:val="22"/>
        </w:rPr>
        <w:t xml:space="preserve">. The obligations of Lenders hereunder are several and no Lender shall be responsible for the obligations or Commitment of any other Lender hereunder. Nothing contained herein or in any other Loan Document, and no action taken by Lenders pursuant hereto or thereto, shall be deemed to constitute Lenders as a partnership, an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28650"/>
                <wp:effectExtent l="0" t="0" r="0" b="0"/>
                <wp:wrapNone/>
                <wp:docPr id="198" name="Frame19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association, a joint venture or any other kind of entity. The amounts payable at any time hereunder to each Lender shall be a separate and independent debt.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10.13</w:t>
      </w:r>
      <w:r>
        <w:rPr>
          <w:rFonts w:ascii="Times New Roman;serif" w:hAnsi="Times New Roman;serif"/>
          <w:b w:val="false"/>
          <w:color w:val="000000"/>
          <w:sz w:val="22"/>
          <w:u w:val="single"/>
        </w:rPr>
        <w:t>AHYDO.</w:t>
      </w:r>
      <w:r>
        <w:rPr>
          <w:rFonts w:ascii="Times New Roman;serif" w:hAnsi="Times New Roman;serif"/>
          <w:b w:val="false"/>
          <w:color w:val="000000"/>
          <w:sz w:val="22"/>
        </w:rPr>
        <w:t>. The Borrower shall pay on the first Interest Payment Date occurring after the fifth anniversary of the date hereof and on each subsequent Interest Payment Date (or, if earlier, before the close of any “accrual period” (as defined in Section 1272(a)(5) of the Code) ending after five (5) years from the date hereof) a portion of the accrued but Unpaid Interest on the Term Loans in an amount sufficient to ensure that the Term Loans will not be “applicable high yield discount obligations” within the meaning of Section 163(i)(1) of the Code (each payment a “Special Mandatory Repayment”) and that the Term Loans shall be treated as not having “significant original issue discount” within the meaning of Section 163(i)(2) of the Code, provided that any interest that is paid using the proceeds of a Delayed Draw Term Loan shall not be considered paid for purposes of this Section 10.13. This Section 10.13 shall be interpreted in a manner consistent with the intent that the Loans will not be an “applicable high yield discount obligation” and will not be treated as not having “significant original issue discount,” as such terms are defined above</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10.14</w:t>
      </w:r>
      <w:r>
        <w:rPr>
          <w:rFonts w:ascii="Times New Roman;serif" w:hAnsi="Times New Roman;serif"/>
          <w:b w:val="false"/>
          <w:color w:val="000000"/>
          <w:sz w:val="22"/>
          <w:u w:val="single"/>
        </w:rPr>
        <w:t>Tax Treatment</w:t>
      </w:r>
      <w:r>
        <w:rPr>
          <w:rFonts w:ascii="Times New Roman;serif" w:hAnsi="Times New Roman;serif"/>
          <w:b w:val="false"/>
          <w:color w:val="000000"/>
          <w:sz w:val="22"/>
        </w:rPr>
        <w:t>. The parties hereto agree that (a) the Loans are intended to be treated as contingent payment debt instruments within the meaning of Section 1.1275-4 of the Treasury Regulations for U.S. federal income and any other applicable tax purposes; (b) that interest and original interest payable</w:t>
      </w:r>
      <w:r>
        <w:rPr>
          <w:color w:val="000000"/>
        </w:rPr>
        <w:t xml:space="preserve"> </w:t>
      </w:r>
      <w:r>
        <w:rPr>
          <w:rFonts w:ascii="Times New Roman;serif" w:hAnsi="Times New Roman;serif"/>
          <w:b w:val="false"/>
          <w:color w:val="000000"/>
          <w:sz w:val="22"/>
        </w:rPr>
        <w:t>under the Loans is not “contingent interest” within the meaning of Sections 871(h)(4) and 881(c)(4) of the Code and (c) to adhere to this Section 10.14 for U.S. federal income and any other applicable Tax purposes and not to take any action or file any Tax return, report or declaration inconsistent herewith unless otherwise required by applicable law. The Borrower shall not determine the comparable yield or the projected payment schedule (as defined in Section 1.1275-4 of the Treasury Regulations) of the Loans without the consent of the Lenders (not to be unreasonably conditioned, withheld or delayed). The inclusion of this Section 10.14 is not an admission by any Lender that it is subject to United States taxation.</w:t>
      </w:r>
    </w:p>
    <w:p>
      <w:pPr>
        <w:pStyle w:val="TextBody"/>
        <w:bidi w:val="0"/>
        <w:spacing w:lineRule="auto" w:line="240" w:before="0" w:after="0"/>
        <w:ind w:left="0" w:right="0" w:firstLine="720"/>
        <w:jc w:val="both"/>
        <w:rPr/>
      </w:pPr>
      <w:r>
        <w:rPr>
          <w:rFonts w:ascii="Times New Roman;serif" w:hAnsi="Times New Roman;serif"/>
          <w:b w:val="false"/>
          <w:color w:val="010000"/>
          <w:sz w:val="22"/>
        </w:rPr>
        <w:t>Section 10.15</w:t>
      </w:r>
      <w:r>
        <w:rPr>
          <w:rFonts w:ascii="Times New Roman;serif" w:hAnsi="Times New Roman;serif"/>
          <w:b w:val="false"/>
          <w:color w:val="000000"/>
          <w:sz w:val="22"/>
          <w:u w:val="single"/>
        </w:rPr>
        <w:t>Original Issue Discount</w:t>
      </w:r>
      <w:r>
        <w:rPr>
          <w:rFonts w:ascii="Times New Roman;serif" w:hAnsi="Times New Roman;serif"/>
          <w:b w:val="false"/>
          <w:color w:val="000000"/>
          <w:sz w:val="22"/>
        </w:rPr>
        <w:t>. For purposes of Sections 1272, 1273 and 1275 of the Internal Revenue Code, each Term Loan is being issued with original issue discount; please contact the chief financial officer of the Borrower to obtain information regarding the issue price, the amount of original issue discount and the yield to maturity.</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10.16</w:t>
      </w:r>
      <w:r>
        <w:rPr>
          <w:rFonts w:ascii="Times New Roman;serif" w:hAnsi="Times New Roman;serif"/>
          <w:b w:val="false"/>
          <w:color w:val="000000"/>
          <w:sz w:val="22"/>
          <w:u w:val="single"/>
        </w:rPr>
        <w:t>Headings</w:t>
      </w:r>
      <w:r>
        <w:rPr>
          <w:rFonts w:ascii="Times New Roman;serif" w:hAnsi="Times New Roman;serif"/>
          <w:b w:val="false"/>
          <w:color w:val="000000"/>
          <w:sz w:val="22"/>
        </w:rPr>
        <w:t>. Section headings herein are included herein for convenience of reference only and shall not constitute a part hereof for any other purpose or be given any substantive effect.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10.17</w:t>
      </w:r>
      <w:r>
        <w:rPr>
          <w:rFonts w:ascii="Times New Roman;serif" w:hAnsi="Times New Roman;serif"/>
          <w:b w:val="false"/>
          <w:color w:val="000000"/>
          <w:sz w:val="22"/>
          <w:u w:val="single"/>
        </w:rPr>
        <w:t>APPLICABLE LAW</w:t>
      </w:r>
      <w:r>
        <w:rPr>
          <w:rFonts w:ascii="Times New Roman;serif" w:hAnsi="Times New Roman;serif"/>
          <w:b w:val="false"/>
          <w:color w:val="000000"/>
          <w:sz w:val="22"/>
        </w:rPr>
        <w:t>. THIS AGREEMENT (INCLUDING SECTION 10.17) AND THE RIGHTS AND OBLIGATIONS OF THE PARTIES HEREUNDER SHALL BE GOVERNED BY, AND SHALL BE CONSTRUED AND ENFORCED IN ACCORDANCE WITH, THE LAWS OF THE STATE OF NEW YORK APPLICABLE TO CONTRACTS MADE AND TO BE PERFORMED IN THE STATE OF NEW YORK.</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10.18</w:t>
      </w:r>
      <w:r>
        <w:rPr>
          <w:rFonts w:ascii="Times New Roman;serif" w:hAnsi="Times New Roman;serif"/>
          <w:b w:val="false"/>
          <w:color w:val="000000"/>
          <w:sz w:val="22"/>
          <w:u w:val="single"/>
        </w:rPr>
        <w:t>CONSENT TO JURISDICTION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ALL JUDICIAL PROCEEDINGS BROUGHT AGAINST ANY LOAN PARTY ARISING OUT OF OR RELATING HERETO OR ANY OTHER LOAN DOCUMENT, OR ANY OF THE OBLIGATIONS, MAY BE BROUGHT IN ANY STATE OR FEDERAL COURT OF COMPETENT JURISDICTION IN THE STATE, COUNTY AND CITY OF NEW YORK. BY EXECUTING AND DELIVERING THIS AGREEMENT, EACH LOAN PARTY,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LOAN PARTY AT ITS ADDRESS PROVIDED IN ACCORDANCE WITH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OR TO ANY PROCESS AGENT SELECTED FOR SUCH LOAN PARTY IN ACCORDANCE WITH </w:t>
      </w:r>
      <w:r>
        <w:rPr>
          <w:rFonts w:ascii="Times New Roman;serif" w:hAnsi="Times New Roman;serif"/>
          <w:b w:val="false"/>
          <w:color w:val="000000"/>
          <w:sz w:val="22"/>
          <w:u w:val="single"/>
        </w:rPr>
        <w:t>SECTION 3.1(U)</w:t>
      </w:r>
      <w:r>
        <w:rPr>
          <w:color w:val="000000"/>
        </w:rPr>
        <w:t xml:space="preserve"> </w:t>
      </w:r>
      <w:r>
        <w:rPr>
          <w:rFonts w:ascii="Times New Roman;serif" w:hAnsi="Times New Roman;serif"/>
          <w:b w:val="false"/>
          <w:color w:val="000000"/>
          <w:sz w:val="22"/>
        </w:rPr>
        <w:t xml:space="preserve">IS SUFFICIENT TO CONFER PERSONAL JURISDICTION OVER THE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28650"/>
                <wp:effectExtent l="0" t="0" r="0" b="0"/>
                <wp:wrapNone/>
                <wp:docPr id="199" name="Frame19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LOAN PARTY IN ANY SUCH PROCEEDING IN ANY SUCH COURT, AND OTHERWISE CONSTITUTES EFFECTIVE AND BINDING SERVICE IN EVERY RESPECT; AND (iv) AGREES THAT ADMINSTRATIVE AGENT AND LENDERS RETAIN THE RIGHT TO SERVE PROCESS IN ANY OTHER MANNER PERMITTED BY LAW OR TO BRING PROCEEDINGS AGAINST ANY LOAN PARTY IN THE COURTS OF ANY OTHER JURISDICTION.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10.19</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serif" w:hAnsi="Times New Roman;serif"/>
          <w:b w:val="false"/>
          <w:color w:val="000000"/>
          <w:sz w:val="22"/>
          <w:u w:val="single"/>
        </w:rPr>
        <w:t>SECTION 10.19</w:t>
      </w:r>
      <w:r>
        <w:rPr>
          <w:color w:val="000000"/>
        </w:rPr>
        <w:t xml:space="preserve"> </w:t>
      </w:r>
      <w:r>
        <w:rPr>
          <w:rFonts w:ascii="Times New Roman;serif" w:hAnsi="Times New Roman;serif"/>
          <w:b w:val="false"/>
          <w:color w:val="000000"/>
          <w:sz w:val="22"/>
        </w:rPr>
        <w:t>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10.20</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Administrative Agent and Lender (each, a “</w:t>
      </w:r>
      <w:r>
        <w:rPr>
          <w:rFonts w:ascii="Times New Roman;serif" w:hAnsi="Times New Roman;serif"/>
          <w:b w:val="false"/>
          <w:color w:val="000000"/>
          <w:sz w:val="22"/>
          <w:u w:val="single"/>
        </w:rPr>
        <w:t>Recipient</w:t>
      </w:r>
      <w:r>
        <w:rPr>
          <w:color w:val="000000"/>
        </w:rPr>
        <w:t>”</w:t>
      </w:r>
      <w:r>
        <w:rPr>
          <w:rFonts w:ascii="Times New Roman;serif" w:hAnsi="Times New Roman;serif"/>
          <w:b w:val="false"/>
          <w:color w:val="000000"/>
          <w:sz w:val="22"/>
        </w:rPr>
        <w:t>) shall hold all non-public, proprietary or confidential information regarding Company and its Subsidiaries and their businesses, in visual, written, electronic or other tangibles form, whether or not marked or designated as “confidential” and obtained by such Lender from (or on behalf of) Company or its Subsidiaries and all materials prepared by Recipient or any of their Affiliates that contain or are substantially based on any of the foregoing (collectively, “</w:t>
      </w:r>
      <w:r>
        <w:rPr>
          <w:rFonts w:ascii="Times New Roman;serif" w:hAnsi="Times New Roman;serif"/>
          <w:b w:val="false"/>
          <w:color w:val="000000"/>
          <w:sz w:val="22"/>
          <w:u w:val="single"/>
        </w:rPr>
        <w:t>Confidential Information</w:t>
      </w:r>
      <w:r>
        <w:rPr>
          <w:color w:val="000000"/>
        </w:rPr>
        <w:t>”</w:t>
      </w:r>
      <w:r>
        <w:rPr>
          <w:rFonts w:ascii="Times New Roman;serif" w:hAnsi="Times New Roman;serif"/>
          <w:b w:val="false"/>
          <w:color w:val="000000"/>
          <w:sz w:val="22"/>
        </w:rPr>
        <w:t xml:space="preserve">) confidential and will use such information solely for purposes of this Agreement and related transactions contemplated hereunder, it being understood and agreed by Company that (a) Confidential Information shall not include information that (i) is or becomes generally available to the public other than as a result of Recipient’s act or omission in breach of the terms hereof; (ii) is obtained by Recipient on a non-confidential basis from a third party that was not, to the knowledge of the Administrative Agent or such Lender, as applicable, legally or contractually restricted from disclosing such information by an obligation owed to the Company and its Subsidiaries; (iii) was in Recipient’s possession prior to disclosure by (or on behalf of) the Company and its Subsidiaries; or (iv) was or is independently developed by Recipient and (b) in any event, Administrative Agent or Lender may make (i) disclosures of such information to Affiliates of Administrative Agent or Lender and to their respective employees, officers, directors, partners, limited partners, current and prospective investors, managed funds, managed accounts, managers, members, agents, servicers, consultants, attorneys, accountants and advisors (and to other persons authorized by a Lender or Administrative Agent to organize, present or disseminate such information in connection with disclosures otherwise made in accordance with this </w:t>
      </w:r>
      <w:r>
        <w:rPr>
          <w:rFonts w:ascii="Times New Roman;serif" w:hAnsi="Times New Roman;serif"/>
          <w:b w:val="false"/>
          <w:color w:val="000000"/>
          <w:sz w:val="22"/>
          <w:u w:val="single"/>
        </w:rPr>
        <w:t>Section 10.20)</w:t>
      </w:r>
      <w:r>
        <w:rPr>
          <w:rFonts w:ascii="Times New Roman;serif" w:hAnsi="Times New Roman;serif"/>
          <w:b w:val="false"/>
          <w:color w:val="000000"/>
          <w:sz w:val="22"/>
        </w:rPr>
        <w:t xml:space="preserve">, (ii) disclosures of such information reasonably required by any bona fide or potential assignee, transferee or participant in connection with the contemplated assignment, transfer or participation by any such Lender of any Loans or any participations therein; provided that, prior to any disclosure such assignee, transferee or participant is informed of the confidential nature of the information and instructed to keep such Confidential Information confidential, (iii) [reserved], (iv) disclosure to any Lender’s financing sources; provided that, prior to any disclosure such financing source is informed of the confidential nature of the information and instructed to keep such Confidential Information confidential, (v) disclosures of such information to any actual or potential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28650"/>
                <wp:effectExtent l="0" t="0" r="0" b="0"/>
                <wp:wrapNone/>
                <wp:docPr id="200" name="Frame19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investors, members and partners of Administrative Agent, any Lender or their Affiliates; provided that prior to any disclosure, such investor or partner is informed of the confidential nature of the information and instructed to keep such Confidential Information confidential and (v) disclosure required or requested in connection with any public filings, whether pursuant to any securities laws or regulations or rules promulgated therefor (including the Investment Company Act of 1940 or otherwise) or representative thereof or by the National Association of Insurance Commissioners (and any successor thereto) or pursuant to legal or judicial process; </w:t>
      </w:r>
      <w:r>
        <w:rPr>
          <w:rFonts w:ascii="Times New Roman;serif" w:hAnsi="Times New Roman;serif"/>
          <w:b w:val="false"/>
          <w:color w:val="000000"/>
          <w:sz w:val="22"/>
          <w:u w:val="single"/>
        </w:rPr>
        <w:t>provided</w:t>
      </w:r>
      <w:r>
        <w:rPr>
          <w:rFonts w:ascii="Times New Roman;serif" w:hAnsi="Times New Roman;serif"/>
          <w:b w:val="false"/>
          <w:color w:val="000000"/>
          <w:sz w:val="22"/>
        </w:rPr>
        <w:t>, unless specifically prohibited by applicable law or court order, Administrative Agent and Lender shall make reasonable efforts to notify Company of any request by any 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Notwithstanding anything to the contrary set forth herein, each party (and each of their respective employees, representatives or other agents) may disclose to any and all persons, without limitations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and their respective Affiliates’ directors and employees to comply with applicable securities laws. For this purpose, “tax structure” means any facts relevant to the federal income tax treatment of the transactions contemplated by this Agreement but does not include information relating to the identity of any of the parties hereto or any of their respective Affiliates. Notwithstanding the foregoing, on or after the Closing Date, Administrative Agent and any Lender may, at its own expense, issue news releases and publish “tombstone” advertisements and other announcements relating to this transaction in newspapers, trade journals and other appropriate media (which may include use of logos of one or more of the Loan Parties) (collectively, “</w:t>
      </w:r>
      <w:r>
        <w:rPr>
          <w:rFonts w:ascii="Times New Roman;serif" w:hAnsi="Times New Roman;serif"/>
          <w:b w:val="false"/>
          <w:color w:val="000000"/>
          <w:sz w:val="22"/>
          <w:u w:val="single"/>
        </w:rPr>
        <w:t>Trade Announcements</w:t>
      </w:r>
      <w:r>
        <w:rPr>
          <w:color w:val="000000"/>
        </w:rPr>
        <w:t>”</w:t>
      </w:r>
      <w:r>
        <w:rPr>
          <w:rFonts w:ascii="Times New Roman;serif" w:hAnsi="Times New Roman;serif"/>
          <w:b w:val="false"/>
          <w:color w:val="000000"/>
          <w:sz w:val="22"/>
        </w:rPr>
        <w:t>). No Loan Party shall (i) issue any Trade Announcement or (ii) disclose the name of any Administrative Agent or any Lender, except (A) disclosures required by applicable law, regulation, legal process or the rules of the Securities and Exchange Commission, (B) on a confidential basis to the Company’s controlled Affiliates and Subsidiaries and the Company’s and their controlled Affiliates’ and Subsidiaries’ Board of Directors (or equivalent governing body), employees, representatives and professional advisors, subject, in the case of this clause (B), to such person being subject to customary confidentiality obligations with respect to this Agreement, (C) to the extent such information becomes publicly available other than by reason of improper disclosure in violation of the confidentiality obligations set forth in this Section 10.20, (E) to a Tax authority, to the extent reasonably necessary in connection with the Tax affairs of the Company and/or any of its Affiliates or (C) with the prior approval of the Administrative Agent and such Lender.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10.21</w:t>
      </w:r>
      <w:r>
        <w:rPr>
          <w:rFonts w:ascii="Times New Roman;serif" w:hAnsi="Times New Roman;serif"/>
          <w:b w:val="false"/>
          <w:color w:val="000000"/>
          <w:sz w:val="22"/>
          <w:u w:val="single"/>
        </w:rPr>
        <w:t>Usury Savings Clause</w:t>
      </w:r>
      <w:r>
        <w:rPr>
          <w:rFonts w:ascii="Times New Roman;serif" w:hAnsi="Times New Roman;serif"/>
          <w:b w:val="false"/>
          <w:color w:val="000000"/>
          <w:sz w:val="22"/>
        </w:rPr>
        <w:t xml:space="preserve">.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Company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Company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Company.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28650"/>
                <wp:effectExtent l="0" t="0" r="0" b="0"/>
                <wp:wrapNone/>
                <wp:docPr id="201" name="Frame19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prepayments and the effects thereof, and (c) amortize, prorate, allocate, and spread in equal or unequal parts the total amount of interest, throughout the contemplated term of the Obligations hereunder.</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10.22</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any number of counterparts, each of which when so executed and delivered shall be deemed an original, but all such counterparts together shall constitute but one and the same instrument. This Agreement shall become effective upon the execution of a counterpart hereof by each of the parties hereto.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other Loan Documents and the transactions contemplated hereby and thereby (including without limitation Assignment Agreement, amendments,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10.23</w:t>
      </w:r>
      <w:r>
        <w:rPr>
          <w:rFonts w:ascii="Times New Roman;serif" w:hAnsi="Times New Roman;serif"/>
          <w:b w:val="false"/>
          <w:color w:val="000000"/>
          <w:sz w:val="22"/>
          <w:u w:val="single"/>
        </w:rPr>
        <w:t>Effectiveness</w:t>
      </w:r>
      <w:r>
        <w:rPr>
          <w:rFonts w:ascii="Times New Roman;serif" w:hAnsi="Times New Roman;serif"/>
          <w:b w:val="false"/>
          <w:color w:val="000000"/>
          <w:sz w:val="22"/>
        </w:rPr>
        <w:t>. This Agreement shall become effective upon the execution of a counterpart hereof by each of the parties hereto and receipt by Company and Administrative Agent of written notification of such execution and authorization of delivery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10.24</w:t>
      </w:r>
      <w:r>
        <w:rPr>
          <w:rFonts w:ascii="Times New Roman;serif" w:hAnsi="Times New Roman;serif"/>
          <w:b w:val="false"/>
          <w:color w:val="000000"/>
          <w:sz w:val="22"/>
          <w:u w:val="single"/>
        </w:rPr>
        <w:t>PATRIOT Act Notice</w:t>
      </w:r>
      <w:r>
        <w:rPr>
          <w:rFonts w:ascii="Times New Roman;serif" w:hAnsi="Times New Roman;serif"/>
          <w:b w:val="false"/>
          <w:color w:val="000000"/>
          <w:sz w:val="22"/>
        </w:rPr>
        <w:t>. Each Lender and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the Loan Parties and other information that will allow such Lender or Administrative Agent, as applicable, to identify the Loan Parties in accordance with the PATRIOT Act or other Anti-Terrorism Laws of the Loan Parties and other information that will allow such Lender or Administrative Agent, as applicable, to identify the Loan Parties in connection with the PATRIOT Act.</w:t>
      </w:r>
    </w:p>
    <w:p>
      <w:pPr>
        <w:pStyle w:val="TextBody"/>
        <w:bidi w:val="0"/>
        <w:spacing w:lineRule="auto" w:line="240" w:before="0" w:after="240"/>
        <w:ind w:left="0" w:right="0" w:firstLine="720"/>
        <w:jc w:val="both"/>
        <w:rPr/>
      </w:pPr>
      <w:r>
        <w:rPr>
          <w:rFonts w:ascii="Times New Roman;serif" w:hAnsi="Times New Roman;serif"/>
          <w:b w:val="false"/>
          <w:color w:val="010000"/>
          <w:sz w:val="22"/>
        </w:rPr>
        <w:t>Section 10.25</w:t>
      </w:r>
      <w:r>
        <w:rPr>
          <w:rFonts w:ascii="Times New Roman;serif" w:hAnsi="Times New Roman;serif"/>
          <w:b w:val="false"/>
          <w:color w:val="000000"/>
          <w:sz w:val="22"/>
          <w:u w:val="single"/>
        </w:rPr>
        <w:t>Waiver of Immunity</w:t>
      </w:r>
      <w:r>
        <w:rPr>
          <w:rFonts w:ascii="Times New Roman;serif" w:hAnsi="Times New Roman;serif"/>
          <w:b w:val="false"/>
          <w:color w:val="000000"/>
          <w:sz w:val="22"/>
        </w:rPr>
        <w:t xml:space="preserve">. To the extent that any Loan Party has or hereafter may acquire (or may be attributed, whether or not claimed) any immunity (sovereign or otherwise) from any legal action, suit or proceeding, from jurisdiction of any court or from set-off or any legal process (whether service of process or notice, attachment prior to judgment, attachment in aid of execution of judgment, execution of judgment or otherwise) with respect to itself or any of its property, such Loan Party hereby irrevocably waives and agrees not to plead or claim, to the fullest extent permitted by law, such immunity in respect of (a) its obligations under the Loan Documents, (b) any legal proceedings to enforce such obligations and (c) any legal proceedings to enforce any judgment rendered in any proceedings to enforce such obligations. Each Loan Party hereby agrees that the waivers set forth in this </w:t>
      </w:r>
      <w:r>
        <w:rPr>
          <w:rFonts w:ascii="Times New Roman;serif" w:hAnsi="Times New Roman;serif"/>
          <w:b w:val="false"/>
          <w:color w:val="000000"/>
          <w:sz w:val="22"/>
          <w:u w:val="single"/>
        </w:rPr>
        <w:t>Section 10.25</w:t>
      </w:r>
      <w:r>
        <w:rPr>
          <w:color w:val="000000"/>
        </w:rPr>
        <w:t xml:space="preserve"> </w:t>
      </w:r>
      <w:r>
        <w:rPr>
          <w:rFonts w:ascii="Times New Roman;serif" w:hAnsi="Times New Roman;serif"/>
          <w:b w:val="false"/>
          <w:color w:val="000000"/>
          <w:sz w:val="22"/>
        </w:rPr>
        <w:t>shall be to the fullest extent permitted under the Foreign Sovereign Immunities Act and are intended to be irrevocable for purposes of the Foreign Sovereign Immunities Act.</w:t>
      </w:r>
    </w:p>
    <w:p>
      <w:pPr>
        <w:pStyle w:val="TextBody"/>
        <w:bidi w:val="0"/>
        <w:spacing w:lineRule="auto" w:line="288" w:before="0" w:after="72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28650"/>
                <wp:effectExtent l="0" t="0" r="0" b="0"/>
                <wp:wrapNone/>
                <wp:docPr id="202" name="Frame20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396.3pt;mso-position-horizontal:left;mso-position-horizontal-relative:text">
                <v:textbox>
                  <w:txbxContent>
                    <w:tbl>
                      <w:tblPr>
                        <w:tblW w:w="1180"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CERTAIN INFORMATION IN THIS DOCUMENT, MARKED BY [**], HAS BEEN EXCLUDED PURSUANT TO REGULATION S-K, ITEM 601(b)(10)(iv). SUCH EXCLUDED INFORMATION IS NOT MATERIAL AND IS THE TYPE THAT THE REGISTRANT TREATS AS PRIVATE OR CONFIDENTIAL.</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SIXTH STREET LENDING PARTNERS</w:t>
      </w:r>
      <w:r>
        <w:rPr>
          <w:color w:val="000000"/>
        </w:rPr>
        <w:t xml:space="preserve"> </w:t>
      </w:r>
      <w:r>
        <w:rPr>
          <w:rFonts w:ascii="Times New Roman;serif" w:hAnsi="Times New Roman;serif"/>
          <w:b w:val="false"/>
          <w:color w:val="000000"/>
          <w:sz w:val="24"/>
        </w:rPr>
        <w:br/>
        <w:t>2100 McKinney Avenue, Suite 1500</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Dallas, Texas 75201</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PERSONAL AND CONFIDENTIAL </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August 13,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Arrowhead Pharmaceuticals,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117 East Colorado Boulevard, Suite 700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Pasadena, CA 91105</w:t>
        <w:br/>
        <w:t>Attention: Mr. Vince Anzalone, VP and Head of Investor Relations, Arrowhead Pharmaceuticals</w:t>
      </w:r>
    </w:p>
    <w:p>
      <w:pPr>
        <w:pStyle w:val="TextBody"/>
        <w:bidi w:val="0"/>
        <w:spacing w:lineRule="auto" w:line="288" w:before="0" w:after="0"/>
        <w:ind w:left="0" w:right="0" w:firstLine="990"/>
        <w:jc w:val="left"/>
        <w:rPr>
          <w:rFonts w:ascii="Times New Roman;serif" w:hAnsi="Times New Roman;serif"/>
          <w:b w:val="false"/>
          <w:color w:val="000000"/>
          <w:sz w:val="24"/>
        </w:rPr>
      </w:pPr>
      <w:r>
        <w:rPr>
          <w:rFonts w:ascii="Times New Roman;serif" w:hAnsi="Times New Roman;serif"/>
          <w:b w:val="false"/>
          <w:color w:val="000000"/>
          <w:sz w:val="24"/>
        </w:rPr>
        <w:t>Dr. Christopher Anzalone, CEO, Arrowhead Pharmaceuticals</w:t>
      </w:r>
    </w:p>
    <w:p>
      <w:pPr>
        <w:pStyle w:val="TextBody"/>
        <w:bidi w:val="0"/>
        <w:spacing w:lineRule="auto" w:line="288" w:before="0" w:after="0"/>
        <w:ind w:left="0" w:right="0" w:firstLine="990"/>
        <w:jc w:val="left"/>
        <w:rPr>
          <w:rFonts w:ascii="Times New Roman;serif" w:hAnsi="Times New Roman;serif"/>
          <w:b w:val="false"/>
          <w:color w:val="000000"/>
          <w:sz w:val="24"/>
        </w:rPr>
      </w:pPr>
      <w:r>
        <w:rPr>
          <w:rFonts w:ascii="Times New Roman;serif" w:hAnsi="Times New Roman;serif"/>
          <w:b w:val="false"/>
          <w:color w:val="000000"/>
          <w:sz w:val="24"/>
        </w:rPr>
        <w:t>Mr. Ken Myszkowski, CFO, Arrowhead Pharmaceuticals</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Second Amended and Restated Fee Letter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Ladies and Gentlemen:</w:t>
      </w:r>
    </w:p>
    <w:p>
      <w:pPr>
        <w:pStyle w:val="TextBody"/>
        <w:bidi w:val="0"/>
        <w:spacing w:lineRule="auto" w:line="288" w:before="0" w:after="240"/>
        <w:ind w:left="0" w:right="0" w:firstLine="1440"/>
        <w:jc w:val="both"/>
        <w:rPr/>
      </w:pPr>
      <w:r>
        <w:rPr>
          <w:rFonts w:ascii="Times New Roman;serif" w:hAnsi="Times New Roman;serif"/>
          <w:b w:val="false"/>
          <w:color w:val="000000"/>
          <w:sz w:val="24"/>
        </w:rPr>
        <w:t>Reference is hereby made to the Financing Agreement, dated as of August 7, 2024 (as amended by that certain Amendment No. 1 to Financing Agreement, dated as of November 26, 2024 and as otherwise amended, restated, replaced, supplemented or otherwise modified from time to time, the “</w:t>
      </w:r>
      <w:r>
        <w:rPr>
          <w:rFonts w:ascii="Times New Roman;serif" w:hAnsi="Times New Roman;serif"/>
          <w:b w:val="false"/>
          <w:color w:val="000000"/>
          <w:sz w:val="24"/>
          <w:u w:val="single"/>
        </w:rPr>
        <w:t>Financing Agreement</w:t>
      </w:r>
      <w:r>
        <w:rPr>
          <w:color w:val="000000"/>
        </w:rPr>
        <w:t>”</w:t>
      </w:r>
      <w:r>
        <w:rPr>
          <w:rFonts w:ascii="Times New Roman;serif" w:hAnsi="Times New Roman;serif"/>
          <w:b w:val="false"/>
          <w:color w:val="000000"/>
          <w:sz w:val="24"/>
        </w:rPr>
        <w:t>; terms not otherwise defined herein shall have the meaning set forth in the Financing Agreement) by and among ARROWHEAD PHARMACEUTICALS, INC., a Delaware corporation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certain Subsidiaries of Borrower, as Guarantors, the lenders from time to time party thereto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SIXTH STREET LENDING PARTNERS (“</w:t>
      </w:r>
      <w:r>
        <w:rPr>
          <w:rFonts w:ascii="Times New Roman;serif" w:hAnsi="Times New Roman;serif"/>
          <w:b w:val="false"/>
          <w:color w:val="000000"/>
          <w:sz w:val="24"/>
          <w:u w:val="single"/>
        </w:rPr>
        <w:t>Sixth Street</w:t>
      </w:r>
      <w:r>
        <w:rPr>
          <w:color w:val="000000"/>
        </w:rPr>
        <w:t>”</w:t>
      </w:r>
      <w:r>
        <w:rPr>
          <w:rFonts w:ascii="Times New Roman;serif" w:hAnsi="Times New Roman;serif"/>
          <w:b w:val="false"/>
          <w:color w:val="000000"/>
          <w:sz w:val="24"/>
        </w:rPr>
        <w:t>), as administrative agent for the Lenders (in such capacity,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On and after the Amendment No. 2 Effective Date, (x) this letter agreement (the “</w:t>
      </w:r>
      <w:r>
        <w:rPr>
          <w:rFonts w:ascii="Times New Roman;serif" w:hAnsi="Times New Roman;serif"/>
          <w:b w:val="false"/>
          <w:color w:val="000000"/>
          <w:sz w:val="24"/>
          <w:u w:val="single"/>
        </w:rPr>
        <w:t>Second Amended and Restated Fee Letter</w:t>
      </w:r>
      <w:r>
        <w:rPr>
          <w:color w:val="000000"/>
        </w:rPr>
        <w:t>”</w:t>
      </w:r>
      <w:r>
        <w:rPr>
          <w:rFonts w:ascii="Times New Roman;serif" w:hAnsi="Times New Roman;serif"/>
          <w:b w:val="false"/>
          <w:color w:val="000000"/>
          <w:sz w:val="24"/>
        </w:rPr>
        <w:t>) amends that certain amended and restated fee letter, dated as of November 26, 2024 (the “</w:t>
      </w:r>
      <w:r>
        <w:rPr>
          <w:rFonts w:ascii="Times New Roman;serif" w:hAnsi="Times New Roman;serif"/>
          <w:b w:val="false"/>
          <w:color w:val="000000"/>
          <w:sz w:val="24"/>
          <w:u w:val="single"/>
        </w:rPr>
        <w:t>Amended and Restated Fee Letter</w:t>
      </w:r>
      <w:r>
        <w:rPr>
          <w:color w:val="000000"/>
        </w:rPr>
        <w:t>”</w:t>
      </w:r>
      <w:r>
        <w:rPr>
          <w:rFonts w:ascii="Times New Roman;serif" w:hAnsi="Times New Roman;serif"/>
          <w:b w:val="false"/>
          <w:color w:val="000000"/>
          <w:sz w:val="24"/>
        </w:rPr>
        <w:t>), between the Borrower and the Administrative Agent and (y) the Amended and Restated Fee Letter shall be of no further force and effect and shall be superseded and replaced in its entirety by this Second Amended and Restated Fee Letter.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Borrower and Administrative Agent hereby agree to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1.Borrower agrees to pay to Administrative Agent, solely for its own account, an administration fee (the “</w:t>
      </w:r>
      <w:r>
        <w:rPr>
          <w:rFonts w:ascii="Times New Roman;serif" w:hAnsi="Times New Roman;serif"/>
          <w:b w:val="false"/>
          <w:color w:val="000000"/>
          <w:sz w:val="24"/>
          <w:u w:val="single"/>
        </w:rPr>
        <w:t>Administration Fee</w:t>
      </w:r>
      <w:r>
        <w:rPr>
          <w:color w:val="000000"/>
        </w:rPr>
        <w:t>”</w:t>
      </w:r>
      <w:r>
        <w:rPr>
          <w:rFonts w:ascii="Times New Roman;serif" w:hAnsi="Times New Roman;serif"/>
          <w:b w:val="false"/>
          <w:color w:val="000000"/>
          <w:sz w:val="24"/>
        </w:rPr>
        <w:t xml:space="preserve">) in an amount equal to $[**] each quarter, payable quarterly in advance on the Closing Date (for the period from the Closing Date through September 30,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Arrowhead Pharmaceuticals, Inc.</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0520"/>
                <wp:effectExtent l="0" t="0" r="0" b="0"/>
                <wp:wrapNone/>
                <wp:docPr id="203" name="Frame2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13, 2025</w:t>
        <w:br/>
        <w:t>Page 2</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2024), and on the first Business Day of each October, January, April and July thereafter, until payment in full of the Obligations under the Financing Agreement, or otherwise as agreed by Borrower and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2.As consideration for the services, agreements and undertakings of each Lender that is TC Lending, LLC, SSLP Lending, LLC, Opps V Lending, LLC, Series 3 and TDL Lending, LLC, Series 33 (each, a “</w:t>
      </w:r>
      <w:r>
        <w:rPr>
          <w:rFonts w:ascii="Times New Roman;serif" w:hAnsi="Times New Roman;serif"/>
          <w:b w:val="false"/>
          <w:color w:val="000000"/>
          <w:sz w:val="24"/>
          <w:u w:val="single"/>
        </w:rPr>
        <w:t>Sixth Street Lender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Sixth Street Lenders</w:t>
      </w:r>
      <w:r>
        <w:rPr>
          <w:color w:val="000000"/>
        </w:rPr>
        <w:t>”</w:t>
      </w:r>
      <w:r>
        <w:rPr>
          <w:rFonts w:ascii="Times New Roman;serif" w:hAnsi="Times New Roman;serif"/>
          <w:b w:val="false"/>
          <w:color w:val="000000"/>
          <w:sz w:val="24"/>
        </w:rPr>
        <w:t>) under the Financing Agreement, Borrower agrees to pay (or cause to be paid) to Administrative Agent, for the account of each Sixth Street Lender, on the Closing Date, a fee equal to [**]% of the aggregate principal amount of Initial Term Loans of each such Sixth Street Lender that is actually funded under the Financing Agreement on the Closing Date (the “</w:t>
      </w:r>
      <w:r>
        <w:rPr>
          <w:rFonts w:ascii="Times New Roman;serif" w:hAnsi="Times New Roman;serif"/>
          <w:b w:val="false"/>
          <w:color w:val="000000"/>
          <w:sz w:val="24"/>
          <w:u w:val="single"/>
        </w:rPr>
        <w:t>Arrangement Fee</w:t>
      </w:r>
      <w:r>
        <w:rPr>
          <w:color w:val="000000"/>
        </w:rPr>
        <w:t>”</w:t>
      </w:r>
      <w:r>
        <w:rPr>
          <w:rFonts w:ascii="Times New Roman;serif" w:hAnsi="Times New Roman;serif"/>
          <w:b w:val="false"/>
          <w:color w:val="000000"/>
          <w:sz w:val="24"/>
        </w:rPr>
        <w:t>). The Arrangement Fee shall be fully earned and shall be paid (and once paid shall be non-refundable) on the Closing Date. For the avoidance of doubt, the Arrangement Fee may, in each Sixth Street Lender’s sole discretion, be netted out of the proceeds of the Initial Term Loans funded on the Closing Date by such Sixth Street Lender.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3.Borrower agrees to pay (or cause to be paid) to Administrative Agent, for the account of each Sixth Street Lender, on the Closing Date, an upfront fee in an amount equal to [**]% of the aggregate principal amount of the Initial Term Loans funded on the Closing Date by each such Sixth Street Lender (the “</w:t>
      </w:r>
      <w:r>
        <w:rPr>
          <w:rFonts w:ascii="Times New Roman;serif" w:hAnsi="Times New Roman;serif"/>
          <w:b w:val="false"/>
          <w:color w:val="000000"/>
          <w:sz w:val="24"/>
          <w:u w:val="single"/>
        </w:rPr>
        <w:t>Sixth Street Upfront Fee</w:t>
      </w:r>
      <w:r>
        <w:rPr>
          <w:color w:val="000000"/>
        </w:rPr>
        <w:t>”</w:t>
      </w:r>
      <w:r>
        <w:rPr>
          <w:rFonts w:ascii="Times New Roman;serif" w:hAnsi="Times New Roman;serif"/>
          <w:b w:val="false"/>
          <w:color w:val="000000"/>
          <w:sz w:val="24"/>
        </w:rPr>
        <w:t>), which is fully earned and due and payable to Administrative Agent, for the account of each such Sixth Street Lender, on the Closing Date. For the avoidance of doubt, the Sixth Street Upfront Fee may, in each Sixth Street Lender’s sole discretion, be netted out of the proceeds of the Initial Term Loans funded on the Closing Date by such Sixth Street Lender. The Sixth Street Upfront Fee is intended to be treated as original issue discount for U.S. federal income tax purposes.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4.Borrower agrees to pay (or cause to be paid) to the Administrative Agent, for the account of each Sixth Street Lender, on the Amendment No. 2 Effective Date, a fee in an amount equal to $[**] (the “</w:t>
      </w:r>
      <w:r>
        <w:rPr>
          <w:rFonts w:ascii="Times New Roman;serif" w:hAnsi="Times New Roman;serif"/>
          <w:b w:val="false"/>
          <w:color w:val="000000"/>
          <w:sz w:val="24"/>
          <w:u w:val="single"/>
        </w:rPr>
        <w:t>Amendment No. 2 Fee</w:t>
      </w:r>
      <w:r>
        <w:rPr>
          <w:color w:val="000000"/>
        </w:rPr>
        <w:t>”</w:t>
      </w:r>
      <w:r>
        <w:rPr>
          <w:rFonts w:ascii="Times New Roman;serif" w:hAnsi="Times New Roman;serif"/>
          <w:b w:val="false"/>
          <w:color w:val="000000"/>
          <w:sz w:val="24"/>
        </w:rPr>
        <w:t xml:space="preserve">), which is fully earned and due and payable to Administrative Agent, for the account of each such Sixth Street Lender, on the Amendment No. 2 Effective Date.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5.If, on or prior to August 7, 2029, the Lenders have not earned and been paid an aggregate minimum multiple of invested capital as calculated below (“</w:t>
      </w:r>
      <w:r>
        <w:rPr>
          <w:rFonts w:ascii="Times New Roman;serif" w:hAnsi="Times New Roman;serif"/>
          <w:b w:val="false"/>
          <w:color w:val="000000"/>
          <w:sz w:val="24"/>
          <w:u w:val="single"/>
        </w:rPr>
        <w:t>MOIC</w:t>
      </w:r>
      <w:r>
        <w:rPr>
          <w:color w:val="000000"/>
        </w:rPr>
        <w:t>”</w:t>
      </w:r>
      <w:r>
        <w:rPr>
          <w:rFonts w:ascii="Times New Roman;serif" w:hAnsi="Times New Roman;serif"/>
          <w:b w:val="false"/>
          <w:color w:val="000000"/>
          <w:sz w:val="24"/>
        </w:rPr>
        <w:t>) of at least 1.00 times the aggregate principal amount of the Initial Term Loans made on the Closing Date (the “</w:t>
      </w:r>
      <w:r>
        <w:rPr>
          <w:rFonts w:ascii="Times New Roman;serif" w:hAnsi="Times New Roman;serif"/>
          <w:b w:val="false"/>
          <w:color w:val="000000"/>
          <w:sz w:val="24"/>
          <w:u w:val="single"/>
        </w:rPr>
        <w:t>1.0x MOIC</w:t>
      </w:r>
      <w:r>
        <w:rPr>
          <w:color w:val="000000"/>
        </w:rPr>
        <w:t>”</w:t>
      </w:r>
      <w:r>
        <w:rPr>
          <w:rFonts w:ascii="Times New Roman;serif" w:hAnsi="Times New Roman;serif"/>
          <w:b w:val="false"/>
          <w:color w:val="000000"/>
          <w:sz w:val="24"/>
        </w:rPr>
        <w:t xml:space="preserve">), Borrower shall prepay the Term Loan as set forth in </w:t>
      </w:r>
      <w:r>
        <w:rPr>
          <w:rFonts w:ascii="Times New Roman;serif" w:hAnsi="Times New Roman;serif"/>
          <w:b w:val="false"/>
          <w:color w:val="000000"/>
          <w:sz w:val="24"/>
          <w:u w:val="single"/>
        </w:rPr>
        <w:t>Section 2.11(a)</w:t>
      </w:r>
      <w:r>
        <w:rPr>
          <w:color w:val="000000"/>
        </w:rPr>
        <w:t xml:space="preserve"> </w:t>
      </w:r>
      <w:r>
        <w:rPr>
          <w:rFonts w:ascii="Times New Roman;serif" w:hAnsi="Times New Roman;serif"/>
          <w:b w:val="false"/>
          <w:color w:val="000000"/>
          <w:sz w:val="24"/>
        </w:rPr>
        <w:t xml:space="preserve">of the Financing Agreement, within one (1) Business Days after such date,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Arrowhead Pharmaceuticals, Inc.</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50520"/>
                <wp:effectExtent l="0" t="0" r="0" b="0"/>
                <wp:wrapNone/>
                <wp:docPr id="204" name="Frame2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13, 2025</w:t>
        <w:br/>
        <w:t>Page 3</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with a one-time payment (such payment, the “</w:t>
      </w:r>
      <w:r>
        <w:rPr>
          <w:rFonts w:ascii="Times New Roman;serif" w:hAnsi="Times New Roman;serif"/>
          <w:b w:val="false"/>
          <w:color w:val="000000"/>
          <w:sz w:val="24"/>
          <w:u w:val="single"/>
        </w:rPr>
        <w:t>True Up Payment</w:t>
      </w:r>
      <w:r>
        <w:rPr>
          <w:color w:val="000000"/>
        </w:rPr>
        <w:t>”</w:t>
      </w:r>
      <w:r>
        <w:rPr>
          <w:rFonts w:ascii="Times New Roman;serif" w:hAnsi="Times New Roman;serif"/>
          <w:b w:val="false"/>
          <w:color w:val="000000"/>
          <w:sz w:val="24"/>
        </w:rPr>
        <w:t xml:space="preserve">) equal to the amount necessary for the Lenders to achieve the 1.0x MOIC. The Administrative Agent shall provide the Borrower with an estimate, together with a supporting calculation, of the amount of the True Up Payment as of July 8, 2029. The amount so earned and paid shall mean, as of any date of determination, all fees (including payments made under </w:t>
      </w:r>
      <w:r>
        <w:rPr>
          <w:rFonts w:ascii="Times New Roman;serif" w:hAnsi="Times New Roman;serif"/>
          <w:b w:val="false"/>
          <w:color w:val="000000"/>
          <w:sz w:val="24"/>
          <w:u w:val="single"/>
        </w:rPr>
        <w:t>Section 2.11(a)</w:t>
      </w:r>
      <w:r>
        <w:rPr>
          <w:color w:val="000000"/>
        </w:rPr>
        <w:t xml:space="preserve"> </w:t>
      </w:r>
      <w:r>
        <w:rPr>
          <w:rFonts w:ascii="Times New Roman;serif" w:hAnsi="Times New Roman;serif"/>
          <w:b w:val="false"/>
          <w:color w:val="000000"/>
          <w:sz w:val="24"/>
        </w:rPr>
        <w:t>with respect to the 2.0x MOIC Payment), interest (including the amount of proceeds of Delayed Draw Term Loans funded to finance such interest payments), premiums and principal made to the Lenders in respect of the Initial Term Loan since the Closing Date up to and including amounts paid on such date of determination (including, unless expressly stated otherwise, the True Up Payment but excluding other amounts payable under the Loan Documents, including without limitation, the Administration Fee, the Amendment No. 2 Fee, indemnification obligations. reimbursement obligations for expenses and reimbursements obligations for other amounts paid or payable by the Administrative Agent or Lenders under the Financing Agreement) (such amount so earned and paid, the “</w:t>
      </w:r>
      <w:r>
        <w:rPr>
          <w:rFonts w:ascii="Times New Roman;serif" w:hAnsi="Times New Roman;serif"/>
          <w:b w:val="false"/>
          <w:color w:val="000000"/>
          <w:sz w:val="24"/>
          <w:u w:val="single"/>
        </w:rPr>
        <w:t>Paid Amounts</w:t>
      </w:r>
      <w:r>
        <w:rPr>
          <w:color w:val="000000"/>
        </w:rPr>
        <w:t>”</w:t>
      </w:r>
      <w:r>
        <w:rPr>
          <w:rFonts w:ascii="Times New Roman;serif" w:hAnsi="Times New Roman;serif"/>
          <w:b w:val="false"/>
          <w:color w:val="000000"/>
          <w:sz w:val="24"/>
        </w:rPr>
        <w:t xml:space="preserve">). The True Up Payment shall be paid to the Administrative Agent for the account of the Lenders based on their pro rata share of the Initial Term Loans.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6.If, prior to the Term Loan Maturity Date, Borrower pays (or is deemed to pay in the case of an acceleration of the Term Loans), for any reason (including, but not limited to, any optional or mandatory payment, but excluding any True Up Payment and any mandatory payment made pursuant to </w:t>
      </w:r>
      <w:r>
        <w:rPr>
          <w:rFonts w:ascii="Times New Roman;serif" w:hAnsi="Times New Roman;serif"/>
          <w:b w:val="false"/>
          <w:color w:val="000000"/>
          <w:sz w:val="24"/>
          <w:u w:val="single"/>
        </w:rPr>
        <w:t>Sections 2.10(e)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u w:val="single"/>
        </w:rPr>
        <w:t>(h)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of the Financing Agreement) solely after the occurrence of an Event of Default or after acceleration of the Term Loans in connection with an Event of Default (including in connection with the commencement of any Insolvency Proceeding or other proceeding pursuant to any Debtor Relief Laws), all or any part of the principal balance of any Term Loan, Borrower shall pay to Administrative Agent, for the ratable benefit of all Lenders entitled to a portion of such prepayment, an amount (the “</w:t>
      </w:r>
      <w:r>
        <w:rPr>
          <w:rFonts w:ascii="Times New Roman;serif" w:hAnsi="Times New Roman;serif"/>
          <w:b w:val="false"/>
          <w:color w:val="000000"/>
          <w:sz w:val="24"/>
          <w:u w:val="single"/>
        </w:rPr>
        <w:t>E of D Yield Maintenance Premium</w:t>
      </w:r>
      <w:r>
        <w:rPr>
          <w:color w:val="000000"/>
        </w:rPr>
        <w:t>”</w:t>
      </w:r>
      <w:r>
        <w:rPr>
          <w:rFonts w:ascii="Times New Roman;serif" w:hAnsi="Times New Roman;serif"/>
          <w:b w:val="false"/>
          <w:color w:val="000000"/>
          <w:sz w:val="24"/>
        </w:rPr>
        <w:t>) in cash equal to the present value, as of the date of the applicable payment or acceleration (the “</w:t>
      </w:r>
      <w:r>
        <w:rPr>
          <w:rFonts w:ascii="Times New Roman;serif" w:hAnsi="Times New Roman;serif"/>
          <w:b w:val="false"/>
          <w:color w:val="000000"/>
          <w:sz w:val="24"/>
          <w:u w:val="single"/>
        </w:rPr>
        <w:t>E of D Calculation Date</w:t>
      </w:r>
      <w:r>
        <w:rPr>
          <w:color w:val="000000"/>
        </w:rPr>
        <w:t>”</w:t>
      </w:r>
      <w:r>
        <w:rPr>
          <w:rFonts w:ascii="Times New Roman;serif" w:hAnsi="Times New Roman;serif"/>
          <w:b w:val="false"/>
          <w:color w:val="000000"/>
          <w:sz w:val="24"/>
        </w:rPr>
        <w:t>), of all interest payments (including, without limitation, interest payable in cash, in kind or deferred) which would have otherwise been payable on the amount of the principal prepaid or accelerated from the date of prepayment (or deemed prepayment in the case of an acceleration) (determined using a rate of interest per annum equal to the rate of interest in effect pursuant to the terms of the Financing Agreement as of the date of such prepayment or acceleration) (the “</w:t>
      </w:r>
      <w:r>
        <w:rPr>
          <w:rFonts w:ascii="Times New Roman;serif" w:hAnsi="Times New Roman;serif"/>
          <w:b w:val="false"/>
          <w:color w:val="000000"/>
          <w:sz w:val="24"/>
          <w:u w:val="single"/>
        </w:rPr>
        <w:t>E of D Subject Amount</w:t>
      </w:r>
      <w:r>
        <w:rPr>
          <w:color w:val="000000"/>
        </w:rPr>
        <w:t>”</w:t>
      </w:r>
      <w:r>
        <w:rPr>
          <w:rFonts w:ascii="Times New Roman;serif" w:hAnsi="Times New Roman;serif"/>
          <w:b w:val="false"/>
          <w:color w:val="000000"/>
          <w:sz w:val="24"/>
        </w:rPr>
        <w:t xml:space="preserve">) until the Term Loan Maturity Date (excluding interest on the E of D Subject Amount through the E of D Calculation Date, to the extent paid in cash on the E of D Calculation Date) discounted at the Treasury Rate plus 0.50% as of the E of D Calculation Date. Notwithstanding the foregoing, to the extent the E of D Yield Maintenance Premium becomes due and payable as a result of the occurrence of an Event of Default or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Arrowhead Pharmaceuticals, Inc.</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0520"/>
                <wp:effectExtent l="0" t="0" r="0" b="0"/>
                <wp:wrapNone/>
                <wp:docPr id="205" name="Frame2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13, 2025</w:t>
        <w:br/>
        <w:t>Page 4</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acceleration of the Loans in connection with an Event of Default (including in connection with the commencement of any Insolvency Proceeding or other proceeding pursuant to any Debtor Relief Laws),  the interest rate to be used in calculating the Yield Maintenance Premium shall be the interest rate applicable to the Term Loans plus [**]% per annum for the period from the occurrence of such Event of Default or acceleration (including in connection with the commencement of any Insolvency Proceeding or other proceeding pursuant to any Debtor Relief Laws) until the Term Loan Maturity Date.  The term “</w:t>
      </w:r>
      <w:r>
        <w:rPr>
          <w:rFonts w:ascii="Times New Roman;serif" w:hAnsi="Times New Roman;serif"/>
          <w:b w:val="false"/>
          <w:color w:val="000000"/>
          <w:sz w:val="24"/>
          <w:u w:val="single"/>
        </w:rPr>
        <w:t>Treasury Rate</w:t>
      </w:r>
      <w:r>
        <w:rPr>
          <w:color w:val="000000"/>
        </w:rPr>
        <w:t xml:space="preserve">” </w:t>
      </w:r>
      <w:r>
        <w:rPr>
          <w:rFonts w:ascii="Times New Roman;serif" w:hAnsi="Times New Roman;serif"/>
          <w:b w:val="false"/>
          <w:color w:val="000000"/>
          <w:sz w:val="24"/>
        </w:rPr>
        <w:t xml:space="preserve">shall mean, as of any date of determination, a rate per annum (computed on the basis of actual days elapsed over a year of 360 days) equal to the rate determined by the Administrative Agent on the date three (3) Business Days prior to the date of prepayment, to be the yield expressed as a rate listed in The Wall Street Journal (or, if such rate is not available in The Wall Street Journal, such other recognized data source as selected by the Administrative Agent in its sole discretion) for United States Treasury securities having a term of no greater than the period for the remaining months until the Term Loan Maturity Date. Nothing contained in this Section 6 shall permit any voluntary prepayment not otherwise permitted by the terms of the Financing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7.If at any time (including on the Maturity Date), Borrower pays the Term Loan and all other payment Obligations (including any applicable E of D Yield Maintenance Premium but excluding any contingent obligations that are not required to be paid by the Borrower under the Financing Agreement) under the Financing Agreement in full, solely in the absence of the occurrence of an Event of Default or in the absence of an acceleration of the Term Loan in connection with an Event of Default (including in connection with the commencement of any Insolvency Proceeding or other proceeding pursuant to any other Debtor Relief Laws) (a) if such payment in full occurs from the Closing Date through and including August 7, 2028, and the Lenders have not earned and been paid (as calculated above and including the True Up Payment) a MOIC of at least 2.00 times the principal amount of the Initial Term Loan made on the Closing Date (the “</w:t>
      </w:r>
      <w:r>
        <w:rPr>
          <w:rFonts w:ascii="Times New Roman;serif" w:hAnsi="Times New Roman;serif"/>
          <w:b w:val="false"/>
          <w:color w:val="000000"/>
          <w:sz w:val="24"/>
          <w:u w:val="single"/>
        </w:rPr>
        <w:t>2.0x MOIC</w:t>
      </w:r>
      <w:r>
        <w:rPr>
          <w:color w:val="000000"/>
        </w:rPr>
        <w:t>”</w:t>
      </w:r>
      <w:r>
        <w:rPr>
          <w:rFonts w:ascii="Times New Roman;serif" w:hAnsi="Times New Roman;serif"/>
          <w:b w:val="false"/>
          <w:color w:val="000000"/>
          <w:sz w:val="24"/>
        </w:rPr>
        <w:t>) on the date of such payment in full, Borrower shall pay to the Lenders on the date of such payment in full the amount necessary for Lenders to achieve the 2.0x MOIC after giving effect to all payments made on such date of payment (the “</w:t>
      </w:r>
      <w:r>
        <w:rPr>
          <w:rFonts w:ascii="Times New Roman;serif" w:hAnsi="Times New Roman;serif"/>
          <w:b w:val="false"/>
          <w:color w:val="000000"/>
          <w:sz w:val="24"/>
          <w:u w:val="single"/>
        </w:rPr>
        <w:t>2.0x MOIC Payment</w:t>
      </w:r>
      <w:r>
        <w:rPr>
          <w:color w:val="000000"/>
        </w:rPr>
        <w:t>”</w:t>
      </w:r>
      <w:r>
        <w:rPr>
          <w:rFonts w:ascii="Times New Roman;serif" w:hAnsi="Times New Roman;serif"/>
          <w:b w:val="false"/>
          <w:color w:val="000000"/>
          <w:sz w:val="24"/>
        </w:rPr>
        <w:t>) and (b) if such payment in full occurs after August 7, 2028, Borrower shall pay to the Lenders on the date of such payment in full an amount equal to the greater of (x) the 2.0x MOIC Payment and (y) an amount (the “</w:t>
      </w:r>
      <w:r>
        <w:rPr>
          <w:rFonts w:ascii="Times New Roman;serif" w:hAnsi="Times New Roman;serif"/>
          <w:b w:val="false"/>
          <w:color w:val="000000"/>
          <w:sz w:val="24"/>
          <w:u w:val="single"/>
        </w:rPr>
        <w:t>Non-E of D Yield Maintenance Premium</w:t>
      </w:r>
      <w:r>
        <w:rPr>
          <w:color w:val="000000"/>
        </w:rPr>
        <w:t xml:space="preserve">” </w:t>
      </w:r>
      <w:r>
        <w:rPr>
          <w:rFonts w:ascii="Times New Roman;serif" w:hAnsi="Times New Roman;serif"/>
          <w:b w:val="false"/>
          <w:color w:val="000000"/>
          <w:sz w:val="24"/>
        </w:rPr>
        <w:t>and, together with the E of D Yield Maintenance Premium, the ”</w:t>
      </w:r>
      <w:r>
        <w:rPr>
          <w:rFonts w:ascii="Times New Roman;serif" w:hAnsi="Times New Roman;serif"/>
          <w:b w:val="false"/>
          <w:color w:val="000000"/>
          <w:sz w:val="24"/>
          <w:u w:val="single"/>
        </w:rPr>
        <w:t>Yield Maintenance Premium</w:t>
      </w:r>
      <w:r>
        <w:rPr>
          <w:color w:val="000000"/>
        </w:rPr>
        <w:t>”</w:t>
      </w:r>
      <w:r>
        <w:rPr>
          <w:rFonts w:ascii="Times New Roman;serif" w:hAnsi="Times New Roman;serif"/>
          <w:b w:val="false"/>
          <w:color w:val="000000"/>
          <w:sz w:val="24"/>
        </w:rPr>
        <w:t>) in cash equal to the present value, as of the date of the applicable payment (the “</w:t>
      </w:r>
      <w:r>
        <w:rPr>
          <w:rFonts w:ascii="Times New Roman;serif" w:hAnsi="Times New Roman;serif"/>
          <w:b w:val="false"/>
          <w:color w:val="000000"/>
          <w:sz w:val="24"/>
          <w:u w:val="single"/>
        </w:rPr>
        <w:t>Non-E of D Calculation Date</w:t>
      </w:r>
      <w:r>
        <w:rPr>
          <w:color w:val="000000"/>
        </w:rPr>
        <w:t>”</w:t>
      </w:r>
      <w:r>
        <w:rPr>
          <w:rFonts w:ascii="Times New Roman;serif" w:hAnsi="Times New Roman;serif"/>
          <w:b w:val="false"/>
          <w:color w:val="000000"/>
          <w:sz w:val="24"/>
        </w:rPr>
        <w:t xml:space="preserve">), of all interest payments (including, without limitation, interest payable in cash, in kind or deferred) which would have otherwise been payable on the amount of the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Arrowhead Pharmaceuticals, Inc.</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50520"/>
                <wp:effectExtent l="0" t="0" r="0" b="0"/>
                <wp:wrapNone/>
                <wp:docPr id="206" name="Frame2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13, 2025</w:t>
        <w:br/>
        <w:t>Page 5</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principal prepaid or repaid from the Non-E of D Calculation Date (determined using a rate of interest per annum equal to the rate of interest in effect pursuant to the terms of the Financing Agreement as of the date of such prepayment) (the “</w:t>
      </w:r>
      <w:r>
        <w:rPr>
          <w:rFonts w:ascii="Times New Roman;serif" w:hAnsi="Times New Roman;serif"/>
          <w:b w:val="false"/>
          <w:color w:val="000000"/>
          <w:sz w:val="24"/>
          <w:u w:val="single"/>
        </w:rPr>
        <w:t>Non-E of D Subject Amount</w:t>
      </w:r>
      <w:r>
        <w:rPr>
          <w:color w:val="000000"/>
        </w:rPr>
        <w:t>”</w:t>
      </w:r>
      <w:r>
        <w:rPr>
          <w:rFonts w:ascii="Times New Roman;serif" w:hAnsi="Times New Roman;serif"/>
          <w:b w:val="false"/>
          <w:color w:val="000000"/>
          <w:sz w:val="24"/>
        </w:rPr>
        <w:t>) until the Term Loan Maturity Date (excluding interest on the Non-E of D Subject Amount through the Non-E of D Calculation Date, to the extent paid in cash on the Non-E of D Calculation Date) discounted at the Treasury Rate plus 0.50% as of the Non-E of D Calculation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8.Without limiting the generality of the foregoing, it is understood and agreed that if the Obligations are accelerated for any reason, including because of default, the commencement of any Insolvency Proceeding or other proceeding pursuant to any Debtor Relief Laws, sale, disposition or encumbrance (including that by operation of law or otherwise), the E of D Yield Maintenance Premium, if any, determined as of the date of acceleration will also be due and payable as though said Indebtedness was voluntarily prepaid as of such date and shall constitute part of the Obligations, in view of the impracticability and extreme difficulty of ascertaining actual damages and by mutual agreement of the parties as to a reasonable calculation of each Lender's lost profits as a result thereof. Any E of D Yield Maintenance Premium payable in accordance with the immediately preceding sentence shall be presumed to be the liquidated damages sustained by each Lender as the result of the early termination and Borrower agrees that it is reasonable under the circumstances currently existing. The E of D Yield Maintenance Premium, if any, shall also be payable (i) in the event the Obligations (and/or the Financing Agreement or the Notes evidencing the Obligations) are satisfied or released by foreclosure (whether by power of judicial proceeding or otherwise), deed in lieu of foreclosure or by any other means and/or (ii) upon the satisfaction, release, payment, restructuring, reorganization, replacement, reinstatement, defeasance or compromise of any of the Obligations (and/or the Financing Agreement or the Notes evidencing the Obligations) in any Insolvency Proceeding or other proceeding pursuant to any Debtor Relief Laws, foreclosure (whether by power of judicial proceeding or otherwise), deed in lieu of foreclosure or by any other means or the making of a distribution of any kind in any Insolvency Proceeding or other proceeding pursuant to any Debtor Relief Laws to the Administrative Agent, for the account of the Lenders, in full or partial satisfaction of the Obligations. BORROWER EXPRESSLY WAIVES THE PROVISIONS OF ANY PRESENT OR FUTURE STATUTE OR LAW THAT PROHIBITS OR MAY PROHIBIT THE COLLECTION OF THE FOREGOING E of D YIELD MAINTENANCE PREMIUM IN CONNECTION WITH ANY SUCH ACCELERATION INCLUDING IN CONNECTION WITH ANY VOLUNTARY OR INVOLUNTARY ACCELERATION OF THE OBLIGATIONS PURSUANT TO ANY INSOLVENCY PROCEEDING OR OTHER PROCEEDING PURSUANT TO ANY DEBTOR RELIEF LAWS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Arrowhead Pharmaceuticals, Inc.</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50520"/>
                <wp:effectExtent l="0" t="0" r="0" b="0"/>
                <wp:wrapNone/>
                <wp:docPr id="207" name="Frame2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13, 2025</w:t>
        <w:br/>
        <w:t>Page 6</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PURSUANT TO A PLAN OF REORGANIZATION. Borrower expressly agrees that: (A) the E of D Yield Maintenance Premium is reasonable and is the product of an arm's length transaction between sophisticated business people, ably represented by counsel; (B) the E of D Yield Maintenance Premium shall be payable notwithstanding the then prevailing market rates at the time payment is made; (C) there has been a course of conduct between Lenders and Borrower giving specific consideration in this transaction for such agreement to pay the E of D Yield Maintenance Premium; and (D) Borrower shall be estopped hereafter from claiming differently than as agreed to in this paragraph. Borrower expressly acknowledges that its agreement to pay the E of D Yield Maintenance Premium to Lenders as herein described is a material inducement to Lenders to provide the Commitments and make the Term Loans and other extensions of credit.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9.Borrower further acknowledges and agrees that no fees will be paid to any other Lender in connection with the Financing Agreement and the other Loan Documents except as may be agreed in writing by Sixth Street. All fees payable hereunder shall be fully earned when due and non-refundable when paid and shall be in addition to any other fees, costs and expenses payable pursuant to the Financing Agreement or the other Loan Documents. Sixth Street reserves the right to allocate, in whole or in part, to any of its affiliates certain fees payable to Sixth Street hereunder in such manner as Sixth Street and such affiliates shall agree in their sole discretion.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10.To the extent permitted by applicable law, Borrower's obligation to pay the foregoing fees will not be subject to counterclaim or setoff for, or be otherwise affected by, any claim or dispute Borrower may have. In addition, all such payments shall be made without deduction for any taxes, levies, imposts, duties, deductions, charges or withholdings imposed by any national, state or local taxing authority (“Taxes”) unless otherwise required by applicable law, and, if Borrower is required by applicable law to deduct or withhold such Taxes, such payments will be grossed up by Borrower for such amounts to the extent provided in the Financing Agreement (as if the payments had been made pursuant to the Financing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11.Please note that this Second Amended and Restated Fee Letter is exclusively for the information of the senior management of Borrower and may not be disclosed to any third party other than to Borrower's officers, directors, agents and advisors who are directly involved in the negotiation of the Loan Documents to the extent such persons agree to hold the same in confidence or circulated or referred to publicly, except to the extent expressly set forth in the Financing Agreement.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Arrowhead Pharmaceuticals, Inc.</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50520"/>
                <wp:effectExtent l="0" t="0" r="0" b="0"/>
                <wp:wrapNone/>
                <wp:docPr id="208" name="Frame2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13, 2025</w:t>
        <w:br/>
        <w:t>Page 7</w: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12.This Second Amended and Restated Fee Letter shall be governed by and construed in accordance with the laws of the State of New York without regard to principles of conflicts of law. If this Second Amended and Restated Fee Letter becomes the subject of a dispute, each of the parties hereto hereby waives trial by jury. Borrower agrees that any suit or proceeding arising in respect to this Second Amended and Restated Fee Letter or any matter referred to in this Second Amended and Restated Fee Letter will be tried exclusively in the U.S. District Court for the Southern District of New York or, if that court does not have subject matter jurisdiction, in any state court located in the City of New York and Borrower agrees to submit to the jurisdiction of, and to venue in, such courts.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13.This Second Amended and Restated Fee Letter may be executed in any number of counterparts, each of which when executed shall be an original, and all of which, when taken together, shall constitute one agreement. Delivery of an executed counterpart of a signature page of this Second Amended and Restated Fee Letter by facsimile or electronic transmission shall be effective as delivery of a manually executed counterpart hereof.</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50520"/>
                <wp:effectExtent l="0" t="0" r="0" b="0"/>
                <wp:wrapNone/>
                <wp:docPr id="209" name="Frame2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Please confirm that the foregoing is in accordance with your understanding by signing and returning to us the enclosed copy of this Second Amended and Restated Fee Letter, which shall become a binding agreement upon our receipt.</w:t>
      </w:r>
    </w:p>
    <w:p>
      <w:pPr>
        <w:pStyle w:val="TextBody"/>
        <w:bidi w:val="0"/>
        <w:spacing w:before="0" w:after="0"/>
        <w:jc w:val="left"/>
        <w:rPr/>
      </w:pPr>
      <w:r>
        <w:rPr/>
      </w:r>
    </w:p>
    <w:tbl>
      <w:tblPr>
        <w:tblW w:w="4646" w:type="dxa"/>
        <w:jc w:val="left"/>
        <w:tblInd w:w="0" w:type="dxa"/>
        <w:tblLayout w:type="fixed"/>
        <w:tblCellMar>
          <w:top w:w="28" w:type="dxa"/>
          <w:left w:w="28" w:type="dxa"/>
          <w:bottom w:w="28" w:type="dxa"/>
          <w:right w:w="28" w:type="dxa"/>
        </w:tblCellMar>
      </w:tblPr>
      <w:tblGrid>
        <w:gridCol w:w="124"/>
        <w:gridCol w:w="109"/>
        <w:gridCol w:w="109"/>
        <w:gridCol w:w="1260"/>
        <w:gridCol w:w="1260"/>
        <w:gridCol w:w="17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SIXTH STREET LENDING PARTNERS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Robert (Bo) Stanley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Robert (Bo) Stanley</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50520"/>
                <wp:effectExtent l="0" t="0" r="0" b="0"/>
                <wp:wrapNone/>
                <wp:docPr id="210" name="Frame2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830" w:type="dxa"/>
        <w:jc w:val="left"/>
        <w:tblInd w:w="0" w:type="dxa"/>
        <w:tblLayout w:type="fixed"/>
        <w:tblCellMar>
          <w:top w:w="28" w:type="dxa"/>
          <w:left w:w="28" w:type="dxa"/>
          <w:bottom w:w="28" w:type="dxa"/>
          <w:right w:w="28" w:type="dxa"/>
        </w:tblCellMar>
      </w:tblPr>
      <w:tblGrid>
        <w:gridCol w:w="1545"/>
        <w:gridCol w:w="1357"/>
        <w:gridCol w:w="1928"/>
      </w:tblGrid>
      <w:tr>
        <w:trPr/>
        <w:tc>
          <w:tcPr>
            <w:tcW w:w="154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 AS OF THE DATE ABOVE:</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ARROWHEAD PHARMACEUTICALS, INC.</w:t>
            </w:r>
          </w:p>
        </w:tc>
      </w:tr>
      <w:tr>
        <w:trPr/>
        <w:tc>
          <w:tcPr>
            <w:tcW w:w="48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Christopher Anzalone</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Name: Christopher Anzalone</w:t>
            </w:r>
          </w:p>
        </w:tc>
      </w:tr>
      <w:tr>
        <w:trPr/>
        <w:tc>
          <w:tcPr>
            <w:tcW w:w="4830" w:type="dxa"/>
            <w:gridSpan w:val="3"/>
            <w:tcBorders/>
            <w:tcMar>
              <w:top w:w="0" w:type="dxa"/>
              <w:left w:w="0" w:type="dxa"/>
              <w:bottom w:w="0" w:type="dxa"/>
              <w:right w:w="0" w:type="dxa"/>
            </w:tcMar>
            <w:vAlign w:val="center"/>
          </w:tcPr>
          <w:p>
            <w:pPr>
              <w:pStyle w:val="TableContents"/>
              <w:bidi w:val="0"/>
              <w:spacing w:lineRule="auto" w:line="288" w:before="0" w:after="240"/>
              <w:ind w:left="0" w:right="0" w:hanging="1080"/>
              <w:jc w:val="left"/>
              <w:rPr>
                <w:color w:val="000000"/>
              </w:rPr>
            </w:pPr>
            <w:r>
              <w:rPr>
                <w:color w:val="000000"/>
              </w:rPr>
              <w:t>       </w:t>
            </w:r>
            <w:r>
              <w:rPr>
                <w:rFonts w:ascii="Times New Roman;serif" w:hAnsi="Times New Roman;serif"/>
                <w:b w:val="false"/>
                <w:color w:val="000000"/>
                <w:sz w:val="24"/>
              </w:rPr>
              <w:t>Title: Chief Executive Officer and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50520"/>
                <wp:effectExtent l="0" t="0" r="0" b="0"/>
                <wp:wrapNone/>
                <wp:docPr id="211" name="Frame2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Christopher Anzalone, Chief Executive Officer of Arrowhead Pharmaceuticals, Inc., certify that: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769" w:type="dxa"/>
        <w:jc w:val="center"/>
        <w:tblInd w:w="0" w:type="dxa"/>
        <w:tblLayout w:type="fixed"/>
        <w:tblCellMar>
          <w:top w:w="28" w:type="dxa"/>
          <w:left w:w="28" w:type="dxa"/>
          <w:bottom w:w="28" w:type="dxa"/>
          <w:right w:w="28" w:type="dxa"/>
        </w:tblCellMar>
      </w:tblPr>
      <w:tblGrid>
        <w:gridCol w:w="716"/>
        <w:gridCol w:w="630"/>
        <w:gridCol w:w="634"/>
        <w:gridCol w:w="816"/>
        <w:gridCol w:w="816"/>
        <w:gridCol w:w="1157"/>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5, 2026</w:t>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ANZALONE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Christopher Anzalone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Daniel Apel, Chief Financial Officer of Arrowhead Pharmaceuticals, Inc., certify that: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080" w:type="dxa"/>
        <w:jc w:val="center"/>
        <w:tblInd w:w="0" w:type="dxa"/>
        <w:tblLayout w:type="fixed"/>
        <w:tblCellMar>
          <w:top w:w="28" w:type="dxa"/>
          <w:left w:w="28" w:type="dxa"/>
          <w:bottom w:w="28" w:type="dxa"/>
          <w:right w:w="28" w:type="dxa"/>
        </w:tblCellMar>
      </w:tblPr>
      <w:tblGrid>
        <w:gridCol w:w="716"/>
        <w:gridCol w:w="630"/>
        <w:gridCol w:w="634"/>
        <w:gridCol w:w="613"/>
        <w:gridCol w:w="613"/>
        <w:gridCol w:w="87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5, 2026</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Daniel Apel</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OF THE SARBANES-OXLEY ACT OF 2002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December 31, 2025,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4320" w:type="dxa"/>
        <w:jc w:val="center"/>
        <w:tblInd w:w="0" w:type="dxa"/>
        <w:tblLayout w:type="fixed"/>
        <w:tblCellMar>
          <w:top w:w="28" w:type="dxa"/>
          <w:left w:w="28" w:type="dxa"/>
          <w:bottom w:w="28" w:type="dxa"/>
          <w:right w:w="28" w:type="dxa"/>
        </w:tblCellMar>
      </w:tblPr>
      <w:tblGrid>
        <w:gridCol w:w="716"/>
        <w:gridCol w:w="630"/>
        <w:gridCol w:w="634"/>
        <w:gridCol w:w="684"/>
        <w:gridCol w:w="684"/>
        <w:gridCol w:w="972"/>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5, 2026</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C</w:t>
            </w:r>
            <w:r>
              <w:rPr>
                <w:rFonts w:ascii="Times New Roman;serif" w:hAnsi="Times New Roman;serif"/>
                <w:b w:val="false"/>
                <w:color w:val="000000"/>
                <w:sz w:val="15"/>
              </w:rPr>
              <w:t>HRISTOPHER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5"/>
              </w:rPr>
              <w:t>NZALONE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Christopher Anzalone</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OF THE SARBANES-OXLEY ACT OF 2002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Daniel Apel, Chief Financial Officer of Arrowhead Pharmaceuticals, Inc. (the “Company”), certify, pursuant to Rule 13(a)-14(b) or Rule 15(d)-14(b) of the Securities Exchange Act of 1934 and 18 U.S.C. Section 1350, that (i) the Quarterly Report on Form 10-Q of the Company for the quarterly period ended December 31, 2025,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4080" w:type="dxa"/>
        <w:jc w:val="center"/>
        <w:tblInd w:w="0" w:type="dxa"/>
        <w:tblLayout w:type="fixed"/>
        <w:tblCellMar>
          <w:top w:w="28" w:type="dxa"/>
          <w:left w:w="28" w:type="dxa"/>
          <w:bottom w:w="28" w:type="dxa"/>
          <w:right w:w="28" w:type="dxa"/>
        </w:tblCellMar>
      </w:tblPr>
      <w:tblGrid>
        <w:gridCol w:w="716"/>
        <w:gridCol w:w="630"/>
        <w:gridCol w:w="634"/>
        <w:gridCol w:w="613"/>
        <w:gridCol w:w="613"/>
        <w:gridCol w:w="87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5, 2026</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Apel</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9407/000119312516532364/d175317dex33.htm" TargetMode="External"/><Relationship Id="rId3" Type="http://schemas.openxmlformats.org/officeDocument/2006/relationships/hyperlink" Target="https://www.sec.gov/Archives/edgar/data/879407/000162828023014856/arrowheadpharmaceuticals.htm"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173</Pages>
  <Words>123721</Words>
  <Characters>674387</Characters>
  <CharactersWithSpaces>796676</CharactersWithSpaces>
  <Paragraphs>4013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