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71120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September 30, 2018.</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22" w:lineRule="exact"/>
        <w:rPr>
          <w:sz w:val="24"/>
          <w:szCs w:val="24"/>
          <w:color w:val="auto"/>
        </w:rPr>
      </w:pPr>
    </w:p>
    <w:p>
      <w:pPr>
        <w:ind w:left="412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ARROWHEAD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20" w:type="dxa"/>
            <w:vAlign w:val="bottom"/>
          </w:tcPr>
          <w:p>
            <w:pPr>
              <w:jc w:val="center"/>
              <w:ind w:left="1646"/>
              <w:spacing w:after="0"/>
              <w:rPr>
                <w:sz w:val="20"/>
                <w:szCs w:val="20"/>
                <w:color w:val="auto"/>
              </w:rPr>
            </w:pPr>
            <w:r>
              <w:rPr>
                <w:rFonts w:ascii="Arial" w:cs="Arial" w:eastAsia="Arial" w:hAnsi="Arial"/>
                <w:sz w:val="16"/>
                <w:szCs w:val="16"/>
                <w:b w:val="1"/>
                <w:bCs w:val="1"/>
                <w:color w:val="auto"/>
                <w:w w:val="93"/>
              </w:rPr>
              <w:t>Delaware</w:t>
            </w:r>
          </w:p>
        </w:tc>
        <w:tc>
          <w:tcPr>
            <w:tcW w:w="7400" w:type="dxa"/>
            <w:vAlign w:val="bottom"/>
            <w:gridSpan w:val="5"/>
          </w:tcPr>
          <w:p>
            <w:pPr>
              <w:jc w:val="center"/>
              <w:ind w:left="1705"/>
              <w:spacing w:after="0"/>
              <w:rPr>
                <w:sz w:val="20"/>
                <w:szCs w:val="20"/>
                <w:color w:val="auto"/>
              </w:rPr>
            </w:pPr>
            <w:r>
              <w:rPr>
                <w:rFonts w:ascii="Arial" w:cs="Arial" w:eastAsia="Arial" w:hAnsi="Arial"/>
                <w:sz w:val="16"/>
                <w:szCs w:val="16"/>
                <w:b w:val="1"/>
                <w:bCs w:val="1"/>
                <w:color w:val="auto"/>
                <w:w w:val="91"/>
              </w:rPr>
              <w:t>46-0408024</w:t>
            </w:r>
          </w:p>
        </w:tc>
      </w:tr>
      <w:tr>
        <w:trPr>
          <w:trHeight w:val="164"/>
        </w:trPr>
        <w:tc>
          <w:tcPr>
            <w:tcW w:w="4020" w:type="dxa"/>
            <w:vAlign w:val="bottom"/>
          </w:tcPr>
          <w:p>
            <w:pPr>
              <w:jc w:val="center"/>
              <w:ind w:left="1646"/>
              <w:spacing w:after="0"/>
              <w:rPr>
                <w:sz w:val="20"/>
                <w:szCs w:val="20"/>
                <w:color w:val="auto"/>
              </w:rPr>
            </w:pPr>
            <w:r>
              <w:rPr>
                <w:rFonts w:ascii="Arial" w:cs="Arial" w:eastAsia="Arial" w:hAnsi="Arial"/>
                <w:sz w:val="13"/>
                <w:szCs w:val="13"/>
                <w:b w:val="1"/>
                <w:bCs w:val="1"/>
                <w:color w:val="auto"/>
                <w:w w:val="87"/>
              </w:rPr>
              <w:t>(State of incorporation)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80" w:type="dxa"/>
            <w:vAlign w:val="bottom"/>
          </w:tcPr>
          <w:p>
            <w:pPr>
              <w:jc w:val="center"/>
              <w:ind w:right="951"/>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59"/>
        </w:trPr>
        <w:tc>
          <w:tcPr>
            <w:tcW w:w="4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0"/>
              </w:rPr>
              <w:t>225 S. Lake Avenue, Suite 1050</w:t>
            </w:r>
          </w:p>
        </w:tc>
      </w:tr>
      <w:tr>
        <w:trPr>
          <w:trHeight w:val="203"/>
        </w:trPr>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1"/>
              </w:rPr>
              <w:t>Pasadena, California 91101</w:t>
            </w:r>
          </w:p>
        </w:tc>
      </w:tr>
      <w:tr>
        <w:trPr>
          <w:trHeight w:val="198"/>
        </w:trPr>
        <w:tc>
          <w:tcPr>
            <w:tcW w:w="4020" w:type="dxa"/>
            <w:vAlign w:val="bottom"/>
          </w:tcPr>
          <w:p>
            <w:pPr>
              <w:spacing w:after="0"/>
              <w:rPr>
                <w:sz w:val="17"/>
                <w:szCs w:val="17"/>
                <w:color w:val="auto"/>
              </w:rPr>
            </w:pPr>
          </w:p>
        </w:tc>
        <w:tc>
          <w:tcPr>
            <w:tcW w:w="2820" w:type="dxa"/>
            <w:vAlign w:val="bottom"/>
            <w:gridSpan w:val="4"/>
          </w:tcPr>
          <w:p>
            <w:pPr>
              <w:jc w:val="center"/>
              <w:ind w:left="485"/>
              <w:spacing w:after="0"/>
              <w:rPr>
                <w:sz w:val="20"/>
                <w:szCs w:val="20"/>
                <w:color w:val="auto"/>
              </w:rPr>
            </w:pPr>
            <w:r>
              <w:rPr>
                <w:rFonts w:ascii="Arial" w:cs="Arial" w:eastAsia="Arial" w:hAnsi="Arial"/>
                <w:sz w:val="16"/>
                <w:szCs w:val="16"/>
                <w:b w:val="1"/>
                <w:bCs w:val="1"/>
                <w:color w:val="auto"/>
                <w:w w:val="93"/>
              </w:rPr>
              <w:t>(626) 304-3400</w:t>
            </w:r>
          </w:p>
        </w:tc>
        <w:tc>
          <w:tcPr>
            <w:tcW w:w="4580" w:type="dxa"/>
            <w:vAlign w:val="bottom"/>
          </w:tcPr>
          <w:p>
            <w:pPr>
              <w:spacing w:after="0"/>
              <w:rPr>
                <w:sz w:val="17"/>
                <w:szCs w:val="17"/>
                <w:color w:val="auto"/>
              </w:rPr>
            </w:pPr>
          </w:p>
        </w:tc>
      </w:tr>
      <w:tr>
        <w:trPr>
          <w:trHeight w:val="164"/>
        </w:trPr>
        <w:tc>
          <w:tcPr>
            <w:tcW w:w="4020" w:type="dxa"/>
            <w:vAlign w:val="bottom"/>
          </w:tcPr>
          <w:p>
            <w:pPr>
              <w:spacing w:after="0"/>
              <w:rPr>
                <w:sz w:val="14"/>
                <w:szCs w:val="14"/>
                <w:color w:val="auto"/>
              </w:rPr>
            </w:pPr>
          </w:p>
        </w:tc>
        <w:tc>
          <w:tcPr>
            <w:tcW w:w="7400" w:type="dxa"/>
            <w:vAlign w:val="bottom"/>
            <w:gridSpan w:val="5"/>
          </w:tcPr>
          <w:p>
            <w:pPr>
              <w:jc w:val="center"/>
              <w:ind w:right="3931"/>
              <w:spacing w:after="0"/>
              <w:rPr>
                <w:sz w:val="20"/>
                <w:szCs w:val="20"/>
                <w:color w:val="auto"/>
              </w:rPr>
            </w:pPr>
            <w:r>
              <w:rPr>
                <w:rFonts w:ascii="Arial" w:cs="Arial" w:eastAsia="Arial" w:hAnsi="Arial"/>
                <w:sz w:val="13"/>
                <w:szCs w:val="13"/>
                <w:b w:val="1"/>
                <w:bCs w:val="1"/>
                <w:color w:val="auto"/>
                <w:w w:val="86"/>
              </w:rPr>
              <w:t>(Address and telephone number of principal executive offices)</w:t>
            </w:r>
          </w:p>
        </w:tc>
      </w:tr>
      <w:tr>
        <w:trPr>
          <w:trHeight w:val="70"/>
        </w:trPr>
        <w:tc>
          <w:tcPr>
            <w:tcW w:w="4560" w:type="dxa"/>
            <w:vAlign w:val="bottom"/>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580" w:type="dxa"/>
            <w:vAlign w:val="bottom"/>
          </w:tcPr>
          <w:p>
            <w:pPr>
              <w:spacing w:after="0"/>
              <w:rPr>
                <w:sz w:val="6"/>
                <w:szCs w:val="6"/>
                <w:color w:val="auto"/>
              </w:rPr>
            </w:pPr>
          </w:p>
        </w:tc>
      </w:tr>
      <w:tr>
        <w:trPr>
          <w:trHeight w:val="298"/>
        </w:trPr>
        <w:tc>
          <w:tcPr>
            <w:tcW w:w="1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Securities registered under Section 12(b) of the Exchange Act:</w:t>
            </w:r>
          </w:p>
        </w:tc>
      </w:tr>
      <w:tr>
        <w:trPr>
          <w:trHeight w:val="182"/>
        </w:trPr>
        <w:tc>
          <w:tcPr>
            <w:tcW w:w="4020" w:type="dxa"/>
            <w:vAlign w:val="bottom"/>
            <w:tcBorders>
              <w:bottom w:val="single" w:sz="8" w:color="auto"/>
            </w:tcBorders>
          </w:tcPr>
          <w:p>
            <w:pPr>
              <w:jc w:val="center"/>
              <w:ind w:left="1646"/>
              <w:spacing w:after="0"/>
              <w:rPr>
                <w:sz w:val="20"/>
                <w:szCs w:val="20"/>
                <w:color w:val="auto"/>
              </w:rPr>
            </w:pPr>
            <w:r>
              <w:rPr>
                <w:rFonts w:ascii="Arial" w:cs="Arial" w:eastAsia="Arial" w:hAnsi="Arial"/>
                <w:sz w:val="13"/>
                <w:szCs w:val="13"/>
                <w:b w:val="1"/>
                <w:bCs w:val="1"/>
                <w:color w:val="auto"/>
                <w:w w:val="83"/>
              </w:rPr>
              <w:t>Title of each class</w:t>
            </w: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center"/>
              <w:ind w:right="97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04"/>
        </w:trPr>
        <w:tc>
          <w:tcPr>
            <w:tcW w:w="4020" w:type="dxa"/>
            <w:vAlign w:val="bottom"/>
          </w:tcPr>
          <w:p>
            <w:pPr>
              <w:jc w:val="center"/>
              <w:ind w:left="1626"/>
              <w:spacing w:after="0"/>
              <w:rPr>
                <w:sz w:val="20"/>
                <w:szCs w:val="20"/>
                <w:color w:val="auto"/>
              </w:rPr>
            </w:pPr>
            <w:r>
              <w:rPr>
                <w:rFonts w:ascii="Arial" w:cs="Arial" w:eastAsia="Arial" w:hAnsi="Arial"/>
                <w:sz w:val="16"/>
                <w:szCs w:val="16"/>
                <w:b w:val="1"/>
                <w:bCs w:val="1"/>
                <w:color w:val="auto"/>
                <w:w w:val="91"/>
              </w:rPr>
              <w:t>Common Stock, $0.001 par value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80" w:type="dxa"/>
            <w:vAlign w:val="bottom"/>
          </w:tcPr>
          <w:p>
            <w:pPr>
              <w:jc w:val="center"/>
              <w:ind w:right="951"/>
              <w:spacing w:after="0"/>
              <w:rPr>
                <w:sz w:val="20"/>
                <w:szCs w:val="20"/>
                <w:color w:val="auto"/>
              </w:rPr>
            </w:pPr>
            <w:r>
              <w:rPr>
                <w:rFonts w:ascii="Arial" w:cs="Arial" w:eastAsia="Arial" w:hAnsi="Arial"/>
                <w:sz w:val="16"/>
                <w:szCs w:val="16"/>
                <w:b w:val="1"/>
                <w:bCs w:val="1"/>
                <w:color w:val="auto"/>
                <w:w w:val="95"/>
              </w:rPr>
              <w:t>The NASDAQ Global Select Market</w:t>
            </w:r>
          </w:p>
        </w:tc>
      </w:tr>
    </w:tbl>
    <w:p>
      <w:pPr>
        <w:spacing w:after="0" w:line="127"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101"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a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500" w:firstLine="518"/>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right="6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315" w:right="239" w:bottom="1440" w:gutter="0" w:footer="0" w:header="0"/>
        </w:sectPr>
      </w:pPr>
    </w:p>
    <w:p>
      <w:pPr>
        <w:spacing w:after="0" w:line="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4">
            <w:col w:w="2200" w:space="720"/>
            <w:col w:w="1520" w:space="720"/>
            <w:col w:w="2020" w:space="720"/>
            <w:col w:w="3520"/>
          </w:cols>
          <w:pgMar w:left="240" w:top="315" w:right="2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315" w:right="239" w:bottom="1440" w:gutter="0" w:footer="0" w:header="0"/>
          <w:type w:val="continuous"/>
        </w:sectPr>
      </w:pPr>
    </w:p>
    <w:p>
      <w:pPr>
        <w:spacing w:after="0" w:line="128"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ind w:right="100" w:firstLine="518"/>
        <w:spacing w:after="0" w:line="273" w:lineRule="auto"/>
        <w:rPr>
          <w:sz w:val="20"/>
          <w:szCs w:val="20"/>
          <w:color w:val="auto"/>
        </w:rPr>
      </w:pPr>
      <w:r>
        <w:rPr>
          <w:rFonts w:ascii="Arial" w:cs="Arial" w:eastAsia="Arial" w:hAnsi="Arial"/>
          <w:sz w:val="16"/>
          <w:szCs w:val="16"/>
          <w:color w:val="auto"/>
        </w:rPr>
        <w:t>The aggregate market value of issuer’s voting and non-voting outstanding Common Stock held by non-affiliates was approximately $619 million based upon the closing stock price of issuer’s Common Stock on March 31, 2018.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December 7, 2018, 92,224,665 shares of the issuer’s Common Stock were issued and outstanding.</w:t>
      </w:r>
    </w:p>
    <w:p>
      <w:pPr>
        <w:spacing w:after="0" w:line="55"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120" w:firstLine="571"/>
        <w:spacing w:after="0" w:line="293" w:lineRule="auto"/>
        <w:rPr>
          <w:sz w:val="20"/>
          <w:szCs w:val="20"/>
          <w:color w:val="auto"/>
        </w:rPr>
      </w:pPr>
      <w:r>
        <w:rPr>
          <w:rFonts w:ascii="Arial" w:cs="Arial" w:eastAsia="Arial" w:hAnsi="Arial"/>
          <w:sz w:val="16"/>
          <w:szCs w:val="16"/>
          <w:color w:val="auto"/>
        </w:rPr>
        <w:t>Portions of the Definitive Proxy Statement to be filed for Arrowhead Pharmaceuticals Inc.’s 2019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291465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w:t>
            </w:r>
          </w:p>
        </w:tc>
        <w:tc>
          <w:tcPr>
            <w:tcW w:w="97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w:t>
              </w:r>
              <w:r>
                <w:rPr>
                  <w:rFonts w:ascii="Arial" w:cs="Arial" w:eastAsia="Arial" w:hAnsi="Arial"/>
                  <w:sz w:val="13"/>
                  <w:szCs w:val="13"/>
                  <w:color w:val="0000EE"/>
                </w:rPr>
                <w:t>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R</w:t>
              </w:r>
              <w:r>
                <w:rPr>
                  <w:rFonts w:ascii="Arial" w:cs="Arial" w:eastAsia="Arial" w:hAnsi="Arial"/>
                  <w:sz w:val="13"/>
                  <w:szCs w:val="13"/>
                  <w:color w:val="0000EE"/>
                  <w:w w:val="94"/>
                </w:rPr>
                <w:t>ISK</w:t>
              </w:r>
              <w:r>
                <w:rPr>
                  <w:rFonts w:ascii="Arial" w:cs="Arial" w:eastAsia="Arial" w:hAnsi="Arial"/>
                  <w:sz w:val="18"/>
                  <w:szCs w:val="18"/>
                  <w:color w:val="0000EE"/>
                  <w:w w:val="94"/>
                </w:rPr>
                <w:t xml:space="preserve"> F</w:t>
              </w:r>
              <w:r>
                <w:rPr>
                  <w:rFonts w:ascii="Arial" w:cs="Arial" w:eastAsia="Arial" w:hAnsi="Arial"/>
                  <w:sz w:val="13"/>
                  <w:szCs w:val="13"/>
                  <w:color w:val="0000EE"/>
                  <w:w w:val="94"/>
                </w:rPr>
                <w:t>ACTORS</w:t>
              </w:r>
            </w:hyperlink>
          </w:p>
        </w:tc>
        <w:tc>
          <w:tcPr>
            <w:tcW w:w="87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1B.</w:t>
            </w:r>
          </w:p>
        </w:tc>
        <w:tc>
          <w:tcPr>
            <w:tcW w:w="97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w:t>
              </w:r>
              <w:r>
                <w:rPr>
                  <w:rFonts w:ascii="Arial" w:cs="Arial" w:eastAsia="Arial" w:hAnsi="Arial"/>
                  <w:sz w:val="13"/>
                  <w:szCs w:val="13"/>
                  <w:color w:val="0000EE"/>
                </w:rPr>
                <w:t>NRESOLVED</w:t>
              </w:r>
              <w:r>
                <w:rPr>
                  <w:rFonts w:ascii="Arial" w:cs="Arial" w:eastAsia="Arial" w:hAnsi="Arial"/>
                  <w:sz w:val="18"/>
                  <w:szCs w:val="18"/>
                  <w:color w:val="0000EE"/>
                </w:rPr>
                <w:t xml:space="preserve"> S</w:t>
              </w:r>
              <w:r>
                <w:rPr>
                  <w:rFonts w:ascii="Arial" w:cs="Arial" w:eastAsia="Arial" w:hAnsi="Arial"/>
                  <w:sz w:val="13"/>
                  <w:szCs w:val="13"/>
                  <w:color w:val="0000EE"/>
                </w:rPr>
                <w:t>TAFF</w:t>
              </w:r>
              <w:r>
                <w:rPr>
                  <w:rFonts w:ascii="Arial" w:cs="Arial" w:eastAsia="Arial" w:hAnsi="Arial"/>
                  <w:sz w:val="18"/>
                  <w:szCs w:val="18"/>
                  <w:color w:val="0000EE"/>
                </w:rPr>
                <w:t xml:space="preserve"> C</w:t>
              </w:r>
              <w:r>
                <w:rPr>
                  <w:rFonts w:ascii="Arial" w:cs="Arial" w:eastAsia="Arial" w:hAnsi="Arial"/>
                  <w:sz w:val="13"/>
                  <w:szCs w:val="13"/>
                  <w:color w:val="0000EE"/>
                </w:rPr>
                <w:t>OMMENTS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2.</w:t>
            </w: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P</w:t>
              </w:r>
              <w:r>
                <w:rPr>
                  <w:rFonts w:ascii="Arial" w:cs="Arial" w:eastAsia="Arial" w:hAnsi="Arial"/>
                  <w:sz w:val="13"/>
                  <w:szCs w:val="13"/>
                  <w:color w:val="0000EE"/>
                  <w:w w:val="89"/>
                </w:rPr>
                <w:t>ROPERTIES</w:t>
              </w:r>
            </w:hyperlink>
          </w:p>
        </w:tc>
        <w:tc>
          <w:tcPr>
            <w:tcW w:w="1400" w:type="dxa"/>
            <w:vAlign w:val="bottom"/>
            <w:tcBorders>
              <w:top w:val="single" w:sz="8" w:color="0000EE"/>
            </w:tcBorders>
            <w:gridSpan w:val="6"/>
          </w:tcPr>
          <w:p>
            <w:pPr>
              <w:spacing w:after="0"/>
              <w:rPr>
                <w:sz w:val="17"/>
                <w:szCs w:val="17"/>
                <w:color w:val="auto"/>
              </w:rPr>
            </w:pPr>
          </w:p>
        </w:tc>
        <w:tc>
          <w:tcPr>
            <w:tcW w:w="75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3.</w:t>
            </w: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L</w:t>
              </w:r>
              <w:r>
                <w:rPr>
                  <w:rFonts w:ascii="Arial" w:cs="Arial" w:eastAsia="Arial" w:hAnsi="Arial"/>
                  <w:sz w:val="13"/>
                  <w:szCs w:val="13"/>
                  <w:color w:val="0000EE"/>
                  <w:w w:val="96"/>
                </w:rPr>
                <w:t>EGAL</w:t>
              </w:r>
              <w:r>
                <w:rPr>
                  <w:rFonts w:ascii="Arial" w:cs="Arial" w:eastAsia="Arial" w:hAnsi="Arial"/>
                  <w:sz w:val="18"/>
                  <w:szCs w:val="18"/>
                  <w:color w:val="0000EE"/>
                  <w:w w:val="96"/>
                </w:rPr>
                <w:t xml:space="preserve"> P</w:t>
              </w:r>
              <w:r>
                <w:rPr>
                  <w:rFonts w:ascii="Arial" w:cs="Arial" w:eastAsia="Arial" w:hAnsi="Arial"/>
                  <w:sz w:val="13"/>
                  <w:szCs w:val="13"/>
                  <w:color w:val="0000EE"/>
                  <w:w w:val="96"/>
                </w:rPr>
                <w:t>ROCEEDINGS</w:t>
              </w:r>
            </w:hyperlink>
          </w:p>
        </w:tc>
        <w:tc>
          <w:tcPr>
            <w:tcW w:w="83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4.</w:t>
            </w:r>
          </w:p>
        </w:tc>
        <w:tc>
          <w:tcPr>
            <w:tcW w:w="97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w:t>
              </w:r>
              <w:r>
                <w:rPr>
                  <w:rFonts w:ascii="Arial" w:cs="Arial" w:eastAsia="Arial" w:hAnsi="Arial"/>
                  <w:sz w:val="13"/>
                  <w:szCs w:val="13"/>
                  <w:color w:val="0000EE"/>
                </w:rPr>
                <w:t>INE</w:t>
              </w:r>
              <w:r>
                <w:rPr>
                  <w:rFonts w:ascii="Arial" w:cs="Arial" w:eastAsia="Arial" w:hAnsi="Arial"/>
                  <w:sz w:val="18"/>
                  <w:szCs w:val="18"/>
                  <w:color w:val="0000EE"/>
                </w:rPr>
                <w:t xml:space="preserve"> S</w:t>
              </w:r>
              <w:r>
                <w:rPr>
                  <w:rFonts w:ascii="Arial" w:cs="Arial" w:eastAsia="Arial" w:hAnsi="Arial"/>
                  <w:sz w:val="13"/>
                  <w:szCs w:val="13"/>
                  <w:color w:val="0000EE"/>
                </w:rPr>
                <w:t>AFETY</w:t>
              </w:r>
              <w:r>
                <w:rPr>
                  <w:rFonts w:ascii="Arial" w:cs="Arial" w:eastAsia="Arial" w:hAnsi="Arial"/>
                  <w:sz w:val="18"/>
                  <w:szCs w:val="18"/>
                  <w:color w:val="0000EE"/>
                </w:rPr>
                <w:t xml:space="preserve"> D</w:t>
              </w:r>
              <w:r>
                <w:rPr>
                  <w:rFonts w:ascii="Arial" w:cs="Arial" w:eastAsia="Arial" w:hAnsi="Arial"/>
                  <w:sz w:val="13"/>
                  <w:szCs w:val="13"/>
                  <w:color w:val="0000EE"/>
                </w:rPr>
                <w:t>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5.</w:t>
            </w:r>
          </w:p>
        </w:tc>
        <w:tc>
          <w:tcPr>
            <w:tcW w:w="97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w:t>
              </w:r>
              <w:r>
                <w:rPr>
                  <w:rFonts w:ascii="Arial" w:cs="Arial" w:eastAsia="Arial" w:hAnsi="Arial"/>
                  <w:sz w:val="13"/>
                  <w:szCs w:val="13"/>
                  <w:color w:val="0000EE"/>
                </w:rPr>
                <w:t>ARKET FOR THE</w:t>
              </w:r>
              <w:r>
                <w:rPr>
                  <w:rFonts w:ascii="Arial" w:cs="Arial" w:eastAsia="Arial" w:hAnsi="Arial"/>
                  <w:sz w:val="18"/>
                  <w:szCs w:val="18"/>
                  <w:color w:val="0000EE"/>
                </w:rPr>
                <w:t xml:space="preserve"> R</w:t>
              </w:r>
              <w:r>
                <w:rPr>
                  <w:rFonts w:ascii="Arial" w:cs="Arial" w:eastAsia="Arial" w:hAnsi="Arial"/>
                  <w:sz w:val="13"/>
                  <w:szCs w:val="13"/>
                  <w:color w:val="0000EE"/>
                </w:rPr>
                <w:t>EGISTRANT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C</w:t>
              </w:r>
              <w:r>
                <w:rPr>
                  <w:rFonts w:ascii="Arial" w:cs="Arial" w:eastAsia="Arial" w:hAnsi="Arial"/>
                  <w:sz w:val="13"/>
                  <w:szCs w:val="13"/>
                  <w:color w:val="0000EE"/>
                </w:rPr>
                <w:t>OMMON</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w:t>
              </w:r>
              <w:r>
                <w:rPr>
                  <w:rFonts w:ascii="Arial" w:cs="Arial" w:eastAsia="Arial" w:hAnsi="Arial"/>
                  <w:sz w:val="18"/>
                  <w:szCs w:val="18"/>
                  <w:color w:val="0000EE"/>
                </w:rPr>
                <w:t xml:space="preserve"> M</w:t>
              </w:r>
              <w:r>
                <w:rPr>
                  <w:rFonts w:ascii="Arial" w:cs="Arial" w:eastAsia="Arial" w:hAnsi="Arial"/>
                  <w:sz w:val="13"/>
                  <w:szCs w:val="13"/>
                  <w:color w:val="0000EE"/>
                </w:rPr>
                <w:t>ATTERS AND</w:t>
              </w:r>
              <w:r>
                <w:rPr>
                  <w:rFonts w:ascii="Arial" w:cs="Arial" w:eastAsia="Arial" w:hAnsi="Arial"/>
                  <w:sz w:val="18"/>
                  <w:szCs w:val="18"/>
                  <w:color w:val="0000EE"/>
                </w:rPr>
                <w:t xml:space="preserve"> I</w:t>
              </w:r>
              <w:r>
                <w:rPr>
                  <w:rFonts w:ascii="Arial" w:cs="Arial" w:eastAsia="Arial" w:hAnsi="Arial"/>
                  <w:sz w:val="13"/>
                  <w:szCs w:val="13"/>
                  <w:color w:val="0000EE"/>
                </w:rPr>
                <w:t>SSUER</w:t>
              </w:r>
              <w:r>
                <w:rPr>
                  <w:rFonts w:ascii="Arial" w:cs="Arial" w:eastAsia="Arial" w:hAnsi="Arial"/>
                  <w:sz w:val="18"/>
                  <w:szCs w:val="18"/>
                  <w:color w:val="0000EE"/>
                </w:rPr>
                <w:t xml:space="preserve"> P</w:t>
              </w:r>
              <w:r>
                <w:rPr>
                  <w:rFonts w:ascii="Arial" w:cs="Arial" w:eastAsia="Arial" w:hAnsi="Arial"/>
                  <w:sz w:val="13"/>
                  <w:szCs w:val="13"/>
                  <w:color w:val="0000EE"/>
                </w:rPr>
                <w:t>URCHASES OF</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xml:space="preserve"> S</w:t>
              </w:r>
              <w:r>
                <w:rPr>
                  <w:rFonts w:ascii="Arial" w:cs="Arial" w:eastAsia="Arial" w:hAnsi="Arial"/>
                  <w:sz w:val="13"/>
                  <w:szCs w:val="13"/>
                  <w:color w:val="0000EE"/>
                </w:rPr>
                <w:t>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6.</w:t>
            </w: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w:t>
              </w:r>
              <w:r>
                <w:rPr>
                  <w:rFonts w:ascii="Arial" w:cs="Arial" w:eastAsia="Arial" w:hAnsi="Arial"/>
                  <w:sz w:val="13"/>
                  <w:szCs w:val="13"/>
                  <w:color w:val="0000EE"/>
                </w:rPr>
                <w:t>ELECTED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w:t>
            </w: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w:t>
              </w:r>
              <w:r>
                <w:rPr>
                  <w:rFonts w:ascii="Arial" w:cs="Arial" w:eastAsia="Arial" w:hAnsi="Arial"/>
                  <w:sz w:val="13"/>
                  <w:szCs w:val="13"/>
                  <w:color w:val="0000EE"/>
                </w:rPr>
                <w:t>ANAGEMENT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D</w:t>
              </w:r>
              <w:r>
                <w:rPr>
                  <w:rFonts w:ascii="Arial" w:cs="Arial" w:eastAsia="Arial" w:hAnsi="Arial"/>
                  <w:sz w:val="13"/>
                  <w:szCs w:val="13"/>
                  <w:color w:val="0000EE"/>
                </w:rPr>
                <w:t>ISCUSSION AND</w:t>
              </w:r>
              <w:r>
                <w:rPr>
                  <w:rFonts w:ascii="Arial" w:cs="Arial" w:eastAsia="Arial" w:hAnsi="Arial"/>
                  <w:sz w:val="18"/>
                  <w:szCs w:val="18"/>
                  <w:color w:val="0000EE"/>
                </w:rPr>
                <w:t xml:space="preserve"> A</w:t>
              </w:r>
              <w:r>
                <w:rPr>
                  <w:rFonts w:ascii="Arial" w:cs="Arial" w:eastAsia="Arial" w:hAnsi="Arial"/>
                  <w:sz w:val="13"/>
                  <w:szCs w:val="13"/>
                  <w:color w:val="0000EE"/>
                </w:rPr>
                <w:t>NALYSIS OF</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C</w:t>
              </w:r>
              <w:r>
                <w:rPr>
                  <w:rFonts w:ascii="Arial" w:cs="Arial" w:eastAsia="Arial" w:hAnsi="Arial"/>
                  <w:sz w:val="13"/>
                  <w:szCs w:val="13"/>
                  <w:color w:val="0000EE"/>
                </w:rPr>
                <w:t>ONDITION AND</w:t>
              </w:r>
              <w:r>
                <w:rPr>
                  <w:rFonts w:ascii="Arial" w:cs="Arial" w:eastAsia="Arial" w:hAnsi="Arial"/>
                  <w:sz w:val="18"/>
                  <w:szCs w:val="18"/>
                  <w:color w:val="0000EE"/>
                </w:rPr>
                <w:t xml:space="preserve"> R</w:t>
              </w:r>
              <w:r>
                <w:rPr>
                  <w:rFonts w:ascii="Arial" w:cs="Arial" w:eastAsia="Arial" w:hAnsi="Arial"/>
                  <w:sz w:val="13"/>
                  <w:szCs w:val="13"/>
                  <w:color w:val="0000EE"/>
                </w:rPr>
                <w:t>ESULTS OF</w:t>
              </w:r>
              <w:r>
                <w:rPr>
                  <w:rFonts w:ascii="Arial" w:cs="Arial" w:eastAsia="Arial" w:hAnsi="Arial"/>
                  <w:sz w:val="18"/>
                  <w:szCs w:val="18"/>
                  <w:color w:val="0000EE"/>
                </w:rPr>
                <w:t xml:space="preserve"> O</w:t>
              </w:r>
              <w:r>
                <w:rPr>
                  <w:rFonts w:ascii="Arial" w:cs="Arial" w:eastAsia="Arial" w:hAnsi="Arial"/>
                  <w:sz w:val="13"/>
                  <w:szCs w:val="13"/>
                  <w:color w:val="0000EE"/>
                </w:rPr>
                <w:t>PERATIONS</w:t>
              </w:r>
            </w:hyperlink>
          </w:p>
        </w:tc>
        <w:tc>
          <w:tcPr>
            <w:tcW w:w="27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7A.</w:t>
            </w:r>
          </w:p>
        </w:tc>
        <w:tc>
          <w:tcPr>
            <w:tcW w:w="48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Q</w:t>
              </w:r>
              <w:r>
                <w:rPr>
                  <w:rFonts w:ascii="Arial" w:cs="Arial" w:eastAsia="Arial" w:hAnsi="Arial"/>
                  <w:sz w:val="13"/>
                  <w:szCs w:val="13"/>
                  <w:color w:val="0000EE"/>
                </w:rPr>
                <w:t>UANTITATIVE AND</w:t>
              </w:r>
              <w:r>
                <w:rPr>
                  <w:rFonts w:ascii="Arial" w:cs="Arial" w:eastAsia="Arial" w:hAnsi="Arial"/>
                  <w:sz w:val="18"/>
                  <w:szCs w:val="18"/>
                  <w:color w:val="0000EE"/>
                </w:rPr>
                <w:t xml:space="preserve"> Q</w:t>
              </w:r>
              <w:r>
                <w:rPr>
                  <w:rFonts w:ascii="Arial" w:cs="Arial" w:eastAsia="Arial" w:hAnsi="Arial"/>
                  <w:sz w:val="13"/>
                  <w:szCs w:val="13"/>
                  <w:color w:val="0000EE"/>
                </w:rPr>
                <w:t>UALITATIVE</w:t>
              </w:r>
              <w:r>
                <w:rPr>
                  <w:rFonts w:ascii="Arial" w:cs="Arial" w:eastAsia="Arial" w:hAnsi="Arial"/>
                  <w:sz w:val="18"/>
                  <w:szCs w:val="18"/>
                  <w:color w:val="0000EE"/>
                </w:rPr>
                <w:t xml:space="preserve"> D</w:t>
              </w:r>
              <w:r>
                <w:rPr>
                  <w:rFonts w:ascii="Arial" w:cs="Arial" w:eastAsia="Arial" w:hAnsi="Arial"/>
                  <w:sz w:val="13"/>
                  <w:szCs w:val="13"/>
                  <w:color w:val="0000EE"/>
                </w:rPr>
                <w:t>ISCLOSURES</w:t>
              </w:r>
              <w:r>
                <w:rPr>
                  <w:rFonts w:ascii="Arial" w:cs="Arial" w:eastAsia="Arial" w:hAnsi="Arial"/>
                  <w:sz w:val="18"/>
                  <w:szCs w:val="18"/>
                  <w:color w:val="0000EE"/>
                </w:rPr>
                <w:t xml:space="preserve"> A</w:t>
              </w:r>
              <w:r>
                <w:rPr>
                  <w:rFonts w:ascii="Arial" w:cs="Arial" w:eastAsia="Arial" w:hAnsi="Arial"/>
                  <w:sz w:val="13"/>
                  <w:szCs w:val="13"/>
                  <w:color w:val="0000EE"/>
                </w:rPr>
                <w:t>BOUT</w:t>
              </w:r>
              <w:r>
                <w:rPr>
                  <w:rFonts w:ascii="Arial" w:cs="Arial" w:eastAsia="Arial" w:hAnsi="Arial"/>
                  <w:sz w:val="18"/>
                  <w:szCs w:val="18"/>
                  <w:color w:val="0000EE"/>
                </w:rPr>
                <w:t xml:space="preserve"> M</w:t>
              </w:r>
              <w:r>
                <w:rPr>
                  <w:rFonts w:ascii="Arial" w:cs="Arial" w:eastAsia="Arial" w:hAnsi="Arial"/>
                  <w:sz w:val="13"/>
                  <w:szCs w:val="13"/>
                  <w:color w:val="0000EE"/>
                </w:rPr>
                <w:t>ARKET</w:t>
              </w:r>
              <w:r>
                <w:rPr>
                  <w:rFonts w:ascii="Arial" w:cs="Arial" w:eastAsia="Arial" w:hAnsi="Arial"/>
                  <w:sz w:val="18"/>
                  <w:szCs w:val="18"/>
                  <w:color w:val="0000EE"/>
                </w:rPr>
                <w:t xml:space="preserve"> R</w:t>
              </w:r>
              <w:r>
                <w:rPr>
                  <w:rFonts w:ascii="Arial" w:cs="Arial" w:eastAsia="Arial" w:hAnsi="Arial"/>
                  <w:sz w:val="13"/>
                  <w:szCs w:val="13"/>
                  <w:color w:val="0000EE"/>
                </w:rPr>
                <w:t>ISK</w:t>
              </w:r>
            </w:hyperlink>
          </w:p>
        </w:tc>
        <w:tc>
          <w:tcPr>
            <w:tcW w:w="49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8.</w:t>
            </w:r>
          </w:p>
        </w:tc>
        <w:tc>
          <w:tcPr>
            <w:tcW w:w="976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w:t>
              </w:r>
              <w:r>
                <w:rPr>
                  <w:rFonts w:ascii="Arial" w:cs="Arial" w:eastAsia="Arial" w:hAnsi="Arial"/>
                  <w:sz w:val="13"/>
                  <w:szCs w:val="13"/>
                  <w:color w:val="0000EE"/>
                </w:rPr>
                <w:t>INANCIAL</w:t>
              </w:r>
              <w:r>
                <w:rPr>
                  <w:rFonts w:ascii="Arial" w:cs="Arial" w:eastAsia="Arial" w:hAnsi="Arial"/>
                  <w:sz w:val="18"/>
                  <w:szCs w:val="18"/>
                  <w:color w:val="0000EE"/>
                </w:rPr>
                <w:t xml:space="preserve"> S</w:t>
              </w:r>
              <w:r>
                <w:rPr>
                  <w:rFonts w:ascii="Arial" w:cs="Arial" w:eastAsia="Arial" w:hAnsi="Arial"/>
                  <w:sz w:val="13"/>
                  <w:szCs w:val="13"/>
                  <w:color w:val="0000EE"/>
                </w:rPr>
                <w:t>TATEMENTS AND</w:t>
              </w:r>
              <w:r>
                <w:rPr>
                  <w:rFonts w:ascii="Arial" w:cs="Arial" w:eastAsia="Arial" w:hAnsi="Arial"/>
                  <w:sz w:val="18"/>
                  <w:szCs w:val="18"/>
                  <w:color w:val="0000EE"/>
                </w:rPr>
                <w:t xml:space="preserve"> S</w:t>
              </w:r>
              <w:r>
                <w:rPr>
                  <w:rFonts w:ascii="Arial" w:cs="Arial" w:eastAsia="Arial" w:hAnsi="Arial"/>
                  <w:sz w:val="13"/>
                  <w:szCs w:val="13"/>
                  <w:color w:val="0000EE"/>
                </w:rPr>
                <w:t>UPPLEMENTARY</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w:t>
            </w:r>
          </w:p>
        </w:tc>
        <w:tc>
          <w:tcPr>
            <w:tcW w:w="710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w:t>
              </w:r>
              <w:r>
                <w:rPr>
                  <w:rFonts w:ascii="Arial" w:cs="Arial" w:eastAsia="Arial" w:hAnsi="Arial"/>
                  <w:sz w:val="13"/>
                  <w:szCs w:val="13"/>
                  <w:color w:val="0000EE"/>
                </w:rPr>
                <w:t>HANGES IN AND</w:t>
              </w:r>
              <w:r>
                <w:rPr>
                  <w:rFonts w:ascii="Arial" w:cs="Arial" w:eastAsia="Arial" w:hAnsi="Arial"/>
                  <w:sz w:val="18"/>
                  <w:szCs w:val="18"/>
                  <w:color w:val="0000EE"/>
                </w:rPr>
                <w:t xml:space="preserve"> D</w:t>
              </w:r>
              <w:r>
                <w:rPr>
                  <w:rFonts w:ascii="Arial" w:cs="Arial" w:eastAsia="Arial" w:hAnsi="Arial"/>
                  <w:sz w:val="13"/>
                  <w:szCs w:val="13"/>
                  <w:color w:val="0000EE"/>
                </w:rPr>
                <w:t>ISAGREEMENTS WITH</w:t>
              </w:r>
              <w:r>
                <w:rPr>
                  <w:rFonts w:ascii="Arial" w:cs="Arial" w:eastAsia="Arial" w:hAnsi="Arial"/>
                  <w:sz w:val="18"/>
                  <w:szCs w:val="18"/>
                  <w:color w:val="0000EE"/>
                </w:rPr>
                <w:t xml:space="preserve"> A</w:t>
              </w:r>
              <w:r>
                <w:rPr>
                  <w:rFonts w:ascii="Arial" w:cs="Arial" w:eastAsia="Arial" w:hAnsi="Arial"/>
                  <w:sz w:val="13"/>
                  <w:szCs w:val="13"/>
                  <w:color w:val="0000EE"/>
                </w:rPr>
                <w:t>CCOUNTANTS ON</w:t>
              </w:r>
              <w:r>
                <w:rPr>
                  <w:rFonts w:ascii="Arial" w:cs="Arial" w:eastAsia="Arial" w:hAnsi="Arial"/>
                  <w:sz w:val="18"/>
                  <w:szCs w:val="18"/>
                  <w:color w:val="0000EE"/>
                </w:rPr>
                <w:t xml:space="preserve"> A</w:t>
              </w:r>
              <w:r>
                <w:rPr>
                  <w:rFonts w:ascii="Arial" w:cs="Arial" w:eastAsia="Arial" w:hAnsi="Arial"/>
                  <w:sz w:val="13"/>
                  <w:szCs w:val="13"/>
                  <w:color w:val="0000EE"/>
                </w:rPr>
                <w:t>CCOUNTING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ISCLOSURE</w:t>
              </w:r>
            </w:hyperlink>
          </w:p>
        </w:tc>
        <w:tc>
          <w:tcPr>
            <w:tcW w:w="2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9A.</w:t>
            </w:r>
          </w:p>
        </w:tc>
        <w:tc>
          <w:tcPr>
            <w:tcW w:w="976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w:t>
              </w:r>
              <w:r>
                <w:rPr>
                  <w:rFonts w:ascii="Arial" w:cs="Arial" w:eastAsia="Arial" w:hAnsi="Arial"/>
                  <w:sz w:val="13"/>
                  <w:szCs w:val="13"/>
                  <w:color w:val="0000EE"/>
                </w:rPr>
                <w:t>ONTROLS AND</w:t>
              </w:r>
              <w:r>
                <w:rPr>
                  <w:rFonts w:ascii="Arial" w:cs="Arial" w:eastAsia="Arial" w:hAnsi="Arial"/>
                  <w:sz w:val="18"/>
                  <w:szCs w:val="18"/>
                  <w:color w:val="0000EE"/>
                </w:rPr>
                <w:t xml:space="preserve"> P</w:t>
              </w:r>
              <w:r>
                <w:rPr>
                  <w:rFonts w:ascii="Arial" w:cs="Arial" w:eastAsia="Arial" w:hAnsi="Arial"/>
                  <w:sz w:val="13"/>
                  <w:szCs w:val="13"/>
                  <w:color w:val="0000EE"/>
                </w:rPr>
                <w:t>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9B.</w:t>
            </w: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w:t>
              </w:r>
              <w:r>
                <w:rPr>
                  <w:rFonts w:ascii="Arial" w:cs="Arial" w:eastAsia="Arial" w:hAnsi="Arial"/>
                  <w:sz w:val="13"/>
                  <w:szCs w:val="13"/>
                  <w:color w:val="0000EE"/>
                </w:rPr>
                <w:t>THER</w:t>
              </w:r>
              <w:r>
                <w:rPr>
                  <w:rFonts w:ascii="Arial" w:cs="Arial" w:eastAsia="Arial" w:hAnsi="Arial"/>
                  <w:sz w:val="18"/>
                  <w:szCs w:val="18"/>
                  <w:color w:val="0000EE"/>
                </w:rPr>
                <w:t xml:space="preserve"> I</w:t>
              </w:r>
              <w:r>
                <w:rPr>
                  <w:rFonts w:ascii="Arial" w:cs="Arial" w:eastAsia="Arial" w:hAnsi="Arial"/>
                  <w:sz w:val="13"/>
                  <w:szCs w:val="13"/>
                  <w:color w:val="0000EE"/>
                </w:rPr>
                <w:t>NFORMATION</w:t>
              </w:r>
            </w:hyperlink>
          </w:p>
        </w:tc>
        <w:tc>
          <w:tcPr>
            <w:tcW w:w="7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10.</w:t>
            </w:r>
          </w:p>
        </w:tc>
        <w:tc>
          <w:tcPr>
            <w:tcW w:w="46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D</w:t>
              </w:r>
              <w:r>
                <w:rPr>
                  <w:rFonts w:ascii="Arial" w:cs="Arial" w:eastAsia="Arial" w:hAnsi="Arial"/>
                  <w:sz w:val="13"/>
                  <w:szCs w:val="13"/>
                  <w:color w:val="0000EE"/>
                  <w:w w:val="97"/>
                </w:rPr>
                <w:t>IRECTORS</w:t>
              </w:r>
              <w:r>
                <w:rPr>
                  <w:rFonts w:ascii="Arial" w:cs="Arial" w:eastAsia="Arial" w:hAnsi="Arial"/>
                  <w:sz w:val="18"/>
                  <w:szCs w:val="18"/>
                  <w:color w:val="0000EE"/>
                  <w:w w:val="97"/>
                </w:rPr>
                <w:t>, E</w:t>
              </w:r>
              <w:r>
                <w:rPr>
                  <w:rFonts w:ascii="Arial" w:cs="Arial" w:eastAsia="Arial" w:hAnsi="Arial"/>
                  <w:sz w:val="13"/>
                  <w:szCs w:val="13"/>
                  <w:color w:val="0000EE"/>
                  <w:w w:val="97"/>
                </w:rPr>
                <w:t>XECUTIVE</w:t>
              </w:r>
              <w:r>
                <w:rPr>
                  <w:rFonts w:ascii="Arial" w:cs="Arial" w:eastAsia="Arial" w:hAnsi="Arial"/>
                  <w:sz w:val="18"/>
                  <w:szCs w:val="18"/>
                  <w:color w:val="0000EE"/>
                  <w:w w:val="97"/>
                </w:rPr>
                <w:t xml:space="preserve"> O</w:t>
              </w:r>
              <w:r>
                <w:rPr>
                  <w:rFonts w:ascii="Arial" w:cs="Arial" w:eastAsia="Arial" w:hAnsi="Arial"/>
                  <w:sz w:val="13"/>
                  <w:szCs w:val="13"/>
                  <w:color w:val="0000EE"/>
                  <w:w w:val="97"/>
                </w:rPr>
                <w:t>FFICERS</w:t>
              </w:r>
              <w:r>
                <w:rPr>
                  <w:rFonts w:ascii="Arial" w:cs="Arial" w:eastAsia="Arial" w:hAnsi="Arial"/>
                  <w:sz w:val="18"/>
                  <w:szCs w:val="18"/>
                  <w:color w:val="0000EE"/>
                  <w:w w:val="97"/>
                </w:rPr>
                <w:t xml:space="preserve">, </w:t>
              </w:r>
              <w:r>
                <w:rPr>
                  <w:rFonts w:ascii="Arial" w:cs="Arial" w:eastAsia="Arial" w:hAnsi="Arial"/>
                  <w:sz w:val="13"/>
                  <w:szCs w:val="13"/>
                  <w:color w:val="0000EE"/>
                  <w:w w:val="97"/>
                </w:rPr>
                <w:t>AND</w:t>
              </w:r>
              <w:r>
                <w:rPr>
                  <w:rFonts w:ascii="Arial" w:cs="Arial" w:eastAsia="Arial" w:hAnsi="Arial"/>
                  <w:sz w:val="18"/>
                  <w:szCs w:val="18"/>
                  <w:color w:val="0000EE"/>
                  <w:w w:val="97"/>
                </w:rPr>
                <w:t xml:space="preserve"> C</w:t>
              </w:r>
              <w:r>
                <w:rPr>
                  <w:rFonts w:ascii="Arial" w:cs="Arial" w:eastAsia="Arial" w:hAnsi="Arial"/>
                  <w:sz w:val="13"/>
                  <w:szCs w:val="13"/>
                  <w:color w:val="0000EE"/>
                  <w:w w:val="97"/>
                </w:rPr>
                <w:t>ORPORATE</w:t>
              </w:r>
              <w:r>
                <w:rPr>
                  <w:rFonts w:ascii="Arial" w:cs="Arial" w:eastAsia="Arial" w:hAnsi="Arial"/>
                  <w:sz w:val="18"/>
                  <w:szCs w:val="18"/>
                  <w:color w:val="0000EE"/>
                  <w:w w:val="97"/>
                </w:rPr>
                <w:t xml:space="preserve"> G</w:t>
              </w:r>
              <w:r>
                <w:rPr>
                  <w:rFonts w:ascii="Arial" w:cs="Arial" w:eastAsia="Arial" w:hAnsi="Arial"/>
                  <w:sz w:val="13"/>
                  <w:szCs w:val="13"/>
                  <w:color w:val="0000EE"/>
                  <w:w w:val="97"/>
                </w:rPr>
                <w:t>OVERNANCE</w:t>
              </w:r>
            </w:hyperlink>
          </w:p>
        </w:tc>
        <w:tc>
          <w:tcPr>
            <w:tcW w:w="5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11.</w:t>
            </w:r>
          </w:p>
        </w:tc>
        <w:tc>
          <w:tcPr>
            <w:tcW w:w="976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w:t>
              </w:r>
              <w:r>
                <w:rPr>
                  <w:rFonts w:ascii="Arial" w:cs="Arial" w:eastAsia="Arial" w:hAnsi="Arial"/>
                  <w:sz w:val="13"/>
                  <w:szCs w:val="13"/>
                  <w:color w:val="0000EE"/>
                </w:rPr>
                <w:t>XECUTIVE</w:t>
              </w:r>
              <w:r>
                <w:rPr>
                  <w:rFonts w:ascii="Arial" w:cs="Arial" w:eastAsia="Arial" w:hAnsi="Arial"/>
                  <w:sz w:val="18"/>
                  <w:szCs w:val="18"/>
                  <w:color w:val="0000EE"/>
                </w:rPr>
                <w:t xml:space="preserve"> C</w:t>
              </w:r>
              <w:r>
                <w:rPr>
                  <w:rFonts w:ascii="Arial" w:cs="Arial" w:eastAsia="Arial" w:hAnsi="Arial"/>
                  <w:sz w:val="13"/>
                  <w:szCs w:val="13"/>
                  <w:color w:val="0000EE"/>
                </w:rPr>
                <w:t>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12.</w:t>
            </w:r>
          </w:p>
        </w:tc>
        <w:tc>
          <w:tcPr>
            <w:tcW w:w="976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w:t>
              </w:r>
              <w:r>
                <w:rPr>
                  <w:rFonts w:ascii="Arial" w:cs="Arial" w:eastAsia="Arial" w:hAnsi="Arial"/>
                  <w:sz w:val="13"/>
                  <w:szCs w:val="13"/>
                  <w:color w:val="0000EE"/>
                </w:rPr>
                <w:t>ECURITY</w:t>
              </w:r>
              <w:r>
                <w:rPr>
                  <w:rFonts w:ascii="Arial" w:cs="Arial" w:eastAsia="Arial" w:hAnsi="Arial"/>
                  <w:sz w:val="18"/>
                  <w:szCs w:val="18"/>
                  <w:color w:val="0000EE"/>
                </w:rPr>
                <w:t xml:space="preserve"> O</w:t>
              </w:r>
              <w:r>
                <w:rPr>
                  <w:rFonts w:ascii="Arial" w:cs="Arial" w:eastAsia="Arial" w:hAnsi="Arial"/>
                  <w:sz w:val="13"/>
                  <w:szCs w:val="13"/>
                  <w:color w:val="0000EE"/>
                </w:rPr>
                <w:t>WNERSHIP OF</w:t>
              </w:r>
              <w:r>
                <w:rPr>
                  <w:rFonts w:ascii="Arial" w:cs="Arial" w:eastAsia="Arial" w:hAnsi="Arial"/>
                  <w:sz w:val="18"/>
                  <w:szCs w:val="18"/>
                  <w:color w:val="0000EE"/>
                </w:rPr>
                <w:t xml:space="preserve"> C</w:t>
              </w:r>
              <w:r>
                <w:rPr>
                  <w:rFonts w:ascii="Arial" w:cs="Arial" w:eastAsia="Arial" w:hAnsi="Arial"/>
                  <w:sz w:val="13"/>
                  <w:szCs w:val="13"/>
                  <w:color w:val="0000EE"/>
                </w:rPr>
                <w:t>ERTAIN</w:t>
              </w:r>
              <w:r>
                <w:rPr>
                  <w:rFonts w:ascii="Arial" w:cs="Arial" w:eastAsia="Arial" w:hAnsi="Arial"/>
                  <w:sz w:val="18"/>
                  <w:szCs w:val="18"/>
                  <w:color w:val="0000EE"/>
                </w:rPr>
                <w:t xml:space="preserve"> B</w:t>
              </w:r>
              <w:r>
                <w:rPr>
                  <w:rFonts w:ascii="Arial" w:cs="Arial" w:eastAsia="Arial" w:hAnsi="Arial"/>
                  <w:sz w:val="13"/>
                  <w:szCs w:val="13"/>
                  <w:color w:val="0000EE"/>
                </w:rPr>
                <w:t>ENEFICIAL</w:t>
              </w:r>
              <w:r>
                <w:rPr>
                  <w:rFonts w:ascii="Arial" w:cs="Arial" w:eastAsia="Arial" w:hAnsi="Arial"/>
                  <w:sz w:val="18"/>
                  <w:szCs w:val="18"/>
                  <w:color w:val="0000EE"/>
                </w:rPr>
                <w:t xml:space="preserve"> O</w:t>
              </w:r>
              <w:r>
                <w:rPr>
                  <w:rFonts w:ascii="Arial" w:cs="Arial" w:eastAsia="Arial" w:hAnsi="Arial"/>
                  <w:sz w:val="13"/>
                  <w:szCs w:val="13"/>
                  <w:color w:val="0000EE"/>
                </w:rPr>
                <w:t>WNERS AND</w:t>
              </w:r>
              <w:r>
                <w:rPr>
                  <w:rFonts w:ascii="Arial" w:cs="Arial" w:eastAsia="Arial" w:hAnsi="Arial"/>
                  <w:sz w:val="18"/>
                  <w:szCs w:val="18"/>
                  <w:color w:val="0000EE"/>
                </w:rPr>
                <w:t xml:space="preserve"> M</w:t>
              </w:r>
              <w:r>
                <w:rPr>
                  <w:rFonts w:ascii="Arial" w:cs="Arial" w:eastAsia="Arial" w:hAnsi="Arial"/>
                  <w:sz w:val="13"/>
                  <w:szCs w:val="13"/>
                  <w:color w:val="0000EE"/>
                </w:rPr>
                <w:t>ANAGEMENT AND</w:t>
              </w:r>
              <w:r>
                <w:rPr>
                  <w:rFonts w:ascii="Arial" w:cs="Arial" w:eastAsia="Arial" w:hAnsi="Arial"/>
                  <w:sz w:val="18"/>
                  <w:szCs w:val="18"/>
                  <w:color w:val="0000EE"/>
                </w:rPr>
                <w:t xml:space="preserve">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13.</w:t>
            </w:r>
          </w:p>
        </w:tc>
        <w:tc>
          <w:tcPr>
            <w:tcW w:w="7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w:t>
              </w:r>
              <w:r>
                <w:rPr>
                  <w:rFonts w:ascii="Arial" w:cs="Arial" w:eastAsia="Arial" w:hAnsi="Arial"/>
                  <w:sz w:val="13"/>
                  <w:szCs w:val="13"/>
                  <w:color w:val="0000EE"/>
                </w:rPr>
                <w:t>ERTAIN</w:t>
              </w:r>
              <w:r>
                <w:rPr>
                  <w:rFonts w:ascii="Arial" w:cs="Arial" w:eastAsia="Arial" w:hAnsi="Arial"/>
                  <w:sz w:val="18"/>
                  <w:szCs w:val="18"/>
                  <w:color w:val="0000EE"/>
                </w:rPr>
                <w:t xml:space="preserve"> R</w:t>
              </w:r>
              <w:r>
                <w:rPr>
                  <w:rFonts w:ascii="Arial" w:cs="Arial" w:eastAsia="Arial" w:hAnsi="Arial"/>
                  <w:sz w:val="13"/>
                  <w:szCs w:val="13"/>
                  <w:color w:val="0000EE"/>
                </w:rPr>
                <w:t>ELATIONSHIPS</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T</w:t>
              </w:r>
              <w:r>
                <w:rPr>
                  <w:rFonts w:ascii="Arial" w:cs="Arial" w:eastAsia="Arial" w:hAnsi="Arial"/>
                  <w:sz w:val="13"/>
                  <w:szCs w:val="13"/>
                  <w:color w:val="0000EE"/>
                </w:rPr>
                <w:t>RANSACTIONS AND</w:t>
              </w:r>
              <w:r>
                <w:rPr>
                  <w:rFonts w:ascii="Arial" w:cs="Arial" w:eastAsia="Arial" w:hAnsi="Arial"/>
                  <w:sz w:val="18"/>
                  <w:szCs w:val="18"/>
                  <w:color w:val="0000EE"/>
                </w:rPr>
                <w:t xml:space="preserve"> D</w:t>
              </w:r>
              <w:r>
                <w:rPr>
                  <w:rFonts w:ascii="Arial" w:cs="Arial" w:eastAsia="Arial" w:hAnsi="Arial"/>
                  <w:sz w:val="13"/>
                  <w:szCs w:val="13"/>
                  <w:color w:val="0000EE"/>
                </w:rPr>
                <w:t>IRECTORS</w:t>
              </w:r>
              <w:r>
                <w:rPr>
                  <w:rFonts w:ascii="Arial" w:cs="Arial" w:eastAsia="Arial" w:hAnsi="Arial"/>
                  <w:sz w:val="18"/>
                  <w:szCs w:val="18"/>
                  <w:color w:val="0000EE"/>
                </w:rPr>
                <w:t xml:space="preserve"> I</w:t>
              </w:r>
              <w:r>
                <w:rPr>
                  <w:rFonts w:ascii="Arial" w:cs="Arial" w:eastAsia="Arial" w:hAnsi="Arial"/>
                  <w:sz w:val="13"/>
                  <w:szCs w:val="13"/>
                  <w:color w:val="0000EE"/>
                </w:rPr>
                <w:t>NDEPENDENCE</w:t>
              </w:r>
            </w:hyperlink>
          </w:p>
        </w:tc>
        <w:tc>
          <w:tcPr>
            <w:tcW w:w="2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14.</w:t>
            </w:r>
          </w:p>
        </w:tc>
        <w:tc>
          <w:tcPr>
            <w:tcW w:w="5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w:t>
              </w:r>
              <w:r>
                <w:rPr>
                  <w:rFonts w:ascii="Arial" w:cs="Arial" w:eastAsia="Arial" w:hAnsi="Arial"/>
                  <w:sz w:val="13"/>
                  <w:szCs w:val="13"/>
                  <w:color w:val="0000EE"/>
                </w:rPr>
                <w:t>RINCIPAL</w:t>
              </w:r>
              <w:r>
                <w:rPr>
                  <w:rFonts w:ascii="Arial" w:cs="Arial" w:eastAsia="Arial" w:hAnsi="Arial"/>
                  <w:sz w:val="18"/>
                  <w:szCs w:val="18"/>
                  <w:color w:val="0000EE"/>
                </w:rPr>
                <w:t xml:space="preserve"> A</w:t>
              </w:r>
              <w:r>
                <w:rPr>
                  <w:rFonts w:ascii="Arial" w:cs="Arial" w:eastAsia="Arial" w:hAnsi="Arial"/>
                  <w:sz w:val="13"/>
                  <w:szCs w:val="13"/>
                  <w:color w:val="0000EE"/>
                </w:rPr>
                <w:t>CCOUNTANT</w:t>
              </w:r>
              <w:r>
                <w:rPr>
                  <w:rFonts w:ascii="Arial" w:cs="Arial" w:eastAsia="Arial" w:hAnsi="Arial"/>
                  <w:sz w:val="18"/>
                  <w:szCs w:val="18"/>
                  <w:color w:val="0000EE"/>
                </w:rPr>
                <w:t xml:space="preserve"> F</w:t>
              </w:r>
              <w:r>
                <w:rPr>
                  <w:rFonts w:ascii="Arial" w:cs="Arial" w:eastAsia="Arial" w:hAnsi="Arial"/>
                  <w:sz w:val="13"/>
                  <w:szCs w:val="13"/>
                  <w:color w:val="0000EE"/>
                </w:rPr>
                <w:t>EES AND</w:t>
              </w:r>
              <w:r>
                <w:rPr>
                  <w:rFonts w:ascii="Arial" w:cs="Arial" w:eastAsia="Arial" w:hAnsi="Arial"/>
                  <w:sz w:val="18"/>
                  <w:szCs w:val="18"/>
                  <w:color w:val="0000EE"/>
                </w:rPr>
                <w:t xml:space="preserve"> S</w:t>
              </w:r>
              <w:r>
                <w:rPr>
                  <w:rFonts w:ascii="Arial" w:cs="Arial" w:eastAsia="Arial" w:hAnsi="Arial"/>
                  <w:sz w:val="13"/>
                  <w:szCs w:val="13"/>
                  <w:color w:val="0000EE"/>
                </w:rPr>
                <w:t>ERVICES</w:t>
              </w:r>
            </w:hyperlink>
          </w:p>
        </w:tc>
        <w:tc>
          <w:tcPr>
            <w:tcW w:w="40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15.</w:t>
            </w:r>
          </w:p>
        </w:tc>
        <w:tc>
          <w:tcPr>
            <w:tcW w:w="34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E</w:t>
              </w:r>
              <w:r>
                <w:rPr>
                  <w:rFonts w:ascii="Arial" w:cs="Arial" w:eastAsia="Arial" w:hAnsi="Arial"/>
                  <w:sz w:val="13"/>
                  <w:szCs w:val="13"/>
                  <w:color w:val="0000EE"/>
                  <w:w w:val="99"/>
                </w:rPr>
                <w:t>XHIBITS AND</w:t>
              </w:r>
              <w:r>
                <w:rPr>
                  <w:rFonts w:ascii="Arial" w:cs="Arial" w:eastAsia="Arial" w:hAnsi="Arial"/>
                  <w:sz w:val="18"/>
                  <w:szCs w:val="18"/>
                  <w:color w:val="0000EE"/>
                  <w:w w:val="99"/>
                </w:rPr>
                <w:t xml:space="preserve"> F</w:t>
              </w:r>
              <w:r>
                <w:rPr>
                  <w:rFonts w:ascii="Arial" w:cs="Arial" w:eastAsia="Arial" w:hAnsi="Arial"/>
                  <w:sz w:val="13"/>
                  <w:szCs w:val="13"/>
                  <w:color w:val="0000EE"/>
                  <w:w w:val="99"/>
                </w:rPr>
                <w:t>INANCIAL</w:t>
              </w:r>
              <w:r>
                <w:rPr>
                  <w:rFonts w:ascii="Arial" w:cs="Arial" w:eastAsia="Arial" w:hAnsi="Arial"/>
                  <w:sz w:val="18"/>
                  <w:szCs w:val="18"/>
                  <w:color w:val="0000EE"/>
                  <w:w w:val="99"/>
                </w:rPr>
                <w:t xml:space="preserve"> S</w:t>
              </w:r>
              <w:r>
                <w:rPr>
                  <w:rFonts w:ascii="Arial" w:cs="Arial" w:eastAsia="Arial" w:hAnsi="Arial"/>
                  <w:sz w:val="13"/>
                  <w:szCs w:val="13"/>
                  <w:color w:val="0000EE"/>
                  <w:w w:val="99"/>
                </w:rPr>
                <w:t>TATEMENT</w:t>
              </w:r>
              <w:r>
                <w:rPr>
                  <w:rFonts w:ascii="Arial" w:cs="Arial" w:eastAsia="Arial" w:hAnsi="Arial"/>
                  <w:sz w:val="18"/>
                  <w:szCs w:val="18"/>
                  <w:color w:val="0000EE"/>
                  <w:w w:val="99"/>
                </w:rPr>
                <w:t xml:space="preserve"> S</w:t>
              </w:r>
              <w:r>
                <w:rPr>
                  <w:rFonts w:ascii="Arial" w:cs="Arial" w:eastAsia="Arial" w:hAnsi="Arial"/>
                  <w:sz w:val="13"/>
                  <w:szCs w:val="13"/>
                  <w:color w:val="0000EE"/>
                  <w:w w:val="99"/>
                </w:rPr>
                <w:t>CHEDULES</w:t>
              </w:r>
            </w:hyperlink>
          </w:p>
        </w:tc>
        <w:tc>
          <w:tcPr>
            <w:tcW w:w="6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INDEX TO FINANCIAL STATEMENTS AND SCHEDULES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568"/>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305"/>
        <w:spacing w:after="0" w:line="276" w:lineRule="auto"/>
        <w:rPr>
          <w:sz w:val="20"/>
          <w:szCs w:val="20"/>
          <w:color w:val="auto"/>
        </w:rPr>
      </w:pPr>
      <w:r>
        <w:rPr>
          <w:rFonts w:ascii="Arial" w:cs="Arial" w:eastAsia="Arial" w:hAnsi="Arial"/>
          <w:sz w:val="17"/>
          <w:szCs w:val="17"/>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342890" cy="2975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ARO-AAT</w:t>
      </w:r>
    </w:p>
    <w:p>
      <w:pPr>
        <w:spacing w:after="0" w:line="121"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ARO-AAT is an RNAi therapeutic candidate for the treatment of liver disease associated with alpha-1 antitrypsin deficiency. ARO-AAT is a second-generation subcutaneously administered compound designed to knock down the Alpha-1 antitrypsin (AAT) gene transcript and reduce the hepatic production of the mutant AAT protein. Arrowhead completed AROAAT1001, a Phase 1 randomized, double-blind, placebo controlled single-ascending dose (SAD) and multiple-ascending dose (MAD) study to evaluate the safety, tolerability, pharmacokinetics, and effect of subcutaneous doses of ARO-AAT on serum alpha-1 antitrypsin levels in healthy adult volunteers in 2018 and plans to initiate a Phase 2 study in 2019.</w:t>
      </w:r>
    </w:p>
    <w:p>
      <w:pPr>
        <w:spacing w:after="0" w:line="6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Initial results from AROAAT1001 were presented in November 2018 at The Liver Meeting®, the Annual Meeting of the American Association for the Study of Liver Disease (AASLD). In the AROAAT1001 study, 45 normal healthy volunteers (NHV)</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received a single dose of ARO-AAT (n=16), three monthly doses of ARO-AAT (n=12), or placebo (n=17). Key data presented include the following:</w:t>
      </w:r>
    </w:p>
    <w:p>
      <w:pPr>
        <w:spacing w:after="0" w:line="129"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ARO-AAT at single- and multiple-doses produced robust and consistent reductions in serum AAT levels</w:t>
      </w:r>
    </w:p>
    <w:p>
      <w:pPr>
        <w:spacing w:after="0" w:line="117" w:lineRule="exact"/>
        <w:rPr>
          <w:sz w:val="20"/>
          <w:szCs w:val="20"/>
          <w:color w:val="auto"/>
        </w:rPr>
      </w:pPr>
    </w:p>
    <w:p>
      <w:pPr>
        <w:ind w:left="520" w:right="220" w:firstLine="501"/>
        <w:spacing w:after="0" w:line="277" w:lineRule="auto"/>
        <w:tabs>
          <w:tab w:leader="none" w:pos="1356" w:val="left"/>
        </w:tabs>
        <w:numPr>
          <w:ilvl w:val="1"/>
          <w:numId w:val="4"/>
        </w:numPr>
        <w:rPr>
          <w:rFonts w:ascii="Arial" w:cs="Arial" w:eastAsia="Arial" w:hAnsi="Arial"/>
          <w:sz w:val="18"/>
          <w:szCs w:val="18"/>
          <w:color w:val="auto"/>
        </w:rPr>
      </w:pPr>
      <w:r>
        <w:rPr>
          <w:rFonts w:ascii="Arial" w:cs="Arial" w:eastAsia="Arial" w:hAnsi="Arial"/>
          <w:sz w:val="18"/>
          <w:szCs w:val="18"/>
          <w:color w:val="auto"/>
        </w:rPr>
        <w:t>Single-doses of 200 and 300 mg resulted in greater than 91% serum AAT reduction with 3 of 4 subjects having concentrations below the level of quantitation (BLQ)</w:t>
      </w:r>
    </w:p>
    <w:p>
      <w:pPr>
        <w:spacing w:after="0" w:line="62" w:lineRule="exact"/>
        <w:rPr>
          <w:rFonts w:ascii="Arial" w:cs="Arial" w:eastAsia="Arial" w:hAnsi="Arial"/>
          <w:sz w:val="18"/>
          <w:szCs w:val="18"/>
          <w:color w:val="auto"/>
        </w:rPr>
      </w:pPr>
    </w:p>
    <w:p>
      <w:pPr>
        <w:ind w:left="1360" w:hanging="339"/>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200 and 300 mg single-dose cohorts, an average serum AAT reduction of greater than 90% was sustained for 6-weeks</w:t>
      </w:r>
    </w:p>
    <w:p>
      <w:pPr>
        <w:spacing w:after="0" w:line="117" w:lineRule="exact"/>
        <w:rPr>
          <w:rFonts w:ascii="Arial" w:cs="Arial" w:eastAsia="Arial" w:hAnsi="Arial"/>
          <w:sz w:val="18"/>
          <w:szCs w:val="18"/>
          <w:color w:val="auto"/>
        </w:rPr>
      </w:pPr>
    </w:p>
    <w:p>
      <w:pPr>
        <w:ind w:left="520" w:right="60" w:firstLine="501"/>
        <w:spacing w:after="0" w:line="277" w:lineRule="auto"/>
        <w:tabs>
          <w:tab w:leader="none" w:pos="1356"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multiple-dose cohorts of 200 and 300 mg, for subjects receiving all 3 doses, an average of greater than 90% reduction in serum AAT was sustained for longer than 14 weeks</w:t>
      </w:r>
    </w:p>
    <w:p>
      <w:pPr>
        <w:spacing w:after="0" w:line="62" w:lineRule="exact"/>
        <w:rPr>
          <w:rFonts w:ascii="Arial" w:cs="Arial" w:eastAsia="Arial" w:hAnsi="Arial"/>
          <w:sz w:val="18"/>
          <w:szCs w:val="18"/>
          <w:color w:val="auto"/>
        </w:rPr>
      </w:pPr>
    </w:p>
    <w:p>
      <w:pPr>
        <w:ind w:left="1360" w:hanging="339"/>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maximum NADIR reduction is 94%</w:t>
      </w:r>
    </w:p>
    <w:p>
      <w:pPr>
        <w:spacing w:after="0" w:line="117" w:lineRule="exact"/>
        <w:rPr>
          <w:rFonts w:ascii="Arial" w:cs="Arial" w:eastAsia="Arial" w:hAnsi="Arial"/>
          <w:sz w:val="18"/>
          <w:szCs w:val="18"/>
          <w:color w:val="auto"/>
        </w:rPr>
      </w:pPr>
    </w:p>
    <w:p>
      <w:pPr>
        <w:ind w:left="840" w:hanging="314"/>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Monthly serum AAT follow up is ongoing with 9 of 10 subjects at BLQ in the multiple-dose cohorts, including 100% of subjects from the 300 mg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cohort</w:t>
      </w:r>
    </w:p>
    <w:p>
      <w:pPr>
        <w:spacing w:after="0" w:line="103" w:lineRule="exact"/>
        <w:rPr>
          <w:sz w:val="20"/>
          <w:szCs w:val="20"/>
          <w:color w:val="auto"/>
        </w:rPr>
      </w:pPr>
    </w:p>
    <w:p>
      <w:pPr>
        <w:ind w:left="840" w:hanging="31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Duration of response indicates that quarterly or less frequent dosing appears feasible</w:t>
      </w:r>
    </w:p>
    <w:p>
      <w:pPr>
        <w:spacing w:after="0" w:line="117" w:lineRule="exact"/>
        <w:rPr>
          <w:rFonts w:ascii="Arial" w:cs="Arial" w:eastAsia="Arial" w:hAnsi="Arial"/>
          <w:sz w:val="18"/>
          <w:szCs w:val="18"/>
          <w:color w:val="auto"/>
        </w:rPr>
      </w:pPr>
    </w:p>
    <w:p>
      <w:pPr>
        <w:ind w:left="840" w:hanging="31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ARO-AAT has been well tolerated at all doses tested (up to 300 mg) given three times every 28 days</w:t>
      </w:r>
    </w:p>
    <w:p>
      <w:pPr>
        <w:spacing w:after="0" w:line="117" w:lineRule="exact"/>
        <w:rPr>
          <w:sz w:val="20"/>
          <w:szCs w:val="20"/>
          <w:color w:val="auto"/>
        </w:rPr>
      </w:pPr>
    </w:p>
    <w:p>
      <w:pPr>
        <w:ind w:left="1360" w:hanging="33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most common adverse events (AE) were upper respiratory tract infection (39%) and headache (32%)</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ARO-AAT Treatment</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goal of ARO-AAT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Alpha-1 Antitrypsin Deficiency (AATD)</w:t>
      </w:r>
    </w:p>
    <w:p>
      <w:pPr>
        <w:spacing w:after="0" w:line="121"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Alpha-1 Project</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Arrowhead has an agreement with The Alpha-1 Project (TAP), the venture philanthropy subsidiary of the Alpha-1 Foundation. TAP’s mission is to support organizations in pursuit of cures and therapies for lung and liver disease caused by AATD. Under the terms of the agreement, TAP has partially funded development of ARO-AAT. In addition to the funding, TAP will make its scientific advisors available to Arrowhead, assist with patient recruitment for clinical trials with its Alpha-1 Foundation Patient Research Registry, and engage in other collaborative efforts that support development of ARO-AAT.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ARO-APOC3</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ARO-APOC3 is designed to reduce production of Apolipoprotein C-III (apoC-III), a component of triglyceride rich lipoproteins (TRLs) including VLDL and chylomicrons and a key regulator of triglyceride metabolism. The company believes that knocking down the hepatic production of apoC-III may result in reduced VLDL synthesis and assembly, enhanced breakdown of TRLs, and better clearance of VLDL and chylomicron remnants. A CTA is planned for the fourth calendar quarter of 2018.</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Hypertriglyceridemia</w:t>
      </w:r>
    </w:p>
    <w:p>
      <w:pPr>
        <w:spacing w:after="0" w:line="121"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ARO-ANG3</w:t>
      </w:r>
    </w:p>
    <w:p>
      <w:pPr>
        <w:spacing w:after="0" w:line="121"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 CTA was filed in October 2018 and Arrowhead intends to begin a Phase 1 study in 2019.</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Dyslipidemia and Hypertriglyceridemia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Dyslipidemia and hypertriglyceridemia are risk factors for atherosclerotic coronary heart disease and cardiovascular events.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ARO-ENaC</w:t>
      </w:r>
    </w:p>
    <w:p>
      <w:pPr>
        <w:spacing w:after="0" w:line="27" w:lineRule="exact"/>
        <w:rPr>
          <w:sz w:val="20"/>
          <w:szCs w:val="20"/>
          <w:color w:val="auto"/>
        </w:rPr>
      </w:pPr>
    </w:p>
    <w:p>
      <w:pPr>
        <w:ind w:right="340" w:firstLine="518"/>
        <w:spacing w:after="0" w:line="290" w:lineRule="auto"/>
        <w:rPr>
          <w:sz w:val="20"/>
          <w:szCs w:val="20"/>
          <w:color w:val="auto"/>
        </w:rPr>
      </w:pPr>
      <w:r>
        <w:rPr>
          <w:rFonts w:ascii="Arial" w:cs="Arial" w:eastAsia="Arial" w:hAnsi="Arial"/>
          <w:sz w:val="17"/>
          <w:szCs w:val="17"/>
          <w:color w:val="auto"/>
        </w:rPr>
        <w:t>ARO-ENaC is designed to reduce production of the epithelial sodium channel alpha subunit (αENaC) in the airways of the lung. In cystic fibrosis patients, increased ENaC activity contributes to airway dehydration and reduced mucociliary transport. A CTA is planned for 2019.</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Cystic Fibrosis</w:t>
      </w:r>
    </w:p>
    <w:p>
      <w:pPr>
        <w:spacing w:after="0" w:line="121" w:lineRule="exact"/>
        <w:rPr>
          <w:sz w:val="20"/>
          <w:szCs w:val="20"/>
          <w:color w:val="auto"/>
        </w:rPr>
      </w:pPr>
    </w:p>
    <w:p>
      <w:pPr>
        <w:jc w:val="both"/>
        <w:ind w:right="120" w:firstLine="518"/>
        <w:spacing w:after="0" w:line="277" w:lineRule="auto"/>
        <w:rPr>
          <w:sz w:val="20"/>
          <w:szCs w:val="20"/>
          <w:color w:val="auto"/>
        </w:rPr>
      </w:pPr>
      <w:r>
        <w:rPr>
          <w:rFonts w:ascii="Arial" w:cs="Arial" w:eastAsia="Arial" w:hAnsi="Arial"/>
          <w:sz w:val="18"/>
          <w:szCs w:val="18"/>
          <w:color w:val="auto"/>
        </w:rPr>
        <w:t>Cystic fibrosis (CF) is a rare disease caused by a genetic mutation that leads to mucus buildup in the lungs and pancreas. In CF lung disease, patients can have difficulty breathing and experience frequent and persistent lung infections.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ARO-HIF2</w:t>
      </w:r>
    </w:p>
    <w:p>
      <w:pPr>
        <w:spacing w:after="0" w:line="121"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ARO-HIF2 is being developed for the treatment of clear cell renal cell carcinoma (ccRCC). ARO-HIF2 is designed to inhibit the production of HIF-2α, which has been linked to tumor progression and metastasis in ccRCC. Arrowhead believes it is an attractive target for intervention because over 90% of ccRCC tumors express a mutant form of the Von Hippel-Landau protein that is unable to degrade HIF-2α, leading to its accumulation during tumor hypoxia and promoting tumor growth. A CTA is planned for 2019.</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Renal Cell Carcinoma</w:t>
      </w:r>
    </w:p>
    <w:p>
      <w:pPr>
        <w:spacing w:after="0" w:line="27"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Renal Cell Carcinoma is a type of kidney cancer that originates in the cells that line the small tubes that filter waste material from the blood. RCC is the most common type of kidney cancer accounting for more than 90% of cases with approximately 50,000 diagnoses in the U.S. each year. Unfortunately, patients with advanced stages of RCC have a 5-year survival rate of only 12-25%. Surgical resection is the mainstay of current treatment while chemotherapy and radiation have not been successful at prolonging survival. The treatment options for patients with metastatic disease are extremely limited.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Pharmaceuticals, Inc.</w:t>
      </w:r>
    </w:p>
    <w:p>
      <w:pPr>
        <w:spacing w:after="0" w:line="12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Arrowhead entered into a license agreement in October 2018 with Janssen Pharmaceuticals, Inc., part of the Janssen Pharmaceutical Companies of Johnson &amp; Johnson, to develop and commercialize ARO-HBV. In addition, Arrowhead entered into a research collaboration and option agreement with Janssen to potentially collaborate for up to three additional RNAi therapeutics against new targets to be selected by Janssen.</w:t>
      </w:r>
    </w:p>
    <w:p>
      <w:pPr>
        <w:spacing w:after="0" w:line="39"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Under the terms of the license agreement, Arrowhead received $175 million as an upfront payment. Separately, Johnson &amp; Johnson Innovation – JJDC, Inc. (JJDC) made a $75 million equity investment in Arrowhead at a price of $23.00 per share of Arrowhead common stock.</w:t>
      </w:r>
    </w:p>
    <w:p>
      <w:pPr>
        <w:spacing w:after="0" w:line="3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Arrowhead is eligible to receive up to approximately $1.6 billion in milestone payments for the license agreement. Arrowhead is also eligible to receive approximately $1.9 billion in option and milestone payments for the collaboration and option agreement related to up to three additional targets. Arrowhead is further eligible to receive tiered royalties up to mid teens under the license agreement and up to low teens under the collaboration and option agreement on product sales.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ARO-HBV</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ARO-HBV is a third-generation subcutaneously administered RNAi therapeutic candidate being developed as a potential treatment for patients with chronic hepatitis B virus (HBV) infection. Arrowhead is conducting ARO-HBV1001, a Phase 1/2 clinical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study evaluating the safety, tolerability, and pharmacokinetic effects of single-ascending doses (SAD) of ARO-HBV in healthy adult volunteers, as well as the safety, tolerability, and pharmacodynamic effects of multiple-ascending doses (MAD) of ARO-HBV in patients with chronic HBV.</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Initial results from AROHBV1001 were presented in November 2018 at The Liver Meeting®, the Annual Meeting of the American Association for the Study of Liver Disease (AASLD). The data in normal healthy volunteers (NHV) who received a single dose of ARO-HBV or placebo (n=30) and chronic hepatitis B patients who received three monthly doses of ARO-HBV in combination with entecavir or tenofovir (NUC) with greater than six weeks of available hepatitis B surface antigen (HBsAg) data (n=24) include the following:</w:t>
      </w:r>
    </w:p>
    <w:p>
      <w:pPr>
        <w:spacing w:after="0" w:line="79" w:lineRule="exact"/>
        <w:rPr>
          <w:sz w:val="20"/>
          <w:szCs w:val="20"/>
          <w:color w:val="auto"/>
        </w:rPr>
      </w:pPr>
    </w:p>
    <w:p>
      <w:pPr>
        <w:ind w:left="1140" w:right="2020" w:hanging="614"/>
        <w:spacing w:after="0" w:line="263" w:lineRule="auto"/>
        <w:tabs>
          <w:tab w:leader="none" w:pos="839"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ARO-HBV administered subcutaneously appears to be well-tolerated at single or multiple monthly doses up to 400 mg </w:t>
      </w:r>
      <w:r>
        <w:rPr>
          <w:rFonts w:ascii="Courier New" w:cs="Courier New" w:eastAsia="Courier New" w:hAnsi="Courier New"/>
          <w:sz w:val="17"/>
          <w:szCs w:val="17"/>
          <w:color w:val="auto"/>
        </w:rPr>
        <w:t xml:space="preserve">o </w:t>
      </w:r>
      <w:r>
        <w:rPr>
          <w:rFonts w:ascii="Arial" w:cs="Arial" w:eastAsia="Arial" w:hAnsi="Arial"/>
          <w:sz w:val="17"/>
          <w:szCs w:val="17"/>
          <w:color w:val="auto"/>
        </w:rPr>
        <w:t>Mild injection site reactions were observed with approximately 12% of subcutaneous injections</w:t>
      </w:r>
    </w:p>
    <w:p>
      <w:pPr>
        <w:spacing w:after="0" w:line="1" w:lineRule="exact"/>
        <w:rPr>
          <w:rFonts w:ascii="Arial" w:cs="Arial" w:eastAsia="Arial" w:hAnsi="Arial"/>
          <w:sz w:val="17"/>
          <w:szCs w:val="17"/>
          <w:color w:val="auto"/>
        </w:rPr>
      </w:pPr>
    </w:p>
    <w:p>
      <w:pPr>
        <w:ind w:left="840" w:hanging="31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HBsAg responses were observed in all HBV patients</w:t>
      </w:r>
    </w:p>
    <w:p>
      <w:pPr>
        <w:spacing w:after="0" w:line="2" w:lineRule="exact"/>
        <w:rPr>
          <w:sz w:val="20"/>
          <w:szCs w:val="20"/>
          <w:color w:val="auto"/>
        </w:rPr>
      </w:pPr>
    </w:p>
    <w:p>
      <w:pPr>
        <w:ind w:left="1520" w:hanging="378"/>
        <w:spacing w:after="0"/>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Mean NADIR -1.9 Log10 (-98.7%)</w:t>
      </w:r>
    </w:p>
    <w:p>
      <w:pPr>
        <w:ind w:left="1520" w:hanging="378"/>
        <w:spacing w:after="0" w:line="232" w:lineRule="auto"/>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Range -1.3 (-95.0%) to -3.8 Log10 (-99.98%)</w:t>
      </w:r>
    </w:p>
    <w:p>
      <w:pPr>
        <w:ind w:left="840" w:hanging="31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HBsAg reductions were similar in hepatitis B e-antigen (HBeAg) positive and HBeAg negative patients</w:t>
      </w:r>
    </w:p>
    <w:p>
      <w:pPr>
        <w:spacing w:after="0" w:line="9" w:lineRule="exact"/>
        <w:rPr>
          <w:rFonts w:ascii="Arial" w:cs="Arial" w:eastAsia="Arial" w:hAnsi="Arial"/>
          <w:sz w:val="18"/>
          <w:szCs w:val="18"/>
          <w:color w:val="auto"/>
        </w:rPr>
      </w:pPr>
    </w:p>
    <w:p>
      <w:pPr>
        <w:ind w:left="1520" w:hanging="378"/>
        <w:spacing w:after="0" w:line="232" w:lineRule="auto"/>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Mean HBsAg NADIR in HBeAg positive (n=11) -2.1 Log10</w:t>
      </w:r>
    </w:p>
    <w:p>
      <w:pPr>
        <w:ind w:left="1520" w:hanging="378"/>
        <w:spacing w:after="0" w:line="232" w:lineRule="auto"/>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Mean HBsAg NADIR in HBeAg negative (n=13) -1.8 Log10</w:t>
      </w:r>
    </w:p>
    <w:p>
      <w:pPr>
        <w:ind w:left="840" w:hanging="31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HBsAg reductions were similar for NUC naïve patients (cohort 8) and NUC experienced patients (cohort 9)</w:t>
      </w:r>
    </w:p>
    <w:p>
      <w:pPr>
        <w:spacing w:after="0" w:line="9" w:lineRule="exact"/>
        <w:rPr>
          <w:rFonts w:ascii="Arial" w:cs="Arial" w:eastAsia="Arial" w:hAnsi="Arial"/>
          <w:sz w:val="18"/>
          <w:szCs w:val="18"/>
          <w:color w:val="auto"/>
        </w:rPr>
      </w:pPr>
    </w:p>
    <w:p>
      <w:pPr>
        <w:ind w:left="1520" w:hanging="378"/>
        <w:spacing w:after="0" w:line="232" w:lineRule="auto"/>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Mean HBsAg reduction on day 57 for cohort 8 (n=4) -1.7 Log10</w:t>
      </w:r>
    </w:p>
    <w:p>
      <w:pPr>
        <w:ind w:left="1520" w:hanging="378"/>
        <w:spacing w:after="0" w:line="232" w:lineRule="auto"/>
        <w:tabs>
          <w:tab w:leader="none" w:pos="152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Mean HBsAg reduction on day 57 for cohort 9 (n=4) -1.9 Log10</w:t>
      </w:r>
    </w:p>
    <w:p>
      <w:pPr>
        <w:ind w:right="20" w:firstLine="526"/>
        <w:spacing w:after="0" w:line="250" w:lineRule="auto"/>
        <w:tabs>
          <w:tab w:leader="none" w:pos="83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study highlighted an improvement over results with Arrowhead’s first-generation compound ARC-520, which targeted only HBV transcripts derived from cccDNA (Wooddell, 2017)</w:t>
      </w:r>
    </w:p>
    <w:p>
      <w:pPr>
        <w:ind w:right="20" w:firstLine="526"/>
        <w:spacing w:after="0" w:line="250" w:lineRule="auto"/>
        <w:tabs>
          <w:tab w:leader="none" w:pos="833" w:val="left"/>
        </w:tabs>
        <w:numPr>
          <w:ilvl w:val="0"/>
          <w:numId w:val="8"/>
        </w:numPr>
        <w:rPr>
          <w:rFonts w:ascii="Arial" w:cs="Arial" w:eastAsia="Arial" w:hAnsi="Arial"/>
          <w:sz w:val="18"/>
          <w:szCs w:val="18"/>
          <w:color w:val="auto"/>
        </w:rPr>
      </w:pPr>
      <w:r>
        <w:rPr>
          <w:rFonts w:ascii="Arial" w:cs="Arial" w:eastAsia="Arial" w:hAnsi="Arial"/>
          <w:sz w:val="18"/>
          <w:szCs w:val="18"/>
          <w:color w:val="auto"/>
        </w:rPr>
        <w:t>HBsAg responses observed with ARO-HBV are consistent with the ability of ARO-HBV to silence HBV mRNA from cccDNA and host-integrated viral DNA, a major source of HBsAg in certain patient populations (Wooddell, 2018)</w:t>
      </w:r>
    </w:p>
    <w:p>
      <w:pPr>
        <w:ind w:left="840" w:hanging="31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Responses were also observed in all other virologic parameters (HBV DNA, HBV RNA, HBeAg, HBcrAg)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Inc.</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Amgen Inc. acquired a worldwide, exclusive license in September 2016 to develop and commercialize ARO-LPA (now referred to as AMG 890). Under the terms of the agreements taken together for AMG 890 (ARO-LPA) and ARO-AMG1, the Company received $35 million in upfront payments, $21.5 million in the form of an equity investment by Amgen in the Company’s Common Stock, and the Company is eligible to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AMG 890 (ARO-LPA) and ARO-AMG1</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AMG 890 (ARO-LPA) is designed to reduce production of apolipoprotein A, a key component of lipoprotein(a), which has been genetically linked with increased risk of cardiovascular diseases, independent of cholesterol and LDL levels. Amgen started a Phase 1 clinical study of AMG 890 (ARO-LPA) designed to assess its safety in volunteers with elevated levels of lipoprotein (a) (Lp(a)) in August 2018, triggering a $10 million milestone payment to Arrowhead.</w:t>
      </w:r>
    </w:p>
    <w:p>
      <w:pPr>
        <w:spacing w:after="0" w:line="7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ARO-AMG1 is being developed against an undisclosed genetically-validated cardiovascular target under a license and collaboration agreement with Amgen.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Interference &amp; the Benefits of RNAi Therapeutics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18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294640</wp:posOffset>
            </wp:positionV>
            <wp:extent cx="4347845" cy="2907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34784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F81BD"/>
        </w:rPr>
        <w:t>Figure 3: Mechanism of RNA interference</w:t>
      </w:r>
    </w:p>
    <w:p>
      <w:pPr>
        <w:spacing w:after="0" w:line="23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This figure depicts the mechanism by which gene silencing occurs. Double stranded RNAi triggers are introduced into a cell and get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Advantages of RNAi as a Therapeutic Modality</w:t>
      </w:r>
    </w:p>
    <w:p>
      <w:pPr>
        <w:spacing w:after="0" w:line="117"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Silences the expression of disease causing genes;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RNAi therapeutics are uniquely suited for personalized medicine through target and cell specific delivery and gene knockdown.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RNAi Molecule (TRiM</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Platform</w:t>
      </w:r>
    </w:p>
    <w:p>
      <w:pPr>
        <w:spacing w:after="0" w:line="33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Arrowhead’s Targeted RNAi Molecule (TRiM</w:t>
      </w:r>
      <w:r>
        <w:rPr>
          <w:rFonts w:ascii="Arial" w:cs="Arial" w:eastAsia="Arial" w:hAnsi="Arial"/>
          <w:sz w:val="15"/>
          <w:szCs w:val="15"/>
          <w:color w:val="auto"/>
        </w:rPr>
        <w:t>TM</w:t>
      </w:r>
      <w:r>
        <w:rPr>
          <w:rFonts w:ascii="Arial" w:cs="Arial" w:eastAsia="Arial" w:hAnsi="Arial"/>
          <w:sz w:val="18"/>
          <w:szCs w:val="18"/>
          <w:color w:val="auto"/>
        </w:rPr>
        <w:t>) platform utilizes ligand-mediated delivery and is designed to enable tissue-specific targeting while being structurally simple. Targeting has been core to Arrowhead’s development philosophy and the TRiM</w:t>
      </w:r>
      <w:r>
        <w:rPr>
          <w:rFonts w:ascii="Arial" w:cs="Arial" w:eastAsia="Arial" w:hAnsi="Arial"/>
          <w:sz w:val="15"/>
          <w:szCs w:val="15"/>
          <w:color w:val="auto"/>
        </w:rPr>
        <w:t>TM</w:t>
      </w:r>
      <w:r>
        <w:rPr>
          <w:rFonts w:ascii="Arial" w:cs="Arial" w:eastAsia="Arial" w:hAnsi="Arial"/>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29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TRiM</w:t>
      </w:r>
      <w:r>
        <w:rPr>
          <w:rFonts w:ascii="Arial" w:cs="Arial" w:eastAsia="Arial" w:hAnsi="Arial"/>
          <w:sz w:val="15"/>
          <w:szCs w:val="15"/>
          <w:color w:val="auto"/>
        </w:rPr>
        <w:t>TM</w:t>
      </w:r>
      <w:r>
        <w:rPr>
          <w:rFonts w:ascii="Arial" w:cs="Arial" w:eastAsia="Arial" w:hAnsi="Arial"/>
          <w:sz w:val="18"/>
          <w:szCs w:val="18"/>
          <w:color w:val="auto"/>
        </w:rPr>
        <w:t xml:space="preserve"> platform comprises a highly potent RNA trigger identified using Arrowhead’s proprietary trigger selection rules and algorithms with the following components optimized, as needed, for each drug candidate: a high affinity targeting ligand; various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linker and chemistries; structures that enhance pharmacokinetics; and highly potent RNAi triggers with sequence specific stabilization chemistries.</w:t>
      </w:r>
    </w:p>
    <w:p>
      <w:pPr>
        <w:spacing w:after="0" w:line="34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Therapeutics developed with the TRiM</w:t>
      </w:r>
      <w:r>
        <w:rPr>
          <w:rFonts w:ascii="Arial" w:cs="Arial" w:eastAsia="Arial" w:hAnsi="Arial"/>
          <w:sz w:val="14"/>
          <w:szCs w:val="14"/>
          <w:color w:val="auto"/>
        </w:rPr>
        <w:t>TM</w:t>
      </w:r>
      <w:r>
        <w:rPr>
          <w:rFonts w:ascii="Arial" w:cs="Arial" w:eastAsia="Arial" w:hAnsi="Arial"/>
          <w:sz w:val="17"/>
          <w:szCs w:val="17"/>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At Arrowhead, we also believe that for RNAi to reach its true potential, it must target organs outside the liver. Arrowhead is leading this expansion with the TRiM</w:t>
      </w:r>
      <w:r>
        <w:rPr>
          <w:rFonts w:ascii="Arial" w:cs="Arial" w:eastAsia="Arial" w:hAnsi="Arial"/>
          <w:sz w:val="14"/>
          <w:szCs w:val="14"/>
          <w:color w:val="auto"/>
        </w:rPr>
        <w:t>TM</w:t>
      </w:r>
      <w:r>
        <w:rPr>
          <w:rFonts w:ascii="Arial" w:cs="Arial" w:eastAsia="Arial" w:hAnsi="Arial"/>
          <w:sz w:val="17"/>
          <w:szCs w:val="17"/>
          <w:color w:val="auto"/>
        </w:rPr>
        <w:t xml:space="preserve"> platform, which has shown the potential to reach multiple tissues, including liver, lung, tumor, muscle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186690</wp:posOffset>
            </wp:positionV>
            <wp:extent cx="5342890" cy="3756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289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F81BD"/>
        </w:rPr>
        <w:t>Figure 4: Targeted RNAi Molecule (TRiM</w:t>
      </w:r>
      <w:r>
        <w:rPr>
          <w:rFonts w:ascii="Arial" w:cs="Arial" w:eastAsia="Arial" w:hAnsi="Arial"/>
          <w:sz w:val="27"/>
          <w:szCs w:val="27"/>
          <w:b w:val="1"/>
          <w:bCs w:val="1"/>
          <w:color w:val="4F81BD"/>
          <w:vertAlign w:val="superscript"/>
        </w:rPr>
        <w:t>TM</w:t>
      </w:r>
      <w:r>
        <w:rPr>
          <w:rFonts w:ascii="Arial" w:cs="Arial" w:eastAsia="Arial" w:hAnsi="Arial"/>
          <w:sz w:val="16"/>
          <w:szCs w:val="16"/>
          <w:b w:val="1"/>
          <w:bCs w:val="1"/>
          <w:color w:val="4F81BD"/>
        </w:rPr>
        <w:t>) Schematic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Chemistries</w:t>
      </w:r>
    </w:p>
    <w:p>
      <w:pPr>
        <w:spacing w:after="0" w:line="33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spacing w:after="0" w:line="27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As a component of the TRiM</w:t>
      </w:r>
      <w:r>
        <w:rPr>
          <w:rFonts w:ascii="Arial" w:cs="Arial" w:eastAsia="Arial" w:hAnsi="Arial"/>
          <w:sz w:val="15"/>
          <w:szCs w:val="15"/>
          <w:color w:val="auto"/>
        </w:rPr>
        <w:t>TM</w:t>
      </w:r>
      <w:r>
        <w:rPr>
          <w:rFonts w:ascii="Arial" w:cs="Arial" w:eastAsia="Arial" w:hAnsi="Arial"/>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Key Agreements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controls approximately 356 issued patents (including 199 directed to RNAi trigger molecules; 23 directed to targeting groups or targeting compounds; and 17 for hydrodynamic gene delivery), including European validations, and approximately 316 currently pending patent applications worldwide from 51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760"/>
        <w:spacing w:after="0" w:line="308" w:lineRule="auto"/>
        <w:rPr>
          <w:sz w:val="20"/>
          <w:szCs w:val="20"/>
          <w:color w:val="auto"/>
        </w:rPr>
      </w:pPr>
      <w:r>
        <w:rPr>
          <w:rFonts w:ascii="Arial" w:cs="Arial" w:eastAsia="Arial" w:hAnsi="Arial"/>
          <w:sz w:val="17"/>
          <w:szCs w:val="17"/>
          <w:color w:val="auto"/>
        </w:rPr>
        <w:t>India, Indonesia, Iraq, Jordan, Japan, Republic of Korea, Lebanon, Mexico, New Zealand, OAPI (African Intellectual Property Organization), Peru, Philippines, Russian Federation, Saudi Arabia, Singapore, Thailand, Taiwan, Uruguay, Venezuela, Vietnam, and South Africa.</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RNAi Triggers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owns issued patents or has filed patent applications directed to RNAi trigger molecules, which serve as the foundation of Arrowhead’s TRiM</w:t>
      </w:r>
      <w:r>
        <w:rPr>
          <w:rFonts w:ascii="Arial" w:cs="Arial" w:eastAsia="Arial" w:hAnsi="Arial"/>
          <w:sz w:val="15"/>
          <w:szCs w:val="15"/>
          <w:color w:val="auto"/>
        </w:rPr>
        <w:t>TM</w:t>
      </w:r>
      <w:r>
        <w:rPr>
          <w:rFonts w:ascii="Arial" w:cs="Arial" w:eastAsia="Arial" w:hAnsi="Arial"/>
          <w:sz w:val="18"/>
          <w:szCs w:val="18"/>
          <w:color w:val="auto"/>
        </w:rPr>
        <w:t xml:space="preserve"> platform, and are targeted to reduce expression of various gene targets, including the following:</w:t>
      </w:r>
    </w:p>
    <w:p>
      <w:pPr>
        <w:spacing w:after="0" w:line="165"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542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Year(s) of Expiration</w:t>
            </w:r>
          </w:p>
        </w:tc>
      </w:tr>
      <w:tr>
        <w:trPr>
          <w:trHeight w:val="210"/>
        </w:trPr>
        <w:tc>
          <w:tcPr>
            <w:tcW w:w="542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RNAi Triggers Gene Target</w:t>
            </w:r>
          </w:p>
        </w:tc>
        <w:tc>
          <w:tcPr>
            <w:tcW w:w="378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HBV</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2032, 2036, 2037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AAT</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LPA</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Factor 12</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HIF2α</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2034, 2036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RRM2</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APOC3</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2035, 2038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ANGPTL3</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α-ENaC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β-ENaC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β-Catenin</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Cx43</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2029</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HCV</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HIF1A</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HRH1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HSF1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2030, 2032</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FRP-1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KRAS</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PDtype4</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PI4Kinase</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SYK</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TNF-α</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2027, 2028</w:t>
            </w:r>
          </w:p>
        </w:tc>
      </w:tr>
    </w:tbl>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Delivery Technologies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delivery technology-related patents and patent applications, which include components used in Arrowhead’s TRiM</w:t>
      </w:r>
      <w:r>
        <w:rPr>
          <w:rFonts w:ascii="Arial" w:cs="Arial" w:eastAsia="Arial" w:hAnsi="Arial"/>
          <w:sz w:val="15"/>
          <w:szCs w:val="15"/>
          <w:color w:val="auto"/>
        </w:rPr>
        <w:t>TM</w:t>
      </w:r>
      <w:r>
        <w:rPr>
          <w:rFonts w:ascii="Arial" w:cs="Arial" w:eastAsia="Arial" w:hAnsi="Arial"/>
          <w:sz w:val="18"/>
          <w:szCs w:val="18"/>
          <w:color w:val="auto"/>
        </w:rPr>
        <w:t xml:space="preserve"> platform, have been filed and issued in the United States, Argentina, Australia, Brazil, Canada, China, Eurasian Patent Organization, Europe (including validations in France, Germany, Italy, Spain, Switzerland, United Kingdom), GCC (Gulf Cooperation Council), Israel, India, Japan, Lebanon, Mexico, New Zealand, Philippines, Russia, South Korea, Singapore, Taiwan, Uruguay,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 w:name="page11"/>
    <w:bookmarkEnd w:id="10"/>
    <w:tbl>
      <w:tblPr>
        <w:tblLayout w:type="fixed"/>
        <w:tblInd w:w="5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2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Estimated Year of Expiration</w:t>
            </w:r>
          </w:p>
        </w:tc>
      </w:tr>
      <w:tr>
        <w:trPr>
          <w:trHeight w:val="210"/>
        </w:trPr>
        <w:tc>
          <w:tcPr>
            <w:tcW w:w="596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Targeting ligands and other RNAi delivery technologies</w:t>
            </w:r>
          </w:p>
        </w:tc>
        <w:tc>
          <w:tcPr>
            <w:tcW w:w="326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xml:space="preserve">Targeting groups </w:t>
            </w:r>
            <w:r>
              <w:rPr>
                <w:rFonts w:ascii="Arial" w:cs="Arial" w:eastAsia="Arial" w:hAnsi="Arial"/>
                <w:sz w:val="18"/>
                <w:szCs w:val="18"/>
                <w:i w:val="1"/>
                <w:iCs w:val="1"/>
                <w:color w:val="auto"/>
              </w:rPr>
              <w:t>(</w:t>
            </w:r>
            <w:r>
              <w:rPr>
                <w:rFonts w:ascii="Arial" w:cs="Arial" w:eastAsia="Arial" w:hAnsi="Arial"/>
                <w:sz w:val="18"/>
                <w:szCs w:val="18"/>
                <w:color w:val="auto"/>
              </w:rPr>
              <w:t>Galactose derivative trimer-PK</w:t>
            </w:r>
            <w:r>
              <w:rPr>
                <w:rFonts w:ascii="Arial" w:cs="Arial" w:eastAsia="Arial" w:hAnsi="Arial"/>
                <w:sz w:val="18"/>
                <w:szCs w:val="18"/>
                <w:i w:val="1"/>
                <w:iCs w:val="1"/>
                <w:color w:val="auto"/>
              </w:rPr>
              <w:t>)</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(αvβ3 integrin)</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(αvβ6 integrin)</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(Galactose derivative ligands)</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2037, 2037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RNAi agent design (5′-phosphate mimic)</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Physiologically labile linkers</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Biologically cleavable linkers</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Transferrin targeting</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LDLR targeting</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Peptide targeting (CPP-Arg)</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Peptide targeting (YM3-10H)</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w:t>
            </w:r>
          </w:p>
        </w:tc>
      </w:tr>
      <w:tr>
        <w:trPr>
          <w:trHeight w:val="210"/>
        </w:trPr>
        <w:tc>
          <w:tcPr>
            <w:tcW w:w="5960" w:type="dxa"/>
            <w:vAlign w:val="bottom"/>
            <w:tcBorders>
              <w:left w:val="single" w:sz="8" w:color="auto"/>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Hydrodynamic delivery</w:t>
            </w:r>
          </w:p>
        </w:tc>
        <w:tc>
          <w:tcPr>
            <w:tcW w:w="326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Second iteration</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Third iteration</w:t>
            </w:r>
          </w:p>
        </w:tc>
        <w:tc>
          <w:tcPr>
            <w:tcW w:w="32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2024</w:t>
            </w:r>
          </w:p>
        </w:tc>
      </w:tr>
    </w:tbl>
    <w:p>
      <w:pPr>
        <w:spacing w:after="0" w:line="202"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Non-Exclusively Licensed Patent Rights obtained from Roche</w:t>
      </w:r>
    </w:p>
    <w:p>
      <w:pPr>
        <w:spacing w:after="0" w:line="22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October 21, 2011, Arrowhead acquired the RNAi therapeutics business of Hoffmann-La Roche, Inc. and F. Hoffmann-La Roche Ltd. (collectively, “Roche”). The acquisition provided us with two primary sources of value:</w:t>
      </w:r>
    </w:p>
    <w:p>
      <w:pPr>
        <w:spacing w:after="0" w:line="62" w:lineRule="exact"/>
        <w:rPr>
          <w:sz w:val="20"/>
          <w:szCs w:val="20"/>
          <w:color w:val="auto"/>
        </w:rPr>
      </w:pPr>
    </w:p>
    <w:p>
      <w:pPr>
        <w:ind w:left="900" w:right="42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freedom to operate with respect to key patents directed to the primary RNAi-trigger formats: canonical, UNA, meroduplex, and dicer substrate structures;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large team of scientists experienced in RNAi and oligonucleotide delivery.</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Pursuant to this acquisition, Roche assigned to Arrowhead its entire rights under certain licenses including: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have provided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297" w:lineRule="exact"/>
        <w:rPr>
          <w:sz w:val="20"/>
          <w:szCs w:val="20"/>
          <w:color w:val="auto"/>
        </w:rPr>
      </w:pPr>
    </w:p>
    <w:p>
      <w:pPr>
        <w:ind w:firstLine="476"/>
        <w:spacing w:after="0" w:line="291" w:lineRule="auto"/>
        <w:rPr>
          <w:sz w:val="20"/>
          <w:szCs w:val="20"/>
          <w:color w:val="auto"/>
        </w:rPr>
      </w:pPr>
      <w:r>
        <w:rPr>
          <w:rFonts w:ascii="Arial" w:cs="Arial" w:eastAsia="Arial" w:hAnsi="Arial"/>
          <w:sz w:val="16"/>
          <w:szCs w:val="16"/>
          <w:color w:val="auto"/>
        </w:rPr>
        <w:t>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2012 License to Alnylam</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consideration for licenses obtained from Alnylam to certain RNAi intellectual property, in January 2012 we granted Alnylam a worldwide non-exclusive, sublicensable royalty-bearing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double-digit millions of dollars for each licensed product that progresses through clinical trials, receives marketing approval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and is the subject of a first commercial sale. Additionally, Alnylam may be obligated to pay us low single-digit percentage royalties on sales of such products.</w:t>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Acquisition of Assets from Novartis</w:t>
      </w:r>
    </w:p>
    <w:p>
      <w:pPr>
        <w:spacing w:after="0" w:line="229" w:lineRule="exact"/>
        <w:rPr>
          <w:sz w:val="20"/>
          <w:szCs w:val="20"/>
          <w:color w:val="auto"/>
        </w:rPr>
      </w:pPr>
    </w:p>
    <w:p>
      <w:pPr>
        <w:ind w:right="40" w:firstLine="476"/>
        <w:spacing w:after="0" w:line="288"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169" w:lineRule="exact"/>
        <w:rPr>
          <w:sz w:val="20"/>
          <w:szCs w:val="20"/>
          <w:color w:val="auto"/>
        </w:rPr>
      </w:pPr>
    </w:p>
    <w:p>
      <w:pPr>
        <w:jc w:val="both"/>
        <w:ind w:right="20" w:firstLine="476"/>
        <w:spacing w:after="0" w:line="342" w:lineRule="auto"/>
        <w:rPr>
          <w:sz w:val="20"/>
          <w:szCs w:val="20"/>
          <w:color w:val="auto"/>
        </w:rPr>
      </w:pPr>
      <w:r>
        <w:rPr>
          <w:rFonts w:ascii="Arial" w:cs="Arial" w:eastAsia="Arial" w:hAnsi="Arial"/>
          <w:sz w:val="16"/>
          <w:szCs w:val="16"/>
          <w:color w:val="auto"/>
        </w:rPr>
        <w:t>We see the Roche and Novartis acquisitions as a powerful combination of intellectual property, R&amp;D infrastructure, and RNAi experts. This foundation and substantial progress made by Arrowhead scientists over the last several years enable us to develop what we think are optimal RNAi therapeutics.</w:t>
      </w: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Cardiovascular Collaboration and License Agreements with Amgen</w:t>
      </w:r>
    </w:p>
    <w:p>
      <w:pPr>
        <w:spacing w:after="0" w:line="162" w:lineRule="exact"/>
        <w:rPr>
          <w:sz w:val="20"/>
          <w:szCs w:val="20"/>
          <w:color w:val="auto"/>
        </w:rPr>
      </w:pPr>
    </w:p>
    <w:p>
      <w:pPr>
        <w:jc w:val="both"/>
        <w:ind w:firstLine="476"/>
        <w:spacing w:after="0" w:line="288"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Under the First Collaboration and License Agreement, Amgen received an option to a worldwide, exclusive license to ARO-AMG1</w:t>
      </w:r>
      <w:r>
        <w:rPr>
          <w:rFonts w:ascii="Arial" w:cs="Arial" w:eastAsia="Arial" w:hAnsi="Arial"/>
          <w:sz w:val="13"/>
          <w:szCs w:val="13"/>
          <w:color w:val="auto"/>
        </w:rPr>
        <w:t>,</w:t>
      </w:r>
      <w:r>
        <w:rPr>
          <w:rFonts w:ascii="Arial" w:cs="Arial" w:eastAsia="Arial" w:hAnsi="Arial"/>
          <w:sz w:val="16"/>
          <w:szCs w:val="16"/>
          <w:color w:val="auto"/>
        </w:rPr>
        <w:t xml:space="preserve"> an RNAi therapy for an undisclosed genetically validated cardiovascular target. Under the Second Collaboration and License, Amgen received a worldwide, exclusive license to Arrowhead’s novel, RNAi AMG-980 (ARO-LPA) program. The AMG-890 (ARO-LPA)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may receive up to $617 million in option payments and development, regulatory and sales milestone payments. In August 2018, the Company received a $10 million milestone payment from Amgen following the administration of the first dose of AMG 890 (ARO-LPA) in a phase 1 clinical study. The Company is further eligible to receive single-digit royalties for sales of products under the ARO-AMG1 agreement and up to low double-digit royalties for sales of products under the AMG 890 (ARO-LPA) agreement.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License and Research Collaboration Agreements with Janssen Pharmaceuticals, Inc.</w:t>
      </w:r>
    </w:p>
    <w:p>
      <w:pPr>
        <w:spacing w:after="0" w:line="1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Under the Janssen License Agreement, Janssen will receive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(which will remain the responsibility of the Company), Janssen will be wholly responsible for clinical development and commercialization.</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Janssen Collaboration Agreement, Janssen will be able to select up to three new targets against which the Company will develop clinical candidates. These candidates are subject to certain restrictions and will not include candidates in the Company’s current pipeline. The Company will perform discovery, optimization and preclinical development on selected targets, entirely funded by Janssen, sufficient to allow the filing of a U.S. Investigational New Drug application or equivalent, at which time Janssen will have the option to take an exclusive license to the Company’s intellectual property rights covering that compound. If the option is exercised, Janssen will be wholly responsible for clinical development and commercialization of each optioned compound.</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the terms of the agreements taken together, the Company has received (i) $175 million as an upfront payment, (ii) $75 million in the form of an equity investment by JJDC in the Company’s common stock at a price of $23.00 per share, and may receive (iii) up to $1.6 billion in development and sales milestones payments for the Janssen License Agreement, and (iv) up to $1.9 billion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ind w:right="240"/>
        <w:spacing w:after="0" w:line="264" w:lineRule="auto"/>
        <w:rPr>
          <w:sz w:val="20"/>
          <w:szCs w:val="20"/>
          <w:color w:val="auto"/>
        </w:rPr>
      </w:pPr>
      <w:r>
        <w:rPr>
          <w:rFonts w:ascii="Arial" w:cs="Arial" w:eastAsia="Arial" w:hAnsi="Arial"/>
          <w:sz w:val="18"/>
          <w:szCs w:val="18"/>
          <w:color w:val="auto"/>
        </w:rPr>
        <w:t>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Facility</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Arrowhead’s research and development operations are located in Madison, Wisconsin. Substantially all of the Company’s assets are located either in this facility or in our corporate headquarters in Pasadena. A summary of our research and development resources is provided below:</w:t>
      </w:r>
    </w:p>
    <w:p>
      <w:pPr>
        <w:spacing w:after="0" w:line="38"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85 R&amp;D personnel currently;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State-of-the-art laboratories consisting of 60,000 total sq. ft.;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small animal facility;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Primate colony housed at the Wisconsin National Primate Research Center, an affiliate of the University of Wisconsin;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Animal models for cardio metabolic, viral, lung, and oncologic diseases;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In-house drug manufacturing capabilities to produce first-in-human GMP (phase appropriate) material;</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Polymer, peptide, oligonucleotide and small molecule synthesis and analytics capabilities (HPLC, NMR, MS, etc.);</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Polymer, peptide and oligonucleotide PK, biodistribution, clearance methodologies;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Conventional and confocal microscopy, flow cytometry, Luminex platform, qRT-PCR, clinical chemistry analytics.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Research and development (R&amp;D) expenses consist of costs incurred in discovering, developing and testing our clinical and preclinical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good laboratory practice (“GLP”) toxicology studies necessary to support clinical trials, both of which are outsourced to cGMP-compliant manufacturers and GLP-compliant laboratories. Total research and development expense for fiscal 2018, 2017 and 2016 was $53.0 million, $50.9 million and $62.1 million, respectively.</w:t>
      </w:r>
    </w:p>
    <w:p>
      <w:pPr>
        <w:spacing w:after="0" w:line="5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At September 30, 2018, we employed approximately 95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and stock compensation for our R&amp;D activities were $15.1 million, $14.6 million, and $17.4 million in fiscal 2018, 2017 and 2016, respectively. Costs related to the manufacture of clinical supplies, GLP toxicology studies and clinical trial costs were $23.6 million, $22.2 million, and $32.3 million in fiscal 2018, 2017, and 2016, respectively. Facility-related costs, primarily rental costs for our leased laboratory in Madison, Wisconsin were $2.3 million, $2.3 million, and $1.3 million in fiscal 2018, 2017, and 2016, respectively. Depreciation and amortization expenses primarily for our lab equipment and leasehold improvements in our leased laboratory in Madison, Wisconsin were $4.7 million, $4.7 million and $3.2 million in fiscal 2018, 2017 and 2016, respectively. Licensing, royalties and milestones expenses were $0, $0, and $3.1 million in fiscal 2018, 2017 and 2016, respectively. These expenses are primarily related to milestone payments, which can vary from period to period depending on the nature of our various license agreements, and the timing of reaching various development milestones requiring payment. Other research and development expenses were $7.3 million, $7.2 million, and $4.8 million in fiscal 2018, 2017 and 2016, respectively. These expenses primarily relate to laboratory supply costs and animal-related costs for in-vivo studies.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right="600"/>
        <w:spacing w:after="0" w:line="277" w:lineRule="auto"/>
        <w:rPr>
          <w:sz w:val="20"/>
          <w:szCs w:val="20"/>
          <w:color w:val="auto"/>
        </w:rPr>
      </w:pPr>
      <w:r>
        <w:rPr>
          <w:rFonts w:ascii="Arial" w:cs="Arial" w:eastAsia="Arial" w:hAnsi="Arial"/>
          <w:sz w:val="18"/>
          <w:szCs w:val="18"/>
          <w:color w:val="auto"/>
        </w:rPr>
        <w:t>significant factor in the production and marketing of our products and our R&amp;D activities and require the expenditure of substantial time and financial resources.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U.S.,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left="780" w:hanging="25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25" w:lineRule="exact"/>
        <w:rPr>
          <w:rFonts w:ascii="Arial" w:cs="Arial" w:eastAsia="Arial" w:hAnsi="Arial"/>
          <w:sz w:val="18"/>
          <w:szCs w:val="18"/>
          <w:color w:val="auto"/>
        </w:rPr>
      </w:pPr>
    </w:p>
    <w:p>
      <w:pPr>
        <w:ind w:right="20" w:firstLine="526"/>
        <w:spacing w:after="0" w:line="277" w:lineRule="auto"/>
        <w:tabs>
          <w:tab w:leader="none" w:pos="7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without FDA objection before human clinical trials may begin;</w:t>
      </w:r>
    </w:p>
    <w:p>
      <w:pPr>
        <w:spacing w:after="0" w:line="170" w:lineRule="exact"/>
        <w:rPr>
          <w:rFonts w:ascii="Arial" w:cs="Arial" w:eastAsia="Arial" w:hAnsi="Arial"/>
          <w:sz w:val="18"/>
          <w:szCs w:val="18"/>
          <w:color w:val="auto"/>
        </w:rPr>
      </w:pPr>
    </w:p>
    <w:p>
      <w:pPr>
        <w:ind w:left="780" w:hanging="25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each clinical trial may be initiated;</w:t>
      </w:r>
    </w:p>
    <w:p>
      <w:pPr>
        <w:spacing w:after="0" w:line="225" w:lineRule="exact"/>
        <w:rPr>
          <w:rFonts w:ascii="Arial" w:cs="Arial" w:eastAsia="Arial" w:hAnsi="Arial"/>
          <w:sz w:val="18"/>
          <w:szCs w:val="18"/>
          <w:color w:val="auto"/>
        </w:rPr>
      </w:pPr>
    </w:p>
    <w:p>
      <w:pPr>
        <w:ind w:right="800" w:firstLine="526"/>
        <w:spacing w:after="0" w:line="308" w:lineRule="auto"/>
        <w:tabs>
          <w:tab w:leader="none" w:pos="7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46" w:lineRule="exact"/>
        <w:rPr>
          <w:rFonts w:ascii="Arial" w:cs="Arial" w:eastAsia="Arial" w:hAnsi="Arial"/>
          <w:sz w:val="17"/>
          <w:szCs w:val="17"/>
          <w:color w:val="auto"/>
        </w:rPr>
      </w:pPr>
    </w:p>
    <w:p>
      <w:pPr>
        <w:ind w:left="780" w:hanging="25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review of the NDA by an FDA advisory committee, where appropriate or if applicable,</w:t>
      </w:r>
    </w:p>
    <w:p>
      <w:pPr>
        <w:spacing w:after="0" w:line="225" w:lineRule="exact"/>
        <w:rPr>
          <w:rFonts w:ascii="Arial" w:cs="Arial" w:eastAsia="Arial" w:hAnsi="Arial"/>
          <w:sz w:val="18"/>
          <w:szCs w:val="18"/>
          <w:color w:val="auto"/>
        </w:rPr>
      </w:pPr>
    </w:p>
    <w:p>
      <w:pPr>
        <w:ind w:right="220" w:firstLine="526"/>
        <w:spacing w:after="0" w:line="286" w:lineRule="auto"/>
        <w:tabs>
          <w:tab w:leader="none" w:pos="7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65" w:lineRule="exact"/>
        <w:rPr>
          <w:rFonts w:ascii="Arial" w:cs="Arial" w:eastAsia="Arial" w:hAnsi="Arial"/>
          <w:sz w:val="17"/>
          <w:szCs w:val="17"/>
          <w:color w:val="auto"/>
        </w:rPr>
      </w:pPr>
    </w:p>
    <w:p>
      <w:pPr>
        <w:ind w:left="780" w:hanging="25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user fees, as applicable, and securing FDA approval of the NDA; and</w:t>
      </w:r>
    </w:p>
    <w:p>
      <w:pPr>
        <w:spacing w:after="0" w:line="225" w:lineRule="exact"/>
        <w:rPr>
          <w:rFonts w:ascii="Arial" w:cs="Arial" w:eastAsia="Arial" w:hAnsi="Arial"/>
          <w:sz w:val="18"/>
          <w:szCs w:val="18"/>
          <w:color w:val="auto"/>
        </w:rPr>
      </w:pPr>
    </w:p>
    <w:p>
      <w:pPr>
        <w:ind w:right="540" w:firstLine="526"/>
        <w:spacing w:after="0" w:line="277" w:lineRule="auto"/>
        <w:tabs>
          <w:tab w:leader="none" w:pos="7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Risk Evaluation and Mitigation Strategies (“REMS”) or post-approval studies required by the FDA.</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and an IND</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ind w:right="60" w:firstLine="518"/>
        <w:spacing w:after="0" w:line="272" w:lineRule="auto"/>
        <w:rPr>
          <w:sz w:val="20"/>
          <w:szCs w:val="20"/>
          <w:color w:val="auto"/>
        </w:rPr>
      </w:pPr>
      <w:r>
        <w:rPr>
          <w:rFonts w:ascii="Arial" w:cs="Arial" w:eastAsia="Arial" w:hAnsi="Arial"/>
          <w:sz w:val="17"/>
          <w:szCs w:val="17"/>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$2.6 million for applications requiring clinical data, and the sponsor of an approved NDA is also subject to an annual program fee, currently exceeding $300,000. These fees are typically increased annually.</w:t>
      </w:r>
    </w:p>
    <w:p>
      <w:pPr>
        <w:spacing w:after="0" w:line="173"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firstLine="518"/>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7" w:lineRule="exact"/>
        <w:rPr>
          <w:sz w:val="20"/>
          <w:szCs w:val="20"/>
          <w:color w:val="auto"/>
        </w:rPr>
      </w:pPr>
    </w:p>
    <w:p>
      <w:pPr>
        <w:ind w:right="640" w:firstLine="518"/>
        <w:spacing w:after="0" w:line="264" w:lineRule="auto"/>
        <w:rPr>
          <w:sz w:val="20"/>
          <w:szCs w:val="20"/>
          <w:color w:val="auto"/>
        </w:rPr>
      </w:pPr>
      <w:r>
        <w:rPr>
          <w:rFonts w:ascii="Arial" w:cs="Arial" w:eastAsia="Arial" w:hAnsi="Arial"/>
          <w:sz w:val="18"/>
          <w:szCs w:val="18"/>
          <w:color w:val="auto"/>
        </w:rPr>
        <w:t>The FDA also may require submission of an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firstLine="518"/>
        <w:spacing w:after="0" w:line="257" w:lineRule="auto"/>
        <w:rPr>
          <w:sz w:val="20"/>
          <w:szCs w:val="20"/>
          <w:color w:val="auto"/>
        </w:rPr>
      </w:pPr>
      <w:r>
        <w:rPr>
          <w:rFonts w:ascii="Arial" w:cs="Arial" w:eastAsia="Arial" w:hAnsi="Arial"/>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225"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79"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Food and Drug Administration Safety and Innovation Act of 2012, or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jc w:val="center"/>
        <w:ind w:left="5620" w:right="760" w:hanging="4964"/>
        <w:spacing w:after="0" w:line="528" w:lineRule="auto"/>
        <w:tabs>
          <w:tab w:leader="none" w:pos="10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9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Hatch-Waxman Patent Certification and the 30 Month Stay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Legislative Developments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right="20" w:firstLine="518"/>
        <w:spacing w:after="0" w:line="273" w:lineRule="auto"/>
        <w:rPr>
          <w:sz w:val="20"/>
          <w:szCs w:val="20"/>
          <w:color w:val="auto"/>
        </w:rPr>
      </w:pPr>
      <w:r>
        <w:rPr>
          <w:rFonts w:ascii="Arial" w:cs="Arial" w:eastAsia="Arial" w:hAnsi="Arial"/>
          <w:sz w:val="17"/>
          <w:szCs w:val="17"/>
          <w:color w:val="auto"/>
        </w:rPr>
        <w:t>The 21st Century Cures Act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is in the process of implementing the Cures Act requirements.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Pursuant to the EU Clinical Trial Directive 2001/20/EC,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93"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In 2014, a new Clinical Trial Regulation 536/2014, replacing the EU Clinical Trials Directive, was adopted. The new Regulation will become directly applicable in all European Union member states (without national implementation) once the relevant EU portal and database are fully functional. It is expected that this will occur in the second half of 2019. The new Regulation seeks to simplify and streamline the approval of clinical trials in the European Union, in particular through a harmonised electronic submission and assessment process for clinical trials conducted in multiple Member States. As part of the application process, the sponsor shall propose a reporting Member State, who will coordinate the validation and evaluation of the application. The reporting member state shall consult and coordinate with the other concerned member states. If an application is rejected, it can be amended and resubmitted through the EU portal. If an approval is issued, the sponsor can start the clinical trial in all concerned member states. However, a concerned member state can in limited circumstances declare an “opt-out” from an approval. In such a case, the clinical trial cannot be conducted in that member state. The Regulation also aims to streamline and simplify the rules on safety reporting and introduces enhanced transparency requirements such as mandatory submission of a summary of the clinical trial results to the EU database. Information stored in the EU database will be made publicly available subject to transparency rules.</w:t>
      </w:r>
    </w:p>
    <w:p>
      <w:pPr>
        <w:spacing w:after="0" w:line="16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To obtain marketing approval of a drug under European Union regulatory systems, an applicant must submit a marketing authorization application (MAA) either under a centralized or decentralized procedure.</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(AIDS, cancer, neurodegenerative disorders, diabetes, auto-immune and viral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9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(CHMP) established at the European Medicines Agency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ind w:firstLine="518"/>
        <w:spacing w:after="0" w:line="254" w:lineRule="auto"/>
        <w:rPr>
          <w:sz w:val="20"/>
          <w:szCs w:val="20"/>
          <w:color w:val="auto"/>
        </w:rPr>
      </w:pPr>
      <w:r>
        <w:rPr>
          <w:rFonts w:ascii="Arial" w:cs="Arial" w:eastAsia="Arial" w:hAnsi="Arial"/>
          <w:sz w:val="18"/>
          <w:szCs w:val="18"/>
          <w:color w:val="auto"/>
        </w:rPr>
        <w:t>The decentralized procedure is available to applicants who wish to market a product in various European Union member states where such product has not received marketing approval in any European Union member state before. The decentralized procedure provides for approval by one or more other, or concerned, member states of an assessment of an application performed by one-member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9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legislation regarding marketing, authorization and pricing of pharmaceutical products in the European Union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core legislation relating to the marketing, authorization and pricing of pharmaceutical products in the European Union includes the following:</w:t>
      </w:r>
    </w:p>
    <w:p>
      <w:pPr>
        <w:spacing w:after="0" w:line="248" w:lineRule="exact"/>
        <w:rPr>
          <w:sz w:val="20"/>
          <w:szCs w:val="20"/>
          <w:color w:val="auto"/>
        </w:rPr>
      </w:pPr>
    </w:p>
    <w:p>
      <w:pPr>
        <w:ind w:left="1520" w:right="100" w:hanging="378"/>
        <w:spacing w:after="0" w:line="276"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6"/>
          <w:szCs w:val="16"/>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1" w:lineRule="exact"/>
        <w:rPr>
          <w:rFonts w:ascii="Arial" w:cs="Arial" w:eastAsia="Arial" w:hAnsi="Arial"/>
          <w:sz w:val="18"/>
          <w:szCs w:val="18"/>
          <w:color w:val="auto"/>
        </w:rPr>
      </w:pPr>
    </w:p>
    <w:p>
      <w:pPr>
        <w:ind w:left="1520" w:right="140" w:hanging="378"/>
        <w:spacing w:after="0" w:line="237"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Regulation (EC) 726/2004, as amended, establishing procedures for the authorization, supervision and pharmacovigilance of medicinal products for human and veterinary use and establishing the EMA.</w:t>
      </w:r>
    </w:p>
    <w:p>
      <w:pPr>
        <w:ind w:left="1520" w:right="100" w:hanging="378"/>
        <w:spacing w:after="0" w:line="237"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Regulation (EC) 469/2009, establishing the requirements necessary to obtain a Supplementary Protection Certificate, which extends the period of patent protection applicable to medicinal products at the EU-level.</w:t>
      </w:r>
    </w:p>
    <w:p>
      <w:pPr>
        <w:ind w:left="1520" w:right="40" w:hanging="378"/>
        <w:spacing w:after="0" w:line="245"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Directive 89/105/EEC, ensuring the transparency of measures taken by the European Union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ind w:left="1520" w:right="220" w:hanging="378"/>
        <w:spacing w:after="0" w:line="237"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Directive 2003/94/EC, laying down the principles of good manufacturing practice in respect of medicinal products and investigational medicinal products for human use (the "GMP Directive").</w:t>
      </w:r>
    </w:p>
    <w:p>
      <w:pPr>
        <w:ind w:left="1520" w:right="200" w:hanging="378"/>
        <w:spacing w:after="0" w:line="249" w:lineRule="auto"/>
        <w:tabs>
          <w:tab w:leader="none" w:pos="1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Legislation and Regulations</w:t>
      </w:r>
    </w:p>
    <w:p>
      <w:pPr>
        <w:spacing w:after="0" w:line="117"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From time to time, legislation is drafted, introduced and passed in the European Union, its member states and other states of Europe that could significantly change the statutory provisions governing the testing, approval, manufacturing, marketing, coverage and reimbursement of pharmaceutical products. In addition to new legislation, pharmaceutical regulations and policies are often revised or interpreted by the EMA and national agencies in ways that may significantly affect our business and our products.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both"/>
        <w:ind w:right="20" w:firstLine="761"/>
        <w:spacing w:after="0" w:line="286" w:lineRule="auto"/>
        <w:rPr>
          <w:sz w:val="20"/>
          <w:szCs w:val="20"/>
          <w:color w:val="auto"/>
        </w:rPr>
      </w:pPr>
      <w:r>
        <w:rPr>
          <w:rFonts w:ascii="Arial" w:cs="Arial" w:eastAsia="Arial" w:hAnsi="Arial"/>
          <w:sz w:val="17"/>
          <w:szCs w:val="17"/>
          <w:color w:val="auto"/>
        </w:rPr>
        <w:t>On March 29, 2017, the United Kingdom triggered Article 50 of the Treaty of the Functioning of the European Union in order to formally leave the European Union (the so-called “Brexit”). As of the date of this filing, we cannot predict the regulatory implications of Brexit in the (i) enforcement of EU law in the UK before the effective date of Brexit (which might be less stringent); and / or (ii) the post-Brexit UK regime on market authorizations.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Healthcare Laws and Regulations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120"/>
        <w:spacing w:after="0" w:line="277" w:lineRule="auto"/>
        <w:rPr>
          <w:sz w:val="20"/>
          <w:szCs w:val="20"/>
          <w:color w:val="auto"/>
        </w:rPr>
      </w:pPr>
      <w:r>
        <w:rPr>
          <w:rFonts w:ascii="Arial" w:cs="Arial" w:eastAsia="Arial" w:hAnsi="Arial"/>
          <w:sz w:val="18"/>
          <w:szCs w:val="18"/>
          <w:color w:val="auto"/>
        </w:rPr>
        <w:t>arrangements and relationships through which we market, sell and distribute products for which we obtain marketing approval. Restrictions under applicable federal and state healthcare laws and regulations, include the following:</w:t>
      </w:r>
    </w:p>
    <w:p>
      <w:pPr>
        <w:spacing w:after="0" w:line="62" w:lineRule="exact"/>
        <w:rPr>
          <w:sz w:val="20"/>
          <w:szCs w:val="20"/>
          <w:color w:val="auto"/>
        </w:rPr>
      </w:pPr>
    </w:p>
    <w:p>
      <w:pPr>
        <w:ind w:left="1040" w:hanging="384"/>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40" w:right="320" w:hanging="384"/>
        <w:spacing w:after="0" w:line="31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Foreign Corrupt Practices Act (FCPA)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38" w:lineRule="exact"/>
        <w:rPr>
          <w:rFonts w:ascii="Arial" w:cs="Arial" w:eastAsia="Arial" w:hAnsi="Arial"/>
          <w:sz w:val="16"/>
          <w:szCs w:val="16"/>
          <w:color w:val="auto"/>
        </w:rPr>
      </w:pPr>
    </w:p>
    <w:p>
      <w:pPr>
        <w:ind w:left="1040" w:right="20" w:hanging="384"/>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False Claims Act, which may be enforced by the U.S. Department of Justice or private whistleblowers to bring civil actions (qui tam actions) on behalf of the federal government, imposes civil penalties, as well as liability for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80" w:lineRule="exact"/>
        <w:rPr>
          <w:rFonts w:ascii="Arial" w:cs="Arial" w:eastAsia="Arial" w:hAnsi="Arial"/>
          <w:sz w:val="18"/>
          <w:szCs w:val="18"/>
          <w:color w:val="auto"/>
        </w:rPr>
      </w:pPr>
    </w:p>
    <w:p>
      <w:pPr>
        <w:ind w:left="1040" w:right="60" w:hanging="384"/>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040" w:right="540" w:hanging="384"/>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57" w:lineRule="exact"/>
        <w:rPr>
          <w:rFonts w:ascii="Arial" w:cs="Arial" w:eastAsia="Arial" w:hAnsi="Arial"/>
          <w:sz w:val="17"/>
          <w:szCs w:val="17"/>
          <w:color w:val="auto"/>
        </w:rPr>
      </w:pPr>
    </w:p>
    <w:p>
      <w:pPr>
        <w:ind w:left="1040" w:right="240" w:hanging="384"/>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false statements statute relating to healthcare matters prohibits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120" w:hanging="384"/>
        <w:spacing w:after="0" w:line="31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38" w:lineRule="exact"/>
        <w:rPr>
          <w:rFonts w:ascii="Arial" w:cs="Arial" w:eastAsia="Arial" w:hAnsi="Arial"/>
          <w:sz w:val="16"/>
          <w:szCs w:val="16"/>
          <w:color w:val="auto"/>
        </w:rPr>
      </w:pPr>
    </w:p>
    <w:p>
      <w:pPr>
        <w:ind w:left="1040" w:right="120" w:hanging="384"/>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similar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3" w:lineRule="exact"/>
        <w:rPr>
          <w:rFonts w:ascii="Arial" w:cs="Arial" w:eastAsia="Arial" w:hAnsi="Arial"/>
          <w:sz w:val="16"/>
          <w:szCs w:val="16"/>
          <w:color w:val="auto"/>
        </w:rPr>
      </w:pPr>
    </w:p>
    <w:p>
      <w:pPr>
        <w:ind w:left="1040" w:hanging="370"/>
        <w:spacing w:after="0" w:line="259"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187" w:lineRule="exact"/>
        <w:rPr>
          <w:sz w:val="20"/>
          <w:szCs w:val="20"/>
          <w:color w:val="auto"/>
        </w:rPr>
      </w:pPr>
    </w:p>
    <w:p>
      <w:pPr>
        <w:ind w:right="340" w:firstLine="305"/>
        <w:spacing w:after="0" w:line="277" w:lineRule="auto"/>
        <w:rPr>
          <w:sz w:val="20"/>
          <w:szCs w:val="20"/>
          <w:color w:val="auto"/>
        </w:rPr>
      </w:pPr>
      <w:r>
        <w:rPr>
          <w:rFonts w:ascii="Arial" w:cs="Arial" w:eastAsia="Arial" w:hAnsi="Arial"/>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Financial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in this Item 1 is included in Part II, Item 6 and Part IV, Item 15 of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Arrowhead was originally incorporated in South Dakota in 1989 and was reincorporated in Delaware in 2000. In April 2016, Arrowhead changed its name from Arrowhead Research Corporation to Arrowhead Pharmaceuticals, Inc. The Company’s principal executive offices are located at 225 South Lake Avenue, Suite 1050, Pasadena, California 91101, and its telephone number is (626) 304-3400. We also operate a research and development facility in Madison, Wisconsin. As of September 30, 2018, Arrowhead had 116 full-time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firstLine="518"/>
        <w:spacing w:after="0" w:line="30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http://www.arrowheadpharmaceuticals.com</w:t>
      </w:r>
      <w:r>
        <w:rPr>
          <w:rFonts w:ascii="Arial" w:cs="Arial" w:eastAsia="Arial" w:hAnsi="Arial"/>
          <w:sz w:val="16"/>
          <w:szCs w:val="16"/>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88"/>
        <w:spacing w:after="0" w:line="257"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Discovery, Development, and Commercialization of Medicines</w:t>
      </w:r>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62" w:lineRule="exact"/>
        <w:rPr>
          <w:sz w:val="20"/>
          <w:szCs w:val="20"/>
          <w:color w:val="auto"/>
        </w:rPr>
      </w:pPr>
    </w:p>
    <w:p>
      <w:pPr>
        <w:ind w:right="60" w:firstLine="588"/>
        <w:spacing w:after="0" w:line="288" w:lineRule="auto"/>
        <w:rPr>
          <w:sz w:val="20"/>
          <w:szCs w:val="20"/>
          <w:color w:val="auto"/>
        </w:rPr>
      </w:pPr>
      <w:r>
        <w:rPr>
          <w:rFonts w:ascii="Arial" w:cs="Arial" w:eastAsia="Arial" w:hAnsi="Arial"/>
          <w:sz w:val="16"/>
          <w:szCs w:val="16"/>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are not proven. For instance,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product candidates will obtain regulatory approval.</w:t>
      </w:r>
    </w:p>
    <w:p>
      <w:pPr>
        <w:spacing w:after="0" w:line="117" w:lineRule="exact"/>
        <w:rPr>
          <w:sz w:val="20"/>
          <w:szCs w:val="20"/>
          <w:color w:val="auto"/>
        </w:rPr>
      </w:pPr>
    </w:p>
    <w:p>
      <w:pPr>
        <w:ind w:right="280" w:firstLine="588"/>
        <w:spacing w:after="0" w:line="277" w:lineRule="auto"/>
        <w:rPr>
          <w:sz w:val="20"/>
          <w:szCs w:val="20"/>
          <w:color w:val="auto"/>
        </w:rPr>
      </w:pPr>
      <w:r>
        <w:rPr>
          <w:rFonts w:ascii="Arial" w:cs="Arial" w:eastAsia="Arial" w:hAnsi="Arial"/>
          <w:sz w:val="18"/>
          <w:szCs w:val="18"/>
          <w:color w:val="auto"/>
        </w:rPr>
        <w:t>The sale of human therapeutic products in the U.S. and foreign jurisdictions is subject to extensive and time consuming regulatory approval which requires, among other things:</w:t>
      </w:r>
    </w:p>
    <w:p>
      <w:pPr>
        <w:spacing w:after="0" w:line="6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adherence to cGMP regulations during production and storage.</w:t>
      </w:r>
    </w:p>
    <w:p>
      <w:pPr>
        <w:spacing w:after="0" w:line="200" w:lineRule="exact"/>
        <w:rPr>
          <w:sz w:val="20"/>
          <w:szCs w:val="20"/>
          <w:color w:val="auto"/>
        </w:rPr>
      </w:pPr>
    </w:p>
    <w:p>
      <w:pPr>
        <w:spacing w:after="0" w:line="268" w:lineRule="exact"/>
        <w:rPr>
          <w:sz w:val="20"/>
          <w:szCs w:val="20"/>
          <w:color w:val="auto"/>
        </w:rPr>
      </w:pPr>
    </w:p>
    <w:p>
      <w:pPr>
        <w:ind w:firstLine="588"/>
        <w:spacing w:after="0" w:line="272" w:lineRule="auto"/>
        <w:rPr>
          <w:sz w:val="20"/>
          <w:szCs w:val="20"/>
          <w:color w:val="auto"/>
        </w:rPr>
      </w:pPr>
      <w:r>
        <w:rPr>
          <w:rFonts w:ascii="Arial" w:cs="Arial" w:eastAsia="Arial" w:hAnsi="Arial"/>
          <w:sz w:val="17"/>
          <w:szCs w:val="17"/>
          <w:color w:val="auto"/>
        </w:rPr>
        <w:t>The product candidates we currently have under development will require significant development, pre-clinical and clinical testing and investment of significant funds to gain regulatory approval before they can be commercialized. The results of our research and human clinical testing of our products may not meet regulatory requirements.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testing of a particular product candidate does not yield successful results, then we will be unable to commercialize that product candidate.</w:t>
      </w:r>
    </w:p>
    <w:p>
      <w:pPr>
        <w:spacing w:after="0" w:line="129" w:lineRule="exact"/>
        <w:rPr>
          <w:sz w:val="20"/>
          <w:szCs w:val="20"/>
          <w:color w:val="auto"/>
        </w:rPr>
      </w:pPr>
    </w:p>
    <w:p>
      <w:pPr>
        <w:ind w:right="160" w:firstLine="58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7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pre-clinical studies may be inconclusive, or they may not be indicative of results that will be obtained in human clinical trials;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results attained in early human clinical trials may not be indicative of results that are obtained in later clinical trials;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reviewing test results, we may abandon projects that we might previously have believed to be promising;</w:t>
      </w:r>
    </w:p>
    <w:p>
      <w:pPr>
        <w:spacing w:after="0" w:line="360" w:lineRule="exact"/>
        <w:rPr>
          <w:rFonts w:ascii="Arial" w:cs="Arial" w:eastAsia="Arial" w:hAnsi="Arial"/>
          <w:sz w:val="18"/>
          <w:szCs w:val="18"/>
          <w:color w:val="auto"/>
        </w:rPr>
      </w:pPr>
    </w:p>
    <w:p>
      <w:pPr>
        <w:ind w:left="380" w:right="42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regulators may suspend or terminate clinical trials because the participating subjects or patients are being exposed to unacceptable health risks; and</w:t>
      </w:r>
    </w:p>
    <w:p>
      <w:pPr>
        <w:spacing w:after="0" w:line="305"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us longer than we project to complete clinical trials, and we may not be able to complete them at all.</w:t>
      </w:r>
    </w:p>
    <w:p>
      <w:pPr>
        <w:spacing w:after="0" w:line="117"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our clinical studies are successful and we achieve regulatory approval, the approved product label may be more limited than we or other parties anticipate, which could limit the commercial opportunity for our product candidates.</w:t>
      </w:r>
    </w:p>
    <w:p>
      <w:pPr>
        <w:spacing w:after="0" w:line="62" w:lineRule="exact"/>
        <w:rPr>
          <w:sz w:val="20"/>
          <w:szCs w:val="20"/>
          <w:color w:val="auto"/>
        </w:rPr>
      </w:pPr>
    </w:p>
    <w:p>
      <w:pPr>
        <w:ind w:firstLine="588"/>
        <w:spacing w:after="0" w:line="271" w:lineRule="auto"/>
        <w:rPr>
          <w:sz w:val="20"/>
          <w:szCs w:val="20"/>
          <w:color w:val="auto"/>
        </w:rPr>
      </w:pPr>
      <w:r>
        <w:rPr>
          <w:rFonts w:ascii="Arial" w:cs="Arial" w:eastAsia="Arial" w:hAnsi="Arial"/>
          <w:sz w:val="17"/>
          <w:szCs w:val="17"/>
          <w:color w:val="auto"/>
        </w:rPr>
        <w:t>At the time drugs are approved for commercialization, they are given a “product label” from the FDA or other regulatory body. In most countries this label sets forth the approved indication for marketing and identifies potential safety concerns for prescribing physicians and patients. While we intend to seek as broad a product label as possible for our product candidates, we may receive a narrower label than is expected by either us or third parties, such as stockholders and securities analysts. For example, any approved products may only be indicated to treat refractory patients (i.e., those who have failed some other first-line therapy). Similarly, it is possible that only a specific sub-set of patients safely responds to one or more of our drug candidates. As a result, our product candidates, even if successful in clinical trials, could be approved only for a subset of patients. Additionally, safety considerations may result in contraindications that could further limit the scope of an approved product label. Any of these or other safety and efficacy considerations could limit the commercial opportunity for our product candidates.</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62" w:lineRule="exact"/>
        <w:rPr>
          <w:sz w:val="20"/>
          <w:szCs w:val="20"/>
          <w:color w:val="auto"/>
        </w:rPr>
      </w:pPr>
    </w:p>
    <w:p>
      <w:pPr>
        <w:ind w:right="20" w:firstLine="588"/>
        <w:spacing w:after="0" w:line="279" w:lineRule="auto"/>
        <w:rPr>
          <w:sz w:val="20"/>
          <w:szCs w:val="20"/>
          <w:color w:val="auto"/>
        </w:rPr>
      </w:pPr>
      <w:r>
        <w:rPr>
          <w:rFonts w:ascii="Arial" w:cs="Arial" w:eastAsia="Arial" w:hAnsi="Arial"/>
          <w:sz w:val="17"/>
          <w:szCs w:val="17"/>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62"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9"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 and</w:t>
      </w:r>
    </w:p>
    <w:p>
      <w:pPr>
        <w:spacing w:after="0" w:line="360"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588"/>
        <w:spacing w:after="0" w:line="264" w:lineRule="auto"/>
        <w:rPr>
          <w:sz w:val="20"/>
          <w:szCs w:val="20"/>
          <w:color w:val="auto"/>
        </w:rPr>
      </w:pPr>
      <w:r>
        <w:rPr>
          <w:rFonts w:ascii="Arial" w:cs="Arial" w:eastAsia="Arial" w:hAnsi="Arial"/>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ectPr>
          <w:pgSz w:w="11900" w:h="16838" w:orient="portrait"/>
          <w:cols w:equalWidth="0" w:num="1">
            <w:col w:w="11400"/>
          </w:cols>
          <w:pgMar w:left="240" w:top="125"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6" w:name="page27"/>
    <w:bookmarkEnd w:id="26"/>
    <w:p>
      <w:pPr>
        <w:ind w:right="20" w:firstLine="588"/>
        <w:spacing w:after="0" w:line="270" w:lineRule="auto"/>
        <w:rPr>
          <w:sz w:val="20"/>
          <w:szCs w:val="20"/>
          <w:color w:val="auto"/>
        </w:rPr>
      </w:pPr>
      <w:r>
        <w:rPr>
          <w:rFonts w:ascii="Arial" w:cs="Arial" w:eastAsia="Arial" w:hAnsi="Arial"/>
          <w:sz w:val="17"/>
          <w:szCs w:val="17"/>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178"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93"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enjoy the market exclusivity benefits of our orphan drug designation.</w:t>
      </w:r>
    </w:p>
    <w:p>
      <w:pPr>
        <w:spacing w:after="0" w:line="225" w:lineRule="exact"/>
        <w:rPr>
          <w:sz w:val="20"/>
          <w:szCs w:val="20"/>
          <w:color w:val="auto"/>
        </w:rPr>
      </w:pPr>
    </w:p>
    <w:p>
      <w:pPr>
        <w:ind w:right="80" w:firstLine="593"/>
        <w:spacing w:after="0" w:line="288" w:lineRule="auto"/>
        <w:rPr>
          <w:sz w:val="20"/>
          <w:szCs w:val="20"/>
          <w:color w:val="auto"/>
        </w:rPr>
      </w:pPr>
      <w:r>
        <w:rPr>
          <w:rFonts w:ascii="Arial" w:cs="Arial" w:eastAsia="Arial" w:hAnsi="Arial"/>
          <w:sz w:val="16"/>
          <w:szCs w:val="16"/>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right="200" w:firstLine="588"/>
        <w:spacing w:after="0" w:line="257" w:lineRule="auto"/>
        <w:rPr>
          <w:sz w:val="20"/>
          <w:szCs w:val="20"/>
          <w:color w:val="auto"/>
        </w:rPr>
      </w:pPr>
      <w:r>
        <w:rPr>
          <w:rFonts w:ascii="Arial" w:cs="Arial" w:eastAsia="Arial" w:hAnsi="Arial"/>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and management. If we are unable to find, hire and retain qualified individuals, we will have difficulty implementing our business plan in a timely manner, or at all.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w:t>
      </w:r>
    </w:p>
    <w:p>
      <w:pPr>
        <w:spacing w:after="0" w:line="269" w:lineRule="auto"/>
        <w:rPr>
          <w:sz w:val="20"/>
          <w:szCs w:val="20"/>
          <w:color w:val="auto"/>
        </w:rPr>
      </w:pPr>
      <w:r>
        <w:rPr>
          <w:rFonts w:ascii="Arial" w:cs="Arial" w:eastAsia="Arial" w:hAnsi="Arial"/>
          <w:sz w:val="17"/>
          <w:szCs w:val="17"/>
          <w:color w:val="auto"/>
        </w:rPr>
        <w:t>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t>any meaningful competitive advantage. If we are unable to derive value from our licensed or owned intellectual property, the value of your investment may decline.</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62" w:lineRule="exact"/>
        <w:rPr>
          <w:sz w:val="20"/>
          <w:szCs w:val="20"/>
          <w:color w:val="auto"/>
        </w:rPr>
      </w:pPr>
    </w:p>
    <w:p>
      <w:pPr>
        <w:ind w:right="100" w:firstLine="588"/>
        <w:spacing w:after="0" w:line="302" w:lineRule="auto"/>
        <w:rPr>
          <w:sz w:val="20"/>
          <w:szCs w:val="20"/>
          <w:color w:val="auto"/>
        </w:rPr>
      </w:pPr>
      <w:r>
        <w:rPr>
          <w:rFonts w:ascii="Arial" w:cs="Arial" w:eastAsia="Arial" w:hAnsi="Arial"/>
          <w:sz w:val="16"/>
          <w:szCs w:val="16"/>
          <w:color w:val="auto"/>
        </w:rPr>
        <w:t>We are party to license agreements to incorporate third 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it may give our licensors the right to terminate their respective agreement with us, which could limit our ability to implement our current business plan and harm our business and financial condition.</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62"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Because the intellectual property landscape in the fields in which we participate is rapidly evolving and interdisciplinary, it is difficult to conclusively assess our freedom to operate without infringing on third 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67" w:lineRule="exact"/>
        <w:rPr>
          <w:sz w:val="20"/>
          <w:szCs w:val="20"/>
          <w:color w:val="auto"/>
        </w:rPr>
      </w:pPr>
    </w:p>
    <w:p>
      <w:pPr>
        <w:ind w:right="100" w:firstLine="588"/>
        <w:spacing w:after="0" w:line="255" w:lineRule="auto"/>
        <w:rPr>
          <w:sz w:val="20"/>
          <w:szCs w:val="20"/>
          <w:color w:val="auto"/>
        </w:rPr>
      </w:pPr>
      <w:r>
        <w:rPr>
          <w:rFonts w:ascii="Arial" w:cs="Arial" w:eastAsia="Arial" w:hAnsi="Arial"/>
          <w:sz w:val="18"/>
          <w:szCs w:val="18"/>
          <w:color w:val="auto"/>
        </w:rPr>
        <w:t>In addition, if our product candidates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owners and we rely on such owners to obtain, maintain and enforce the patents underlying such licenses.</w:t>
      </w:r>
    </w:p>
    <w:p>
      <w:pPr>
        <w:spacing w:after="0" w:line="140" w:lineRule="exact"/>
        <w:rPr>
          <w:sz w:val="20"/>
          <w:szCs w:val="20"/>
          <w:color w:val="auto"/>
        </w:rPr>
      </w:pPr>
    </w:p>
    <w:p>
      <w:pPr>
        <w:ind w:right="60" w:firstLine="588"/>
        <w:spacing w:after="0" w:line="264"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for our business. In particular, we have obtained licenses from, among others, Novartis and Alnylam. We also expect to enter into additional licenses to third-party intellectual property in the future.</w:t>
      </w:r>
    </w:p>
    <w:p>
      <w:pPr>
        <w:spacing w:after="0" w:line="181" w:lineRule="exact"/>
        <w:rPr>
          <w:sz w:val="20"/>
          <w:szCs w:val="20"/>
          <w:color w:val="auto"/>
        </w:rPr>
      </w:pPr>
    </w:p>
    <w:p>
      <w:pPr>
        <w:ind w:right="20" w:firstLine="588"/>
        <w:spacing w:after="0" w:line="255"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jc w:val="both"/>
        <w:ind w:right="300" w:firstLine="588"/>
        <w:spacing w:after="0" w:line="279" w:lineRule="auto"/>
        <w:rPr>
          <w:sz w:val="20"/>
          <w:szCs w:val="20"/>
          <w:color w:val="auto"/>
        </w:rPr>
      </w:pPr>
      <w:r>
        <w:rPr>
          <w:rFonts w:ascii="Arial" w:cs="Arial" w:eastAsia="Arial" w:hAnsi="Arial"/>
          <w:sz w:val="17"/>
          <w:szCs w:val="17"/>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right="520" w:firstLine="588"/>
        <w:spacing w:after="0" w:line="264" w:lineRule="auto"/>
        <w:rPr>
          <w:sz w:val="20"/>
          <w:szCs w:val="20"/>
          <w:color w:val="auto"/>
        </w:rPr>
      </w:pPr>
      <w:r>
        <w:rPr>
          <w:rFonts w:ascii="Arial" w:cs="Arial" w:eastAsia="Arial" w:hAnsi="Arial"/>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8" w:name="page29"/>
    <w:bookmarkEnd w:id="28"/>
    <w:p>
      <w:pPr>
        <w:jc w:val="both"/>
        <w:ind w:right="320"/>
        <w:spacing w:after="0" w:line="312" w:lineRule="auto"/>
        <w:rPr>
          <w:sz w:val="20"/>
          <w:szCs w:val="20"/>
          <w:color w:val="auto"/>
        </w:rPr>
      </w:pPr>
      <w:r>
        <w:rPr>
          <w:rFonts w:ascii="Arial" w:cs="Arial" w:eastAsia="Arial" w:hAnsi="Arial"/>
          <w:sz w:val="16"/>
          <w:szCs w:val="16"/>
          <w:color w:val="auto"/>
        </w:rPr>
        <w:t>unauthorized disclosure of confidential information. In addition, others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companies or investors.</w:t>
      </w:r>
    </w:p>
    <w:p>
      <w:pPr>
        <w:spacing w:after="0" w:line="117"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Model</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model assumes we will generate revenue by, among other activities, marketing or out-licensing the products we develop. 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57" w:lineRule="exact"/>
        <w:rPr>
          <w:sz w:val="20"/>
          <w:szCs w:val="20"/>
          <w:color w:val="auto"/>
        </w:rPr>
      </w:pPr>
    </w:p>
    <w:p>
      <w:pPr>
        <w:ind w:right="220" w:firstLine="588"/>
        <w:spacing w:after="0" w:line="257" w:lineRule="auto"/>
        <w:rPr>
          <w:sz w:val="20"/>
          <w:szCs w:val="20"/>
          <w:color w:val="auto"/>
        </w:rPr>
      </w:pPr>
      <w:r>
        <w:rPr>
          <w:rFonts w:ascii="Arial" w:cs="Arial" w:eastAsia="Arial" w:hAnsi="Arial"/>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80"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product development activities using unproven technologies;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safety and efficacy of our drug candidates in multiple human clinical studies;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FDA approval and approval from similar foreign regulatory bodies;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the development and commercialization of any drugs we develop;</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our products are reimbursed by commercial and/or government payors at a rate that permits commercial viability;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with suppliers, distributors, and commercial licensing partners;</w:t>
      </w:r>
    </w:p>
    <w:p>
      <w:pPr>
        <w:spacing w:after="0" w:line="360" w:lineRule="exact"/>
        <w:rPr>
          <w:rFonts w:ascii="Arial" w:cs="Arial" w:eastAsia="Arial" w:hAnsi="Arial"/>
          <w:sz w:val="18"/>
          <w:szCs w:val="18"/>
          <w:color w:val="auto"/>
        </w:rPr>
      </w:pPr>
    </w:p>
    <w:p>
      <w:pPr>
        <w:ind w:left="400" w:right="300" w:hanging="392"/>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will increase in the near term if we add programs and additional preclinical and clinical trials; and</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market any products for which we obtain marketing approval.</w:t>
      </w:r>
    </w:p>
    <w:p>
      <w:pPr>
        <w:spacing w:after="0" w:line="225" w:lineRule="exact"/>
        <w:rPr>
          <w:sz w:val="20"/>
          <w:szCs w:val="20"/>
          <w:color w:val="auto"/>
        </w:rPr>
      </w:pPr>
    </w:p>
    <w:p>
      <w:pPr>
        <w:ind w:right="140" w:firstLine="58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need to establish additional relationships with strategic and development partners to fully develop our drug candidates and market any approved products.</w:t>
      </w:r>
    </w:p>
    <w:p>
      <w:pPr>
        <w:spacing w:after="0" w:line="62" w:lineRule="exact"/>
        <w:rPr>
          <w:sz w:val="20"/>
          <w:szCs w:val="20"/>
          <w:color w:val="auto"/>
        </w:rPr>
      </w:pPr>
    </w:p>
    <w:p>
      <w:pPr>
        <w:ind w:firstLine="588"/>
        <w:spacing w:after="0" w:line="269" w:lineRule="auto"/>
        <w:rPr>
          <w:sz w:val="20"/>
          <w:szCs w:val="20"/>
          <w:color w:val="auto"/>
        </w:rPr>
      </w:pPr>
      <w:r>
        <w:rPr>
          <w:rFonts w:ascii="Arial" w:cs="Arial" w:eastAsia="Arial" w:hAnsi="Arial"/>
          <w:sz w:val="17"/>
          <w:szCs w:val="17"/>
          <w:color w:val="auto"/>
        </w:rPr>
        <w:t>In October 2018, we entered in a license agreement and research and collaboration agreement with Janssen Pharmaceuticals, Inc. and during fiscal year 2016, we entered into two collaboration and license agreements with Amgen Inc. Our business strategy includes obtaining additional collaborations with other pharmaceutical and biotech companies to support the development of our therapeutic siRNA and other drug candidates. 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w:t>
      </w:r>
    </w:p>
    <w:p>
      <w:pPr>
        <w:sectPr>
          <w:pgSz w:w="11900" w:h="16838" w:orient="portrait"/>
          <w:cols w:equalWidth="0" w:num="1">
            <w:col w:w="11420"/>
          </w:cols>
          <w:pgMar w:left="240" w:top="233"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9" w:name="page30"/>
    <w:bookmarkEnd w:id="29"/>
    <w:p>
      <w:pPr>
        <w:ind w:right="60"/>
        <w:spacing w:after="0" w:line="277" w:lineRule="auto"/>
        <w:rPr>
          <w:sz w:val="20"/>
          <w:szCs w:val="20"/>
          <w:color w:val="auto"/>
        </w:rPr>
      </w:pPr>
      <w:r>
        <w:rPr>
          <w:rFonts w:ascii="Arial" w:cs="Arial" w:eastAsia="Arial" w:hAnsi="Arial"/>
          <w:sz w:val="18"/>
          <w:szCs w:val="18"/>
          <w:color w:val="auto"/>
        </w:rPr>
        <w:t>the event we pursue our commercialization strategy through collaboration or licenses to third parties, there are a variety of technical, business and legal risks, including:</w:t>
      </w:r>
    </w:p>
    <w:p>
      <w:pPr>
        <w:spacing w:after="0" w:line="103" w:lineRule="exact"/>
        <w:rPr>
          <w:sz w:val="20"/>
          <w:szCs w:val="20"/>
          <w:color w:val="auto"/>
        </w:rPr>
      </w:pPr>
    </w:p>
    <w:p>
      <w:pPr>
        <w:ind w:left="380" w:right="68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305" w:lineRule="exact"/>
        <w:rPr>
          <w:rFonts w:ascii="Arial" w:cs="Arial" w:eastAsia="Arial" w:hAnsi="Arial"/>
          <w:sz w:val="18"/>
          <w:szCs w:val="18"/>
          <w:color w:val="auto"/>
        </w:rPr>
      </w:pPr>
    </w:p>
    <w:p>
      <w:pPr>
        <w:ind w:left="380" w:right="32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70" w:lineRule="exact"/>
        <w:rPr>
          <w:sz w:val="20"/>
          <w:szCs w:val="20"/>
          <w:color w:val="auto"/>
        </w:rPr>
      </w:pPr>
    </w:p>
    <w:p>
      <w:pPr>
        <w:ind w:right="180" w:firstLine="588"/>
        <w:spacing w:after="0" w:line="277" w:lineRule="auto"/>
        <w:rPr>
          <w:sz w:val="20"/>
          <w:szCs w:val="20"/>
          <w:color w:val="auto"/>
        </w:rPr>
      </w:pPr>
      <w:r>
        <w:rPr>
          <w:rFonts w:ascii="Arial" w:cs="Arial" w:eastAsia="Arial" w:hAnsi="Arial"/>
          <w:sz w:val="18"/>
          <w:szCs w:val="18"/>
          <w:color w:val="auto"/>
        </w:rPr>
        <w:t>The occurrence of any of the above events or other related events could impair our ability to generate revenues and harm our business and financial condition.</w:t>
      </w:r>
    </w:p>
    <w:p>
      <w:pPr>
        <w:spacing w:after="0" w:line="62"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101" w:lineRule="exact"/>
        <w:rPr>
          <w:sz w:val="20"/>
          <w:szCs w:val="20"/>
          <w:color w:val="auto"/>
        </w:rPr>
      </w:pPr>
    </w:p>
    <w:p>
      <w:pPr>
        <w:ind w:right="40" w:firstLine="588"/>
        <w:spacing w:after="0" w:line="276" w:lineRule="auto"/>
        <w:rPr>
          <w:sz w:val="20"/>
          <w:szCs w:val="20"/>
          <w:color w:val="auto"/>
        </w:rPr>
      </w:pPr>
      <w:r>
        <w:rPr>
          <w:rFonts w:ascii="Arial" w:cs="Arial" w:eastAsia="Arial" w:hAnsi="Arial"/>
          <w:sz w:val="17"/>
          <w:szCs w:val="17"/>
          <w:color w:val="auto"/>
        </w:rPr>
        <w:t>For instance, under our licensing and collaboration agreements with Amgen and Janssen, both Amgen and Janssen substantially control all clinical development and commercialization for all of the candidates discussed, and the potential future targets. To the extent that i) either of these partners interests in advancing these candidates or targets changes, ii) unforeseen scientific issues with the candidates arise or iii) the pace at which either moves the candidates through clinical trials toward commercialization slows, our ability to collect milestones and royalties may be significantly diminished. This would further cause us to rely upon other sources of financing to continue to develop our other internal drug candidates.</w:t>
      </w:r>
    </w:p>
    <w:p>
      <w:pPr>
        <w:spacing w:after="0" w:line="28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8" w:lineRule="exact"/>
        <w:rPr>
          <w:sz w:val="20"/>
          <w:szCs w:val="20"/>
          <w:color w:val="auto"/>
        </w:rPr>
      </w:pPr>
    </w:p>
    <w:p>
      <w:pPr>
        <w:jc w:val="both"/>
        <w:ind w:right="420" w:firstLine="665"/>
        <w:spacing w:after="0" w:line="264" w:lineRule="auto"/>
        <w:rPr>
          <w:sz w:val="20"/>
          <w:szCs w:val="20"/>
          <w:color w:val="auto"/>
        </w:rPr>
      </w:pPr>
      <w:r>
        <w:rPr>
          <w:rFonts w:ascii="Arial" w:cs="Arial" w:eastAsia="Arial" w:hAnsi="Arial"/>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drug candidates to generate revenues and achieve profitability.</w:t>
      </w:r>
    </w:p>
    <w:p>
      <w:pPr>
        <w:spacing w:after="0" w:line="117" w:lineRule="exact"/>
        <w:rPr>
          <w:sz w:val="20"/>
          <w:szCs w:val="20"/>
          <w:color w:val="auto"/>
        </w:rPr>
      </w:pPr>
    </w:p>
    <w:p>
      <w:pPr>
        <w:ind w:right="20" w:firstLine="588"/>
        <w:spacing w:after="0" w:line="270" w:lineRule="auto"/>
        <w:rPr>
          <w:sz w:val="20"/>
          <w:szCs w:val="20"/>
          <w:color w:val="auto"/>
        </w:rPr>
      </w:pPr>
      <w:r>
        <w:rPr>
          <w:rFonts w:ascii="Arial" w:cs="Arial" w:eastAsia="Arial" w:hAnsi="Arial"/>
          <w:sz w:val="17"/>
          <w:szCs w:val="17"/>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78" w:lineRule="exact"/>
        <w:rPr>
          <w:sz w:val="20"/>
          <w:szCs w:val="20"/>
          <w:color w:val="auto"/>
        </w:rPr>
      </w:pPr>
    </w:p>
    <w:p>
      <w:pPr>
        <w:ind w:right="400" w:firstLine="588"/>
        <w:spacing w:after="0" w:line="257" w:lineRule="auto"/>
        <w:rPr>
          <w:sz w:val="20"/>
          <w:szCs w:val="20"/>
          <w:color w:val="auto"/>
        </w:rPr>
      </w:pPr>
      <w:r>
        <w:rPr>
          <w:rFonts w:ascii="Arial" w:cs="Arial" w:eastAsia="Arial" w:hAnsi="Arial"/>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17" w:lineRule="exact"/>
        <w:rPr>
          <w:sz w:val="20"/>
          <w:szCs w:val="20"/>
          <w:color w:val="auto"/>
        </w:rPr>
      </w:pPr>
    </w:p>
    <w:p>
      <w:pPr>
        <w:ind w:firstLine="588"/>
        <w:spacing w:after="0" w:line="293" w:lineRule="auto"/>
        <w:rPr>
          <w:sz w:val="20"/>
          <w:szCs w:val="20"/>
          <w:color w:val="auto"/>
        </w:rPr>
      </w:pPr>
      <w:r>
        <w:rPr>
          <w:rFonts w:ascii="Arial" w:cs="Arial" w:eastAsia="Arial" w:hAnsi="Arial"/>
          <w:sz w:val="16"/>
          <w:szCs w:val="16"/>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0" w:name="page31"/>
    <w:bookmarkEnd w:id="30"/>
    <w:p>
      <w:pPr>
        <w:spacing w:after="0" w:line="342" w:lineRule="auto"/>
        <w:rPr>
          <w:sz w:val="20"/>
          <w:szCs w:val="20"/>
          <w:color w:val="auto"/>
        </w:rPr>
      </w:pPr>
      <w:r>
        <w:rPr>
          <w:rFonts w:ascii="Arial" w:cs="Arial" w:eastAsia="Arial" w:hAnsi="Arial"/>
          <w:sz w:val="16"/>
          <w:szCs w:val="16"/>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6" w:lineRule="exact"/>
        <w:rPr>
          <w:sz w:val="20"/>
          <w:szCs w:val="20"/>
          <w:color w:val="auto"/>
        </w:rPr>
      </w:pPr>
    </w:p>
    <w:p>
      <w:pPr>
        <w:ind w:right="60" w:firstLine="588"/>
        <w:spacing w:after="0" w:line="270" w:lineRule="auto"/>
        <w:rPr>
          <w:sz w:val="20"/>
          <w:szCs w:val="20"/>
          <w:color w:val="auto"/>
        </w:rPr>
      </w:pPr>
      <w:r>
        <w:rPr>
          <w:rFonts w:ascii="Arial" w:cs="Arial" w:eastAsia="Arial" w:hAnsi="Arial"/>
          <w:sz w:val="17"/>
          <w:szCs w:val="17"/>
          <w:color w:val="auto"/>
        </w:rPr>
        <w:t xml:space="preserve">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experiments that is not required to be produced under cGMP standards beyond those applicable to active pharmaceutical ingredients used in some early phase studies. There are a limited number of manufacturers that supply synthetic siRNAs.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78" w:lineRule="exact"/>
        <w:rPr>
          <w:sz w:val="20"/>
          <w:szCs w:val="20"/>
          <w:color w:val="auto"/>
        </w:rPr>
      </w:pPr>
    </w:p>
    <w:p>
      <w:pPr>
        <w:ind w:right="80" w:firstLine="588"/>
        <w:spacing w:after="0" w:line="288" w:lineRule="auto"/>
        <w:rPr>
          <w:sz w:val="20"/>
          <w:szCs w:val="20"/>
          <w:color w:val="auto"/>
        </w:rPr>
      </w:pPr>
      <w:r>
        <w:rPr>
          <w:rFonts w:ascii="Arial" w:cs="Arial" w:eastAsia="Arial" w:hAnsi="Arial"/>
          <w:sz w:val="16"/>
          <w:szCs w:val="16"/>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69" w:lineRule="exact"/>
        <w:rPr>
          <w:sz w:val="20"/>
          <w:szCs w:val="20"/>
          <w:color w:val="auto"/>
        </w:rPr>
      </w:pPr>
    </w:p>
    <w:p>
      <w:pPr>
        <w:ind w:right="80" w:firstLine="588"/>
        <w:spacing w:after="0" w:line="255" w:lineRule="auto"/>
        <w:rPr>
          <w:sz w:val="20"/>
          <w:szCs w:val="20"/>
          <w:color w:val="auto"/>
        </w:rPr>
      </w:pPr>
      <w:r>
        <w:rPr>
          <w:rFonts w:ascii="Arial" w:cs="Arial" w:eastAsia="Arial" w:hAnsi="Arial"/>
          <w:sz w:val="18"/>
          <w:szCs w:val="18"/>
          <w:color w:val="auto"/>
        </w:rPr>
        <w:t>Manufacturers of our approved products, if any, must comply with cGMP requirements enforced by the FDA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A failure to comply with these requirements may result in fines and civil penalties, suspension of production, suspension or delay in product approval, product seizure or recall,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2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62"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third-party service providers cannot adequately and timely fulfill their obligations to us, or if the quality and accuracy of our clinical trial data is compromised due to failure by such third 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3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face competition from various entities including large pharmaceutical companies, small biotech companies, private companies, and research institutions.</w:t>
      </w:r>
    </w:p>
    <w:p>
      <w:pPr>
        <w:spacing w:after="0" w:line="62" w:lineRule="exact"/>
        <w:rPr>
          <w:sz w:val="20"/>
          <w:szCs w:val="20"/>
          <w:color w:val="auto"/>
        </w:rPr>
      </w:pPr>
    </w:p>
    <w:p>
      <w:pPr>
        <w:ind w:right="180" w:firstLine="588"/>
        <w:spacing w:after="0" w:line="276" w:lineRule="auto"/>
        <w:rPr>
          <w:sz w:val="20"/>
          <w:szCs w:val="20"/>
          <w:color w:val="auto"/>
        </w:rPr>
      </w:pPr>
      <w:r>
        <w:rPr>
          <w:rFonts w:ascii="Arial" w:cs="Arial" w:eastAsia="Arial" w:hAnsi="Arial"/>
          <w:sz w:val="17"/>
          <w:szCs w:val="17"/>
          <w:color w:val="auto"/>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the early stages of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62"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information technology system failures.</w:t>
      </w:r>
    </w:p>
    <w:p>
      <w:pPr>
        <w:spacing w:after="0" w:line="117" w:lineRule="exact"/>
        <w:rPr>
          <w:sz w:val="20"/>
          <w:szCs w:val="20"/>
          <w:color w:val="auto"/>
        </w:rPr>
      </w:pPr>
    </w:p>
    <w:p>
      <w:pPr>
        <w:ind w:right="100" w:firstLine="588"/>
        <w:spacing w:after="0" w:line="273" w:lineRule="auto"/>
        <w:rPr>
          <w:sz w:val="20"/>
          <w:szCs w:val="20"/>
          <w:color w:val="auto"/>
        </w:rPr>
      </w:pPr>
      <w:r>
        <w:rPr>
          <w:rFonts w:ascii="Arial" w:cs="Arial" w:eastAsia="Arial" w:hAnsi="Arial"/>
          <w:sz w:val="17"/>
          <w:szCs w:val="17"/>
          <w:color w:val="auto"/>
        </w:rPr>
        <w:t>Our internal computer systems and those of our contractors and consultants are vulnerable to damage from computer viruses, unauthorized access,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proprietary or private information, we could incur liability, we could lose valuable trade secret rights, and the development of our product candidates could be delayed.</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170"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facility in Madison, Wisconsin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3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62" w:lineRule="exact"/>
        <w:rPr>
          <w:sz w:val="20"/>
          <w:szCs w:val="20"/>
          <w:color w:val="auto"/>
        </w:rPr>
      </w:pPr>
    </w:p>
    <w:p>
      <w:pPr>
        <w:ind w:right="20" w:firstLine="588"/>
        <w:spacing w:after="0" w:line="255" w:lineRule="auto"/>
        <w:rPr>
          <w:sz w:val="20"/>
          <w:szCs w:val="20"/>
          <w:color w:val="auto"/>
        </w:rPr>
      </w:pPr>
      <w:r>
        <w:rPr>
          <w:rFonts w:ascii="Arial" w:cs="Arial" w:eastAsia="Arial" w:hAnsi="Arial"/>
          <w:sz w:val="18"/>
          <w:szCs w:val="18"/>
          <w:color w:val="auto"/>
        </w:rPr>
        <w:t>We conduct research and development in a facility in Madison, Wisconsin.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may result in financial losses or harm our reputation and may divert management resources.</w:t>
      </w:r>
    </w:p>
    <w:p>
      <w:pPr>
        <w:spacing w:after="0" w:line="117" w:lineRule="exact"/>
        <w:rPr>
          <w:sz w:val="20"/>
          <w:szCs w:val="20"/>
          <w:color w:val="auto"/>
        </w:rPr>
      </w:pPr>
    </w:p>
    <w:p>
      <w:pPr>
        <w:ind w:right="60" w:firstLine="588"/>
        <w:spacing w:after="0" w:line="271" w:lineRule="auto"/>
        <w:rPr>
          <w:sz w:val="20"/>
          <w:szCs w:val="20"/>
          <w:color w:val="auto"/>
        </w:rPr>
      </w:pPr>
      <w:r>
        <w:rPr>
          <w:rFonts w:ascii="Arial" w:cs="Arial" w:eastAsia="Arial" w:hAnsi="Arial"/>
          <w:sz w:val="17"/>
          <w:szCs w:val="17"/>
          <w:color w:val="auto"/>
        </w:rPr>
        <w:t>When the market price of a stock is volatile, holders of that stock have often initiated securities class action litigation against the company that issued the stock. Certain of our stockholders have recently brought such lawsuits against us, pursuant to which we could incur substantial costs. We cannot predict with certainty the eventual outcome of this or any other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Condition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may not achieve or maintain profitability.</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incurred net losses since our inception, including net losses of $54.5 million for the fiscal year ended September 30, 2018.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profitability.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funds to complete our research and development activities.</w:t>
      </w:r>
    </w:p>
    <w:p>
      <w:pPr>
        <w:spacing w:after="0" w:line="117" w:lineRule="exact"/>
        <w:rPr>
          <w:sz w:val="20"/>
          <w:szCs w:val="20"/>
          <w:color w:val="auto"/>
        </w:rPr>
      </w:pPr>
    </w:p>
    <w:p>
      <w:pPr>
        <w:ind w:right="120" w:firstLine="588"/>
        <w:spacing w:after="0" w:line="342"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16" w:lineRule="exact"/>
        <w:rPr>
          <w:sz w:val="20"/>
          <w:szCs w:val="20"/>
          <w:color w:val="auto"/>
        </w:rPr>
      </w:pPr>
    </w:p>
    <w:p>
      <w:pPr>
        <w:ind w:left="380" w:right="10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62" w:lineRule="exact"/>
        <w:rPr>
          <w:rFonts w:ascii="Arial" w:cs="Arial" w:eastAsia="Arial" w:hAnsi="Arial"/>
          <w:sz w:val="18"/>
          <w:szCs w:val="18"/>
          <w:color w:val="auto"/>
        </w:rPr>
      </w:pPr>
    </w:p>
    <w:p>
      <w:pPr>
        <w:ind w:left="380" w:right="20"/>
        <w:spacing w:after="0" w:line="277" w:lineRule="auto"/>
        <w:rPr>
          <w:rFonts w:ascii="Arial" w:cs="Arial" w:eastAsia="Arial" w:hAnsi="Arial"/>
          <w:sz w:val="18"/>
          <w:szCs w:val="18"/>
          <w:color w:val="auto"/>
        </w:rPr>
      </w:pPr>
      <w:r>
        <w:rPr>
          <w:rFonts w:ascii="Arial" w:cs="Arial" w:eastAsia="Arial" w:hAnsi="Arial"/>
          <w:sz w:val="18"/>
          <w:szCs w:val="18"/>
          <w:color w:val="auto"/>
        </w:rPr>
        <w:t>Fund a commercialization infrastructure and activities related to the sale, marketing, customer support, and distribution of our drug products if and when they become approved;</w:t>
      </w:r>
    </w:p>
    <w:p>
      <w:pPr>
        <w:spacing w:after="0" w:line="278"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our general and administrative infrastructure and activities;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Pursue business development opportunities for our technologies;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to and protect our intellectual property; and</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our management and technical staff.</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11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requirements for our clinical trials;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research and development and clinical efforts are successful;</w:t>
      </w:r>
    </w:p>
    <w:p>
      <w:pPr>
        <w:spacing w:after="0" w:line="33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 and the extent to which our business development efforts result in the acquisition of new programs or technologies;</w:t>
      </w:r>
    </w:p>
    <w:p>
      <w:pPr>
        <w:spacing w:after="0" w:line="278"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intellectual property positions, if any, in our products; and</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regulatory approval process and regulatory standards for our drug candidates.</w:t>
      </w: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62" w:lineRule="exact"/>
        <w:rPr>
          <w:sz w:val="20"/>
          <w:szCs w:val="20"/>
          <w:color w:val="auto"/>
        </w:rPr>
      </w:pPr>
    </w:p>
    <w:p>
      <w:pPr>
        <w:ind w:right="40" w:firstLine="588"/>
        <w:spacing w:after="0" w:line="264"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w:t>
      </w:r>
    </w:p>
    <w:p>
      <w:pPr>
        <w:sectPr>
          <w:pgSz w:w="11900" w:h="16838" w:orient="portrait"/>
          <w:cols w:equalWidth="0" w:num="1">
            <w:col w:w="11400"/>
          </w:cols>
          <w:pgMar w:left="240" w:top="233"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33" w:name="page34"/>
    <w:bookmarkEnd w:id="33"/>
    <w:p>
      <w:pPr>
        <w:ind w:right="220"/>
        <w:spacing w:after="0" w:line="342" w:lineRule="auto"/>
        <w:rPr>
          <w:sz w:val="20"/>
          <w:szCs w:val="20"/>
          <w:color w:val="auto"/>
        </w:rPr>
      </w:pPr>
      <w:r>
        <w:rPr>
          <w:rFonts w:ascii="Arial" w:cs="Arial" w:eastAsia="Arial" w:hAnsi="Arial"/>
          <w:sz w:val="16"/>
          <w:szCs w:val="16"/>
          <w:color w:val="auto"/>
        </w:rPr>
        <w:t>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62" w:lineRule="exact"/>
        <w:rPr>
          <w:sz w:val="20"/>
          <w:szCs w:val="20"/>
          <w:color w:val="auto"/>
        </w:rPr>
      </w:pPr>
    </w:p>
    <w:p>
      <w:pPr>
        <w:ind w:firstLine="665"/>
        <w:spacing w:after="0" w:line="272" w:lineRule="auto"/>
        <w:rPr>
          <w:sz w:val="20"/>
          <w:szCs w:val="20"/>
          <w:color w:val="auto"/>
        </w:rPr>
      </w:pPr>
      <w:r>
        <w:rPr>
          <w:rFonts w:ascii="Arial" w:cs="Arial" w:eastAsia="Arial" w:hAnsi="Arial"/>
          <w:sz w:val="17"/>
          <w:szCs w:val="17"/>
          <w:color w:val="auto"/>
        </w:rPr>
        <w:t>At September 30, 2018, we had $46.4 million in fixed income marketable securities. These investments are in corporate bonds nearing maturity,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net operating loss carryforwards and other tax benefits may be limited.</w:t>
      </w:r>
    </w:p>
    <w:p>
      <w:pPr>
        <w:spacing w:after="0" w:line="117" w:lineRule="exact"/>
        <w:rPr>
          <w:sz w:val="20"/>
          <w:szCs w:val="20"/>
          <w:color w:val="auto"/>
        </w:rPr>
      </w:pPr>
    </w:p>
    <w:p>
      <w:pPr>
        <w:ind w:right="60" w:firstLine="588"/>
        <w:spacing w:after="0" w:line="268" w:lineRule="auto"/>
        <w:rPr>
          <w:sz w:val="20"/>
          <w:szCs w:val="20"/>
          <w:color w:val="auto"/>
        </w:rPr>
      </w:pPr>
      <w:r>
        <w:rPr>
          <w:rFonts w:ascii="Arial" w:cs="Arial" w:eastAsia="Arial" w:hAnsi="Arial"/>
          <w:sz w:val="17"/>
          <w:szCs w:val="17"/>
          <w:color w:val="auto"/>
        </w:rPr>
        <w:t>We have historically incurred net losses. Under the Internal Revenue Code of 1986, as amended, or the Code, a corporation is generally allowed a deduction for net operating losses (NOLs) carried forward from a prior taxable year. Under that provision, we can carryforward our NOLs to offset our future taxable income, if any, until such NOLs are used or expire. As of September 30, 2017, we had federal, and state NOL carryforwards of approximately $284.8 million and $196.6 million, respectively. The federal NOL carryforwards will begin to expire, if not utilized, beginning in 2037. These NOL carryforwards could expire unused before offsetting potential future income tax liabilities. Under the Tax Cut and Jobs Act of 2017, or the Tax Act, federal NOLs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9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regulations for corporate governance and public disclosure that has increased both our costs and the risk of noncompliance.</w:t>
      </w:r>
    </w:p>
    <w:p>
      <w:pPr>
        <w:spacing w:after="0" w:line="62" w:lineRule="exact"/>
        <w:rPr>
          <w:sz w:val="20"/>
          <w:szCs w:val="20"/>
          <w:color w:val="auto"/>
        </w:rPr>
      </w:pPr>
    </w:p>
    <w:p>
      <w:pPr>
        <w:ind w:right="20" w:firstLine="588"/>
        <w:spacing w:after="0" w:line="255" w:lineRule="auto"/>
        <w:rPr>
          <w:sz w:val="20"/>
          <w:szCs w:val="20"/>
          <w:color w:val="auto"/>
        </w:rPr>
      </w:pPr>
      <w:r>
        <w:rPr>
          <w:rFonts w:ascii="Arial" w:cs="Arial" w:eastAsia="Arial" w:hAnsi="Arial"/>
          <w:sz w:val="18"/>
          <w:szCs w:val="18"/>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The Tax Act significantly revises the Internal Revenue Code of 1986, as amended. The Tax Act, among other things, contains significant changes to corporate taxation, including reduction of the corporate tax rate from a top marginal rate of 35 percent to a flat rate of 21 percent, limitation of the tax deduction for interest expense to 30 percent of adjusted earnings (except for certain small businesses), limitation of the deduction for net operating losses to 80 percent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w:t>
      </w:r>
    </w:p>
    <w:p>
      <w:pPr>
        <w:spacing w:after="0" w:line="225"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We are subject to U.S. federal, state, local and sales taxes in the U.S. and Australia.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Securities Risks</w:t>
      </w:r>
    </w:p>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62" w:lineRule="exact"/>
        <w:rPr>
          <w:sz w:val="20"/>
          <w:szCs w:val="20"/>
          <w:color w:val="auto"/>
        </w:rPr>
      </w:pPr>
    </w:p>
    <w:p>
      <w:pPr>
        <w:ind w:right="60" w:firstLine="588"/>
        <w:spacing w:after="0" w:line="255" w:lineRule="auto"/>
        <w:rPr>
          <w:sz w:val="20"/>
          <w:szCs w:val="20"/>
          <w:color w:val="auto"/>
        </w:rPr>
      </w:pPr>
      <w:r>
        <w:rPr>
          <w:rFonts w:ascii="Arial" w:cs="Arial" w:eastAsia="Arial" w:hAnsi="Arial"/>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17" w:lineRule="exact"/>
        <w:rPr>
          <w:sz w:val="20"/>
          <w:szCs w:val="20"/>
          <w:color w:val="auto"/>
        </w:rPr>
      </w:pPr>
    </w:p>
    <w:p>
      <w:pPr>
        <w:ind w:right="520" w:firstLine="588"/>
        <w:spacing w:after="0" w:line="34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62"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limited, and the sale of a limited number of shares could cause the price to fall sharply.</w:t>
      </w:r>
    </w:p>
    <w:p>
      <w:pPr>
        <w:spacing w:after="0" w:line="152" w:lineRule="exact"/>
        <w:rPr>
          <w:sz w:val="20"/>
          <w:szCs w:val="20"/>
          <w:color w:val="auto"/>
        </w:rPr>
      </w:pPr>
    </w:p>
    <w:p>
      <w:pPr>
        <w:ind w:right="20" w:firstLine="588"/>
        <w:spacing w:after="0" w:line="276" w:lineRule="auto"/>
        <w:rPr>
          <w:sz w:val="20"/>
          <w:szCs w:val="20"/>
          <w:color w:val="auto"/>
        </w:rPr>
      </w:pPr>
      <w:r>
        <w:rPr>
          <w:rFonts w:ascii="Arial" w:cs="Arial" w:eastAsia="Arial" w:hAnsi="Arial"/>
          <w:sz w:val="17"/>
          <w:szCs w:val="17"/>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both"/>
        <w:ind w:right="120" w:firstLine="588"/>
        <w:spacing w:after="0" w:line="259" w:lineRule="auto"/>
        <w:rPr>
          <w:sz w:val="20"/>
          <w:szCs w:val="20"/>
          <w:color w:val="auto"/>
        </w:rPr>
      </w:pPr>
      <w:r>
        <w:rPr>
          <w:rFonts w:ascii="Arial" w:cs="Arial" w:eastAsia="Arial" w:hAnsi="Arial"/>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9"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360" w:lineRule="exact"/>
        <w:rPr>
          <w:rFonts w:ascii="Arial" w:cs="Arial" w:eastAsia="Arial" w:hAnsi="Arial"/>
          <w:sz w:val="18"/>
          <w:szCs w:val="18"/>
          <w:color w:val="auto"/>
        </w:rPr>
      </w:pPr>
    </w:p>
    <w:p>
      <w:pPr>
        <w:ind w:left="380" w:right="36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 including clinical trial results;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actions taken by regulatory authorities, such as the U.S. Food and Drug Administration;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developments in the RNA interference or biotechnology fields in general;</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clinical trial results with our products or competitors’ products;</w:t>
      </w:r>
    </w:p>
    <w:p>
      <w:pPr>
        <w:spacing w:after="0" w:line="360" w:lineRule="exact"/>
        <w:rPr>
          <w:rFonts w:ascii="Arial" w:cs="Arial" w:eastAsia="Arial" w:hAnsi="Arial"/>
          <w:sz w:val="18"/>
          <w:szCs w:val="18"/>
          <w:color w:val="auto"/>
        </w:rPr>
      </w:pPr>
    </w:p>
    <w:p>
      <w:pPr>
        <w:ind w:left="400" w:right="180" w:hanging="392"/>
        <w:spacing w:after="0" w:line="277" w:lineRule="auto"/>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perception and/or announcements regarding other companies developing products in the field of biotechnology generally or specifically RNA interference;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 or departure of key executives;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225"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equity issuances.</w:t>
      </w:r>
    </w:p>
    <w:p>
      <w:pPr>
        <w:spacing w:after="0" w:line="117" w:lineRule="exact"/>
        <w:rPr>
          <w:sz w:val="20"/>
          <w:szCs w:val="20"/>
          <w:color w:val="auto"/>
        </w:rPr>
      </w:pPr>
    </w:p>
    <w:p>
      <w:pPr>
        <w:ind w:right="80" w:firstLine="530"/>
        <w:spacing w:after="0" w:line="264" w:lineRule="auto"/>
        <w:rPr>
          <w:sz w:val="20"/>
          <w:szCs w:val="20"/>
          <w:color w:val="auto"/>
        </w:rPr>
      </w:pPr>
      <w:r>
        <w:rPr>
          <w:rFonts w:ascii="Arial" w:cs="Arial" w:eastAsia="Arial" w:hAnsi="Arial"/>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2018:</w:t>
      </w:r>
    </w:p>
    <w:p>
      <w:pPr>
        <w:spacing w:after="0" w:line="289" w:lineRule="exact"/>
        <w:rPr>
          <w:sz w:val="20"/>
          <w:szCs w:val="20"/>
          <w:color w:val="auto"/>
        </w:rPr>
      </w:pPr>
    </w:p>
    <w:p>
      <w:pPr>
        <w:ind w:left="1400" w:right="320" w:hanging="379"/>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11,500,000 shares of Common Stock issued in an equity financing in January 2018 that generated $56.6 million of net proceeds to the Company; and</w:t>
      </w:r>
    </w:p>
    <w:p>
      <w:pPr>
        <w:spacing w:after="0" w:line="170" w:lineRule="exact"/>
        <w:rPr>
          <w:rFonts w:ascii="Arial" w:cs="Arial" w:eastAsia="Arial" w:hAnsi="Arial"/>
          <w:sz w:val="18"/>
          <w:szCs w:val="18"/>
          <w:color w:val="auto"/>
        </w:rPr>
      </w:pPr>
    </w:p>
    <w:p>
      <w:pPr>
        <w:ind w:left="1400" w:right="200" w:hanging="379"/>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2,219,876 shares of Common Stock pursuant to the exercise of stock options, warrants and exchange rights and the vesting of restricted stock units;</w:t>
      </w:r>
    </w:p>
    <w:p>
      <w:pPr>
        <w:spacing w:after="0" w:line="279" w:lineRule="exact"/>
        <w:rPr>
          <w:sz w:val="20"/>
          <w:szCs w:val="20"/>
          <w:color w:val="auto"/>
        </w:rPr>
      </w:pPr>
    </w:p>
    <w:p>
      <w:pPr>
        <w:ind w:firstLine="530"/>
        <w:spacing w:after="0" w:line="259" w:lineRule="auto"/>
        <w:rPr>
          <w:sz w:val="20"/>
          <w:szCs w:val="20"/>
          <w:color w:val="auto"/>
        </w:rPr>
      </w:pPr>
      <w:r>
        <w:rPr>
          <w:rFonts w:ascii="Arial" w:cs="Arial" w:eastAsia="Arial" w:hAnsi="Arial"/>
          <w:sz w:val="18"/>
          <w:szCs w:val="18"/>
          <w:color w:val="auto"/>
        </w:rPr>
        <w:t>As of September 30, 2018, we had 88,505,302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Inherent in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17" w:lineRule="exact"/>
        <w:rPr>
          <w:sz w:val="20"/>
          <w:szCs w:val="20"/>
          <w:color w:val="auto"/>
        </w:rPr>
      </w:pPr>
    </w:p>
    <w:p>
      <w:pPr>
        <w:ind w:right="80" w:firstLine="588"/>
        <w:spacing w:after="0" w:line="308" w:lineRule="auto"/>
        <w:rPr>
          <w:sz w:val="20"/>
          <w:szCs w:val="20"/>
          <w:color w:val="auto"/>
        </w:rPr>
      </w:pPr>
      <w:r>
        <w:rPr>
          <w:rFonts w:ascii="Arial" w:cs="Arial" w:eastAsia="Arial" w:hAnsi="Arial"/>
          <w:sz w:val="17"/>
          <w:szCs w:val="17"/>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38"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373"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necessary regulatory bodies, such as the U.S. Food and Drug Administration, may not approve our potential product for the intended use, or at all; and</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ectPr>
          <w:pgSz w:w="11900" w:h="16838" w:orient="portrait"/>
          <w:cols w:equalWidth="0" w:num="1">
            <w:col w:w="11360"/>
          </w:cols>
          <w:pgMar w:left="240" w:top="233" w:right="299" w:bottom="609"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609" w:gutter="0" w:footer="0" w:header="0"/>
          <w:type w:val="continuous"/>
        </w:sectPr>
      </w:pPr>
    </w:p>
    <w:bookmarkStart w:id="36" w:name="page37"/>
    <w:bookmarkEnd w:id="36"/>
    <w:p>
      <w:pPr>
        <w:ind w:right="60" w:firstLine="588"/>
        <w:spacing w:after="0" w:line="270" w:lineRule="auto"/>
        <w:rPr>
          <w:sz w:val="20"/>
          <w:szCs w:val="20"/>
          <w:color w:val="auto"/>
        </w:rPr>
      </w:pPr>
      <w:r>
        <w:rPr>
          <w:rFonts w:ascii="Arial" w:cs="Arial" w:eastAsia="Arial" w:hAnsi="Arial"/>
          <w:sz w:val="17"/>
          <w:szCs w:val="17"/>
          <w:color w:val="auto"/>
        </w:rPr>
        <w:t>For example, any positive pre-clinical results in animals for our pre-clinical programs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healthcare system is under significant financial pressure to reduce costs, which could reduce payment and reimbursement rates for drugs.</w:t>
      </w:r>
    </w:p>
    <w:p>
      <w:pPr>
        <w:spacing w:after="0" w:line="248" w:lineRule="exact"/>
        <w:rPr>
          <w:sz w:val="20"/>
          <w:szCs w:val="20"/>
          <w:color w:val="auto"/>
        </w:rPr>
      </w:pPr>
    </w:p>
    <w:p>
      <w:pPr>
        <w:ind w:right="200" w:firstLine="295"/>
        <w:spacing w:after="0" w:line="259" w:lineRule="auto"/>
        <w:rPr>
          <w:sz w:val="20"/>
          <w:szCs w:val="20"/>
          <w:color w:val="auto"/>
        </w:rPr>
      </w:pPr>
      <w:r>
        <w:rPr>
          <w:rFonts w:ascii="Arial" w:cs="Arial" w:eastAsia="Arial" w:hAnsi="Arial"/>
          <w:sz w:val="18"/>
          <w:szCs w:val="18"/>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These effects could reduce or eliminate our ability to return value to our shareholders.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170" w:lineRule="exact"/>
        <w:rPr>
          <w:sz w:val="20"/>
          <w:szCs w:val="20"/>
          <w:color w:val="auto"/>
        </w:rPr>
      </w:pPr>
    </w:p>
    <w:p>
      <w:pPr>
        <w:ind w:right="160" w:firstLine="295"/>
        <w:spacing w:after="0" w:line="291" w:lineRule="auto"/>
        <w:rPr>
          <w:sz w:val="20"/>
          <w:szCs w:val="20"/>
          <w:color w:val="auto"/>
        </w:rPr>
      </w:pPr>
      <w:r>
        <w:rPr>
          <w:rFonts w:ascii="Arial" w:cs="Arial" w:eastAsia="Arial" w:hAnsi="Arial"/>
          <w:sz w:val="16"/>
          <w:szCs w:val="16"/>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3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does not own any real property. The following table summarizes the Company’s leased facilities as of September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Office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Monthly</w:t>
            </w: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Primary Use</w:t>
            </w: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Lease</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w:t>
            </w:r>
          </w:p>
        </w:tc>
        <w:tc>
          <w:tcPr>
            <w:tcW w:w="1360" w:type="dxa"/>
            <w:vAlign w:val="bottom"/>
            <w:gridSpan w:val="2"/>
            <w:vMerge w:val="continue"/>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Expiration</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0"/>
              </w:rPr>
              <w:t>Corp.</w:t>
            </w:r>
          </w:p>
        </w:tc>
        <w:tc>
          <w:tcPr>
            <w:tcW w:w="260" w:type="dxa"/>
            <w:vAlign w:val="bottom"/>
            <w:tcBorders>
              <w:top w:val="single" w:sz="8" w:color="CFF0FC"/>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Pasadena, California</w:t>
            </w:r>
          </w:p>
        </w:tc>
        <w:tc>
          <w:tcPr>
            <w:tcW w:w="14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8,500 sq. ft.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28,000</w:t>
            </w:r>
          </w:p>
        </w:tc>
        <w:tc>
          <w:tcPr>
            <w:tcW w:w="13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9"/>
              </w:rPr>
              <w:t>Headqtrs.</w:t>
            </w:r>
          </w:p>
        </w:tc>
        <w:tc>
          <w:tcPr>
            <w:tcW w:w="2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2019</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5"/>
              </w:rPr>
              <w:t>Research</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Madison, Wisconsin</w:t>
            </w:r>
          </w:p>
        </w:tc>
        <w:tc>
          <w:tcPr>
            <w:tcW w:w="1460" w:type="dxa"/>
            <w:vAlign w:val="bottom"/>
            <w:gridSpan w:val="2"/>
          </w:tcPr>
          <w:p>
            <w:pPr>
              <w:ind w:left="380"/>
              <w:spacing w:after="0"/>
              <w:rPr>
                <w:sz w:val="20"/>
                <w:szCs w:val="20"/>
                <w:color w:val="auto"/>
              </w:rPr>
            </w:pPr>
            <w:r>
              <w:rPr>
                <w:rFonts w:ascii="Arial" w:cs="Arial" w:eastAsia="Arial" w:hAnsi="Arial"/>
                <w:sz w:val="18"/>
                <w:szCs w:val="18"/>
                <w:color w:val="auto"/>
              </w:rPr>
              <w:t>60,000 sq. ft.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186,000</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Facility</w:t>
            </w:r>
          </w:p>
        </w:tc>
        <w:tc>
          <w:tcPr>
            <w:tcW w:w="2100" w:type="dxa"/>
            <w:vAlign w:val="bottom"/>
            <w:gridSpan w:val="2"/>
          </w:tcPr>
          <w:p>
            <w:pPr>
              <w:ind w:left="380"/>
              <w:spacing w:after="0"/>
              <w:rPr>
                <w:sz w:val="20"/>
                <w:szCs w:val="20"/>
                <w:color w:val="auto"/>
              </w:rPr>
            </w:pPr>
            <w:r>
              <w:rPr>
                <w:rFonts w:ascii="Arial" w:cs="Arial" w:eastAsia="Arial" w:hAnsi="Arial"/>
                <w:sz w:val="18"/>
                <w:szCs w:val="18"/>
                <w:color w:val="auto"/>
              </w:rPr>
              <w:t>September 2026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Legal Proceedings are set forth in our financial statement schedules in Part IV, Item 15 of this Annual Report and are incorporated herein by reference. See Note 7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of Part IV, Item 15. </w:t>
      </w:r>
      <w:r>
        <w:rPr>
          <w:rFonts w:ascii="Arial" w:cs="Arial" w:eastAsia="Arial" w:hAnsi="Arial"/>
          <w:sz w:val="18"/>
          <w:szCs w:val="18"/>
          <w:i w:val="1"/>
          <w:iCs w:val="1"/>
          <w:color w:val="auto"/>
        </w:rPr>
        <w:t>Exhibits and Financial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September 30,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1st Quarter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Shares Outstanding</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At December 7, 2018, 92,224,665 shares of the Company’s Common Stock were issued and outstanding, and were owned by 120 stockholders of record, based on information provided by the Company’s transfer agent.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of Part III of this Annual Report on Form 10-K.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years ended September 30, 2018, 2017 and 2016.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Graph</w:t>
      </w:r>
    </w:p>
    <w:p>
      <w:pPr>
        <w:spacing w:after="0" w:line="13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2013, in each of our Common Stock, the NASDAQ Composite Index and the NASDAQ Biotechnology Index, with investment weighted on the basis of market capitalization.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comparisons in the following graph are based on historical data and are not intended to forecast the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88900</wp:posOffset>
            </wp:positionV>
            <wp:extent cx="6165850" cy="3764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35" w:lineRule="exact"/>
        <w:rPr>
          <w:sz w:val="20"/>
          <w:szCs w:val="20"/>
          <w:color w:val="auto"/>
        </w:rPr>
      </w:pPr>
    </w:p>
    <w:p>
      <w:pPr>
        <w:ind w:left="120" w:right="1780" w:firstLine="397"/>
        <w:spacing w:after="0" w:line="288"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rPr>
          <w:sz w:val="20"/>
          <w:szCs w:val="20"/>
          <w:color w:val="auto"/>
        </w:rPr>
      </w:pPr>
      <w:r>
        <w:rPr>
          <w:rFonts w:ascii="Arial" w:cs="Arial" w:eastAsia="Arial" w:hAnsi="Arial"/>
          <w:sz w:val="18"/>
          <w:szCs w:val="18"/>
          <w:color w:val="auto"/>
        </w:rPr>
        <w:t>Form 10-K and in previously filed annual reports on Form 10-K of Arrowhead Pharmaceuticals,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left="760"/>
              <w:spacing w:after="0"/>
              <w:rPr>
                <w:sz w:val="20"/>
                <w:szCs w:val="20"/>
                <w:color w:val="auto"/>
              </w:rPr>
            </w:pPr>
            <w:r>
              <w:rPr>
                <w:rFonts w:ascii="Arial" w:cs="Arial" w:eastAsia="Arial" w:hAnsi="Arial"/>
                <w:sz w:val="14"/>
                <w:szCs w:val="14"/>
                <w:b w:val="1"/>
                <w:bCs w:val="1"/>
                <w:color w:val="auto"/>
                <w:w w:val="92"/>
              </w:rPr>
              <w:t>Year Ended September</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9"/>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OPERATING SUMMARY</w:t>
            </w:r>
          </w:p>
        </w:tc>
        <w:tc>
          <w:tcPr>
            <w:tcW w:w="362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16,142,321</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31,407,709</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158,333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382,000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52,968,505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50,904,466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62,117,818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64,035,385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33,738,674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Acquired in-process research and development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10,142,786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19,110,051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17,499,152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23,594,888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20,286,272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15,164,567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Impairment expense</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2,050,817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2,172,387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Arial" w:cs="Arial" w:eastAsia="Arial" w:hAnsi="Arial"/>
                <w:sz w:val="16"/>
                <w:szCs w:val="16"/>
                <w:color w:val="auto"/>
              </w:rPr>
              <w:t>Contingent consideration - fair value adjustments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(5,862,464)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1,891,533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2,375,658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top w:val="single" w:sz="8" w:color="CFF0FC"/>
            </w:tcBorders>
            <w:gridSpan w:val="3"/>
            <w:shd w:val="clear" w:color="auto" w:fill="CFF0FC"/>
          </w:tcPr>
          <w:p>
            <w:pPr>
              <w:ind w:left="480"/>
              <w:spacing w:after="0"/>
              <w:rPr>
                <w:sz w:val="20"/>
                <w:szCs w:val="20"/>
                <w:color w:val="auto"/>
              </w:rPr>
            </w:pPr>
            <w:r>
              <w:rPr>
                <w:rFonts w:ascii="Arial" w:cs="Arial" w:eastAsia="Arial" w:hAnsi="Arial"/>
                <w:sz w:val="16"/>
                <w:szCs w:val="16"/>
                <w:color w:val="auto"/>
              </w:rPr>
              <w:t>TOTAL OPERATING EXPENSES (a)</w:t>
            </w: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72,078,556</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68,403,618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81,901,059</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96,355,976</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53,451,286</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gridSpan w:val="4"/>
          </w:tcPr>
          <w:p>
            <w:pPr>
              <w:spacing w:after="0"/>
              <w:rPr>
                <w:sz w:val="20"/>
                <w:szCs w:val="20"/>
                <w:color w:val="auto"/>
              </w:rPr>
            </w:pPr>
            <w:r>
              <w:rPr>
                <w:rFonts w:ascii="Arial" w:cs="Arial" w:eastAsia="Arial" w:hAnsi="Arial"/>
                <w:sz w:val="16"/>
                <w:szCs w:val="16"/>
                <w:b w:val="1"/>
                <w:bCs w:val="1"/>
                <w:color w:val="auto"/>
              </w:rPr>
              <w:t>OPERATING LOSS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(55,936,235)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(36,995,909)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(81,742,726)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(95,973,976)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(53,276,286)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NET LOSS</w:t>
            </w: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(54,450,478)</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(34,380,295)</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(81,723,002)</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(91,940,882)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(58,725,412)</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40"/>
              <w:spacing w:after="0"/>
              <w:rPr>
                <w:sz w:val="20"/>
                <w:szCs w:val="20"/>
                <w:color w:val="auto"/>
              </w:rPr>
            </w:pPr>
            <w:r>
              <w:rPr>
                <w:rFonts w:ascii="Arial" w:cs="Arial" w:eastAsia="Arial" w:hAnsi="Arial"/>
                <w:sz w:val="16"/>
                <w:szCs w:val="16"/>
                <w:color w:val="auto"/>
              </w:rPr>
              <w:t>Net (gain) loss attributable to non-controlling interests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NET LOSS ATTRIBUTABLE TO ARROWHEAD</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(54,450,478)</w:t>
            </w: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(34,380,295)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(81,723,002)</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(91,940,882)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(58,630,190)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b w:val="1"/>
                <w:bCs w:val="1"/>
                <w:color w:val="auto"/>
              </w:rPr>
              <w:t>EARNINGS PER SHARE (BASIC AND DILUTED):</w:t>
            </w: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FF0FC"/>
            </w:tcBorders>
            <w:gridSpan w:val="3"/>
            <w:shd w:val="clear" w:color="auto" w:fill="CFF0FC"/>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(0.65)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(0.47)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Weighted average shares outstanding – basic and diluted</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83,638,469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73,898,598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61,050,880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57,358,442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46,933,030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CASH DIVDEND PAID PER COMMON SHARE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8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FINANCIAL POSITION SUMMARY</w:t>
            </w:r>
          </w:p>
        </w:tc>
        <w:tc>
          <w:tcPr>
            <w:tcW w:w="28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CASH AND CASH EQUIVALENTS (b)</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30,133,213</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24,838,567</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85,366,448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81,214,354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132,510,610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SHORT- AND LONG-TERM INVESTMENTS (b)</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46,400,176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40,769,539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17,539,902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44,741,378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TOTAL ASSETS (b)</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111,609,951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104,022,280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128,176,505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132,267,914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182,816,756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CAPITAL LEASE OBLIGATIONS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758,340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972,331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OTHER LONG-TERM OBLIGATIONS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4,003,999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4,454,070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7,508,452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6,204,917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4,226,137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hanging="374"/>
        <w:spacing w:after="0" w:line="256"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our Total Operating Expenses during the year ended September 30, 2018 is primarily due to the progression of the ARO-HBV and ARO-AAT clinical trial candidates. We expect research and development expenses to continue to increase as our other pipeline candidates progress toward the clinic.</w:t>
      </w:r>
    </w:p>
    <w:p>
      <w:pPr>
        <w:ind w:left="760" w:right="40" w:hanging="374"/>
        <w:spacing w:after="0" w:line="255"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Cash and Cash Equivalents, Short- and Long-Term Investments and Total Assets increased from September 30, 2017 to September 30, 2018 due primarily to an equity financing completed in January 2018 which yielded net proceeds of $56.6 million offset by cash used in research and development expenditures.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right="10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Description of Business</w:t>
      </w: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ind w:right="100" w:firstLine="665"/>
        <w:spacing w:after="0" w:line="289"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ARO-AMG1 for an undisclosed genetically validated cardiovascular target is under a license and collaboration agreement with Amgen Inc. ARO-HBV for chronic hepatitis B virus was out-licensed to Janssen Pharmaceuticals, Inc. in October 2018.</w:t>
      </w:r>
    </w:p>
    <w:p>
      <w:pPr>
        <w:spacing w:after="0" w:line="167" w:lineRule="exact"/>
        <w:rPr>
          <w:sz w:val="20"/>
          <w:szCs w:val="20"/>
          <w:color w:val="auto"/>
        </w:rPr>
      </w:pPr>
    </w:p>
    <w:p>
      <w:pPr>
        <w:ind w:right="160" w:firstLine="665"/>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62" w:lineRule="exact"/>
        <w:rPr>
          <w:sz w:val="20"/>
          <w:szCs w:val="20"/>
          <w:color w:val="auto"/>
        </w:rPr>
      </w:pPr>
    </w:p>
    <w:p>
      <w:pPr>
        <w:ind w:right="100" w:firstLine="655"/>
        <w:spacing w:after="0" w:line="207" w:lineRule="auto"/>
        <w:rPr>
          <w:sz w:val="20"/>
          <w:szCs w:val="20"/>
          <w:color w:val="auto"/>
        </w:rPr>
      </w:pPr>
      <w:r>
        <w:rPr>
          <w:rFonts w:ascii="Arial" w:cs="Arial" w:eastAsia="Arial" w:hAnsi="Arial"/>
          <w:sz w:val="18"/>
          <w:szCs w:val="18"/>
          <w:color w:val="auto"/>
        </w:rPr>
        <w:t>Arrowhead has refocused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20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During fiscal 2018, the Company achieved substantial progress on its pipeline candidates. In the first half of fiscal 2018, Clinical Trial Applications (CTAs) were filed for ARO-AAT and ARO-HBV, and the associated phase 1 (ARO-AAT) and phase 1 / 2 (ARO-HBV) studies are ongoing. Dosing has completed for the ARO-AAT phase 1 clinical study. In October 2018, the Company also filed a CTA for ARO-ANG3 and, pending approval, the Company anticipates the startup of this study in 2019. The Company has also achieved substantial progress on its other preclinical candidates including ARO-APOC3, ARO-ENaC and ARO-HIF2, with planned CTA or equivalent filings planned in late calendar 2018 for ARO-APOC3 and in 2019 for ARO-ENaC and ARO-HIF2.</w:t>
      </w:r>
    </w:p>
    <w:p>
      <w:pPr>
        <w:spacing w:after="0" w:line="193"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6"/>
          <w:szCs w:val="16"/>
          <w:color w:val="auto"/>
        </w:rPr>
        <w:t>The Company also made significant progress on its business development and partnership collaboration efforts.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66"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Company’s collaboration agreements with Amgen also continue to progress as it relates to the AMG 890 (ARO-LPA) and ARO-AMG1 candidates.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in its entirety during the year ended September 30, 2018.</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Net losses were $54.5 million, $34.4 million and $81.7 million during the years ended September 30, 2018, 2017 and 2016, respectively. Diluted losses per share were $0.65, $0.47 and $1.34 during the years ended September 30, 2018, 2017 and 2016, respectively. A decrease in revenue in 2018 from the collaborations with Amgen is the driver of the increases in the net losses and diluted losses per share, as discussed further below.</w:t>
      </w:r>
    </w:p>
    <w:p>
      <w:pPr>
        <w:spacing w:after="0" w:line="147" w:lineRule="exact"/>
        <w:rPr>
          <w:sz w:val="20"/>
          <w:szCs w:val="20"/>
          <w:color w:val="auto"/>
        </w:rPr>
      </w:pPr>
    </w:p>
    <w:p>
      <w:pPr>
        <w:ind w:right="60" w:firstLine="665"/>
        <w:spacing w:after="0" w:line="274" w:lineRule="auto"/>
        <w:rPr>
          <w:sz w:val="20"/>
          <w:szCs w:val="20"/>
          <w:color w:val="auto"/>
        </w:rPr>
      </w:pPr>
      <w:r>
        <w:rPr>
          <w:rFonts w:ascii="Arial" w:cs="Arial" w:eastAsia="Arial" w:hAnsi="Arial"/>
          <w:sz w:val="17"/>
          <w:szCs w:val="17"/>
          <w:color w:val="auto"/>
        </w:rPr>
        <w:t>The Company strengthened its liquidity and financial position through an equity offering completed in January 2018, which generated $56.6 million of net cash proceeds for the Company, as well as the $10 million milestone payment earned from Amgen under the AMG 890 (ARO-LPA)</w:t>
      </w:r>
    </w:p>
    <w:p>
      <w:pPr>
        <w:ind w:right="100"/>
        <w:spacing w:after="0" w:line="271" w:lineRule="auto"/>
        <w:rPr>
          <w:sz w:val="20"/>
          <w:szCs w:val="20"/>
          <w:color w:val="auto"/>
        </w:rPr>
      </w:pPr>
      <w:r>
        <w:rPr>
          <w:rFonts w:ascii="Arial" w:cs="Arial" w:eastAsia="Arial" w:hAnsi="Arial"/>
          <w:sz w:val="17"/>
          <w:szCs w:val="17"/>
          <w:color w:val="auto"/>
        </w:rPr>
        <w:t>Agreement. Additionally, with the recent agreements made with Janssen, the Company has secured an additional $250 million in cash proceeds in October 2018. These cash proceeds secure the funding needed to continue to advance our preclinical candidates. The Company had $30.1 million of cash and cash equivalents, $46.4 million in short-term investments and $111.6 million of total assets as of September 30, 2018, as compared to $24.8 million, $40.8 million and $104.0 million as of September 30, 2017, respectively. Based upon the Company’s current cash and short-term investment resources and operating plan, the Company expects to have sufficient liquidity to fund operations for at least the next twelve months.</w:t>
      </w:r>
    </w:p>
    <w:p>
      <w:pPr>
        <w:spacing w:after="0" w:line="3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firstLine="754"/>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100" w:firstLine="754"/>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60" w:firstLine="665"/>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Company’s control.</w:t>
      </w:r>
    </w:p>
    <w:p>
      <w:pPr>
        <w:spacing w:after="0" w:line="188" w:lineRule="exact"/>
        <w:rPr>
          <w:sz w:val="20"/>
          <w:szCs w:val="20"/>
          <w:color w:val="auto"/>
        </w:rPr>
      </w:pPr>
    </w:p>
    <w:p>
      <w:pPr>
        <w:ind w:right="100" w:firstLine="665"/>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665"/>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7"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The Company’s collaboration agreements typically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182" w:lineRule="exact"/>
        <w:rPr>
          <w:sz w:val="20"/>
          <w:szCs w:val="20"/>
          <w:color w:val="auto"/>
        </w:rPr>
      </w:pPr>
    </w:p>
    <w:p>
      <w:pPr>
        <w:ind w:right="300" w:firstLine="665"/>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140" w:firstLine="665"/>
        <w:spacing w:after="0" w:line="312" w:lineRule="auto"/>
        <w:rPr>
          <w:sz w:val="20"/>
          <w:szCs w:val="20"/>
          <w:color w:val="auto"/>
        </w:rPr>
      </w:pPr>
      <w:r>
        <w:rPr>
          <w:rFonts w:ascii="Arial" w:cs="Arial" w:eastAsia="Arial" w:hAnsi="Arial"/>
          <w:sz w:val="16"/>
          <w:szCs w:val="16"/>
          <w:color w:val="auto"/>
        </w:rPr>
        <w:t>The new revenue recognition guidance (ASC 606) was effective as of October 1, 2018, and it will not have a material impact on our Consolidated Financial Statements. Please read Note 1 to our Consolidated Financial Statements included in Part II, Item 8, “Financial Statements and Supplementary Data,” of this annual report on Form 10-K for our discussion of recent accounting pronouncements for the expected impact of this new accounting guidance.</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180" w:firstLine="665"/>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200" w:firstLine="665"/>
        <w:spacing w:after="0" w:line="257" w:lineRule="auto"/>
        <w:rPr>
          <w:sz w:val="20"/>
          <w:szCs w:val="20"/>
          <w:color w:val="auto"/>
        </w:rPr>
      </w:pPr>
      <w:r>
        <w:rPr>
          <w:rFonts w:ascii="Arial" w:cs="Arial" w:eastAsia="Arial" w:hAnsi="Arial"/>
          <w:sz w:val="18"/>
          <w:szCs w:val="18"/>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665"/>
        <w:spacing w:after="0" w:line="290"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80" w:firstLine="665"/>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September 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38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16,142,321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31,407,709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158,333</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(55,936,235)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(36,995,909)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(81,742,726)</w:t>
            </w:r>
          </w:p>
        </w:tc>
      </w:tr>
      <w:tr>
        <w:trPr>
          <w:trHeight w:val="230"/>
        </w:trPr>
        <w:tc>
          <w:tcPr>
            <w:tcW w:w="3840" w:type="dxa"/>
            <w:vAlign w:val="bottom"/>
            <w:shd w:val="clear" w:color="auto" w:fill="CCEC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(54,450,478)</w:t>
            </w: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5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(34,380,295)</w:t>
            </w:r>
          </w:p>
        </w:tc>
        <w:tc>
          <w:tcPr>
            <w:tcW w:w="12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(81,723,002)</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w w:val="98"/>
              </w:rPr>
              <w:t>Earnings (Losses) per Share (Basic and Diluted)</w:t>
            </w:r>
          </w:p>
        </w:tc>
        <w:tc>
          <w:tcPr>
            <w:tcW w:w="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bl>
    <w:p>
      <w:pPr>
        <w:spacing w:after="0" w:line="20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decrease in our Revenue during the year ended September 30, 2018 was driven by the timing of the recognition of the initial $30 million payment associated with the AMG 890 (ARO-LPA) Agreement. This Revenue was recognized primarily in fiscal 2017 as performance was completed. This decrease in Revenue was also the key driver of the increase in our Operating Loss, Net Loss and Loss per Share. Research and Development expenses increased during fiscal 2018 due to the progress of ARO-AAT and ARO-HBV into phase 1 and phase 1 / 2 clinical studies.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Total revenue was $16,142,321 for the year ended September 30, 2018 and $31,407,709 for the year ended September 30, 2017. Revenue in the current period is primarily related to the $10 million milestone payment received from Amgen in August 2018, which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4" w:name="page45"/>
    <w:bookmarkEnd w:id="44"/>
    <w:p>
      <w:pPr>
        <w:ind w:right="120"/>
        <w:spacing w:after="0" w:line="297" w:lineRule="auto"/>
        <w:rPr>
          <w:sz w:val="20"/>
          <w:szCs w:val="20"/>
          <w:color w:val="auto"/>
        </w:rPr>
      </w:pPr>
      <w:r>
        <w:rPr>
          <w:rFonts w:ascii="Arial" w:cs="Arial" w:eastAsia="Arial" w:hAnsi="Arial"/>
          <w:sz w:val="16"/>
          <w:szCs w:val="16"/>
          <w:color w:val="auto"/>
        </w:rPr>
        <w:t>was earned following the administration of the first dose of AMG 890 (ARO-LPA) in a phase 1 clinical study. Revenue in the previous period was primarily related to the upfront payments received from Amgen in 2016 that we recognized as Revenue as performance was completed for the AMG 890 (ARO-LPA) and ARO-AMG1 Agreements. The decrease in our Revenue during the year ended September 30, 2018 was driven by a reduction in the amount of Revenue recognized associated with the $30 million upfront payment received from Amgen associated with the AMG 890 (ARO-LPA) Agreement. We recognized Revenue from the ARO-LPA (AMG-890) Agreement on a straight-line basis as performance was completed from November 2016 thru October 2017.</w:t>
      </w:r>
    </w:p>
    <w:p>
      <w:pPr>
        <w:spacing w:after="0" w:line="15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Under the terms of the AMG 890 (ARO-LPA) Agreement, the Company has granted a worldwide, exclusive license to AMG 890 (ARO-LPA). The Company is also responsible for assisting Amgen in the oversight of certain development and manufacturing activities (the “AMG 890 (ARO-LPA) R&amp;D Services”), most of which are to be covered at Amgen’s cost. The Company has determined that the significant deliverables under the AMG 890 (ARO-LPA) Agreement include the license and the AMG 890 (ARO-LPA) R&amp;D Services. The Company also determined that, pursuant to the accounting guidance governing revenue recognition on multiple element arrangements, the license and the AMG 890 (ARO-LPA) R&amp;D Services do not have standalone value due to the specialized nature of the activities and services to be provided by the Company. Therefore, the deliverables are not separable and, accordingly, the license and the AMG 890 (ARO-LPA) R&amp;D Services are being treated as a single unit of accounting. The Company recognized revenue on a straight-line basis from November 18, 2016 (the Hart-Scott-Rodino clearance date), through October 31, 2017, which was the date where the AMG 890 (ARO-LPA) R&amp;D Services were substantially completed. The Company received the upfront payment of $30 million due under the AMG 890 (ARO-LPA) Agreement in November 2016. The upfront $30 million payment was initially recorded as Deferred Revenue. During the years ended September 30, 2018 and 2017, $2.7 million and $27.3 million of this upfront payment were recognized into Revenue, respectively. This upfront payment has been recognized as Revenue in its entirety as of September 30, 2018.</w:t>
      </w:r>
    </w:p>
    <w:p>
      <w:pPr>
        <w:spacing w:after="0" w:line="18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August 1, 2018, the Company announced that it had earned a $10 million milestone payment from Amgen following the administration of the first dose of AMG 890 (ARO-LPA) in a phase 1 clinical study. The Company has recognized this payment as Revenue in its entirety during the year ended September 30, 2018 as the performance obligations had already been substantially completed.</w:t>
      </w:r>
    </w:p>
    <w:p>
      <w:pPr>
        <w:spacing w:after="0" w:line="1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Under the terms of the ARO-AMG1 Agreement, the Company has granted an option to a worldwide, exclusive license to ARO-AMG1, an undisclosed genetically validated cardiovascular target.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The Company delivered the candidate in August 2018 and Amgen currently has the option to an exclusive license for the intellectual property generated through the Company’s development efforts. If Amgen exercises its option, it would likely assume all development, regulatory and commercialization efforts for the candidate. The Company determined that the significant deliverables under the ARO-AMG1 Agreement include the option to license and the development and manufacturing activities toward achieving the Arrowhead Deliverable (the “ARO-AMG1 R&amp;D Services”). The Company also determined that, pursuant to the accounting guidance governing revenue recognition on multiple element arrangements, the option to license and ARO-AMG1 R&amp;D Services do not have standalone value due to the specialized nature of the activities and services to be provided by the Company. Therefore, the deliverables are not separable and, accordingly, the option to license and ARO-AMG1 R&amp;D Services are being treated as a single unit of accounting. The Company has recognized revenue on a straight-line basis from October 1, 2016, through September 30, 2018, as the Company completed the Arrowhead Deliverable during the three months ended September 30, 2018. The Company received an upfront payment of $5 million due under this agreement in September 2016. The upfront $5 million payment was initially recorded as Deferred Revenue. During the years ended September 30, 2018 and 2017, $2.5 million and $2.5 million of this upfront payment were recognized into Revenue, respectively. This upfront payment has been recognized as Revenue in its entirety as of September 30, 2018.</w:t>
      </w:r>
    </w:p>
    <w:p>
      <w:pPr>
        <w:spacing w:after="0" w:line="183"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Company also entered into a separate services agreement and separate statements of work with Amgen to provide certain services related to process development, manufacturing, materials supply, discovery studies, and other consulting services related to AMG 890 (ARO-LPA) and ARO-AMG1. During the years ended September 30, 2018 and 2017, these work orders generated approximately $1.0 million and $1.5 million of Revenue,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2018 and 2017 are shown in the tables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Twelve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26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B6EA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12,721</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11,722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2,396</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2,840</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2,513</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Drug manufacturing</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14,336</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11,229</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3,107</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6,294</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4,526</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2,935</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9,163</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(6,228)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2,337</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4,672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4,653</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R&amp;D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4,598</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4,674</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52,969</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50,904</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2,065</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Salaries expense increased by $999,000 from $11,722,000 during the year ended September 30, 2017 to $12,721,000 during the current period. The increase in the expense is primarily due to an increase in R&amp;D headcount that has occurred since the Company’s reduction in force in late 2016 associated with the discontinuation of our previous clinical candidates.</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Stock compensation expense, a non-cash expense, decreased by $444,000 from $2,840,000 during the year ended September 30, 2017 to $2,396,000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is primarily due to a mix of lower grant date fair values of awards amortizing during the periods due to the Company’s stock price at the time of the grants.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vivo studies expense increased by $192,000 from $2,513,000 during the year ended September 30, 2017 to $2,705,000 during the current period. In vivo studies expense can vary depending on the stage of preclinical candidates, the nature and amount of testing required and the cost variation of different in vivo testing models. The increase in in vivo studies expense is a result of additional discovery studies being conducted for the Company’s potential drug candidates.</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Drug manufacturing expense increased by $3,107,000 from $11,229,000 during the year ended September 30, 2017 to $14,336,000 during the current period. The increase in the expense primarily relates to the timing of manufacturing campaigns for ARO-AAT, ARO-HBV, ARO-ANG3 and ARO-APOC3 clinical trials and toxicology studies. We anticipate this expense to increase as the volume of candidates in our pipeline increases and as each candidate progresses through clinical trial phases.</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Toxicity/efficacy studies expense increased by $4,526,000 from $1,768,000 during the year ended September 30, 2017 to $6,294,000 during the current period. This category includes IND-enabling toxicology studies as well as post-IND toxicology studies, such as long-term toxicology studies, and other efficacy studies. The increase in the expense primarily relates to toxicology studies for ARO-AAT and ARO-HBV as each candidate progresses through clinical trials. We anticipate this expense to increase as we prepare to enter clinical trials with our other drug candidates.</w:t>
      </w:r>
    </w:p>
    <w:p>
      <w:pPr>
        <w:spacing w:after="0" w:line="17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Clinical trials expense decreased by $6,228,000 from $9,163,000 during the year ended September 30, 2017 to $2,935,000 during the current period. The decrease in the expense is primarily due to the discontinuation of our previous clinical candidates, and the close out of those studies. We anticipate this expense to increase as ARO-AAT progresses through clinical trials and as we prepare to enter clinical trials with our other drug candidates.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100" w:firstLine="518"/>
        <w:spacing w:after="0" w:line="264" w:lineRule="auto"/>
        <w:rPr>
          <w:sz w:val="20"/>
          <w:szCs w:val="20"/>
          <w:color w:val="auto"/>
        </w:rPr>
      </w:pPr>
      <w:r>
        <w:rPr>
          <w:rFonts w:ascii="Arial" w:cs="Arial" w:eastAsia="Arial" w:hAnsi="Arial"/>
          <w:sz w:val="18"/>
          <w:szCs w:val="18"/>
          <w:color w:val="auto"/>
        </w:rPr>
        <w:t>License, royalty and milestones expense was relatively minor in both periods.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81"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Facilities expense decreased by $57,000 from $2,337,000 during the year ended September 30, 2017 to $2,280,000 during the current period. This category includes rental costs for our research and development facility in Madison, Wisconsin. The decrease in the expense relates to reduced CAM costs.</w:t>
      </w:r>
    </w:p>
    <w:p>
      <w:pPr>
        <w:spacing w:after="0" w:line="232"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Depreciation and amortization expense, was consistent at $4,653,000 during the year ended September 30, 2017 and $4,672,000 during the current period. The majority of depreciation and amortization expense relates to depreciation on lab equipment at our Madison research facility. In addition, the Company records depreciation on leasehold improvements at its Madison research facility.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research expense decreased by $76,000 from $4,674,000 during the year ended September 30, 2017 to $4,598,000 during the current</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period. This category includes the following costs to support discovery efforts and the advancement of current drug candidates: in-house laboratory supplies, outsourced labs services, and other miscellaneous research and development expenses. The decrease in the expense primarily relates to a reduction in outsourced lab services as we have expanded our in-house manufacturing capabilities.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Twelve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26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B6EA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6,382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5,571</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6,059</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5,052</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4,331</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4,660</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(329)</w:t>
            </w: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Facilities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1,584</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19,110</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17,499</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Salaries expense increased by $811,000 from $5,571,000 during the year ended September 30, 2017 to $6,382,000 during the current period. The increase in the expense is primarily driven by annual merit increases, performance bonuses and increased headcount.</w:t>
      </w:r>
    </w:p>
    <w:p>
      <w:pPr>
        <w:spacing w:after="0" w:line="170" w:lineRule="exact"/>
        <w:rPr>
          <w:sz w:val="20"/>
          <w:szCs w:val="20"/>
          <w:color w:val="auto"/>
        </w:rPr>
      </w:pPr>
    </w:p>
    <w:p>
      <w:pPr>
        <w:ind w:right="280" w:firstLine="518"/>
        <w:spacing w:after="0" w:line="279" w:lineRule="auto"/>
        <w:rPr>
          <w:sz w:val="20"/>
          <w:szCs w:val="20"/>
          <w:color w:val="auto"/>
        </w:rPr>
      </w:pPr>
      <w:r>
        <w:rPr>
          <w:rFonts w:ascii="Arial" w:cs="Arial" w:eastAsia="Arial" w:hAnsi="Arial"/>
          <w:sz w:val="17"/>
          <w:szCs w:val="17"/>
          <w:color w:val="auto"/>
        </w:rPr>
        <w:t>Stock compensation expense increased by $1,007,000 from $5,052,000 during the year ended September 30, 2017 to $6,059,000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achievement of certain performance-based awards during the current period.</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Professional/outside services include legal, accounting, consulting, patent expenses, business insurance expenses and other outside services retained by the Company. Professional/outside services expense decreased by $329,000 from $4,660,000 during the year ended September 30, 2017 to $4,331,000 during the current period. The decrease in the expense is primarily related to reduced legal expenses on our outstanding litigation cases.</w:t>
      </w:r>
    </w:p>
    <w:p>
      <w:pPr>
        <w:spacing w:after="0" w:line="166"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Facilities-related expense decreased $163,000 from $890,000 during the year ended September 30, 2017 to $727,000 during the current period. This category primarily includes rental costs for our corporate headquarters in Pasadena, California. However, the decrease in the expense is primarily related to moving expenses incurred in the previous period associated with our research facility in Madison, Wisconsin.</w:t>
      </w:r>
    </w:p>
    <w:p>
      <w:pPr>
        <w:spacing w:after="0" w:line="5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relatively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60" w:firstLine="518"/>
        <w:spacing w:after="0" w:line="264" w:lineRule="auto"/>
        <w:rPr>
          <w:sz w:val="20"/>
          <w:szCs w:val="20"/>
          <w:color w:val="auto"/>
        </w:rPr>
      </w:pPr>
      <w:r>
        <w:rPr>
          <w:rFonts w:ascii="Arial" w:cs="Arial" w:eastAsia="Arial" w:hAnsi="Arial"/>
          <w:sz w:val="18"/>
          <w:szCs w:val="18"/>
          <w:color w:val="auto"/>
        </w:rPr>
        <w:t>Other G&amp;A expense increased by $296,000 from $1,288,000 during the year ended September 30, 2017 to $1,584,000 during the current period. This category consists primarily of travel, communication and technology, office expenses, and franchise and property tax expenses. The increase in the expense was due to various travel and communication and technology expenses.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Other income / expense was income of $2,618,014 during the year ended September 30, 2017 as compared to income of $1,488,157 during the current period. The largest component of other income / expense in the current period was interest income of $1.0 million earned on the Company’s short-term investments. The largest component of other income / expense in the previous period was $1.3 million in other income due to an insurance settlement related to one of the Company’s recent litigation cases. The settlement amount was received in fiscal 2017. The other significant component of other income / expense is related to the change in the value of derivative liabilities related to certain warrants with a price adjustment feature, which requires derivative accounting. The change in value of derivative liabilities was an income of approximately $0.9 million in 2017 and an income of approximately $0.4 million in the current period. The fluctuations in each period were primarily driven by changes in the Company’s stock price, which had a corresponding impact on the valuation of the underlying warrant liability.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Total revenue was $31,407,709 for the year ended September 30, 2017 and $158,333 for the year ended September 30, 2016. Revenue during the year ended September 30, 2017 is primarily related to the upfront payments received from Amgen that we are recognizing as performance is completed for the AMG 890 (ARO-LPA) and ARO-AMG1 agreements</w:t>
      </w:r>
    </w:p>
    <w:p>
      <w:pPr>
        <w:spacing w:after="0" w:line="73" w:lineRule="exact"/>
        <w:rPr>
          <w:sz w:val="20"/>
          <w:szCs w:val="20"/>
          <w:color w:val="auto"/>
        </w:rPr>
      </w:pPr>
    </w:p>
    <w:p>
      <w:pPr>
        <w:ind w:right="40" w:firstLine="588"/>
        <w:spacing w:after="0" w:line="288" w:lineRule="auto"/>
        <w:rPr>
          <w:sz w:val="20"/>
          <w:szCs w:val="20"/>
          <w:color w:val="auto"/>
        </w:rPr>
      </w:pPr>
      <w:r>
        <w:rPr>
          <w:rFonts w:ascii="Arial" w:cs="Arial" w:eastAsia="Arial" w:hAnsi="Arial"/>
          <w:sz w:val="16"/>
          <w:szCs w:val="16"/>
          <w:color w:val="auto"/>
        </w:rPr>
        <w:t>Under the terms of the AMG 890 (ARO-LPA) Agreement, the Company has granted a worldwide, exclusive license to AMG 890 (ARO-LPA). The Company is also responsible for assisting Amgen in the oversight of certain development and manufacturing activities (the “AMG 890 (ARO-LPA) R&amp;D Services”), most of which are to be covered at Amgen’s cost. The Company has determined that the significant deliverables under the AMG 890 (ARO-LPA) Agreement include the license and the AMG 890 (ARO-LPA) R&amp;D Services. The Company also determined that, pursuant to the accounting guidance governing revenue recognition on multiple element arrangements, the license and the AMG 890 (ARO-LPA) R&amp;D Services do not have standalone value due to the specialized nature of the activities and services to be provided by the Company. Therefore, the deliverables are not separable and, accordingly, the license and the AMG 890 (ARO-LPA) R&amp;D Services are being treated as a single unit of accounting. The Company recognized revenue on a straight-line basis from November 18, 2016 (the Hart-Scott-Rodino clearance date), through October 31, 2017, which was the date where the AMG 890 (ARO-LPA) R&amp;D Services were substantially completed. The Company received the upfront payment of $30 million due under this agreement in November 2016. The initial $30 million payment was recorded as Deferred Revenue, and $27.3 million of this was amortized into Revenue during the year ended September 30, 2017.</w:t>
      </w:r>
    </w:p>
    <w:p>
      <w:pPr>
        <w:spacing w:after="0" w:line="61" w:lineRule="exact"/>
        <w:rPr>
          <w:sz w:val="20"/>
          <w:szCs w:val="20"/>
          <w:color w:val="auto"/>
        </w:rPr>
      </w:pPr>
    </w:p>
    <w:p>
      <w:pPr>
        <w:ind w:firstLine="588"/>
        <w:spacing w:after="0" w:line="286"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The Company delivered the candidate in August 2018 and Amgen currently has the option to an exclusive license for the intellectual property generated through the Company’s development efforts. If Amgen exercises its option, it would likely assume all development, regulatory and commercialization efforts for the candidate. The Company determined that the significant deliverables under the ARO-AMG1 Agreement include the option to license and the development and manufacturing activities toward achieving the Arrowhead Deliverable (the “ARO-AMG1 R&amp;D Services”). The Company also determined that, pursuant to the accounting guidance governing revenue recognition on multiple element arrangements, the option to license and ARO-AMG1 R&amp;D Services do not have standalone value due to the specialized nature of the activities and services to be provided by the Company. Therefore, the deliverables are not separable and, accordingly, the option to license and ARO-AMG1 R&amp;D Services are being treated as a single unit of accounting. The Company has recognized revenue on a straight-line basis from October 1, 2016, through September 30, 2018, as the Company completed the Arrowhead Deliverable during the three months ended September 30, 2018. The Company received an upfront payment of $5 million due under this agreement in September 2016. The upfront $5 million payment was initially recorded as Deferred Revenue. The initial $5 million payment was recorded as Deferred Revenue, and $2.5 million of this was amortized into Revenue during the year ended September 30, 2017.</w:t>
      </w:r>
    </w:p>
    <w:p>
      <w:pPr>
        <w:spacing w:after="0" w:line="64" w:lineRule="exact"/>
        <w:rPr>
          <w:sz w:val="20"/>
          <w:szCs w:val="20"/>
          <w:color w:val="auto"/>
        </w:rPr>
      </w:pPr>
    </w:p>
    <w:p>
      <w:pPr>
        <w:ind w:right="440" w:firstLine="588"/>
        <w:spacing w:after="0" w:line="264" w:lineRule="auto"/>
        <w:rPr>
          <w:sz w:val="20"/>
          <w:szCs w:val="20"/>
          <w:color w:val="auto"/>
        </w:rPr>
      </w:pPr>
      <w:r>
        <w:rPr>
          <w:rFonts w:ascii="Arial" w:cs="Arial" w:eastAsia="Arial" w:hAnsi="Arial"/>
          <w:sz w:val="18"/>
          <w:szCs w:val="18"/>
          <w:color w:val="auto"/>
        </w:rPr>
        <w:t>In January 2017, the Company also entered into a separate services agreement with Amgen to provide certain services related to process development, manufacturing, materials supply, discovery studies, and other consulting services related to AMG 890 (ARO-LPA). During the year ended September 30, 2017, work orders under this services agreement generated approximately $1.5 million of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2017 and 2016 are shown in the tables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Twelve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22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B6EA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11,722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13,883</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B6EA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2,840</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2,513</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Drug manufacturing</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11,229</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9,855</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B6EAFC"/>
          </w:tcPr>
          <w:p>
            <w:pPr>
              <w:spacing w:after="0"/>
              <w:rPr>
                <w:sz w:val="19"/>
                <w:szCs w:val="19"/>
                <w:color w:val="auto"/>
              </w:rPr>
            </w:pPr>
          </w:p>
        </w:tc>
        <w:tc>
          <w:tcPr>
            <w:tcW w:w="9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(5,998)</w:t>
            </w: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9,163</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3,057</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B6EAFC"/>
          </w:tcPr>
          <w:p>
            <w:pPr>
              <w:spacing w:after="0"/>
              <w:rPr>
                <w:sz w:val="19"/>
                <w:szCs w:val="19"/>
                <w:color w:val="auto"/>
              </w:rPr>
            </w:pPr>
          </w:p>
        </w:tc>
        <w:tc>
          <w:tcPr>
            <w:tcW w:w="9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(3,055)</w:t>
            </w:r>
          </w:p>
        </w:tc>
        <w:tc>
          <w:tcPr>
            <w:tcW w:w="11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2,337</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4,653</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3,232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R&amp;D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4,677</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B6EAFC"/>
          </w:tcPr>
          <w:p>
            <w:pPr>
              <w:jc w:val="right"/>
              <w:ind w:right="100"/>
              <w:spacing w:after="0"/>
              <w:rPr>
                <w:sz w:val="20"/>
                <w:szCs w:val="20"/>
                <w:color w:val="auto"/>
              </w:rPr>
            </w:pPr>
            <w:r>
              <w:rPr>
                <w:rFonts w:ascii="Arial" w:cs="Arial" w:eastAsia="Arial" w:hAnsi="Arial"/>
                <w:sz w:val="16"/>
                <w:szCs w:val="16"/>
                <w:color w:val="auto"/>
                <w:w w:val="74"/>
              </w:rPr>
              <w:t>)</w:t>
            </w: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50,904</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62,118</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6EA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(11,214</w:t>
            </w:r>
          </w:p>
        </w:tc>
        <w:tc>
          <w:tcPr>
            <w:tcW w:w="240" w:type="dxa"/>
            <w:vAlign w:val="bottom"/>
            <w:vMerge w:val="continue"/>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Salaries expense decreased by $2,161,000 from $13,883,000 during the year ended September 30, 2016 to $11,722,000 during the year ended September 30, 2017. The decrease in the expense is primarily due to a reduction in force in late 2016 associated with the discontinuation of our previous clinical candidates.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 compensation expense, a non-cash expense, decreased by $708,000 from $3,548,000 during the year ended September 30, 2016 to $2,840,000 during the year ended September 30, 2017.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is primarily due to a mix of lower grant date fair values of awards amortizing during the periods due to the Company’s stock price at the time of the grants.</w:t>
      </w:r>
    </w:p>
    <w:p>
      <w:pPr>
        <w:spacing w:after="0" w:line="18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vivo studies expense increased $882,000 from $1,631,000 during the year ended September 30, 2016 to $2,513,000 during the year ended September 30, 2017. In vivo expense can vary depending on the stage of preclinical candidates, the nature and amount of testing required and the varying costs of different in vivo testing models. The increase in the expense is a result of additional discovery studies conducted for the Company’s potential drug candidates.</w:t>
      </w:r>
    </w:p>
    <w:p>
      <w:pPr>
        <w:spacing w:after="0" w:line="18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Drug manufacturing expense increased $1,374,000 from $9,855,000 during the year ended September 30, 2016 to $11,229,000 during the year ended September 30, 2017. The increase primarily relates to campaigns for the ARO-AAT and ARO-HBV candidates conducted during the year ended September 30, 2017 compared to campaigns ongoing for our previous clinical candidates to the previous period.</w:t>
      </w:r>
    </w:p>
    <w:p>
      <w:pPr>
        <w:spacing w:after="0" w:line="18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Toxicity/efficacy studies expense decreased $5,998,000 from $7,766,000 during the year ended September 30, 2016 to $1,768,000 during the year ended September 30, 2017. This category includes IND-enabling toxicology studies, post-IND toxicology studies, such as long-term toxicology studies, and other efficacy studies. The decrease primarily relates to toxicology studies related to one of our discontinued drug candidates, ARC-521.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ind w:right="600" w:firstLine="518"/>
        <w:spacing w:after="0" w:line="342" w:lineRule="auto"/>
        <w:rPr>
          <w:sz w:val="20"/>
          <w:szCs w:val="20"/>
          <w:color w:val="auto"/>
        </w:rPr>
      </w:pPr>
      <w:r>
        <w:rPr>
          <w:rFonts w:ascii="Arial" w:cs="Arial" w:eastAsia="Arial" w:hAnsi="Arial"/>
          <w:sz w:val="16"/>
          <w:szCs w:val="16"/>
          <w:color w:val="auto"/>
        </w:rPr>
        <w:t>Clinical trials expense decreased $5,545,000 from $14,708,000 during the year ended September 30, 2016 to $9,163,000 during the year ended September 30, 2017. The decrease is primarily due to the discontinuation of our previous clinical candidates, and the close out of those studies.</w:t>
      </w:r>
    </w:p>
    <w:p>
      <w:pPr>
        <w:spacing w:after="0" w:line="124"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License, royalty and milestones expense decreased $3,055,000 from $3,057,000 during the year ended September 30, 2016 to $2,000 during the year ended September 30, 2017.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$3 million payment in fiscal 2016 and did not reach any during fiscal 2017.</w:t>
      </w:r>
    </w:p>
    <w:p>
      <w:pPr>
        <w:spacing w:after="0" w:line="17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Facilities expense increased $1,022,000 from $1,315,000 during the year ended September 30, 2016 to $2,337,000 during the year ended September 30, 2017. The increase relates to increased rental costs for our lease for a larger facility in Madison, Wisconsin, which we began occupying in October 2016.</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increased $1,421,000 from $3,232,000 during the year ended September 30, 2016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$4,653,000 during the year ended September 30, 2017. The majority of depreciation and amortization expense relates to depreciation on lab equipment 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Madison research facility. In addition, the Company records depreciation on leasehold improvements at its Madison research facility. The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is primarily due to the depreciation on leasehold improvements at the Company’s new Madison, Wisconsin research facility.</w:t>
      </w:r>
    </w:p>
    <w:p>
      <w:pPr>
        <w:spacing w:after="0" w:line="211"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Other research expense increased $1,554,000 from $3,123,000 during the year ended September 30, 2016 to $4,677,000 during the year ended September 30, 2017. The increase primarily relates to additional miscellaneous supplies purchased to support efforts at our larger facility in Madison, Wisconsin.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Twelve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26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B6EA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B6EA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5,571</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5,052</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8,048</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4,660</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6,362</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B6EAFC"/>
          </w:tcPr>
          <w:p>
            <w:pPr>
              <w:spacing w:after="0"/>
              <w:rPr>
                <w:sz w:val="19"/>
                <w:szCs w:val="19"/>
                <w:color w:val="auto"/>
              </w:rPr>
            </w:pPr>
          </w:p>
        </w:tc>
        <w:tc>
          <w:tcPr>
            <w:tcW w:w="9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(1,702)</w:t>
            </w: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Facilities related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74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shd w:val="clear" w:color="auto" w:fill="B6EAFC"/>
          </w:tcPr>
          <w:p>
            <w:pPr>
              <w:spacing w:after="0"/>
              <w:rPr>
                <w:sz w:val="19"/>
                <w:szCs w:val="19"/>
                <w:color w:val="auto"/>
              </w:rPr>
            </w:pP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2,956</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(1,668)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17,499</w:t>
            </w:r>
          </w:p>
        </w:tc>
        <w:tc>
          <w:tcPr>
            <w:tcW w:w="2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23,595</w:t>
            </w:r>
          </w:p>
        </w:tc>
        <w:tc>
          <w:tcPr>
            <w:tcW w:w="2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B6EA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(6,096)</w:t>
            </w:r>
          </w:p>
        </w:tc>
        <w:tc>
          <w:tcPr>
            <w:tcW w:w="240" w:type="dxa"/>
            <w:vAlign w:val="bottom"/>
            <w:vMerge w:val="continue"/>
            <w:shd w:val="clear" w:color="auto" w:fill="B6EAFC"/>
          </w:tcPr>
          <w:p>
            <w:pPr>
              <w:spacing w:after="0"/>
              <w:rPr>
                <w:sz w:val="19"/>
                <w:szCs w:val="19"/>
                <w:color w:val="auto"/>
              </w:rPr>
            </w:pPr>
          </w:p>
        </w:tc>
        <w:tc>
          <w:tcPr>
            <w:tcW w:w="11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Salaries expense was consistent at $5,579,000 for the year ended September 30, 2016 and $5,571,000 for the year ended September 30, 2017.</w:t>
      </w:r>
    </w:p>
    <w:p>
      <w:pPr>
        <w:spacing w:after="0" w:line="23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 compensation expense, a non-cash expense, decreased by $2,996,000 from $8,048,000 during the year ended September 30, 2016 to $5,052,000 during the year ended September 30, 2017.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is primarily due to a mix of lower grant date fair values of awards amortizing during the periods due to the Company’s stock price at the time of the grants.</w:t>
      </w:r>
    </w:p>
    <w:p>
      <w:pPr>
        <w:spacing w:after="0" w:line="18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decreased $1,702,000 from $6,362,000 during the year ended September 30, 2016 to $4,660,000 during the year ended September 30, 2017. The decrease in professional fees primarily related to legal fees related to previous litigation events.</w:t>
      </w:r>
    </w:p>
    <w:p>
      <w:pPr>
        <w:spacing w:after="0" w:line="14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Facilities-related expense increased $268,000 from $622,000 during the year ended September 30, 2016 to $890,000 in the year ended September 30, 2017. This category primarily includes rental costs for our corporate headquarters in Pasadena, California. However, the increase in the expense is primarily related to moving expenses incurred in the previous period associated with our research facility in Madison, Wisconsin.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24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relatively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Other expense decreased $1,668,000 from $2,956,000 during the year ended September 30, 2016 to $1,288,000 during the year ended September 30, 2017. This category consists primarily of conference attendance fees, franchise and property tax expenses and marketing expenses. The decrease in other expense relates to litigation in the fiscal 2016 period that was settled.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3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Other income / expense was income of $22,124 during the year ended September 30, 2016 as compared to income of $2,618,014 during the year ended September 30, 2017. The largest component of other income / expense in the year ended September 30, 2017 was $1.3 million in other income due to an insurance settlement related to one of the Company’s recent litigation cases. The settlement amount was received in fiscal 2017. The other significant component of other income / expense is related to the change in the value of derivative liabilities related to certain warrants with a price adjustment feature, which requires derivative accounting. The change in value of derivative liabilities was an expense of approximately $0.3 million in 2016 and an income of approximately $0.9 million in the year ended September 30, 2017. The fluctuations in each period were primarily driven by changes in the Company’s stock price, which had a corresponding impact on the valuation of the underlying warrant liability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At September 30, 2018, the Company had cash on hand of approximately $30.1 million as compared to $24.8 million at September 30, 2017. Excess cash invested in fixed income securities was $46.4 million at September 30, 2018, compared to $40.8 million at September 30, 2017.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years ended September 30, 2018, 2017, and 2016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Operating Activities</w:t>
            </w:r>
          </w:p>
        </w:tc>
        <w:tc>
          <w:tcPr>
            <w:tcW w:w="14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(47,223,417)</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(23,938,972)</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(64,427,486)</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(7,434,963)</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(48,644,218)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13,447,763</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59,953,026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12,055,309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55,131,817</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5,294,646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(60,527,881)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4,152,094</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81,214,354</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30,133,213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During the year ended September 30, 2018, the Company used $47.2 million in cash from operating activities, which was primarily related to $57.2 million used for the on-going expenses of its research and development programs and general and administrative expenses, offset by the $10 million milestone payment for the AMG 890 (ARO-LPA) Agreement with Amgen. Cash used in investing activities was $7.4 million, which was primarily related to maturities of fixed-income investments of $46.1 million offset by purchases of fixed-income securities of $52.1 million. Cash provided by financing activities of $60.0 million was driven by the $56.6 million of cash generated from the underwritten public offering in January 2018.</w:t>
      </w:r>
    </w:p>
    <w:p>
      <w:pPr>
        <w:spacing w:after="0" w:line="17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During the year ended September 30, 2017, the Company used $23.9 million in cash from operating activities, primarily driven by $53.9 million of cash used for the on-going expenses of its research and development programs and general and administrative expenses, partially offset by the $30 million upfront payment received from Amgen. Cash used in investing activities was $48.6 million, which was primarily related to investments in short-term fixed-income securities of $45.0 million and $7.9 million of capital expenditures primarily for leasehold improvements on the Company’s Madison, Wisconsin research facility and lab equipment purchases. Cash generated by financing activities of $12.1 million was driven by the $12.5 million equity investment received from Amgen and was partially offset by cash paid for employee taxes on net share settlements of restricted stock units that vested during the period.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1" w:name="page52"/>
    <w:bookmarkEnd w:id="51"/>
    <w:p>
      <w:pPr>
        <w:ind w:right="40" w:firstLine="518"/>
        <w:spacing w:after="0" w:line="291" w:lineRule="auto"/>
        <w:rPr>
          <w:sz w:val="20"/>
          <w:szCs w:val="20"/>
          <w:color w:val="auto"/>
        </w:rPr>
      </w:pPr>
      <w:r>
        <w:rPr>
          <w:rFonts w:ascii="Arial" w:cs="Arial" w:eastAsia="Arial" w:hAnsi="Arial"/>
          <w:sz w:val="16"/>
          <w:szCs w:val="16"/>
          <w:color w:val="auto"/>
        </w:rPr>
        <w:t>During the year ended September 30, 2016, the Company used $64.4 million in cash from operating activities, which represents the on-going expenses of its research and development programs and corporate overhead. Cash outlays were primarily composed of the following: research and development costs were $42.6 million, salary and payroll-related expenses were $16.4 million and general and administrative costs were $9.9 million. These expenditures were partially offset by $5 million received under the First Collaboration and License Agreement with Amgen. Cash provided by investing activities was $13.4 million, primarily related to the maturity of certain marketable securities of $17.3 million partially offset by capital expenditures of $3.9 million. Cash provided by financing activities of $55.1 million primarily includes an equity financing in August 2016, which yielded net proceeds of $43.2 million to the Company, and $9 million of equity investments from the Company’s Common Stock Purchase Agreement with Amgen.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the table below, we set forth our enforceable and legally binding obligations and future commitments at September 30, 2018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Payments due by Period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Less than 1 Year</w:t>
            </w:r>
          </w:p>
        </w:tc>
        <w:tc>
          <w:tcPr>
            <w:tcW w:w="240" w:type="dxa"/>
            <w:vAlign w:val="bottom"/>
          </w:tcPr>
          <w:p>
            <w:pPr>
              <w:spacing w:after="0"/>
              <w:rPr>
                <w:sz w:val="10"/>
                <w:szCs w:val="10"/>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2,101,198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498,161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574,022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Capital Leases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9,316,831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1,435,409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2,114,927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2,221,613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Purchase Obligations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27,500,000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20,051,000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7,449,000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1,902,801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307,335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424,319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40,820,830</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21,793,744</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10,486,407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3,219,954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we did not have any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See Note 1 to our Consolidated Financial Statements of this annual report on Form 10-K for a description of recent accounting pronouncements applicable to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tabs>
          <w:tab w:leader="none" w:pos="102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2018 and 2017, we had cash and cash equivalents of $30.1 million and $24.8 million, respectively, and investments of $46.4 million and $40.8 million, respectively. At times, we have invested our cash reserves in corporate bonds typically with maturities of less than 2 years, and we have historically classified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included in Item 15 of this Annual Report on Form 10-K.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(COSO). Based on the Company’s assessment, management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has concluded that its internal control over financial reporting was effective as of September 30, 2018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2018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2019 Annual Meeting of Stockholders, which proxy statement will be filed no later than January 28, 2019.</w:t>
      </w:r>
    </w:p>
    <w:p>
      <w:pPr>
        <w:spacing w:after="0" w:line="62"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We have adopted a Code of Ethics, as part of our Code of Corporate Conduct, that applies to all of our directors, officers and employees, including our principal executive, principal financial and principal accounting officers, or persons performing similar functions. Our Code of Ethics is posted on our website located at https://arrowheadpharma.com/code-corporate-conduct/.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2019 Annual Meeting of Stockholders, which proxy statement will be filed no later than January 28, 2019.</w:t>
      </w:r>
    </w:p>
    <w:p>
      <w:pPr>
        <w:spacing w:after="0" w:line="315"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2019 Annual Meeting of Stockholders, which proxy statement will be filed no later than January 28, 2019.</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2019 Annual Meeting of Stockholders, which proxy statement will be filed no later than January 28, 2019.</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2019 Annual Meeting of Stockholders, which proxy statement will be filed no later than January 28, 2019.</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See Index to Financial Statements and Schedule on page F-1.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ind w:left="1040" w:hanging="519"/>
        <w:spacing w:after="0"/>
        <w:tabs>
          <w:tab w:leader="none" w:pos="10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right="60" w:firstLine="495"/>
        <w:spacing w:after="0" w:line="264"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6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Incorporated by Reference Herein</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80" w:type="dxa"/>
            <w:vAlign w:val="bottom"/>
            <w:gridSpan w:val="2"/>
            <w:vMerge w:val="continue"/>
          </w:tcPr>
          <w:p>
            <w:pPr>
              <w:spacing w:after="0"/>
              <w:rPr>
                <w:sz w:val="3"/>
                <w:szCs w:val="3"/>
                <w:color w:val="auto"/>
              </w:rPr>
            </w:pPr>
          </w:p>
        </w:tc>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vMerge w:val="restart"/>
          </w:tcPr>
          <w:p>
            <w:pPr>
              <w:spacing w:after="0"/>
              <w:rPr>
                <w:sz w:val="3"/>
                <w:szCs w:val="3"/>
                <w:color w:val="auto"/>
              </w:rPr>
            </w:pPr>
          </w:p>
        </w:tc>
        <w:tc>
          <w:tcPr>
            <w:tcW w:w="268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Form</w:t>
            </w:r>
          </w:p>
        </w:tc>
        <w:tc>
          <w:tcPr>
            <w:tcW w:w="6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line="20" w:lineRule="exact"/>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2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6120" w:type="dxa"/>
            <w:vAlign w:val="bottom"/>
            <w:tcBorders>
              <w:bottom w:val="single" w:sz="8" w:color="0000EE"/>
            </w:tcBorders>
            <w:gridSpan w:val="20"/>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Stock and Asset Purchase Agreement between Arrowhead Research Corporation and</w:t>
              </w:r>
            </w:hyperlink>
          </w:p>
        </w:tc>
        <w:tc>
          <w:tcPr>
            <w:tcW w:w="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200" w:type="dxa"/>
            <w:vAlign w:val="bottom"/>
            <w:gridSpan w:val="2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Roche entities, dated October 21, 2011†</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2.2</w:t>
            </w:r>
          </w:p>
        </w:tc>
        <w:tc>
          <w:tcPr>
            <w:tcW w:w="6200" w:type="dxa"/>
            <w:vAlign w:val="bottom"/>
            <w:gridSpan w:val="21"/>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Asset Purchase and Exclusive License Agreement between Arrowhead Research</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Corporation and Novartis Institutes for BioMedical Research, Inc., dated March 3,</w:t>
              </w:r>
            </w:hyperlink>
          </w:p>
        </w:tc>
        <w:tc>
          <w:tcPr>
            <w:tcW w:w="26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200" w:type="dxa"/>
            <w:vAlign w:val="bottom"/>
            <w:gridSpan w:val="2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2015†</w:t>
              </w:r>
            </w:hyperlink>
          </w:p>
        </w:tc>
      </w:tr>
      <w:tr>
        <w:trPr>
          <w:trHeight w:val="20"/>
        </w:trPr>
        <w:tc>
          <w:tcPr>
            <w:tcW w:w="10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6200" w:type="dxa"/>
            <w:vAlign w:val="bottom"/>
            <w:gridSpan w:val="21"/>
          </w:tcPr>
          <w:p>
            <w:pPr>
              <w:spacing w:after="0"/>
              <w:rPr>
                <w:rFonts w:ascii="Arial" w:cs="Arial" w:eastAsia="Arial" w:hAnsi="Arial"/>
                <w:sz w:val="18"/>
                <w:szCs w:val="18"/>
                <w:color w:val="0000EE"/>
              </w:rPr>
            </w:pPr>
            <w:hyperlink r:id="rId77">
              <w:r>
                <w:rPr>
                  <w:rFonts w:ascii="Arial" w:cs="Arial" w:eastAsia="Arial" w:hAnsi="Arial"/>
                  <w:sz w:val="18"/>
                  <w:szCs w:val="18"/>
                  <w:color w:val="0000EE"/>
                </w:rPr>
                <w:t>Amended and Restated Certificate of Incorporation of Arrowhead Research</w:t>
              </w:r>
            </w:hyperlink>
          </w:p>
        </w:tc>
      </w:tr>
      <w:tr>
        <w:trPr>
          <w:trHeight w:val="20"/>
        </w:trPr>
        <w:tc>
          <w:tcPr>
            <w:tcW w:w="10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Corporation, a Delaware corporation, filed with the Secretary of State of the State of</w:t>
              </w:r>
            </w:hyperlink>
          </w:p>
        </w:tc>
        <w:tc>
          <w:tcPr>
            <w:tcW w:w="10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Delaware on April 5, 2016</w:t>
              </w:r>
            </w:hyperlink>
          </w:p>
        </w:tc>
        <w:tc>
          <w:tcPr>
            <w:tcW w:w="4280" w:type="dxa"/>
            <w:vAlign w:val="bottom"/>
            <w:gridSpan w:val="17"/>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6200" w:type="dxa"/>
            <w:vAlign w:val="bottom"/>
            <w:gridSpan w:val="21"/>
          </w:tcPr>
          <w:p>
            <w:pPr>
              <w:spacing w:after="0"/>
              <w:rPr>
                <w:rFonts w:ascii="Arial" w:cs="Arial" w:eastAsia="Arial" w:hAnsi="Arial"/>
                <w:sz w:val="18"/>
                <w:szCs w:val="18"/>
                <w:color w:val="0000EE"/>
              </w:rPr>
            </w:pPr>
            <w:hyperlink r:id="rId78">
              <w:r>
                <w:rPr>
                  <w:rFonts w:ascii="Arial" w:cs="Arial" w:eastAsia="Arial" w:hAnsi="Arial"/>
                  <w:sz w:val="18"/>
                  <w:szCs w:val="18"/>
                  <w:color w:val="0000EE"/>
                </w:rPr>
                <w:t>Amended and Restated Bylaws of Arrowhead Pharmaceuticals, Inc.</w:t>
              </w:r>
            </w:hyperlink>
          </w:p>
        </w:tc>
      </w:tr>
      <w:tr>
        <w:trPr>
          <w:trHeight w:val="20"/>
        </w:trPr>
        <w:tc>
          <w:tcPr>
            <w:tcW w:w="10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6080" w:type="dxa"/>
            <w:vAlign w:val="bottom"/>
            <w:tcBorders>
              <w:bottom w:val="single" w:sz="8" w:color="0000EE"/>
            </w:tcBorders>
            <w:gridSpan w:val="18"/>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Warrant to Purchase Shares of Common Stock expiring December 12, 2017</w:t>
              </w:r>
            </w:hyperlink>
          </w:p>
        </w:tc>
        <w:tc>
          <w:tcPr>
            <w:tcW w:w="120" w:type="dxa"/>
            <w:vAlign w:val="bottom"/>
            <w:gridSpan w:val="3"/>
          </w:tcPr>
          <w:p>
            <w:pPr>
              <w:spacing w:after="0"/>
              <w:rPr>
                <w:sz w:val="24"/>
                <w:szCs w:val="24"/>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5900" w:type="dxa"/>
            <w:vAlign w:val="bottom"/>
            <w:tcBorders>
              <w:bottom w:val="single" w:sz="8" w:color="0000EE"/>
            </w:tcBorders>
            <w:gridSpan w:val="16"/>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Form of Warrant to Purchase Shares of Common Stock expiring January 30, 2018</w:t>
              </w:r>
            </w:hyperlink>
          </w:p>
        </w:tc>
        <w:tc>
          <w:tcPr>
            <w:tcW w:w="300" w:type="dxa"/>
            <w:vAlign w:val="bottom"/>
            <w:gridSpan w:val="5"/>
          </w:tcPr>
          <w:p>
            <w:pPr>
              <w:spacing w:after="0"/>
              <w:rPr>
                <w:sz w:val="24"/>
                <w:szCs w:val="24"/>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5200" w:type="dxa"/>
            <w:vAlign w:val="bottom"/>
            <w:tcBorders>
              <w:bottom w:val="single" w:sz="8" w:color="0000EE"/>
            </w:tcBorders>
            <w:gridSpan w:val="9"/>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Form of Common Stock Certificate of Arrowhead Pharmaceuticals, Inc.</w:t>
              </w:r>
            </w:hyperlink>
          </w:p>
        </w:tc>
        <w:tc>
          <w:tcPr>
            <w:tcW w:w="1000" w:type="dxa"/>
            <w:vAlign w:val="bottom"/>
            <w:gridSpan w:val="12"/>
          </w:tcPr>
          <w:p>
            <w:pPr>
              <w:spacing w:after="0"/>
              <w:rPr>
                <w:sz w:val="24"/>
                <w:szCs w:val="24"/>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1320" w:type="dxa"/>
            <w:vAlign w:val="bottom"/>
            <w:tcBorders>
              <w:bottom w:val="single" w:sz="8" w:color="0000EE"/>
            </w:tcBorders>
            <w:gridSpan w:val="2"/>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Form of Indenture</w:t>
              </w:r>
            </w:hyperlink>
          </w:p>
        </w:tc>
        <w:tc>
          <w:tcPr>
            <w:tcW w:w="4880" w:type="dxa"/>
            <w:vAlign w:val="bottom"/>
            <w:gridSpan w:val="19"/>
          </w:tcPr>
          <w:p>
            <w:pPr>
              <w:spacing w:after="0"/>
              <w:rPr>
                <w:sz w:val="24"/>
                <w:szCs w:val="24"/>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4.5</w:t>
            </w:r>
          </w:p>
        </w:tc>
        <w:tc>
          <w:tcPr>
            <w:tcW w:w="6200" w:type="dxa"/>
            <w:vAlign w:val="bottom"/>
            <w:gridSpan w:val="21"/>
          </w:tcPr>
          <w:p>
            <w:pPr>
              <w:spacing w:after="0"/>
              <w:rPr>
                <w:rFonts w:ascii="Arial" w:cs="Arial" w:eastAsia="Arial" w:hAnsi="Arial"/>
                <w:sz w:val="18"/>
                <w:szCs w:val="18"/>
                <w:color w:val="0000EE"/>
              </w:rPr>
            </w:pPr>
            <w:hyperlink r:id="rId83">
              <w:r>
                <w:rPr>
                  <w:rFonts w:ascii="Arial" w:cs="Arial" w:eastAsia="Arial" w:hAnsi="Arial"/>
                  <w:sz w:val="18"/>
                  <w:szCs w:val="18"/>
                  <w:color w:val="0000EE"/>
                </w:rPr>
                <w:t>Rights Agreement dated as of March 21, 2017, between the Company and</w:t>
              </w:r>
            </w:hyperlink>
          </w:p>
        </w:tc>
      </w:tr>
      <w:tr>
        <w:trPr>
          <w:trHeight w:val="20"/>
        </w:trPr>
        <w:tc>
          <w:tcPr>
            <w:tcW w:w="108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Computershare Trust Company, N.A., as rights agent, which includes as Exhibit B the</w:t>
              </w:r>
            </w:hyperlink>
          </w:p>
        </w:tc>
      </w:tr>
      <w:tr>
        <w:trPr>
          <w:trHeight w:val="196"/>
        </w:trPr>
        <w:tc>
          <w:tcPr>
            <w:tcW w:w="108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Form of Rights Certificate</w:t>
              </w:r>
            </w:hyperlink>
          </w:p>
        </w:tc>
        <w:tc>
          <w:tcPr>
            <w:tcW w:w="4300" w:type="dxa"/>
            <w:vAlign w:val="bottom"/>
            <w:gridSpan w:val="18"/>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5820" w:type="dxa"/>
            <w:vAlign w:val="bottom"/>
            <w:tcBorders>
              <w:bottom w:val="single" w:sz="8" w:color="0000EE"/>
            </w:tcBorders>
            <w:gridSpan w:val="15"/>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Arrowhead Research Corporation (fka InterActive, Inc.) 2000 Stock Option Plan</w:t>
              </w:r>
            </w:hyperlink>
          </w:p>
        </w:tc>
        <w:tc>
          <w:tcPr>
            <w:tcW w:w="380" w:type="dxa"/>
            <w:vAlign w:val="bottom"/>
            <w:gridSpan w:val="6"/>
          </w:tcPr>
          <w:p>
            <w:pPr>
              <w:spacing w:after="0"/>
              <w:rPr>
                <w:sz w:val="24"/>
                <w:szCs w:val="24"/>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6200" w:type="dxa"/>
            <w:vAlign w:val="bottom"/>
            <w:gridSpan w:val="21"/>
          </w:tcPr>
          <w:p>
            <w:pPr>
              <w:spacing w:after="0"/>
              <w:rPr>
                <w:rFonts w:ascii="Arial" w:cs="Arial" w:eastAsia="Arial" w:hAnsi="Arial"/>
                <w:sz w:val="18"/>
                <w:szCs w:val="18"/>
                <w:color w:val="0000EE"/>
              </w:rPr>
            </w:pPr>
            <w:hyperlink r:id="rId85">
              <w:r>
                <w:rPr>
                  <w:rFonts w:ascii="Arial" w:cs="Arial" w:eastAsia="Arial" w:hAnsi="Arial"/>
                  <w:sz w:val="18"/>
                  <w:szCs w:val="18"/>
                  <w:color w:val="0000EE"/>
                </w:rPr>
                <w:t>Arrowhead Research Corporation 2004 Equity Incentive Plan, as amended</w:t>
              </w:r>
            </w:hyperlink>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5360" w:type="dxa"/>
            <w:vAlign w:val="bottom"/>
            <w:tcBorders>
              <w:top w:val="single" w:sz="8" w:color="0000EE"/>
            </w:tcBorders>
            <w:gridSpan w:val="11"/>
          </w:tcPr>
          <w:p>
            <w:pPr>
              <w:spacing w:after="0"/>
              <w:rPr>
                <w:rFonts w:ascii="Arial" w:cs="Arial" w:eastAsia="Arial" w:hAnsi="Arial"/>
                <w:sz w:val="18"/>
                <w:szCs w:val="18"/>
                <w:color w:val="0000EE"/>
              </w:rPr>
            </w:pPr>
            <w:hyperlink r:id="rId86">
              <w:r>
                <w:rPr>
                  <w:rFonts w:ascii="Arial" w:cs="Arial" w:eastAsia="Arial" w:hAnsi="Arial"/>
                  <w:sz w:val="18"/>
                  <w:szCs w:val="18"/>
                  <w:color w:val="0000EE"/>
                </w:rPr>
                <w:t>Arrowhead Research Corporation 2013 Incentive Plan</w:t>
              </w:r>
            </w:hyperlink>
          </w:p>
        </w:tc>
        <w:tc>
          <w:tcPr>
            <w:tcW w:w="840" w:type="dxa"/>
            <w:vAlign w:val="bottom"/>
            <w:gridSpan w:val="10"/>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5080" w:type="dxa"/>
            <w:vAlign w:val="bottom"/>
            <w:tcBorders>
              <w:bottom w:val="single" w:sz="8" w:color="0000EE"/>
            </w:tcBorders>
            <w:gridSpan w:val="8"/>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Stock Option Agreement for use with the 2013 Incentive Plan</w:t>
              </w:r>
            </w:hyperlink>
          </w:p>
        </w:tc>
        <w:tc>
          <w:tcPr>
            <w:tcW w:w="1120" w:type="dxa"/>
            <w:vAlign w:val="bottom"/>
            <w:gridSpan w:val="13"/>
          </w:tcPr>
          <w:p>
            <w:pPr>
              <w:spacing w:after="0"/>
              <w:rPr>
                <w:sz w:val="24"/>
                <w:szCs w:val="24"/>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5680" w:type="dxa"/>
            <w:vAlign w:val="bottom"/>
            <w:tcBorders>
              <w:bottom w:val="single" w:sz="8" w:color="0000EE"/>
            </w:tcBorders>
            <w:gridSpan w:val="13"/>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Restricted Stock Unit Agreement for use with the 2013 Incentive Plan</w:t>
              </w:r>
            </w:hyperlink>
          </w:p>
        </w:tc>
        <w:tc>
          <w:tcPr>
            <w:tcW w:w="520" w:type="dxa"/>
            <w:vAlign w:val="bottom"/>
            <w:gridSpan w:val="8"/>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Annual Report on Form 10-K for the December 20,</w:t>
      </w:r>
    </w:p>
    <w:p>
      <w:pPr>
        <w:spacing w:after="0" w:line="35"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fiscal year ended September 30, 2011 2011, as Exhibit 2.1</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Quarterly Report on Form 10-Q, as May 11, 2015 Exhibit 2.1</w:t>
      </w:r>
    </w:p>
    <w:p>
      <w:pPr>
        <w:spacing w:after="0" w:line="387"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7"/>
          <w:szCs w:val="17"/>
          <w:color w:val="auto"/>
        </w:rPr>
        <w:t>April 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3.3</w:t>
      </w:r>
    </w:p>
    <w:p>
      <w:pPr>
        <w:spacing w:after="0" w:line="200" w:lineRule="exact"/>
        <w:rPr>
          <w:sz w:val="20"/>
          <w:szCs w:val="20"/>
          <w:color w:val="auto"/>
        </w:rPr>
      </w:pPr>
    </w:p>
    <w:p>
      <w:pPr>
        <w:spacing w:after="0" w:line="227"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7"/>
          <w:szCs w:val="17"/>
          <w:color w:val="auto"/>
        </w:rPr>
        <w:t>April 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3.4</w:t>
      </w:r>
    </w:p>
    <w:p>
      <w:pPr>
        <w:spacing w:after="0" w:line="211"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December 12,</w:t>
      </w:r>
    </w:p>
    <w:p>
      <w:pPr>
        <w:spacing w:after="0" w:line="23"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exhibit 4.2</w:t>
      </w:r>
      <w:r>
        <w:rPr>
          <w:sz w:val="20"/>
          <w:szCs w:val="20"/>
          <w:color w:val="auto"/>
        </w:rPr>
        <w:tab/>
      </w:r>
      <w:r>
        <w:rPr>
          <w:rFonts w:ascii="Arial" w:cs="Arial" w:eastAsia="Arial" w:hAnsi="Arial"/>
          <w:sz w:val="16"/>
          <w:szCs w:val="16"/>
          <w:color w:val="auto"/>
        </w:rPr>
        <w:t>2012</w:t>
      </w:r>
    </w:p>
    <w:p>
      <w:pPr>
        <w:spacing w:after="0" w:line="116"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January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4.2</w:t>
      </w:r>
    </w:p>
    <w:p>
      <w:pPr>
        <w:spacing w:after="0" w:line="116"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7"/>
          <w:szCs w:val="17"/>
          <w:color w:val="auto"/>
        </w:rPr>
        <w:t>April 6,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4.1</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Registration Statement on Form S-3 October 28, 2016 (File No. 333-214315)</w:t>
      </w:r>
    </w:p>
    <w:p>
      <w:pPr>
        <w:spacing w:after="0" w:line="170"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March 23,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227"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Schedule 14C, as Exhibit D</w:t>
      </w:r>
      <w:r>
        <w:rPr>
          <w:sz w:val="20"/>
          <w:szCs w:val="20"/>
          <w:color w:val="auto"/>
        </w:rPr>
        <w:tab/>
      </w:r>
      <w:r>
        <w:rPr>
          <w:rFonts w:ascii="Arial" w:cs="Arial" w:eastAsia="Arial" w:hAnsi="Arial"/>
          <w:sz w:val="15"/>
          <w:szCs w:val="15"/>
          <w:color w:val="auto"/>
        </w:rPr>
        <w:t>December 22,</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2000</w:t>
      </w:r>
    </w:p>
    <w:p>
      <w:pPr>
        <w:spacing w:after="0" w:line="116"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Schedule 14C, as Annex B</w:t>
      </w:r>
      <w:r>
        <w:rPr>
          <w:sz w:val="20"/>
          <w:szCs w:val="20"/>
          <w:color w:val="auto"/>
        </w:rPr>
        <w:tab/>
      </w:r>
      <w:r>
        <w:rPr>
          <w:rFonts w:ascii="Arial" w:cs="Arial" w:eastAsia="Arial" w:hAnsi="Arial"/>
          <w:sz w:val="15"/>
          <w:szCs w:val="15"/>
          <w:color w:val="auto"/>
        </w:rPr>
        <w:t>January 12, 2012</w:t>
      </w:r>
    </w:p>
    <w:p>
      <w:pPr>
        <w:spacing w:after="0" w:line="225"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Schedule 14C, as Annex A</w:t>
      </w:r>
      <w:r>
        <w:rPr>
          <w:sz w:val="20"/>
          <w:szCs w:val="20"/>
          <w:color w:val="auto"/>
        </w:rPr>
        <w:tab/>
      </w:r>
      <w:r>
        <w:rPr>
          <w:rFonts w:ascii="Arial" w:cs="Arial" w:eastAsia="Arial" w:hAnsi="Arial"/>
          <w:sz w:val="15"/>
          <w:szCs w:val="15"/>
          <w:color w:val="auto"/>
        </w:rPr>
        <w:t>December 20,</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2013</w:t>
      </w:r>
    </w:p>
    <w:p>
      <w:pPr>
        <w:spacing w:after="0" w:line="116"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February 12,</w:t>
      </w:r>
    </w:p>
    <w:p>
      <w:pPr>
        <w:spacing w:after="0" w:line="23"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2014</w:t>
      </w:r>
    </w:p>
    <w:p>
      <w:pPr>
        <w:spacing w:after="0" w:line="116"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February 12,</w:t>
      </w:r>
    </w:p>
    <w:p>
      <w:pPr>
        <w:spacing w:after="0" w:line="23"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6"/>
          <w:szCs w:val="16"/>
          <w:color w:val="auto"/>
        </w:rPr>
        <w:t>2014</w:t>
      </w:r>
    </w:p>
    <w:p>
      <w:pPr>
        <w:spacing w:after="0" w:line="200" w:lineRule="exact"/>
        <w:rPr>
          <w:sz w:val="20"/>
          <w:szCs w:val="20"/>
          <w:color w:val="auto"/>
        </w:rPr>
      </w:pPr>
    </w:p>
    <w:p>
      <w:pPr>
        <w:sectPr>
          <w:pgSz w:w="11900" w:h="16838" w:orient="portrait"/>
          <w:cols w:equalWidth="0" w:num="2">
            <w:col w:w="7280" w:space="80"/>
            <w:col w:w="4060"/>
          </w:cols>
          <w:pgMar w:left="240" w:top="121" w:right="239" w:bottom="1440" w:gutter="0" w:footer="0" w:header="0"/>
          <w:type w:val="continuous"/>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6310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91">
        <w:r>
          <w:rPr>
            <w:rFonts w:ascii="Arial" w:cs="Arial" w:eastAsia="Arial" w:hAnsi="Arial"/>
            <w:sz w:val="16"/>
            <w:szCs w:val="16"/>
            <w:u w:val="single" w:color="auto"/>
            <w:color w:val="0000EE"/>
          </w:rPr>
          <w:t>Executive Incentive Plan, adopted December 12, 2006</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5960" w:type="dxa"/>
            <w:vAlign w:val="bottom"/>
            <w:tcBorders>
              <w:bottom w:val="single" w:sz="8" w:color="0000EE"/>
            </w:tcBorders>
            <w:gridSpan w:val="26"/>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Employment Agreement between Arrowhead and Dr. Christopher Anzalone, dated</w:t>
              </w:r>
            </w:hyperlink>
          </w:p>
        </w:tc>
        <w:tc>
          <w:tcPr>
            <w:tcW w:w="8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92">
              <w:r>
                <w:rPr>
                  <w:rFonts w:ascii="Arial" w:cs="Arial" w:eastAsia="Arial" w:hAnsi="Arial"/>
                  <w:sz w:val="18"/>
                  <w:szCs w:val="18"/>
                  <w:color w:val="0000EE"/>
                  <w:w w:val="85"/>
                </w:rPr>
                <w:t>June 11, 2008</w:t>
              </w:r>
            </w:hyperlink>
          </w:p>
        </w:tc>
        <w:tc>
          <w:tcPr>
            <w:tcW w:w="5040" w:type="dxa"/>
            <w:vAlign w:val="bottom"/>
            <w:gridSpan w:val="27"/>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5860" w:type="dxa"/>
            <w:vAlign w:val="bottom"/>
            <w:tcBorders>
              <w:bottom w:val="single" w:sz="8" w:color="0000EE"/>
            </w:tcBorders>
            <w:gridSpan w:val="24"/>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Amendment to Employment Agreement between Arrowhead and Dr. Christopher</w:t>
              </w:r>
            </w:hyperlink>
          </w:p>
        </w:tc>
        <w:tc>
          <w:tcPr>
            <w:tcW w:w="18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Anzalone, effective May 12, 2009</w:t>
              </w:r>
            </w:hyperlink>
          </w:p>
        </w:tc>
        <w:tc>
          <w:tcPr>
            <w:tcW w:w="3580" w:type="dxa"/>
            <w:vAlign w:val="bottom"/>
            <w:gridSpan w:val="20"/>
          </w:tcPr>
          <w:p>
            <w:pPr>
              <w:spacing w:after="0"/>
              <w:rPr>
                <w:sz w:val="17"/>
                <w:szCs w:val="17"/>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6040" w:type="dxa"/>
            <w:vAlign w:val="bottom"/>
            <w:gridSpan w:val="28"/>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Non-Exclusive License Agreement between Arrowhead Research Corporation and</w:t>
              </w:r>
            </w:hyperlink>
          </w:p>
        </w:tc>
      </w:tr>
      <w:tr>
        <w:trPr>
          <w:trHeight w:val="196"/>
        </w:trPr>
        <w:tc>
          <w:tcPr>
            <w:tcW w:w="1080" w:type="dxa"/>
            <w:vAlign w:val="bottom"/>
          </w:tcPr>
          <w:p>
            <w:pPr>
              <w:spacing w:after="0"/>
              <w:rPr>
                <w:sz w:val="17"/>
                <w:szCs w:val="17"/>
                <w:color w:val="auto"/>
              </w:rPr>
            </w:pPr>
          </w:p>
        </w:tc>
        <w:tc>
          <w:tcPr>
            <w:tcW w:w="5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Roche entities, dated October 21, 2011†</w:t>
              </w:r>
            </w:hyperlink>
          </w:p>
        </w:tc>
        <w:tc>
          <w:tcPr>
            <w:tcW w:w="10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5640" w:type="dxa"/>
            <w:vAlign w:val="bottom"/>
            <w:tcBorders>
              <w:bottom w:val="single" w:sz="8" w:color="0000EE"/>
            </w:tcBorders>
            <w:gridSpan w:val="18"/>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Collaboration Agreement by and among Alnylam Pharmaceuticals, Inc. and F.</w:t>
              </w:r>
            </w:hyperlink>
          </w:p>
        </w:tc>
        <w:tc>
          <w:tcPr>
            <w:tcW w:w="400" w:type="dxa"/>
            <w:vAlign w:val="bottom"/>
            <w:gridSpan w:val="10"/>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gridSpan w:val="28"/>
          </w:tcPr>
          <w:p>
            <w:pPr>
              <w:spacing w:after="0" w:line="196" w:lineRule="exact"/>
              <w:rPr>
                <w:rFonts w:ascii="Arial" w:cs="Arial" w:eastAsia="Arial" w:hAnsi="Arial"/>
                <w:sz w:val="18"/>
                <w:szCs w:val="18"/>
                <w:color w:val="0000EE"/>
                <w:w w:val="95"/>
              </w:rPr>
            </w:pPr>
            <w:hyperlink r:id="rId95">
              <w:r>
                <w:rPr>
                  <w:rFonts w:ascii="Arial" w:cs="Arial" w:eastAsia="Arial" w:hAnsi="Arial"/>
                  <w:sz w:val="18"/>
                  <w:szCs w:val="18"/>
                  <w:color w:val="0000EE"/>
                  <w:w w:val="95"/>
                </w:rPr>
                <w:t>Hoffmann-La Roche Ltd and Hoffman-La Roche Inc., dated October 29, 2009 †</w:t>
              </w:r>
            </w:hyperlink>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5760" w:type="dxa"/>
            <w:vAlign w:val="bottom"/>
            <w:tcBorders>
              <w:top w:val="single" w:sz="8" w:color="0000EE"/>
            </w:tcBorders>
            <w:gridSpan w:val="21"/>
          </w:tcPr>
          <w:p>
            <w:pPr>
              <w:spacing w:after="0"/>
              <w:rPr>
                <w:rFonts w:ascii="Arial" w:cs="Arial" w:eastAsia="Arial" w:hAnsi="Arial"/>
                <w:sz w:val="18"/>
                <w:szCs w:val="18"/>
                <w:color w:val="0000EE"/>
                <w:w w:val="94"/>
              </w:rPr>
            </w:pPr>
            <w:hyperlink r:id="rId96">
              <w:r>
                <w:rPr>
                  <w:rFonts w:ascii="Arial" w:cs="Arial" w:eastAsia="Arial" w:hAnsi="Arial"/>
                  <w:sz w:val="18"/>
                  <w:szCs w:val="18"/>
                  <w:color w:val="0000EE"/>
                  <w:w w:val="94"/>
                </w:rPr>
                <w:t>Office Lease Agreement between South Lake Avenue Investors LLC and the</w:t>
              </w:r>
            </w:hyperlink>
          </w:p>
        </w:tc>
        <w:tc>
          <w:tcPr>
            <w:tcW w:w="28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Company, dated April 12, 2012</w:t>
              </w:r>
            </w:hyperlink>
          </w:p>
        </w:tc>
        <w:tc>
          <w:tcPr>
            <w:tcW w:w="520" w:type="dxa"/>
            <w:vAlign w:val="bottom"/>
            <w:gridSpan w:val="11"/>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License Agreement by and between Alnylam Pharmaceuticals, Inc., Arrowhead</w:t>
              </w:r>
            </w:hyperlink>
          </w:p>
        </w:tc>
        <w:tc>
          <w:tcPr>
            <w:tcW w:w="30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Research Corporation and Arrowhead Madison, Inc.†</w:t>
              </w:r>
            </w:hyperlink>
          </w:p>
        </w:tc>
        <w:tc>
          <w:tcPr>
            <w:tcW w:w="2180" w:type="dxa"/>
            <w:vAlign w:val="bottom"/>
            <w:gridSpan w:val="15"/>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5960" w:type="dxa"/>
            <w:vAlign w:val="bottom"/>
            <w:tcBorders>
              <w:bottom w:val="single" w:sz="8" w:color="0000EE"/>
            </w:tcBorders>
            <w:gridSpan w:val="26"/>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Lease Agreement between University Research Park, Incorporated and Arrowhead</w:t>
              </w:r>
            </w:hyperlink>
          </w:p>
        </w:tc>
        <w:tc>
          <w:tcPr>
            <w:tcW w:w="8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Madison, Inc., dated January 8, 2016</w:t>
              </w:r>
            </w:hyperlink>
          </w:p>
        </w:tc>
        <w:tc>
          <w:tcPr>
            <w:tcW w:w="3380" w:type="dxa"/>
            <w:vAlign w:val="bottom"/>
            <w:gridSpan w:val="19"/>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5720" w:type="dxa"/>
            <w:vAlign w:val="bottom"/>
            <w:tcBorders>
              <w:bottom w:val="single" w:sz="8" w:color="0000EE"/>
            </w:tcBorders>
            <w:gridSpan w:val="19"/>
          </w:tcPr>
          <w:p>
            <w:pPr>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Securities Purchase Agreement between the Company and the purchasers listed</w:t>
              </w:r>
            </w:hyperlink>
          </w:p>
        </w:tc>
        <w:tc>
          <w:tcPr>
            <w:tcW w:w="320" w:type="dxa"/>
            <w:vAlign w:val="bottom"/>
            <w:gridSpan w:val="9"/>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gridSpan w:val="28"/>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thereon, dated August 8, 2016</w:t>
              </w:r>
            </w:hyperlink>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6040" w:type="dxa"/>
            <w:vAlign w:val="bottom"/>
            <w:tcBorders>
              <w:bottom w:val="single" w:sz="8" w:color="0000EE"/>
            </w:tcBorders>
            <w:gridSpan w:val="28"/>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First Collaboration and Licensing Agreement between Arrowhead Pharmaceuticals,</w:t>
              </w:r>
            </w:hyperlink>
          </w:p>
        </w:tc>
      </w:tr>
      <w:tr>
        <w:trPr>
          <w:trHeight w:val="196"/>
        </w:trPr>
        <w:tc>
          <w:tcPr>
            <w:tcW w:w="108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Inc. and Amgen Inc., dated September 28, 2016†</w:t>
              </w:r>
            </w:hyperlink>
          </w:p>
        </w:tc>
        <w:tc>
          <w:tcPr>
            <w:tcW w:w="2500" w:type="dxa"/>
            <w:vAlign w:val="bottom"/>
            <w:gridSpan w:val="16"/>
          </w:tcPr>
          <w:p>
            <w:pPr>
              <w:spacing w:after="0"/>
              <w:rPr>
                <w:sz w:val="17"/>
                <w:szCs w:val="17"/>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6040" w:type="dxa"/>
            <w:vAlign w:val="bottom"/>
            <w:gridSpan w:val="28"/>
          </w:tcPr>
          <w:p>
            <w:pPr>
              <w:spacing w:after="0"/>
              <w:rPr>
                <w:rFonts w:ascii="Arial" w:cs="Arial" w:eastAsia="Arial" w:hAnsi="Arial"/>
                <w:sz w:val="18"/>
                <w:szCs w:val="18"/>
                <w:color w:val="0000EE"/>
              </w:rPr>
            </w:pPr>
            <w:hyperlink r:id="rId101">
              <w:r>
                <w:rPr>
                  <w:rFonts w:ascii="Arial" w:cs="Arial" w:eastAsia="Arial" w:hAnsi="Arial"/>
                  <w:sz w:val="18"/>
                  <w:szCs w:val="18"/>
                  <w:color w:val="0000EE"/>
                </w:rPr>
                <w:t>Second Collaboration and Licensing Agreement between Arrowhead</w:t>
              </w:r>
            </w:hyperlink>
          </w:p>
        </w:tc>
      </w:tr>
      <w:tr>
        <w:trPr>
          <w:trHeight w:val="196"/>
        </w:trPr>
        <w:tc>
          <w:tcPr>
            <w:tcW w:w="108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Pharmaceuticals, Inc. and Amgen Inc., dated September 28, 2016†</w:t>
              </w:r>
            </w:hyperlink>
          </w:p>
        </w:tc>
        <w:tc>
          <w:tcPr>
            <w:tcW w:w="160" w:type="dxa"/>
            <w:vAlign w:val="bottom"/>
            <w:tcBorders>
              <w:top w:val="single" w:sz="8" w:color="0000EE"/>
            </w:tcBorders>
          </w:tcPr>
          <w:p>
            <w:pPr>
              <w:spacing w:after="0"/>
              <w:rPr>
                <w:sz w:val="17"/>
                <w:szCs w:val="17"/>
                <w:color w:val="auto"/>
              </w:rPr>
            </w:pPr>
          </w:p>
        </w:tc>
        <w:tc>
          <w:tcPr>
            <w:tcW w:w="1080" w:type="dxa"/>
            <w:vAlign w:val="bottom"/>
            <w:gridSpan w:val="12"/>
          </w:tcPr>
          <w:p>
            <w:pPr>
              <w:spacing w:after="0"/>
              <w:rPr>
                <w:sz w:val="17"/>
                <w:szCs w:val="17"/>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6000" w:type="dxa"/>
            <w:vAlign w:val="bottom"/>
            <w:tcBorders>
              <w:bottom w:val="single" w:sz="8" w:color="0000EE"/>
            </w:tcBorders>
            <w:gridSpan w:val="27"/>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Common Stock Purchase Agreement between the Company and Amgen Inc., dated</w:t>
              </w:r>
            </w:hyperlink>
          </w:p>
        </w:tc>
        <w:tc>
          <w:tcPr>
            <w:tcW w:w="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September 28, 2016</w:t>
              </w:r>
            </w:hyperlink>
          </w:p>
        </w:tc>
        <w:tc>
          <w:tcPr>
            <w:tcW w:w="4600" w:type="dxa"/>
            <w:vAlign w:val="bottom"/>
            <w:gridSpan w:val="25"/>
          </w:tcPr>
          <w:p>
            <w:pPr>
              <w:spacing w:after="0"/>
              <w:rPr>
                <w:sz w:val="17"/>
                <w:szCs w:val="17"/>
                <w:color w:val="auto"/>
              </w:rPr>
            </w:pPr>
          </w:p>
        </w:tc>
      </w:tr>
      <w:tr>
        <w:trPr>
          <w:trHeight w:val="628"/>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6040" w:type="dxa"/>
            <w:vAlign w:val="bottom"/>
            <w:gridSpan w:val="2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List of Subsidiaries*</w:t>
              </w:r>
            </w:hyperlink>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6040" w:type="dxa"/>
            <w:vAlign w:val="bottom"/>
            <w:gridSpan w:val="2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Consent of Independent Public Registered Accounting Firm*</w:t>
              </w:r>
            </w:hyperlink>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35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Power of Attorney (contained on signature page)</w:t>
              </w:r>
            </w:hyperlink>
          </w:p>
        </w:tc>
        <w:tc>
          <w:tcPr>
            <w:tcW w:w="880" w:type="dxa"/>
            <w:vAlign w:val="bottom"/>
            <w:tcBorders>
              <w:top w:val="single" w:sz="8" w:color="0000EE"/>
            </w:tcBorders>
            <w:gridSpan w:val="3"/>
          </w:tcPr>
          <w:p>
            <w:pPr>
              <w:spacing w:after="0"/>
              <w:rPr>
                <w:sz w:val="24"/>
                <w:szCs w:val="24"/>
                <w:color w:val="auto"/>
              </w:rPr>
            </w:pPr>
          </w:p>
        </w:tc>
        <w:tc>
          <w:tcPr>
            <w:tcW w:w="1640" w:type="dxa"/>
            <w:vAlign w:val="bottom"/>
            <w:gridSpan w:val="14"/>
          </w:tcPr>
          <w:p>
            <w:pPr>
              <w:spacing w:after="0"/>
              <w:rPr>
                <w:sz w:val="24"/>
                <w:szCs w:val="24"/>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84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Chief Executive Officer pursuant to Section 302 of the Sarbanes-</w:t>
              </w:r>
            </w:hyperlink>
          </w:p>
        </w:tc>
        <w:tc>
          <w:tcPr>
            <w:tcW w:w="20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04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Oxley Act of 2002*</w:t>
              </w:r>
            </w:hyperlink>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6040" w:type="dxa"/>
            <w:vAlign w:val="bottom"/>
            <w:gridSpan w:val="28"/>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Certification of Chief Financial Officer pursuant to Section 302 of the Sarbanes-</w:t>
              </w:r>
            </w:hyperlink>
          </w:p>
        </w:tc>
      </w:tr>
      <w:tr>
        <w:trPr>
          <w:trHeight w:val="196"/>
        </w:trPr>
        <w:tc>
          <w:tcPr>
            <w:tcW w:w="1080" w:type="dxa"/>
            <w:vAlign w:val="bottom"/>
          </w:tcPr>
          <w:p>
            <w:pPr>
              <w:spacing w:after="0"/>
              <w:rPr>
                <w:sz w:val="17"/>
                <w:szCs w:val="17"/>
                <w:color w:val="auto"/>
              </w:rPr>
            </w:pPr>
          </w:p>
        </w:tc>
        <w:tc>
          <w:tcPr>
            <w:tcW w:w="5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Oxley Act of 2002*</w:t>
              </w:r>
            </w:hyperlink>
          </w:p>
        </w:tc>
        <w:tc>
          <w:tcPr>
            <w:tcW w:w="26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60" w:type="dxa"/>
            <w:vAlign w:val="bottom"/>
            <w:gridSpan w:val="1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6040" w:type="dxa"/>
            <w:vAlign w:val="bottom"/>
            <w:gridSpan w:val="28"/>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Certification by Chief Executive Officer pursuant to Section 906 of the Sarbanes-</w:t>
              </w:r>
            </w:hyperlink>
          </w:p>
        </w:tc>
      </w:tr>
      <w:tr>
        <w:trPr>
          <w:trHeight w:val="196"/>
        </w:trPr>
        <w:tc>
          <w:tcPr>
            <w:tcW w:w="1080" w:type="dxa"/>
            <w:vAlign w:val="bottom"/>
          </w:tcPr>
          <w:p>
            <w:pPr>
              <w:spacing w:after="0"/>
              <w:rPr>
                <w:sz w:val="17"/>
                <w:szCs w:val="17"/>
                <w:color w:val="auto"/>
              </w:rPr>
            </w:pPr>
          </w:p>
        </w:tc>
        <w:tc>
          <w:tcPr>
            <w:tcW w:w="58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Oxley Act of 2002***</w:t>
              </w:r>
            </w:hyperlink>
          </w:p>
        </w:tc>
        <w:tc>
          <w:tcPr>
            <w:tcW w:w="180" w:type="dxa"/>
            <w:vAlign w:val="bottom"/>
            <w:gridSpan w:val="4"/>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1600" w:type="dxa"/>
            <w:vAlign w:val="bottom"/>
            <w:tcBorders>
              <w:top w:val="single" w:sz="8" w:color="0000EE"/>
            </w:tcBorders>
            <w:gridSpan w:val="5"/>
          </w:tcPr>
          <w:p>
            <w:pPr>
              <w:spacing w:after="0"/>
              <w:rPr>
                <w:sz w:val="24"/>
                <w:szCs w:val="24"/>
                <w:color w:val="auto"/>
              </w:rPr>
            </w:pPr>
          </w:p>
        </w:tc>
        <w:tc>
          <w:tcPr>
            <w:tcW w:w="3200" w:type="dxa"/>
            <w:vAlign w:val="bottom"/>
            <w:gridSpan w:val="10"/>
          </w:tcPr>
          <w:p>
            <w:pPr>
              <w:jc w:val="right"/>
              <w:ind w:right="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9" w:lineRule="exact"/>
        <w:rPr>
          <w:sz w:val="20"/>
          <w:szCs w:val="20"/>
          <w:color w:val="auto"/>
        </w:rPr>
      </w:pPr>
    </w:p>
    <w:p>
      <w:pPr>
        <w:ind w:left="1180"/>
        <w:spacing w:after="0"/>
        <w:tabs>
          <w:tab w:leader="none" w:pos="324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14,</w:t>
      </w:r>
    </w:p>
    <w:p>
      <w:pPr>
        <w:spacing w:after="0" w:line="1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fiscal year ended 2006 September 30, 2006, as Exhibit 10.11</w:t>
      </w:r>
    </w:p>
    <w:p>
      <w:pPr>
        <w:spacing w:after="0" w:line="305"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June 13,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22,</w:t>
      </w:r>
    </w:p>
    <w:p>
      <w:pPr>
        <w:spacing w:after="0" w:line="3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fiscal year ended September 30, 2009 2009, as Exhibit 10.8</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20,</w:t>
      </w:r>
    </w:p>
    <w:p>
      <w:pPr>
        <w:spacing w:after="0" w:line="35"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fiscal year ended September 30, 2011 2011, as Exhibit 10.33</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20,</w:t>
      </w:r>
    </w:p>
    <w:p>
      <w:pPr>
        <w:spacing w:after="0" w:line="35"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fiscal year ended September 30, 2011 2011, as Exhibit 10.36</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Quarterly Report on Form 10-Q, as May 8, 2012 Exhibit 10.1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August 12, 2014 Exhibit 10.1</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Quarterly Report on Form 10-Q, as February 9, 2016 Exhibit 10.1</w:t>
      </w:r>
    </w:p>
    <w:p>
      <w:pPr>
        <w:spacing w:after="0" w:line="170"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August 10,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14,</w:t>
      </w:r>
    </w:p>
    <w:p>
      <w:pPr>
        <w:spacing w:after="0" w:line="3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fiscal year ended September 30, 2016 2016, as Exhibit 10.18</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December 14,</w:t>
      </w:r>
    </w:p>
    <w:p>
      <w:pPr>
        <w:spacing w:after="0" w:line="3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fiscal year ended September 30, 2016 2016, as Exhibit 10.19</w:t>
      </w:r>
    </w:p>
    <w:p>
      <w:pPr>
        <w:spacing w:after="0" w:line="184"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Amendment No. 1 to the</w:t>
      </w:r>
      <w:r>
        <w:rPr>
          <w:sz w:val="20"/>
          <w:szCs w:val="20"/>
          <w:color w:val="auto"/>
        </w:rPr>
        <w:tab/>
      </w:r>
      <w:r>
        <w:rPr>
          <w:rFonts w:ascii="Arial" w:cs="Arial" w:eastAsia="Arial" w:hAnsi="Arial"/>
          <w:sz w:val="16"/>
          <w:szCs w:val="16"/>
          <w:color w:val="auto"/>
        </w:rPr>
        <w:t>November 25,</w:t>
      </w:r>
    </w:p>
    <w:p>
      <w:pPr>
        <w:spacing w:after="0" w:line="2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Registration Statement on Form S-3 2016 (File No. 333-214311)</w:t>
      </w:r>
    </w:p>
    <w:p>
      <w:pPr>
        <w:sectPr>
          <w:pgSz w:w="11900" w:h="16838" w:orient="portrait"/>
          <w:cols w:equalWidth="0" w:num="2">
            <w:col w:w="7120" w:space="240"/>
            <w:col w:w="3980"/>
          </w:cols>
          <w:pgMar w:left="240" w:top="18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Incorporated by Reference Herein</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80" w:type="dxa"/>
            <w:vAlign w:val="bottom"/>
            <w:gridSpan w:val="2"/>
            <w:vMerge w:val="continue"/>
          </w:tcPr>
          <w:p>
            <w:pPr>
              <w:spacing w:after="0"/>
              <w:rPr>
                <w:sz w:val="3"/>
                <w:szCs w:val="3"/>
                <w:color w:val="auto"/>
              </w:rPr>
            </w:pPr>
          </w:p>
        </w:tc>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vMerge w:val="restart"/>
          </w:tcPr>
          <w:p>
            <w:pPr>
              <w:spacing w:after="0"/>
              <w:rPr>
                <w:sz w:val="3"/>
                <w:szCs w:val="3"/>
                <w:color w:val="auto"/>
              </w:rPr>
            </w:pPr>
          </w:p>
        </w:tc>
        <w:tc>
          <w:tcPr>
            <w:tcW w:w="268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Form</w:t>
            </w:r>
          </w:p>
        </w:tc>
        <w:tc>
          <w:tcPr>
            <w:tcW w:w="6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line="20" w:lineRule="exact"/>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22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58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by Chief Financial Officer pursuant to Section 906 of the Sarbanes-</w:t>
              </w:r>
            </w:hyperlink>
          </w:p>
        </w:tc>
        <w:tc>
          <w:tcPr>
            <w:tcW w:w="46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Oxley Act of 2002***</w:t>
              </w:r>
            </w:hyperlink>
          </w:p>
        </w:tc>
        <w:tc>
          <w:tcPr>
            <w:tcW w:w="2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Schema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8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35"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80" w:right="60" w:hanging="372"/>
        <w:spacing w:after="0" w:line="276"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60" w:firstLine="3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11th day of December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2018</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Christopher Anzalone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5901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57" w:name="page58"/>
    <w:bookmarkEnd w:id="57"/>
    <w:p>
      <w:pPr>
        <w:ind w:right="30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54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33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Anzalone</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Christopher Anzalone</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Kenneth A. Myszkowski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Kenneth A. Myszkowski</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Douglass Given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Douglass Given</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Mauro Ferrari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8"/>
              </w:rPr>
              <w:t>Mauro Ferrari</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S. Perry</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S. Perry</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Waddill</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11, 2018</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6"/>
              </w:rPr>
              <w:t>William Waddill</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0"/>
        </w:trPr>
        <w:tc>
          <w:tcPr>
            <w:tcW w:w="3340" w:type="dxa"/>
            <w:vAlign w:val="bottom"/>
          </w:tcPr>
          <w:p>
            <w:pPr>
              <w:spacing w:after="0"/>
              <w:rPr>
                <w:sz w:val="24"/>
                <w:szCs w:val="24"/>
                <w:color w:val="auto"/>
              </w:rPr>
            </w:pPr>
          </w:p>
        </w:tc>
        <w:tc>
          <w:tcPr>
            <w:tcW w:w="5560" w:type="dxa"/>
            <w:vAlign w:val="bottom"/>
            <w:gridSpan w:val="2"/>
          </w:tcPr>
          <w:p>
            <w:pPr>
              <w:jc w:val="right"/>
              <w:ind w:right="3012"/>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80" w:type="dxa"/>
            <w:vAlign w:val="bottom"/>
            <w:gridSpan w:val="7"/>
          </w:tcPr>
          <w:p>
            <w:pPr>
              <w:ind w:left="300"/>
              <w:spacing w:after="0"/>
              <w:rPr>
                <w:sz w:val="20"/>
                <w:szCs w:val="20"/>
                <w:color w:val="auto"/>
              </w:rPr>
            </w:pPr>
            <w:r>
              <w:rPr>
                <w:rFonts w:ascii="Arial" w:cs="Arial" w:eastAsia="Arial" w:hAnsi="Arial"/>
                <w:sz w:val="18"/>
                <w:szCs w:val="18"/>
                <w:b w:val="1"/>
                <w:bCs w:val="1"/>
                <w:color w:val="auto"/>
              </w:rPr>
              <w:t>INDEX TO FINANCIAL STATEMENTS AND SCHEDULE</w:t>
            </w:r>
          </w:p>
        </w:tc>
        <w:tc>
          <w:tcPr>
            <w:tcW w:w="1660" w:type="dxa"/>
            <w:vAlign w:val="bottom"/>
          </w:tcPr>
          <w:p>
            <w:pPr>
              <w:spacing w:after="0"/>
              <w:rPr>
                <w:sz w:val="20"/>
                <w:szCs w:val="20"/>
                <w:color w:val="auto"/>
              </w:rPr>
            </w:pPr>
          </w:p>
        </w:tc>
      </w:tr>
      <w:tr>
        <w:trPr>
          <w:trHeight w:val="419"/>
        </w:trPr>
        <w:tc>
          <w:tcPr>
            <w:tcW w:w="4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Reports of Independent Registered Public Accounting Firm</w:t>
              </w:r>
            </w:hyperlink>
          </w:p>
        </w:tc>
        <w:tc>
          <w:tcPr>
            <w:tcW w:w="5360" w:type="dxa"/>
            <w:vAlign w:val="bottom"/>
            <w:gridSpan w:val="6"/>
          </w:tcPr>
          <w:p>
            <w:pPr>
              <w:spacing w:after="0"/>
              <w:rPr>
                <w:sz w:val="24"/>
                <w:szCs w:val="24"/>
                <w:color w:val="auto"/>
              </w:rPr>
            </w:pPr>
          </w:p>
        </w:tc>
        <w:tc>
          <w:tcPr>
            <w:tcW w:w="1660" w:type="dxa"/>
            <w:vAlign w:val="bottom"/>
          </w:tcPr>
          <w:p>
            <w:pPr>
              <w:ind w:left="1400"/>
              <w:spacing w:after="0"/>
              <w:rPr>
                <w:sz w:val="20"/>
                <w:szCs w:val="20"/>
                <w:color w:val="auto"/>
              </w:rPr>
            </w:pPr>
            <w:r>
              <w:rPr>
                <w:rFonts w:ascii="Arial" w:cs="Arial" w:eastAsia="Arial" w:hAnsi="Arial"/>
                <w:sz w:val="18"/>
                <w:szCs w:val="18"/>
                <w:color w:val="auto"/>
                <w:w w:val="88"/>
              </w:rPr>
              <w:t>F-2</w:t>
            </w:r>
          </w:p>
        </w:tc>
      </w:tr>
      <w:tr>
        <w:trPr>
          <w:trHeight w:val="196"/>
        </w:trPr>
        <w:tc>
          <w:tcPr>
            <w:tcW w:w="9660" w:type="dxa"/>
            <w:vAlign w:val="bottom"/>
            <w:gridSpan w:val="1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Balance Sheets of Arrowhead Pharmaceuticals, Inc., September 30, 2018 and 2017</w:t>
              </w:r>
            </w:hyperlink>
          </w:p>
        </w:tc>
        <w:tc>
          <w:tcPr>
            <w:tcW w:w="1660" w:type="dxa"/>
            <w:vAlign w:val="bottom"/>
          </w:tcPr>
          <w:p>
            <w:pPr>
              <w:ind w:left="140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Consolidated Statements of Operations and Comprehensive Loss of Arrowhead Pharmaceuticals, Inc. for the years</w:t>
              </w:r>
            </w:hyperlink>
          </w:p>
        </w:tc>
        <w:tc>
          <w:tcPr>
            <w:tcW w:w="13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9660" w:type="dxa"/>
            <w:vAlign w:val="bottom"/>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ended September 30, 2018, 2017 and 2016</w:t>
              </w:r>
            </w:hyperlink>
          </w:p>
        </w:tc>
        <w:tc>
          <w:tcPr>
            <w:tcW w:w="1660" w:type="dxa"/>
            <w:vAlign w:val="bottom"/>
          </w:tcPr>
          <w:p>
            <w:pPr>
              <w:ind w:left="140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660" w:type="dxa"/>
            <w:vAlign w:val="bottom"/>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 of Stockholders’ Equity of Arrowhead Pharmaceuticals, Inc. for the years ended</w:t>
              </w:r>
            </w:hyperlink>
          </w:p>
        </w:tc>
        <w:tc>
          <w:tcPr>
            <w:tcW w:w="16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September 30, 2018, 2017, and 201</w:t>
              </w:r>
              <w:r>
                <w:rPr>
                  <w:rFonts w:ascii="Arial" w:cs="Arial" w:eastAsia="Arial" w:hAnsi="Arial"/>
                  <w:sz w:val="18"/>
                  <w:szCs w:val="18"/>
                  <w:color w:val="000000"/>
                </w:rPr>
                <w:t>6</w:t>
              </w:r>
            </w:hyperlink>
          </w:p>
        </w:tc>
        <w:tc>
          <w:tcPr>
            <w:tcW w:w="2120" w:type="dxa"/>
            <w:vAlign w:val="bottom"/>
            <w:gridSpan w:val="3"/>
          </w:tcPr>
          <w:p>
            <w:pPr>
              <w:spacing w:after="0"/>
              <w:rPr>
                <w:sz w:val="17"/>
                <w:szCs w:val="17"/>
                <w:color w:val="auto"/>
              </w:rPr>
            </w:pPr>
          </w:p>
        </w:tc>
        <w:tc>
          <w:tcPr>
            <w:tcW w:w="1660" w:type="dxa"/>
            <w:vAlign w:val="bottom"/>
          </w:tcPr>
          <w:p>
            <w:pPr>
              <w:ind w:left="140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660" w:type="dxa"/>
            <w:vAlign w:val="bottom"/>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of Arrowhead Pharmaceuticals, Inc. for the years ended September 30,</w:t>
              </w:r>
            </w:hyperlink>
          </w:p>
        </w:tc>
        <w:tc>
          <w:tcPr>
            <w:tcW w:w="16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2018, 2017 and 2016</w:t>
              </w:r>
            </w:hyperlink>
          </w:p>
        </w:tc>
        <w:tc>
          <w:tcPr>
            <w:tcW w:w="1640" w:type="dxa"/>
            <w:vAlign w:val="bottom"/>
            <w:gridSpan w:val="2"/>
          </w:tcPr>
          <w:p>
            <w:pPr>
              <w:spacing w:after="0"/>
              <w:rPr>
                <w:sz w:val="17"/>
                <w:szCs w:val="17"/>
                <w:color w:val="auto"/>
              </w:rPr>
            </w:pPr>
          </w:p>
        </w:tc>
        <w:tc>
          <w:tcPr>
            <w:tcW w:w="1660" w:type="dxa"/>
            <w:vAlign w:val="bottom"/>
          </w:tcPr>
          <w:p>
            <w:pPr>
              <w:ind w:left="1400"/>
              <w:spacing w:after="0" w:line="196" w:lineRule="exact"/>
              <w:rPr>
                <w:sz w:val="20"/>
                <w:szCs w:val="20"/>
                <w:color w:val="auto"/>
              </w:rPr>
            </w:pPr>
            <w:r>
              <w:rPr>
                <w:rFonts w:ascii="Arial" w:cs="Arial" w:eastAsia="Arial" w:hAnsi="Arial"/>
                <w:sz w:val="18"/>
                <w:szCs w:val="18"/>
                <w:color w:val="auto"/>
                <w:w w:val="88"/>
              </w:rPr>
              <w:t>F-7</w:t>
            </w:r>
          </w:p>
        </w:tc>
      </w:tr>
      <w:tr>
        <w:trPr>
          <w:trHeight w:val="20"/>
        </w:trPr>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Notes to Consolidated Financial Statements of Arrowhead Pharmaceuticals, Inc.</w:t>
              </w:r>
            </w:hyperlink>
          </w:p>
        </w:tc>
        <w:tc>
          <w:tcPr>
            <w:tcW w:w="3860" w:type="dxa"/>
            <w:vAlign w:val="bottom"/>
            <w:gridSpan w:val="5"/>
          </w:tcPr>
          <w:p>
            <w:pPr>
              <w:spacing w:after="0"/>
              <w:rPr>
                <w:sz w:val="17"/>
                <w:szCs w:val="17"/>
                <w:color w:val="auto"/>
              </w:rPr>
            </w:pPr>
          </w:p>
        </w:tc>
        <w:tc>
          <w:tcPr>
            <w:tcW w:w="1660" w:type="dxa"/>
            <w:vAlign w:val="bottom"/>
          </w:tcPr>
          <w:p>
            <w:pPr>
              <w:ind w:left="1400"/>
              <w:spacing w:after="0" w:line="196" w:lineRule="exact"/>
              <w:rPr>
                <w:sz w:val="20"/>
                <w:szCs w:val="20"/>
                <w:color w:val="auto"/>
              </w:rPr>
            </w:pPr>
            <w:r>
              <w:rPr>
                <w:rFonts w:ascii="Arial" w:cs="Arial" w:eastAsia="Arial" w:hAnsi="Arial"/>
                <w:sz w:val="18"/>
                <w:szCs w:val="18"/>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Arrowhead Pharmaceuticals,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Arrowhead Pharmaceuticals, Inc. and subsidiaries (the Company) as of September 30, 2018 and 2017, and the related consolidated statements of operations and comprehensive loss, stockholders’ equity, and cash flows for each of the years in the three-year period ended September 30, 2018, and the related notes (collectively referred to as the financial statements). In our opinion, the financial statements present fairly, in all material respects, the financial position of the Company as of September 30, 2018 and 2017, and the results of its operations and its cash flows for each of the years in the three-year period ended September 30, 2018, in conformity with accounting principles generally accepted in the United States of America.</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30,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December 11, 2018, expressed an unqualified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Arrowhead Pharmaceuticals,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audited Arrowhead Pharmaceuticals, Inc. and subsidiaries (the Company’s) internal control over financial reporting as of September 30,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September 30,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 and the related statements of operations and comprehensive loss, stockholders’ equity, and cash flows of the Company, and our report dated December 11, 2018 expressed an unqualified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ind w:left="364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120" w:type="dxa"/>
            <w:vAlign w:val="bottom"/>
          </w:tcPr>
          <w:p>
            <w:pPr>
              <w:ind w:left="3720"/>
              <w:spacing w:after="0"/>
              <w:rPr>
                <w:sz w:val="20"/>
                <w:szCs w:val="20"/>
                <w:color w:val="auto"/>
              </w:rPr>
            </w:pPr>
            <w:r>
              <w:rPr>
                <w:rFonts w:ascii="Arial" w:cs="Arial" w:eastAsia="Arial" w:hAnsi="Arial"/>
                <w:sz w:val="18"/>
                <w:szCs w:val="18"/>
                <w:b w:val="1"/>
                <w:bCs w:val="1"/>
                <w:color w:val="auto"/>
              </w:rPr>
              <w:t>Arrowhead Pharmaceuticals, Inc.</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120" w:type="dxa"/>
            <w:vAlign w:val="bottom"/>
          </w:tcPr>
          <w:p>
            <w:pPr>
              <w:ind w:left="3920"/>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2018</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2017</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30,133,213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327,375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67,797</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1,267,717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867,363</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640,117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1,359,638</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46,400,176</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40,769,539</w:t>
            </w:r>
          </w:p>
        </w:tc>
        <w:tc>
          <w:tcPr>
            <w:tcW w:w="100" w:type="dxa"/>
            <w:vAlign w:val="bottom"/>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78,768,598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67,902,904</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13,935,425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15,513,019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18,764,010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20,464,439</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100" w:type="dxa"/>
            <w:vAlign w:val="bottom"/>
            <w:shd w:val="clear" w:color="auto" w:fill="CFF0FC"/>
          </w:tcPr>
          <w:p>
            <w:pPr>
              <w:spacing w:after="0"/>
              <w:rPr>
                <w:sz w:val="15"/>
                <w:szCs w:val="15"/>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111,609,951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Borders>
              <w:bottom w:val="single" w:sz="8" w:color="CFF0FC"/>
            </w:tcBorders>
          </w:tcPr>
          <w:p>
            <w:pPr>
              <w:spacing w:after="0"/>
              <w:rPr>
                <w:sz w:val="18"/>
                <w:szCs w:val="18"/>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2,806,098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4,076,514</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5,043,087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4,564,507</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3,937,605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3,399,679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307,334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440,580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5,269,741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695,114</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223,820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12,364,951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18,701,048</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1,702,801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1,929,052</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2,101,198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2,325,018</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FF0FC"/>
          </w:tcPr>
          <w:p>
            <w:pPr>
              <w:spacing w:after="0"/>
              <w:rPr>
                <w:sz w:val="15"/>
                <w:szCs w:val="15"/>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4,003,999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4,454,070</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 (Note 7)</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88,505,302 and 74,785,726 shares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820" w:type="dxa"/>
            <w:vAlign w:val="bottom"/>
            <w:gridSpan w:val="2"/>
          </w:tcPr>
          <w:p>
            <w:pPr>
              <w:ind w:left="580"/>
              <w:spacing w:after="0"/>
              <w:rPr>
                <w:sz w:val="20"/>
                <w:szCs w:val="20"/>
                <w:color w:val="auto"/>
              </w:rPr>
            </w:pPr>
            <w:r>
              <w:rPr>
                <w:rFonts w:ascii="Arial" w:cs="Arial" w:eastAsia="Arial" w:hAnsi="Arial"/>
                <w:sz w:val="14"/>
                <w:szCs w:val="14"/>
                <w:color w:val="auto"/>
              </w:rPr>
              <w:t>issued and outstanding as of September 30, 2018 and September 30, 2017, respectively</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180,875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167,155</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582,902,694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514,037,301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tcPr>
          <w:p>
            <w:pPr>
              <w:spacing w:after="0"/>
              <w:rPr>
                <w:sz w:val="15"/>
                <w:szCs w:val="15"/>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(21,564)</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33,232</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(487,265,816)</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(432,815,338)</w:t>
            </w: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95,796,189</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81,422,350</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95,241,001</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80,867,162</w:t>
            </w:r>
          </w:p>
        </w:tc>
        <w:tc>
          <w:tcPr>
            <w:tcW w:w="100" w:type="dxa"/>
            <w:vAlign w:val="bottom"/>
            <w:tcBorders>
              <w:bottom w:val="single" w:sz="8" w:color="CFF0FC"/>
            </w:tcBorders>
          </w:tcPr>
          <w:p>
            <w:pPr>
              <w:spacing w:after="0"/>
              <w:rPr>
                <w:sz w:val="14"/>
                <w:szCs w:val="14"/>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111,609,951</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w w:val="92"/>
              </w:rPr>
              <w:t>Year Ended September 30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16,142,321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31,407,709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52,968,505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50,904,466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62,117,818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19,110,051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17,499,152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23,594,888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Contingent consideration - fair value adjustments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(5,862,464)</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72,078,556</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68,403,618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81,901,059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(55,936,235)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(36,995,909)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(81,742,726)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1,048,523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415,128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890,362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(301,022)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1,312,524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1,488,157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2,618,014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(54,448,078)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(34,377,895)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(81,720,602)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(54,450,478)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(34,380,295)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(81,723,002)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&amp;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(0.65)</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(0.47)</w:t>
            </w:r>
          </w:p>
        </w:tc>
        <w:tc>
          <w:tcPr>
            <w:tcW w:w="3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83,638,469</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73,898,598</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61,050,880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(54,796)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(54,505,274)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(34,354,512)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(81,579,128)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Income (loss)</w:t>
            </w:r>
          </w:p>
        </w:tc>
        <w:tc>
          <w:tcPr>
            <w:tcW w:w="10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2015</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59,544,677</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151,914</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$ 426,873,358</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(136,425)</w:t>
            </w:r>
          </w:p>
        </w:tc>
        <w:tc>
          <w:tcPr>
            <w:tcW w:w="2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(316,712,041)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109,621,634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852,532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3,690,545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3,691,398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37,187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133,832</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11,595,816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11,595,816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428,187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(671,193)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(670,765)</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4"/>
              </w:rPr>
              <w:t>Common stock issued for cash at $5.90 per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share, net of offering costs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7,627,119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43,223,808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43,231,435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Common stock issued to Amgen at $7.16</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per share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1,256,983</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8,998,743</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143,874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2016</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(81,723,002)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(81,723,002)</w:t>
            </w:r>
          </w:p>
        </w:tc>
        <w:tc>
          <w:tcPr>
            <w:tcW w:w="0" w:type="dxa"/>
            <w:vAlign w:val="bottom"/>
          </w:tcPr>
          <w:p>
            <w:pPr>
              <w:spacing w:after="0"/>
              <w:rPr>
                <w:sz w:val="1"/>
                <w:szCs w:val="1"/>
                <w:color w:val="auto"/>
              </w:rPr>
            </w:pPr>
          </w:p>
        </w:tc>
      </w:tr>
      <w:tr>
        <w:trPr>
          <w:trHeight w:val="156"/>
        </w:trPr>
        <w:tc>
          <w:tcPr>
            <w:tcW w:w="2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2016</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69,746,685</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162,116</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$ 493,844,909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7,449</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 (398,435,043)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95,024,259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7,891,595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7,891,595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135,730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271,795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481,212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(403,742)</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(403,261)</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9"/>
              </w:rPr>
              <w:t>Common stock issued to Amgen at $7.16</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per share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1,745,810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12,418,254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12,420,000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4"/>
              </w:rPr>
              <w:t>Preferred stock converted to common stock</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(15,652)</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2,670,989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2,671</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(2,655)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Exchange rights exercised</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17,145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25,783</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2017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4"/>
                <w:szCs w:val="14"/>
                <w:color w:val="auto"/>
              </w:rPr>
              <w:t>(34,380,295)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(34,380,295)</w:t>
            </w: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74,785,426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167,155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$ 514,037,301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(432,815,338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vMerge w:val="continue"/>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8,454,607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8,454,607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604,611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2,656,105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2,656,710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288,473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1,237,141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1,237,429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1,326,792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(55,995)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Common stock issued at $5.25 per share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56,573,535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56,585,035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(54,796)</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(54,796)</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2018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4"/>
                <w:szCs w:val="14"/>
                <w:color w:val="auto"/>
              </w:rPr>
              <w:t>(54,450,478)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(54,450,478)</w:t>
            </w: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2018</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88,505,302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180,875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$ 582,902,694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(21,564)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(487,265,816</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95,241,001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Year ended September 30,</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7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6"/>
                <w:szCs w:val="16"/>
                <w:color w:val="auto"/>
              </w:rPr>
            </w:pPr>
          </w:p>
        </w:tc>
      </w:tr>
      <w:tr>
        <w:trPr>
          <w:trHeight w:val="156"/>
        </w:trPr>
        <w:tc>
          <w:tcPr>
            <w:tcW w:w="67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(54,450,478)</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(34,380,295)</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(81,723,002)</w:t>
            </w:r>
          </w:p>
        </w:tc>
      </w:tr>
      <w:tr>
        <w:trPr>
          <w:trHeight w:val="176"/>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(432,141)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(890,362)</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301,022</w:t>
            </w:r>
          </w:p>
        </w:tc>
        <w:tc>
          <w:tcPr>
            <w:tcW w:w="120" w:type="dxa"/>
            <w:vAlign w:val="bottom"/>
            <w:shd w:val="clear" w:color="auto" w:fill="CFF0FC"/>
          </w:tcPr>
          <w:p>
            <w:pPr>
              <w:spacing w:after="0"/>
              <w:rPr>
                <w:sz w:val="15"/>
                <w:szCs w:val="15"/>
                <w:color w:val="auto"/>
              </w:rPr>
            </w:pPr>
          </w:p>
        </w:tc>
      </w:tr>
      <w:tr>
        <w:trPr>
          <w:trHeight w:val="176"/>
        </w:trPr>
        <w:tc>
          <w:tcPr>
            <w:tcW w:w="6720" w:type="dxa"/>
            <w:vAlign w:val="bottom"/>
          </w:tcPr>
          <w:p>
            <w:pPr>
              <w:ind w:left="380"/>
              <w:spacing w:after="0"/>
              <w:rPr>
                <w:sz w:val="20"/>
                <w:szCs w:val="20"/>
                <w:color w:val="auto"/>
              </w:rPr>
            </w:pPr>
            <w:r>
              <w:rPr>
                <w:rFonts w:ascii="Arial" w:cs="Arial" w:eastAsia="Arial" w:hAnsi="Arial"/>
                <w:sz w:val="14"/>
                <w:szCs w:val="14"/>
                <w:color w:val="auto"/>
              </w:rPr>
              <w:t>Contingent consideration - fair value adjustments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(5,862,464)</w:t>
            </w:r>
          </w:p>
        </w:tc>
      </w:tr>
      <w:tr>
        <w:trPr>
          <w:trHeight w:val="176"/>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impairment expense</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2,050,817</w:t>
            </w:r>
          </w:p>
        </w:tc>
        <w:tc>
          <w:tcPr>
            <w:tcW w:w="120" w:type="dxa"/>
            <w:vAlign w:val="bottom"/>
            <w:shd w:val="clear" w:color="auto" w:fill="CFF0FC"/>
          </w:tcPr>
          <w:p>
            <w:pPr>
              <w:spacing w:after="0"/>
              <w:rPr>
                <w:sz w:val="15"/>
                <w:szCs w:val="15"/>
                <w:color w:val="auto"/>
              </w:rPr>
            </w:pPr>
          </w:p>
        </w:tc>
      </w:tr>
      <w:tr>
        <w:trPr>
          <w:trHeight w:val="176"/>
        </w:trPr>
        <w:tc>
          <w:tcPr>
            <w:tcW w:w="67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8,454,607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7,891,595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11,595,816</w:t>
            </w:r>
          </w:p>
        </w:tc>
        <w:tc>
          <w:tcPr>
            <w:tcW w:w="120" w:type="dxa"/>
            <w:vAlign w:val="bottom"/>
          </w:tcPr>
          <w:p>
            <w:pPr>
              <w:spacing w:after="0"/>
              <w:rPr>
                <w:sz w:val="15"/>
                <w:szCs w:val="15"/>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4,699,275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4,690,440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3,260,045</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383,075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(43,519)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231,902</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(259,578)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(75,000)</w:t>
            </w: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319,166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2,814,509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(1,020,734)</w:t>
            </w: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(5,269,140)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157,981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(1,270,416)</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(3,509,995)</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2,554,802</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1,016,506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(401,777)</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(871,833)</w:t>
            </w: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(414,293)</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(274,752)</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131,143</w:t>
            </w:r>
          </w:p>
        </w:tc>
        <w:tc>
          <w:tcPr>
            <w:tcW w:w="120" w:type="dxa"/>
            <w:vAlign w:val="bottom"/>
            <w:shd w:val="clear" w:color="auto" w:fill="CFF0FC"/>
          </w:tcPr>
          <w:p>
            <w:pPr>
              <w:spacing w:after="0"/>
              <w:rPr>
                <w:sz w:val="14"/>
                <w:szCs w:val="14"/>
                <w:color w:val="auto"/>
              </w:rPr>
            </w:pPr>
          </w:p>
        </w:tc>
      </w:tr>
      <w:tr>
        <w:trPr>
          <w:trHeight w:val="156"/>
        </w:trPr>
        <w:tc>
          <w:tcPr>
            <w:tcW w:w="672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(47,223,417)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(23,938,972)</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(64,427,486)</w:t>
            </w:r>
          </w:p>
        </w:tc>
        <w:tc>
          <w:tcPr>
            <w:tcW w:w="120" w:type="dxa"/>
            <w:vAlign w:val="bottom"/>
          </w:tcPr>
          <w:p>
            <w:pPr>
              <w:spacing w:after="0"/>
              <w:rPr>
                <w:sz w:val="13"/>
                <w:szCs w:val="13"/>
                <w:color w:val="auto"/>
              </w:rPr>
            </w:pPr>
          </w:p>
        </w:tc>
      </w:tr>
      <w:tr>
        <w:trPr>
          <w:trHeight w:val="162"/>
        </w:trPr>
        <w:tc>
          <w:tcPr>
            <w:tcW w:w="6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(1,421,252)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(7,918,198)</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(3,860,237)</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(52,083,131)</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(44,974,736)</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46,069,420</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4,248,716</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17,308,000</w:t>
            </w:r>
          </w:p>
        </w:tc>
        <w:tc>
          <w:tcPr>
            <w:tcW w:w="120" w:type="dxa"/>
            <w:vAlign w:val="bottom"/>
            <w:tcBorders>
              <w:bottom w:val="single" w:sz="8" w:color="CFF0FC"/>
            </w:tcBorders>
          </w:tcPr>
          <w:p>
            <w:pPr>
              <w:spacing w:after="0"/>
              <w:rPr>
                <w:sz w:val="14"/>
                <w:szCs w:val="14"/>
                <w:color w:val="auto"/>
              </w:rPr>
            </w:pPr>
          </w:p>
        </w:tc>
      </w:tr>
      <w:tr>
        <w:trPr>
          <w:trHeight w:val="156"/>
        </w:trPr>
        <w:tc>
          <w:tcPr>
            <w:tcW w:w="6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(7,434,963)</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(48,644,218)</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13,447,763</w:t>
            </w: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(208,506)</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(197,790)</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(217,549)</w:t>
            </w: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(54,667)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(438,838)</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(634,187)</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3,631,164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272,818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3,752,120</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56,585,035</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12,419,119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52,231,433</w:t>
            </w:r>
          </w:p>
        </w:tc>
        <w:tc>
          <w:tcPr>
            <w:tcW w:w="120" w:type="dxa"/>
            <w:vAlign w:val="bottom"/>
            <w:tcBorders>
              <w:bottom w:val="single" w:sz="8" w:color="CFF0FC"/>
            </w:tcBorders>
          </w:tcPr>
          <w:p>
            <w:pPr>
              <w:spacing w:after="0"/>
              <w:rPr>
                <w:sz w:val="14"/>
                <w:szCs w:val="14"/>
                <w:color w:val="auto"/>
              </w:rPr>
            </w:pPr>
          </w:p>
        </w:tc>
      </w:tr>
      <w:tr>
        <w:trPr>
          <w:trHeight w:val="156"/>
        </w:trPr>
        <w:tc>
          <w:tcPr>
            <w:tcW w:w="6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59,953,026</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12,055,309</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55,131,817</w:t>
            </w: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5,294,646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(60,527,881)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4,152,094</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120" w:type="dxa"/>
            <w:vAlign w:val="bottom"/>
            <w:shd w:val="clear" w:color="auto" w:fill="CFF0FC"/>
          </w:tcPr>
          <w:p>
            <w:pPr>
              <w:spacing w:after="0"/>
              <w:rPr>
                <w:sz w:val="14"/>
                <w:szCs w:val="14"/>
                <w:color w:val="auto"/>
              </w:rPr>
            </w:pPr>
          </w:p>
        </w:tc>
      </w:tr>
      <w:tr>
        <w:trPr>
          <w:trHeight w:val="196"/>
        </w:trPr>
        <w:tc>
          <w:tcPr>
            <w:tcW w:w="67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30,133,213</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24,838,567</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85,366,448</w:t>
            </w:r>
          </w:p>
        </w:tc>
        <w:tc>
          <w:tcPr>
            <w:tcW w:w="120" w:type="dxa"/>
            <w:vAlign w:val="bottom"/>
            <w:tcBorders>
              <w:bottom w:val="single" w:sz="8" w:color="CFF0FC"/>
            </w:tcBorders>
          </w:tcPr>
          <w:p>
            <w:pPr>
              <w:spacing w:after="0"/>
              <w:rPr>
                <w:sz w:val="17"/>
                <w:szCs w:val="17"/>
                <w:color w:val="auto"/>
              </w:rPr>
            </w:pPr>
          </w:p>
        </w:tc>
      </w:tr>
      <w:tr>
        <w:trPr>
          <w:trHeight w:val="143"/>
        </w:trPr>
        <w:tc>
          <w:tcPr>
            <w:tcW w:w="6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(173,381)</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(187,647)</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(11,287)</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Property and equipment purchased through tenant improvement allowance financing</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(4,849,360)</w:t>
            </w: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Property and Equipment expenditures included in accounts payable and accrued expenses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(4,801,930)</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3,635,016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1,365,288</w:t>
            </w:r>
          </w:p>
        </w:tc>
        <w:tc>
          <w:tcPr>
            <w:tcW w:w="120" w:type="dxa"/>
            <w:vAlign w:val="bottom"/>
            <w:shd w:val="clear" w:color="auto" w:fill="CFF0FC"/>
          </w:tcPr>
          <w:p>
            <w:pPr>
              <w:spacing w:after="0"/>
              <w:rPr>
                <w:sz w:val="14"/>
                <w:szCs w:val="14"/>
                <w:color w:val="auto"/>
              </w:rPr>
            </w:pPr>
          </w:p>
        </w:tc>
      </w:tr>
      <w:tr>
        <w:trPr>
          <w:trHeight w:val="182"/>
        </w:trPr>
        <w:tc>
          <w:tcPr>
            <w:tcW w:w="6720" w:type="dxa"/>
            <w:vAlign w:val="bottom"/>
          </w:tcPr>
          <w:p>
            <w:pPr>
              <w:ind w:left="380"/>
              <w:spacing w:after="0"/>
              <w:rPr>
                <w:sz w:val="20"/>
                <w:szCs w:val="20"/>
                <w:color w:val="auto"/>
              </w:rPr>
            </w:pPr>
            <w:r>
              <w:rPr>
                <w:rFonts w:ascii="Arial" w:cs="Arial" w:eastAsia="Arial" w:hAnsi="Arial"/>
                <w:sz w:val="14"/>
                <w:szCs w:val="14"/>
                <w:color w:val="auto"/>
              </w:rPr>
              <w:t>Income Tax Paid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(2,400)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(2,400)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(2,400)</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100" w:firstLine="665"/>
        <w:spacing w:after="0" w:line="289"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ARO-AMG1 for an undisclosed genetically validated cardiovascular target is under a license and collaboration agreement with Amgen Inc. ARO-HBV for chronic hepatitis B virus was out-licensed to Janssen Pharmaceuticals, Inc. in October 2018.</w:t>
      </w:r>
    </w:p>
    <w:p>
      <w:pPr>
        <w:spacing w:after="0" w:line="16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fiscal 2018, the Company continued to develop its pipeline candidates. In the first half of fiscal 2018, Clinical Trial Applications (CTAs) were filed for ARO-AAT and ARO-HBV, and the associated phase 1 (ARO-AAT) and phase 1 / 2 (ARO-HBV) studies are ongoing. Dosing has completed for the ARO-AAT phase 1 clinical study. In October 2018, the Company also filed a CTA for ARO-ANG3 and, pending approval, the Company anticipates the startup of this study in 2019. The Company has also achieved substantial progress on its other preclinical candidates including ARO-APOC3, ARO-ENaC and ARO-HIF2, with planned CTA or equivalent filings planned in late calendar 2018 for ARO-APOC3 and in 2019 for ARO-ENaC and ARO-HIF2.</w:t>
      </w:r>
    </w:p>
    <w:p>
      <w:pPr>
        <w:spacing w:after="0" w:line="158" w:lineRule="exact"/>
        <w:rPr>
          <w:sz w:val="20"/>
          <w:szCs w:val="20"/>
          <w:color w:val="auto"/>
        </w:rPr>
      </w:pPr>
    </w:p>
    <w:p>
      <w:pPr>
        <w:jc w:val="both"/>
        <w:ind w:firstLine="305"/>
        <w:spacing w:after="0" w:line="285" w:lineRule="auto"/>
        <w:rPr>
          <w:sz w:val="20"/>
          <w:szCs w:val="20"/>
          <w:color w:val="auto"/>
        </w:rPr>
      </w:pPr>
      <w:r>
        <w:rPr>
          <w:rFonts w:ascii="Arial" w:cs="Arial" w:eastAsia="Arial" w:hAnsi="Arial"/>
          <w:sz w:val="16"/>
          <w:szCs w:val="16"/>
          <w:color w:val="auto"/>
        </w:rPr>
        <w:t>The Company also made significant progress on its business development and partnership collaboration efforts.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license agreement and up to low teens under the collaboration and option agreement on product sales.</w:t>
      </w:r>
    </w:p>
    <w:p>
      <w:pPr>
        <w:spacing w:after="0" w:line="17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Company’s collaboration agreements with Amgen also continue to progress as it relates to the AMG 890 (ARO-LPA) and ARO-AMG1 candidates. Under the terms of the agreements taken together, the Company has received $35 million in upfront payments and $21.5 million in the form of an equity investment by Amgen in the Company’s Common Stock and could receive up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ind w:right="100"/>
        <w:spacing w:after="0" w:line="257" w:lineRule="auto"/>
        <w:rPr>
          <w:sz w:val="20"/>
          <w:szCs w:val="20"/>
          <w:color w:val="auto"/>
        </w:rPr>
      </w:pPr>
      <w:r>
        <w:rPr>
          <w:rFonts w:ascii="Arial" w:cs="Arial" w:eastAsia="Arial" w:hAnsi="Arial"/>
          <w:sz w:val="18"/>
          <w:szCs w:val="18"/>
          <w:color w:val="auto"/>
        </w:rPr>
        <w:t>$617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in its entirety during the year ended September 30,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At September 30, 2018, the Company had $30.1 million in cash and $46.4 million in short-term investments to fund operations. During the year ended September 30, 2018, the Company’s cash and investments balance increased by $10.9 million, which was primarily the result of the $56.6 million net proceeds received from a public offering of 11,500,000 of shares of Common Stock completed in January 2018, and a $10 million milestone payment received from Amgen, discussed further below. These cash inflows were mostly offset by cash outflows related to operating activities.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payable by the Company. The Company believes its current financial resources are sufficient to fund its operations through at least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21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addition to the cash proceeds on hand, in October 2018, the Company entered into the Janssen License Agreement, the Janssen Collaboration Agreement and the JJDC Stock Purchase Agreement which yielded a $175 million upfront payment received in November 2018 and a $75 million equity investment received in October 2018. These agreements are discussed further in Note 2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8"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September 30, 2018 and September 30, 2017.</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left="520" w:right="24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years ended September 30, 2018 and 2017, respectively, all of the Company’s investments were classified as held-to-maturity.</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22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2018 and September 30, 2017.</w:t>
      </w:r>
    </w:p>
    <w:p>
      <w:pPr>
        <w:spacing w:after="0" w:line="19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Company’s control.</w:t>
      </w:r>
    </w:p>
    <w:p>
      <w:pPr>
        <w:spacing w:after="0" w:line="21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to have standalone value, then the license and other undelivered performance obligations would be accounted for as a single unit of accounting. In this case, the license payments and payments for performance obligations are recognized as revenue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8" w:name="page69"/>
    <w:bookmarkEnd w:id="68"/>
    <w:p>
      <w:pPr>
        <w:ind w:right="700"/>
        <w:spacing w:after="0" w:line="277" w:lineRule="auto"/>
        <w:rPr>
          <w:sz w:val="20"/>
          <w:szCs w:val="20"/>
          <w:color w:val="auto"/>
        </w:rPr>
      </w:pPr>
      <w:r>
        <w:rPr>
          <w:rFonts w:ascii="Arial" w:cs="Arial" w:eastAsia="Arial" w:hAnsi="Arial"/>
          <w:sz w:val="18"/>
          <w:szCs w:val="18"/>
          <w:color w:val="auto"/>
        </w:rPr>
        <w:t>over the estimated period of when the performance obligations are performed or deferred indefinitely until the undelivered performance obligation is determined.</w:t>
      </w:r>
    </w:p>
    <w:p>
      <w:pPr>
        <w:spacing w:after="0" w:line="19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Company’s collaboration agreements typically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222"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98" w:lineRule="exact"/>
        <w:rPr>
          <w:sz w:val="20"/>
          <w:szCs w:val="20"/>
          <w:color w:val="auto"/>
        </w:rPr>
      </w:pPr>
    </w:p>
    <w:p>
      <w:pPr>
        <w:ind w:right="400" w:firstLine="665"/>
        <w:spacing w:after="0" w:line="264" w:lineRule="auto"/>
        <w:rPr>
          <w:sz w:val="20"/>
          <w:szCs w:val="20"/>
          <w:color w:val="auto"/>
        </w:rPr>
      </w:pPr>
      <w:r>
        <w:rPr>
          <w:rFonts w:ascii="Arial" w:cs="Arial" w:eastAsia="Arial" w:hAnsi="Arial"/>
          <w:sz w:val="18"/>
          <w:szCs w:val="18"/>
          <w:color w:val="auto"/>
        </w:rPr>
        <w:t>The new revenue recognition guidance (ASC 606) was effective as of October 1, 2018, and it will not have a material impact on the Company’s Consolidated Financial Statements. Please read the discussion of recent accounting pronouncements for the expected impact of this new accounting guidance.</w:t>
      </w:r>
    </w:p>
    <w:p>
      <w:pPr>
        <w:spacing w:after="0" w:line="18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9" w:name="page70"/>
    <w:bookmarkEnd w:id="69"/>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years ended September 30, 2018, 2017 and 2016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360" w:lineRule="exact"/>
        <w:rPr>
          <w:sz w:val="20"/>
          <w:szCs w:val="20"/>
          <w:color w:val="auto"/>
        </w:rPr>
      </w:pPr>
    </w:p>
    <w:p>
      <w:pPr>
        <w:jc w:val="both"/>
        <w:ind w:firstLine="588"/>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fiscal 2019. In April 2016, the FASB issued an amendment to ASU No. 2014-09 with update ASU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collaboration agreements and designing appropriate internal controls to enable the preparation of financial information. The Company has completed its assessment of the impact of the new revenue recognition guidance and determined that there will be no material impact. The Company’s existing performance obligations under its ongoing collaboration agreements were substantially completed prior to September 30, 2018. Any future option, milestone or royalty payments received will be accounted for under the sales-based royalty exception provided for under this new revenue recognition guidance. Additionally, there will be no impact to cash from or used in operating, financing or investing activities on the Company’s Consolidated Statement of Cash Flows as a result of the adoption of the new standard.</w:t>
      </w:r>
    </w:p>
    <w:p>
      <w:pPr>
        <w:spacing w:after="0" w:line="17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ind w:right="40" w:firstLine="518"/>
        <w:spacing w:after="0" w:line="279" w:lineRule="auto"/>
        <w:rPr>
          <w:sz w:val="20"/>
          <w:szCs w:val="20"/>
          <w:color w:val="auto"/>
        </w:rPr>
      </w:pPr>
      <w:r>
        <w:rPr>
          <w:rFonts w:ascii="Arial" w:cs="Arial" w:eastAsia="Arial" w:hAnsi="Arial"/>
          <w:sz w:val="17"/>
          <w:szCs w:val="17"/>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w:t>
      </w:r>
    </w:p>
    <w:p>
      <w:pPr>
        <w:spacing w:after="0" w:line="189"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Under the Common Stock Purchase Agreement, the Company has sold 3,002,793 shares of Common Stock to Amgen at a price of $7.16 per share.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4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8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Under the terms of the AMG 890 (ARO-LPA) Agreement, the Company has granted a worldwide, exclusive license to AMG 890 (ARO-LPA). The Company is also responsible for assisting Amgen in the oversight of certain development and manufacturing activities (the “AMG 890 (ARO-LPA) R&amp;D Services”), most of which are to be covered at Amgen’s cost. The Company has determined that the significant deliverables under the AMG 890 (ARO-LPA) Agreement include the license and the AMG 890 (ARO-LPA) R&amp;D Services. The Company also determined that, pursuant to the accounting guidance governing revenue recognition on multiple element arrangements, the license and the AMG 890 (ARO-LPA) R&amp;D Services do not have standalone value due to the specialized nature of the activities and services to be provided by the Company. Therefore, the deliverables are not separable and, accordingly, the license and the AMG 890 (ARO-LPA) R&amp;D Services are being treated as a single unit of accounting. The Company recognized revenue on a straight-line basis from November 18, 2016 (the Hart-Scott-Rodino clearance date), through October 31, 2017, which was the date where the AMG 890 (ARO-LPA) R&amp;D Services were substantially completed. The Company received the upfront payment of $30 million due under the AMG 890 (ARO-LPA) Agreement in November 2016. The upfront $30 million payment was initially recorded as Deferred Revenue. During the years ended September 30, 2018 and 2017, $2.7 million and $27.3 million of this upfront payment were recognized into Revenue, respectively. This upfront payment has been recognized as Revenue in its entirety as of September 30, 2018.</w:t>
      </w:r>
    </w:p>
    <w:p>
      <w:pPr>
        <w:spacing w:after="0" w:line="18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August 1, 2018, the Company announced that it had earned a $10 million milestone payment from Amgen following the administration of the first dose of AMG 890 (ARO-LPA) in a phase 1 clinical study. The Company has recognized this payment as Revenue in its entirety during the year ended September 30, 2018 as the performance obligations had already been substantially completed.</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Under the new revenue recognition guidance there would be no change to our historical accounting for the AMG 890 (ARO-LPA) Agreement as the performance obligations have been substantially completed as of September 30, 2018. Additionally, any future milestone or royalty payments due under the AMG-890 (ARO-LPA) Agreement will be recognized in the period the milestone is achieved under the sales-based royalty exception allowed under accounting rules. Finally, the costs to obtain this agreement were immaterial.</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The Company delivered the candidate in August 2018 and Amgen currently has the option to an exclusive license for the intellectual property generated through the Company’s development efforts. If Amgen exercises its option, it would likely assume all development,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spacing w:after="0" w:line="270" w:lineRule="auto"/>
        <w:rPr>
          <w:sz w:val="20"/>
          <w:szCs w:val="20"/>
          <w:color w:val="auto"/>
        </w:rPr>
      </w:pPr>
      <w:r>
        <w:rPr>
          <w:rFonts w:ascii="Arial" w:cs="Arial" w:eastAsia="Arial" w:hAnsi="Arial"/>
          <w:sz w:val="17"/>
          <w:szCs w:val="17"/>
          <w:color w:val="auto"/>
        </w:rPr>
        <w:t>regulatory and commercialization efforts for the candidate. The Company determined that the significant deliverables under the ARO-AMG1 Agreement include the option to license and the development and manufacturing activities toward achieving the Arrowhead Deliverable (the “ARO-AMG1 R&amp;D Services”). The Company also determined that, pursuant to the accounting guidance governing revenue recognition on multiple element arrangements, the option to license and ARO-AMG1 R&amp;D Services do not have standalone value due to the specialized nature of the activities and services to be provided by the Company. Therefore, the deliverables are not separable and, accordingly, the option to license and ARO-AMG1 R&amp;D Services are being treated as a single unit of accounting. The Company has recognized revenue on a straight-line basis from October 1, 2016, through September 30, 2018, as the Company completed the Arrowhead Deliverable during the three months ended September 30, 2018. The Company received an upfront payment of $5 million due under this agreement in September 2016. The upfront $5 million payment was initially recorded as Deferred Revenue. During the years ended September 30, 2018 and 2017, $2.5 million and $2.5 million of this upfront payment were recognized into Revenue, respectively. This upfront payment has been recognized as Revenue in its entirety as of September 30, 2018.</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Under the new revenue recognition guidance there would be no change to our historical accounting for the ARO-AMG1 Agreement as the Arrowhead Deliverable was completed during the three months ended September 30, 2018. Additionally, any future option, milestone or royalty payments due under the ARO-AMG1 Agreement will be recognized in the period the milestone is achieved under the sales-based royalty exception allowed under accounting rules. Finally, the costs to obtain this agreement were immaterial.</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 also entered into a separate services agreement and separate statements of work with Amgen to provide certain services related to process development, manufacturing, materials supply, discovery studies, and other consulting services related to AMG 890 (ARO-LPA) and ARO-AMG1. During the years ended September 30, 2018, 2017, 2016, these work orders generated approximately $1.0 million, $1.5 million and $0 of Revenue,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Janssen Pharmaceuticals, Inc.</w:t>
      </w:r>
    </w:p>
    <w:p>
      <w:pPr>
        <w:spacing w:after="0" w:line="225"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license agreement and up to low teens under the collaboration and option agreement on product sales.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40" w:firstLine="518"/>
        <w:spacing w:after="0" w:line="277" w:lineRule="auto"/>
        <w:rPr>
          <w:sz w:val="20"/>
          <w:szCs w:val="20"/>
          <w:color w:val="auto"/>
        </w:rPr>
      </w:pPr>
      <w:r>
        <w:rPr>
          <w:rFonts w:ascii="Arial" w:cs="Arial" w:eastAsia="Arial" w:hAnsi="Arial"/>
          <w:sz w:val="18"/>
          <w:szCs w:val="18"/>
          <w:color w:val="auto"/>
        </w:rPr>
        <w:t>The Company has evaluated these agreements in accordance with the new revenue recognition requirements that became effective for the Company on October 1, 2018.</w:t>
      </w:r>
    </w:p>
    <w:p>
      <w:pPr>
        <w:spacing w:after="0" w:line="6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70"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Company determined the transaction price totaled approximately $197.8 million which includes the upfront payment, the premium paid by JJDC for its equity investment in the Company, and estimated payments for ARO-HBV drug materials on hand and additional material to be manufactured. The Company has allocated the total $197.8 million initial transaction price to its one distinct performance obligation for the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10,751,627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9,660,960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12,236,150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23,740,787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(9,805,362)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(7,088,733)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13,935,425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for Property and Equipment the for the years ended September 30, 2018, 2017 and 2016 was $2,998,846, $2,990,010, and $1,545,733,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September 30, 2018 consisted of corporate bonds with maturities remaining of less than 12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September 30, 2018,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short-term and long-term investments as of September 30, 2018, and September 30, 2017.</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As of September 30, 2018</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vMerge w:val="restart"/>
          </w:tcPr>
          <w:p>
            <w:pPr>
              <w:spacing w:after="0"/>
              <w:rPr>
                <w:sz w:val="20"/>
                <w:szCs w:val="20"/>
                <w:color w:val="auto"/>
              </w:rPr>
            </w:pPr>
            <w:r>
              <w:rPr>
                <w:rFonts w:ascii="Arial" w:cs="Arial" w:eastAsia="Arial" w:hAnsi="Arial"/>
                <w:sz w:val="18"/>
                <w:szCs w:val="18"/>
                <w:color w:val="auto"/>
                <w:w w:val="97"/>
              </w:rPr>
              <w:t>Commercial notes (due within one year)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15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Gross Unrealized Gains</w:t>
            </w:r>
          </w:p>
        </w:tc>
        <w:tc>
          <w:tcPr>
            <w:tcW w:w="460" w:type="dxa"/>
            <w:vAlign w:val="bottom"/>
          </w:tcPr>
          <w:p>
            <w:pPr>
              <w:spacing w:after="0"/>
              <w:rPr>
                <w:sz w:val="12"/>
                <w:szCs w:val="12"/>
                <w:color w:val="auto"/>
              </w:rPr>
            </w:pPr>
          </w:p>
        </w:tc>
        <w:tc>
          <w:tcPr>
            <w:tcW w:w="2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320" w:type="dxa"/>
            <w:vAlign w:val="bottom"/>
          </w:tcPr>
          <w:p>
            <w:pPr>
              <w:spacing w:after="0"/>
              <w:rPr>
                <w:sz w:val="12"/>
                <w:szCs w:val="12"/>
                <w:color w:val="auto"/>
              </w:rPr>
            </w:pPr>
          </w:p>
        </w:tc>
        <w:tc>
          <w:tcPr>
            <w:tcW w:w="140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46,400,176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(429,050)</w:t>
            </w:r>
          </w:p>
        </w:tc>
        <w:tc>
          <w:tcPr>
            <w:tcW w:w="4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45,971,126</w:t>
            </w:r>
          </w:p>
        </w:tc>
        <w:tc>
          <w:tcPr>
            <w:tcW w:w="2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46,400,176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(429,050)</w:t>
            </w: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45,971,126</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As of September 30, 2017</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20" w:type="dxa"/>
            <w:vAlign w:val="bottom"/>
            <w:vMerge w:val="restart"/>
          </w:tcPr>
          <w:p>
            <w:pPr>
              <w:spacing w:after="0"/>
              <w:rPr>
                <w:sz w:val="20"/>
                <w:szCs w:val="20"/>
                <w:color w:val="auto"/>
              </w:rPr>
            </w:pPr>
            <w:r>
              <w:rPr>
                <w:rFonts w:ascii="Arial" w:cs="Arial" w:eastAsia="Arial" w:hAnsi="Arial"/>
                <w:sz w:val="18"/>
                <w:szCs w:val="18"/>
                <w:color w:val="auto"/>
                <w:w w:val="97"/>
              </w:rPr>
              <w:t>Commercial notes (due within one year)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15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Gross Unrealized Gains</w:t>
            </w:r>
          </w:p>
        </w:tc>
        <w:tc>
          <w:tcPr>
            <w:tcW w:w="460" w:type="dxa"/>
            <w:vAlign w:val="bottom"/>
          </w:tcPr>
          <w:p>
            <w:pPr>
              <w:spacing w:after="0"/>
              <w:rPr>
                <w:sz w:val="12"/>
                <w:szCs w:val="12"/>
                <w:color w:val="auto"/>
              </w:rPr>
            </w:pPr>
          </w:p>
        </w:tc>
        <w:tc>
          <w:tcPr>
            <w:tcW w:w="2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320" w:type="dxa"/>
            <w:vAlign w:val="bottom"/>
          </w:tcPr>
          <w:p>
            <w:pPr>
              <w:spacing w:after="0"/>
              <w:rPr>
                <w:sz w:val="12"/>
                <w:szCs w:val="12"/>
                <w:color w:val="auto"/>
              </w:rPr>
            </w:pPr>
          </w:p>
        </w:tc>
        <w:tc>
          <w:tcPr>
            <w:tcW w:w="140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40,769,539</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(334,755)</w:t>
            </w:r>
          </w:p>
        </w:tc>
        <w:tc>
          <w:tcPr>
            <w:tcW w:w="4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40,434,784</w:t>
            </w:r>
          </w:p>
        </w:tc>
        <w:tc>
          <w:tcPr>
            <w:tcW w:w="2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(334,755)</w:t>
            </w: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40,434,784</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223"/>
              <w:spacing w:after="0"/>
              <w:rPr>
                <w:sz w:val="20"/>
                <w:szCs w:val="20"/>
                <w:color w:val="auto"/>
              </w:rPr>
            </w:pPr>
            <w:r>
              <w:rPr>
                <w:rFonts w:ascii="Arial" w:cs="Arial" w:eastAsia="Arial" w:hAnsi="Arial"/>
                <w:sz w:val="18"/>
                <w:szCs w:val="18"/>
                <w:color w:val="auto"/>
              </w:rPr>
              <w:t>F-15</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The license agreement associated with the Novartis RNAi asset acquisition is being amortized over the estimated life remaining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which was 21 years, and the accumulated amortization of the asset is approximately $531,786. The patents associated with the Novartis RNAi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acquisition are being amortized over the estimated life remaining at the time of acquisition, which was 14 years, and the accumulated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assets is approximately $5,561,419. Amortization expense for the years ended September 30, 2018, 2017 and 2016 was $1,700,429, $1,700,429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$1,714,313, respectively. Amortization expense is expected to be approximately $1,700,429 in 2019, $1,700,429 in 2020, $1,700,429 in 2021, $1,700,429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 $1,700,429 in 2023, and $10,261,865 thereafter.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20,464,439</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(1,700,429)</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18,764,010</w:t>
            </w: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At September 30, 2018,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At September 30, 2018, 88,505,302 shares of Common Stock were outstanding. At September 30, 2018, 8,732,569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the Company.</w:t>
      </w:r>
    </w:p>
    <w:p>
      <w:pPr>
        <w:spacing w:after="0" w:line="211" w:lineRule="exact"/>
        <w:rPr>
          <w:sz w:val="20"/>
          <w:szCs w:val="20"/>
          <w:color w:val="auto"/>
        </w:rPr>
      </w:pPr>
    </w:p>
    <w:p>
      <w:pPr>
        <w:ind w:right="320" w:firstLine="563"/>
        <w:spacing w:after="0" w:line="277" w:lineRule="auto"/>
        <w:rPr>
          <w:sz w:val="20"/>
          <w:szCs w:val="20"/>
          <w:color w:val="auto"/>
        </w:rPr>
      </w:pPr>
      <w:r>
        <w:rPr>
          <w:rFonts w:ascii="Arial" w:cs="Arial" w:eastAsia="Arial" w:hAnsi="Arial"/>
          <w:sz w:val="18"/>
          <w:szCs w:val="18"/>
          <w:color w:val="auto"/>
        </w:rPr>
        <w:t>In October 2018 the Company sold 3,260,869 shares of Common Stock to JJDC at a price of $23.00 per share as part of the JJDC Stock Purchase Agreement discussed further in Note 2 above. The Company received proceeds of $75.0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$28,100 per month, increasing approximately 3% annually.</w:t>
      </w:r>
    </w:p>
    <w:p>
      <w:pPr>
        <w:spacing w:after="0" w:line="21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payments of principal and interest on the Note Payable are approximately $186,300 per month. The monthly rental payments (excluding principal and interest on the Note Payable), will increase approximately 2.5% annually.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Facility rent expense for the years ended September 30, 2018, 2017 and 2016 was $1,288,000, $1,441,000 and $839,000,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As of September 30, 2018,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1,435,409</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1,044,431</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1,070,496</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1,097,168</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1,124,445</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3,544,882</w:t>
            </w:r>
          </w:p>
        </w:tc>
        <w:tc>
          <w:tcPr>
            <w:tcW w:w="60" w:type="dxa"/>
            <w:vAlign w:val="bottom"/>
            <w:tcBorders>
              <w:bottom w:val="single" w:sz="8" w:color="CFF0FC"/>
            </w:tcBorders>
          </w:tcPr>
          <w:p>
            <w:pPr>
              <w:spacing w:after="0"/>
              <w:rPr>
                <w:sz w:val="18"/>
                <w:szCs w:val="18"/>
                <w:color w:val="auto"/>
              </w:rPr>
            </w:pPr>
          </w:p>
        </w:tc>
      </w:tr>
      <w:tr>
        <w:trPr>
          <w:trHeight w:val="210"/>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9,316,831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future principal payments due in fiscal years under the note payable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223,820</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240,258</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257,903</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276,845</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297,177</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2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1,029,015</w:t>
            </w:r>
          </w:p>
        </w:tc>
        <w:tc>
          <w:tcPr>
            <w:tcW w:w="60" w:type="dxa"/>
            <w:vAlign w:val="bottom"/>
            <w:tcBorders>
              <w:bottom w:val="single" w:sz="8" w:color="CFF0FC"/>
            </w:tcBorders>
          </w:tcPr>
          <w:p>
            <w:pPr>
              <w:spacing w:after="0"/>
              <w:rPr>
                <w:sz w:val="18"/>
                <w:szCs w:val="18"/>
                <w:color w:val="auto"/>
              </w:rPr>
            </w:pPr>
          </w:p>
        </w:tc>
      </w:tr>
      <w:tr>
        <w:trPr>
          <w:trHeight w:val="210"/>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2,325,018</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right="280" w:firstLine="305"/>
        <w:spacing w:after="0" w:line="261" w:lineRule="auto"/>
        <w:rPr>
          <w:sz w:val="20"/>
          <w:szCs w:val="20"/>
          <w:color w:val="auto"/>
        </w:rPr>
      </w:pPr>
      <w:r>
        <w:rPr>
          <w:rFonts w:ascii="Arial" w:cs="Arial" w:eastAsia="Arial" w:hAnsi="Arial"/>
          <w:sz w:val="18"/>
          <w:szCs w:val="18"/>
          <w:color w:val="auto"/>
        </w:rPr>
        <w:t>In October 2018, the Company repaid the entire balance due for the Note Payable associated with its Madison research and development facility lease discussed above.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 –</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Corp., et al.</w:t>
      </w:r>
      <w:r>
        <w:rPr>
          <w:rFonts w:ascii="Arial" w:cs="Arial" w:eastAsia="Arial" w:hAnsi="Arial"/>
          <w:sz w:val="16"/>
          <w:szCs w:val="16"/>
          <w:color w:val="auto"/>
        </w:rPr>
        <w:t>, No. 2:14-cv-07911 (C.D. Cal., filed Oct. 13, 2014), asserted claims under Sections 10(b) and 20(a) of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1934 and sought damages in an unspecified amount. Additionally, three putative stockholder derivative actions captioned </w:t>
      </w:r>
      <w:r>
        <w:rPr>
          <w:rFonts w:ascii="Arial" w:cs="Arial" w:eastAsia="Arial" w:hAnsi="Arial"/>
          <w:sz w:val="16"/>
          <w:szCs w:val="16"/>
          <w:i w:val="1"/>
          <w:iCs w:val="1"/>
          <w:color w:val="auto"/>
        </w:rPr>
        <w:t>Weisman v. Anzalone et al</w:t>
      </w:r>
      <w:r>
        <w:rPr>
          <w:rFonts w:ascii="Arial" w:cs="Arial" w:eastAsia="Arial" w:hAnsi="Arial"/>
          <w:sz w:val="16"/>
          <w:szCs w:val="16"/>
          <w:color w:val="auto"/>
        </w:rPr>
        <w:t xml:space="preserve">., No. 2:14-cv-08982 (C.D. Cal., filed Nov. 20, 2014), </w:t>
      </w:r>
      <w:r>
        <w:rPr>
          <w:rFonts w:ascii="Arial" w:cs="Arial" w:eastAsia="Arial" w:hAnsi="Arial"/>
          <w:sz w:val="16"/>
          <w:szCs w:val="16"/>
          <w:i w:val="1"/>
          <w:iCs w:val="1"/>
          <w:color w:val="auto"/>
        </w:rPr>
        <w:t>Bernstein (Backus) v. Anzalone, et al.</w:t>
      </w:r>
      <w:r>
        <w:rPr>
          <w:rFonts w:ascii="Arial" w:cs="Arial" w:eastAsia="Arial" w:hAnsi="Arial"/>
          <w:sz w:val="16"/>
          <w:szCs w:val="16"/>
          <w:color w:val="auto"/>
        </w:rPr>
        <w:t xml:space="preserve">, No. 2:14-cv-09247 (C.D. Cal., filed Dec. 2, 2014); and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2:15-cv-00446 (C.D. Cal., filed Jan. 22, 2015), were filed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ind w:right="80" w:firstLine="518"/>
        <w:spacing w:after="0" w:line="267" w:lineRule="auto"/>
        <w:rPr>
          <w:sz w:val="20"/>
          <w:szCs w:val="20"/>
          <w:color w:val="auto"/>
        </w:rPr>
      </w:pPr>
      <w:r>
        <w:rPr>
          <w:rFonts w:ascii="Arial" w:cs="Arial" w:eastAsia="Arial" w:hAnsi="Arial"/>
          <w:sz w:val="17"/>
          <w:szCs w:val="17"/>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7"/>
          <w:szCs w:val="17"/>
          <w:i w:val="1"/>
          <w:iCs w:val="1"/>
          <w:color w:val="auto"/>
        </w:rPr>
        <w:t>Meller v. Arrowhead Pharmaceuticals, Inc., et al.</w:t>
      </w:r>
      <w:r>
        <w:rPr>
          <w:rFonts w:ascii="Arial" w:cs="Arial" w:eastAsia="Arial" w:hAnsi="Arial"/>
          <w:sz w:val="17"/>
          <w:szCs w:val="17"/>
          <w:color w:val="auto"/>
        </w:rPr>
        <w:t xml:space="preserve">, No. 2:16-cv-08505 (C.D. Cal, filed Nov. 15, 2016 ), </w:t>
      </w:r>
      <w:r>
        <w:rPr>
          <w:rFonts w:ascii="Arial" w:cs="Arial" w:eastAsia="Arial" w:hAnsi="Arial"/>
          <w:sz w:val="17"/>
          <w:szCs w:val="17"/>
          <w:i w:val="1"/>
          <w:iCs w:val="1"/>
          <w:color w:val="auto"/>
        </w:rPr>
        <w:t>Siegel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 et al</w:t>
      </w:r>
      <w:r>
        <w:rPr>
          <w:rFonts w:ascii="Arial" w:cs="Arial" w:eastAsia="Arial" w:hAnsi="Arial"/>
          <w:sz w:val="17"/>
          <w:szCs w:val="17"/>
          <w:color w:val="auto"/>
        </w:rPr>
        <w:t>., No. 2:16-cv-8954 (C.D. Cal., filed Dec. 2, 2016), and</w:t>
      </w:r>
      <w:r>
        <w:rPr>
          <w:rFonts w:ascii="Arial" w:cs="Arial" w:eastAsia="Arial" w:hAnsi="Arial"/>
          <w:sz w:val="17"/>
          <w:szCs w:val="17"/>
          <w:i w:val="1"/>
          <w:iCs w:val="1"/>
          <w:color w:val="auto"/>
        </w:rPr>
        <w:t xml:space="preserve"> Unz v. Arrowhead Pharmaceuticals, Inc., et al</w:t>
      </w:r>
      <w:r>
        <w:rPr>
          <w:rFonts w:ascii="Arial" w:cs="Arial" w:eastAsia="Arial" w:hAnsi="Arial"/>
          <w:sz w:val="17"/>
          <w:szCs w:val="17"/>
          <w:color w:val="auto"/>
        </w:rPr>
        <w:t>., No.2:17-cv-00310 (C.D.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7"/>
          <w:szCs w:val="17"/>
          <w:i w:val="1"/>
          <w:iCs w:val="1"/>
          <w:color w:val="auto"/>
        </w:rPr>
        <w:t>Johnson v. Anzalone, et al</w:t>
      </w:r>
      <w:r>
        <w:rPr>
          <w:rFonts w:ascii="Arial" w:cs="Arial" w:eastAsia="Arial" w:hAnsi="Arial"/>
          <w:sz w:val="17"/>
          <w:szCs w:val="17"/>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7"/>
          <w:szCs w:val="17"/>
          <w:i w:val="1"/>
          <w:iCs w:val="1"/>
          <w:color w:val="auto"/>
        </w:rPr>
        <w:t xml:space="preserve">Lucas v. Anzalone, et al., </w:t>
      </w:r>
      <w:r>
        <w:rPr>
          <w:rFonts w:ascii="Arial" w:cs="Arial" w:eastAsia="Arial" w:hAnsi="Arial"/>
          <w:sz w:val="17"/>
          <w:szCs w:val="17"/>
          <w:color w:val="auto"/>
        </w:rPr>
        <w:t>No. 2:17-cv-03207 (C.D. Cal., filed April 28, 2017), and</w:t>
      </w:r>
      <w:r>
        <w:rPr>
          <w:rFonts w:ascii="Arial" w:cs="Arial" w:eastAsia="Arial" w:hAnsi="Arial"/>
          <w:sz w:val="17"/>
          <w:szCs w:val="17"/>
          <w:i w:val="1"/>
          <w:iCs w:val="1"/>
          <w:color w:val="auto"/>
        </w:rPr>
        <w:t xml:space="preserve"> Singh v. Anzalone, et al</w:t>
      </w:r>
      <w:r>
        <w:rPr>
          <w:rFonts w:ascii="Arial" w:cs="Arial" w:eastAsia="Arial" w:hAnsi="Arial"/>
          <w:sz w:val="17"/>
          <w:szCs w:val="17"/>
          <w:color w:val="auto"/>
        </w:rPr>
        <w:t>., No. 2:17-cv-03160 (C.D. Cal., filed April 27,</w:t>
      </w:r>
      <w:r>
        <w:rPr>
          <w:rFonts w:ascii="Arial" w:cs="Arial" w:eastAsia="Arial" w:hAnsi="Arial"/>
          <w:sz w:val="17"/>
          <w:szCs w:val="17"/>
          <w:i w:val="1"/>
          <w:iCs w:val="1"/>
          <w:color w:val="auto"/>
        </w:rPr>
        <w:t xml:space="preserve"> </w:t>
      </w:r>
      <w:r>
        <w:rPr>
          <w:rFonts w:ascii="Arial" w:cs="Arial" w:eastAsia="Arial" w:hAnsi="Arial"/>
          <w:sz w:val="17"/>
          <w:szCs w:val="17"/>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September 30, 2018, these future commitments were estimated at approximately $27.5 million, of which approximately $20.1 million is expected to be incurred in fiscal 2019, and $7.4 is expected to be incurred beyond fiscal 2019.</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years ended September 30, 2018, 2017 and 2016, the Company reached milestones amounting to $0, $0 and $3.0 million, respectively, based on progress achieved on the Company’s previous clinical candidates. In certain agreements, the Company may be required to make mid to high single-digit percentage royalty payments based on a percentage of the sales of the relevant products.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September 30, 2018, 1,783,568 and 6,262,690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September 30, 2018, there were options granted and outstanding to purchase 1,783,568 and 3,057,022 shares of Common Stock under the 2004 Equity Incentive Plan and the 2013 Incentive Plan, respectively, and there were 2,965,999 restricted stock units granted and outstanding under the 2013 Incentive Plan. Also, as of September 30, 2018, there were 683,809 shares reserved for options and 2,500 restricted stock units issued as inducement grants to new employees outside of equity compensation plans. During the year ended September 30, 2018, no options or restricted stock units were granted under the 2004 Equity Incentive Plan, 467,000 options and 1,243,000 restricted stock units were granted under the 2013 Incentive Plan, and 355,000 options and 2,500 restricted stock units were granted as inducement awards to new employees outside of equity incentive plans.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5,549,543</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822,000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(242,533)</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(604,611)</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5,524,399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6"/>
              </w:rPr>
              <w:t>6.0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w w:val="97"/>
              </w:rPr>
              <w:t>72,152,284</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Exercisable At September 30, 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3,998,427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86"/>
              </w:rPr>
              <w:t>5.1 years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50,361,428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years ended September 30, 2018, 2017 and 2016 was $3,265,348, $4,524,833 and $6,361,396, respectively. The Company does not recognize an income tax benefit as the Company is currently operating at a loss and an actual income tax benefit may not be realized.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grant date fair value of the options granted by the Company for the years ended September 30, 2018, 2017 and 2016 was $4,141,318, $849,816 and $6,426,707, respectively.</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intrinsic value of the options exercised during the years ended September 30, 2018, 2017 and 2016 was $5,805,317, $35,512 and $142,690, respectively.</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September 30, 2018, the pre-tax compensation expense for all outstanding unvested stock options in the amount of approximately $5,117,079 will be recognized in the Company’s results of operations over a weighted average period of 2.7 years.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1520" w:type="dxa"/>
            <w:vAlign w:val="bottom"/>
            <w:tcBorders>
              <w:bottom w:val="single" w:sz="8" w:color="auto"/>
            </w:tcBorders>
          </w:tcPr>
          <w:p>
            <w:pPr>
              <w:spacing w:after="0"/>
              <w:rPr>
                <w:sz w:val="14"/>
                <w:szCs w:val="14"/>
                <w:color w:val="auto"/>
              </w:rPr>
            </w:pPr>
          </w:p>
        </w:tc>
      </w:tr>
      <w:tr>
        <w:trPr>
          <w:trHeight w:val="196"/>
        </w:trPr>
        <w:tc>
          <w:tcPr>
            <w:tcW w:w="65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2.05 – 2.99%</w:t>
            </w:r>
          </w:p>
        </w:tc>
        <w:tc>
          <w:tcPr>
            <w:tcW w:w="12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1.34 – 2.31%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1.05 – 1.89%</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c>
          <w:tcPr>
            <w:tcW w:w="166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88"/>
              </w:rPr>
              <w:t>79%</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660" w:type="dxa"/>
            <w:vAlign w:val="bottom"/>
            <w:gridSpan w:val="2"/>
          </w:tcPr>
          <w:p>
            <w:pPr>
              <w:jc w:val="center"/>
              <w:ind w:left="17"/>
              <w:spacing w:after="0"/>
              <w:rPr>
                <w:sz w:val="20"/>
                <w:szCs w:val="20"/>
                <w:color w:val="auto"/>
              </w:rPr>
            </w:pPr>
            <w:r>
              <w:rPr>
                <w:rFonts w:ascii="Arial" w:cs="Arial" w:eastAsia="Arial" w:hAnsi="Arial"/>
                <w:sz w:val="18"/>
                <w:szCs w:val="18"/>
                <w:color w:val="auto"/>
                <w:w w:val="91"/>
              </w:rPr>
              <w:t>5.85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6.25</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$5.04</w:t>
            </w:r>
          </w:p>
        </w:tc>
        <w:tc>
          <w:tcPr>
            <w:tcW w:w="166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88"/>
              </w:rPr>
              <w:t>$1.33</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$4.58</w:t>
            </w: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Restricted stock units (RSUs), including time-based and performance-based awards, were granted under the Company’s 2013 Incentive Plan and as inducement grants granted outside of the Plan. During the year ended September 30, 2018, the Company issued 1,243,000 RSUs under the 2013 Incentive Plan and 2,500 RSUs as an inducement award to a new employee outside of the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2017</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3,108,000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1,245,500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(1,335,000)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2018</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2,968,500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During the years ended September 30, 2018, 2017 and 2016, the Company recorded $5,189,259, $3,366,762 and $5,234,420 of expense related to RSUs, respectively. Such expense is included in stock-based compensation expense in the Company’s Consolidated Statement of Operations and Comprehensive Loss. The Company does not recognize an income tax benefit as the Company is currently operating at a loss and an actual income tax benefit may not be realized. For RSUs, the expense creates a timing difference, resulting in a deferred tax asset, which is fully reserved by a valuation allowance.</w:t>
      </w:r>
    </w:p>
    <w:p>
      <w:pPr>
        <w:spacing w:after="0" w:line="18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September 30, 2018, the pre-tax compensation expense for all unvested RSUs in the amount of approximately $2,451,889 will be recognized in the Company’s results of operations over a weighted average period of 2.6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8" w:name="page79"/>
    <w:bookmarkEnd w:id="78"/>
    <w:p>
      <w:pPr>
        <w:ind w:right="36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September 30, 2018 and September 30, 2017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774"/>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6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30,133,213</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30,133,213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50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45,971,126</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45,971,126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shd w:val="clear" w:color="auto" w:fill="CCECFF"/>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shd w:val="clear" w:color="auto" w:fill="CCECFF"/>
          </w:tcPr>
          <w:p>
            <w:pPr>
              <w:spacing w:after="0"/>
              <w:rPr>
                <w:sz w:val="18"/>
                <w:szCs w:val="18"/>
                <w:color w:val="auto"/>
              </w:rPr>
            </w:pPr>
          </w:p>
        </w:tc>
        <w:tc>
          <w:tcPr>
            <w:tcW w:w="1400" w:type="dxa"/>
            <w:vAlign w:val="bottom"/>
            <w:shd w:val="clear" w:color="auto" w:fill="CCEC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920" w:type="dxa"/>
            <w:vAlign w:val="bottom"/>
            <w:shd w:val="clear" w:color="auto" w:fill="CCEC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7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6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4"/>
                <w:szCs w:val="2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6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24,838,567</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500" w:type="dxa"/>
            <w:vAlign w:val="bottom"/>
          </w:tcPr>
          <w:p>
            <w:pPr>
              <w:spacing w:after="0"/>
              <w:rPr>
                <w:sz w:val="18"/>
                <w:szCs w:val="18"/>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40,434,784</w:t>
            </w:r>
          </w:p>
        </w:tc>
        <w:tc>
          <w:tcPr>
            <w:tcW w:w="38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40,434,784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0" w:type="dxa"/>
            <w:vAlign w:val="bottom"/>
            <w:shd w:val="clear" w:color="auto" w:fill="CCECFF"/>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shd w:val="clear" w:color="auto" w:fill="CCECFF"/>
          </w:tcPr>
          <w:p>
            <w:pPr>
              <w:spacing w:after="0"/>
              <w:rPr>
                <w:sz w:val="18"/>
                <w:szCs w:val="18"/>
                <w:color w:val="auto"/>
              </w:rPr>
            </w:pPr>
          </w:p>
        </w:tc>
        <w:tc>
          <w:tcPr>
            <w:tcW w:w="1400" w:type="dxa"/>
            <w:vAlign w:val="bottom"/>
            <w:shd w:val="clear" w:color="auto" w:fill="CCEC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920" w:type="dxa"/>
            <w:vAlign w:val="bottom"/>
            <w:shd w:val="clear" w:color="auto" w:fill="CCECFF"/>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34"/>
              <w:spacing w:after="0"/>
              <w:rPr>
                <w:sz w:val="20"/>
                <w:szCs w:val="20"/>
                <w:color w:val="auto"/>
              </w:rPr>
            </w:pPr>
            <w:r>
              <w:rPr>
                <w:rFonts w:ascii="Arial" w:cs="Arial" w:eastAsia="Arial" w:hAnsi="Arial"/>
                <w:sz w:val="18"/>
                <w:szCs w:val="18"/>
                <w:color w:val="auto"/>
              </w:rPr>
              <w:t>695,114</w:t>
            </w:r>
          </w:p>
        </w:tc>
        <w:tc>
          <w:tcPr>
            <w:tcW w:w="50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695,114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part of a financing in January 2013, Arrowhead issued warrants to purchase up to 833,530 shares of Common Stock (the “2013 Warrants”) of which 0 warrants were outstanding at September 30, 2018. Further, as part of a financing in December 2012, Arrowhead issued warrants to purchase up to 912,543 shares of Common Stock (the “2012 Warrants”) of which warrants to exercise 143,811 shares remained unexercised and were cancelled at their expiration during the three months ended December 31, 2017. Each of the Warrants contained a mechanism to adjust the strike price upon the issuance of certain dilutive equity securities. If during the terms of the Warrants, the Company issued Common Stock at a price lower than the exercise price for the Warrants, the exercise price would be reduced to the amount equal to the issuance price of the Common Stock. As a result of these features, the Warrants were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was estimated at the end of each reporting period and the change in the fair value of the Warrants was recorded as a non-operating gain or loss as change in value of derivatives in the Company’s Consolidated Statement of Operations and Comprehensive Loss. During the years ended September 30, 2018, 2017 and 2016, the Company recorded a non-cash gain/(loss) from the change in fair value of the derivative liability of $432,141, $870,760 and $(293,072), respectively.</w:t>
      </w:r>
    </w:p>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2017</w:t>
            </w:r>
          </w:p>
        </w:tc>
        <w:tc>
          <w:tcPr>
            <w:tcW w:w="14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(432,141)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(262,973)</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2018</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derivative assets/liabilities were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was the Company’s stock price. Other inputs have a comparatively insignificant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firstLine="518"/>
        <w:spacing w:after="0" w:line="287" w:lineRule="auto"/>
        <w:rPr>
          <w:sz w:val="20"/>
          <w:szCs w:val="20"/>
          <w:color w:val="auto"/>
        </w:rPr>
      </w:pPr>
      <w:r>
        <w:rPr>
          <w:rFonts w:ascii="Arial" w:cs="Arial" w:eastAsia="Arial" w:hAnsi="Arial"/>
          <w:sz w:val="16"/>
          <w:szCs w:val="16"/>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September 30, 2018 and September 30, 2017.</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47" w:lineRule="exact"/>
        <w:rPr>
          <w:sz w:val="20"/>
          <w:szCs w:val="20"/>
          <w:color w:val="auto"/>
        </w:rPr>
      </w:pPr>
    </w:p>
    <w:p>
      <w:pPr>
        <w:ind w:right="100" w:firstLine="518"/>
        <w:spacing w:after="0" w:line="327"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tax asset (liability) at September 30, 2018 and 2017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196"/>
        </w:trPr>
        <w:tc>
          <w:tcPr>
            <w:tcW w:w="766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Accrued compensation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1,085,908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1,337,619</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Stock compensation</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4,188,368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5,670,468</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Capitalized research and development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1,227,137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2,196,542</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Fixed Assets</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404,836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203,477</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Net operating losses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114,142,741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7"/>
                <w:szCs w:val="17"/>
                <w:color w:val="auto"/>
              </w:rPr>
              <w:t>132,119,837</w:t>
            </w:r>
          </w:p>
        </w:tc>
      </w:tr>
      <w:tr>
        <w:trPr>
          <w:trHeight w:val="203"/>
        </w:trPr>
        <w:tc>
          <w:tcPr>
            <w:tcW w:w="7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Intangible Assets</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3,854,752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5,358,700</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1,068,206</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Rent</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566,535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865,675</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Capital Loss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709,779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1,020,162</w:t>
            </w:r>
          </w:p>
        </w:tc>
        <w:tc>
          <w:tcPr>
            <w:tcW w:w="80" w:type="dxa"/>
            <w:vAlign w:val="bottom"/>
          </w:tcPr>
          <w:p>
            <w:pPr>
              <w:spacing w:after="0"/>
              <w:rPr>
                <w:sz w:val="17"/>
                <w:szCs w:val="17"/>
                <w:color w:val="auto"/>
              </w:rPr>
            </w:pPr>
          </w:p>
        </w:tc>
      </w:tr>
      <w:tr>
        <w:trPr>
          <w:trHeight w:val="196"/>
        </w:trPr>
        <w:tc>
          <w:tcPr>
            <w:tcW w:w="76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deferred tax assets</w:t>
            </w:r>
          </w:p>
        </w:tc>
        <w:tc>
          <w:tcPr>
            <w:tcW w:w="1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126,180,056</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149,840,686</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(116,875,075)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(136,625,436)</w:t>
            </w:r>
          </w:p>
        </w:tc>
        <w:tc>
          <w:tcPr>
            <w:tcW w:w="100" w:type="dxa"/>
            <w:vAlign w:val="bottom"/>
            <w:gridSpan w:val="2"/>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State taxes</w:t>
            </w:r>
          </w:p>
        </w:tc>
        <w:tc>
          <w:tcPr>
            <w:tcW w:w="12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(9,304,981)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(13,215,250)</w:t>
            </w:r>
          </w:p>
        </w:tc>
      </w:tr>
      <w:tr>
        <w:trPr>
          <w:trHeight w:val="196"/>
        </w:trPr>
        <w:tc>
          <w:tcPr>
            <w:tcW w:w="76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deferred tax liability</w:t>
            </w:r>
          </w:p>
        </w:tc>
        <w:tc>
          <w:tcPr>
            <w:tcW w:w="1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(9,304,981)</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(13,215,250)</w:t>
            </w:r>
          </w:p>
        </w:tc>
        <w:tc>
          <w:tcPr>
            <w:tcW w:w="100" w:type="dxa"/>
            <w:vAlign w:val="bottom"/>
            <w:tcBorders>
              <w:top w:val="single" w:sz="8" w:color="CFF0FC"/>
            </w:tcBorders>
            <w:gridSpan w:val="2"/>
            <w:shd w:val="clear" w:color="auto" w:fill="CFF0FC"/>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Arial" w:cs="Arial" w:eastAsia="Arial" w:hAnsi="Arial"/>
                <w:sz w:val="17"/>
                <w:szCs w:val="17"/>
                <w:color w:val="auto"/>
              </w:rPr>
              <w:t>Net deferred tax assets (liabilities)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has concluded, in accordance with the applicable accounting standards, that it is more likely 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recorded a full valuation allowance related to all of its deferred tax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0" w:name="page81"/>
    <w:bookmarkEnd w:id="80"/>
    <w:p>
      <w:pPr>
        <w:ind w:right="100" w:firstLine="518"/>
        <w:spacing w:after="0" w:line="264" w:lineRule="auto"/>
        <w:rPr>
          <w:sz w:val="20"/>
          <w:szCs w:val="20"/>
          <w:color w:val="auto"/>
        </w:rPr>
      </w:pPr>
      <w:r>
        <w:rPr>
          <w:rFonts w:ascii="Arial" w:cs="Arial" w:eastAsia="Arial" w:hAnsi="Arial"/>
          <w:sz w:val="18"/>
          <w:szCs w:val="18"/>
          <w:color w:val="auto"/>
        </w:rPr>
        <w:t>As of September 30, 2017, the Company had available gross federal net operating loss (NOL) carry forwards of $284.8 million and gross state NOL carry forwards of $196.6 million. Gross federal NOL carry forwards for 2018 are estimated at $62.8 million, and gross state NOL carry forwards for 2018 are estimated at $62.8 million. The NOLs expire at various dates through 2038.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provisions for income taxes for the years ended September 30, 2018 and 2017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8"/>
                <w:szCs w:val="18"/>
                <w:color w:val="auto"/>
              </w:rPr>
            </w:pPr>
          </w:p>
        </w:tc>
        <w:tc>
          <w:tcPr>
            <w:tcW w:w="16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Federal</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State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0" w:type="dxa"/>
            <w:vAlign w:val="bottom"/>
            <w:vMerge w:val="restart"/>
          </w:tcPr>
          <w:p>
            <w:pPr>
              <w:spacing w:after="0"/>
              <w:rPr>
                <w:sz w:val="20"/>
                <w:szCs w:val="20"/>
                <w:color w:val="auto"/>
              </w:rPr>
            </w:pPr>
            <w:r>
              <w:rPr>
                <w:rFonts w:ascii="Arial" w:cs="Arial" w:eastAsia="Arial" w:hAnsi="Arial"/>
                <w:sz w:val="18"/>
                <w:szCs w:val="18"/>
                <w:color w:val="auto"/>
                <w:w w:val="97"/>
              </w:rPr>
              <w:t>2017:</w:t>
            </w:r>
          </w:p>
        </w:tc>
        <w:tc>
          <w:tcPr>
            <w:tcW w:w="11060" w:type="dxa"/>
            <w:vAlign w:val="bottom"/>
            <w:gridSpan w:val="10"/>
          </w:tcPr>
          <w:p>
            <w:pPr>
              <w:ind w:left="60"/>
              <w:spacing w:after="0"/>
              <w:rPr>
                <w:sz w:val="20"/>
                <w:szCs w:val="20"/>
                <w:color w:val="auto"/>
              </w:rPr>
            </w:pPr>
            <w:r>
              <w:rPr>
                <w:rFonts w:ascii="Arial" w:cs="Arial" w:eastAsia="Arial" w:hAnsi="Arial"/>
                <w:sz w:val="18"/>
                <w:szCs w:val="18"/>
                <w:color w:val="auto"/>
                <w:w w:val="94"/>
              </w:rPr>
              <w:t>The Company’s effective income tax rate differs from the statutory federal income tax rate as follows for the years ended September 30, 2018 and</w:t>
            </w: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60" w:type="dxa"/>
            <w:vAlign w:val="bottom"/>
            <w:tcBorders>
              <w:bottom w:val="single" w:sz="8" w:color="CFF0FC"/>
            </w:tcBorders>
          </w:tcPr>
          <w:p>
            <w:pPr>
              <w:spacing w:after="0"/>
              <w:rPr>
                <w:sz w:val="24"/>
                <w:szCs w:val="24"/>
                <w:color w:val="auto"/>
              </w:rPr>
            </w:pPr>
          </w:p>
        </w:tc>
        <w:tc>
          <w:tcPr>
            <w:tcW w:w="766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At U.S. federal statutory rate</w:t>
            </w:r>
          </w:p>
        </w:tc>
        <w:tc>
          <w:tcPr>
            <w:tcW w:w="200" w:type="dxa"/>
            <w:vAlign w:val="bottom"/>
            <w:shd w:val="clear" w:color="auto" w:fill="CFF0FC"/>
          </w:tcPr>
          <w:p>
            <w:pPr>
              <w:spacing w:after="0"/>
              <w:rPr>
                <w:sz w:val="18"/>
                <w:szCs w:val="18"/>
                <w:color w:val="auto"/>
              </w:rPr>
            </w:pPr>
          </w:p>
        </w:tc>
        <w:tc>
          <w:tcPr>
            <w:tcW w:w="16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21.0%</w:t>
            </w:r>
          </w:p>
        </w:tc>
        <w:tc>
          <w:tcPr>
            <w:tcW w:w="15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State taxes, net of federal effect</w:t>
            </w:r>
          </w:p>
        </w:tc>
        <w:tc>
          <w:tcPr>
            <w:tcW w:w="200" w:type="dxa"/>
            <w:vAlign w:val="bottom"/>
          </w:tcPr>
          <w:p>
            <w:pPr>
              <w:spacing w:after="0"/>
              <w:rPr>
                <w:sz w:val="18"/>
                <w:szCs w:val="18"/>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8"/>
                <w:szCs w:val="18"/>
                <w:color w:val="auto"/>
              </w:rPr>
              <w:t>7.9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200" w:type="dxa"/>
            <w:vAlign w:val="bottom"/>
            <w:shd w:val="clear" w:color="auto" w:fill="CFF0FC"/>
          </w:tcPr>
          <w:p>
            <w:pPr>
              <w:spacing w:after="0"/>
              <w:rPr>
                <w:sz w:val="18"/>
                <w:szCs w:val="18"/>
                <w:color w:val="auto"/>
              </w:rPr>
            </w:pPr>
          </w:p>
        </w:tc>
        <w:tc>
          <w:tcPr>
            <w:tcW w:w="16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2.6</w:t>
            </w: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Mark-to-market adjustments</w:t>
            </w:r>
          </w:p>
        </w:tc>
        <w:tc>
          <w:tcPr>
            <w:tcW w:w="200" w:type="dxa"/>
            <w:vAlign w:val="bottom"/>
          </w:tcPr>
          <w:p>
            <w:pPr>
              <w:spacing w:after="0"/>
              <w:rPr>
                <w:sz w:val="18"/>
                <w:szCs w:val="18"/>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8"/>
                <w:szCs w:val="18"/>
                <w:color w:val="auto"/>
              </w:rPr>
              <w:t>0.2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FF0FC"/>
          </w:tcPr>
          <w:p>
            <w:pPr>
              <w:spacing w:after="0"/>
              <w:rPr>
                <w:sz w:val="18"/>
                <w:szCs w:val="18"/>
                <w:color w:val="auto"/>
              </w:rPr>
            </w:pPr>
          </w:p>
        </w:tc>
        <w:tc>
          <w:tcPr>
            <w:tcW w:w="16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36.2</w:t>
            </w: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True-up on deferred taxes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blended rate change</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Federal tax rate change in 2018</w:t>
            </w:r>
          </w:p>
        </w:tc>
        <w:tc>
          <w:tcPr>
            <w:tcW w:w="200" w:type="dxa"/>
            <w:vAlign w:val="bottom"/>
          </w:tcPr>
          <w:p>
            <w:pPr>
              <w:spacing w:after="0"/>
              <w:rPr>
                <w:sz w:val="18"/>
                <w:szCs w:val="18"/>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8"/>
                <w:szCs w:val="18"/>
                <w:color w:val="auto"/>
              </w:rPr>
              <w:t>(67.9)</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5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0.0%</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December 2017, the President of the United States signed into law the Tax Cuts and Jobs Act, or TCJA, tax reform legislation. The TCJA makes significant changes in U.S. tax law including a reduction in the corporate tax rates, changes to net operating loss carryforwards and carrybacks, and a repeal of the corporate alternative minimum tax. The TCJA reduced the U.S. corporate tax rate from the current rate of 35 percent down to 21 percent starting on January 1, 2018. As a result of the TCJA, we were required to revalue deferred tax assets and liabilities at 21 percent. This revaluation resulted in a provision of $37.0 million to income tax expense in continuing operations and a corresponding reduction in the valuation allowance. As a result, there was no impact to our Consolidated Statements of Comprehensive Loss as a result of the reduction in tax rates. The other provisions of the TCJA did not have a material impact on our Consolidated Financial Statements.</w:t>
      </w:r>
    </w:p>
    <w:p>
      <w:pPr>
        <w:spacing w:after="0" w:line="17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2018 and 2017.</w:t>
      </w:r>
    </w:p>
    <w:p>
      <w:pPr>
        <w:spacing w:after="0" w:line="18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Company files income tax returns with the Internal Revenue Service (“IRS”), the state of California, the Australia Tax Office (“ATO”) and certain other taxing jurisdictions. The Company is subject to income tax examinations by the IRS and by state tax authorities until the net operating losses are settled. During the three months ended September 30, 2016, the IRS commenced an audit for the tax year ended September 30, 2015. The IRS audit concluded without any material adjustments.</w:t>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41" w:right="1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years ended September 30, 2018, 2017, and 2016, we recorded expenses under this plan of $451,623, $426,470 and $476,835, respectively.</w:t>
      </w:r>
    </w:p>
    <w:p>
      <w:pPr>
        <w:spacing w:after="0" w:line="24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to the employee benefit plans described above, the Company provides certain employee benefit plans, including those which provide health and life insurance benefits to employees.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selected unaudited quarterly financial data for each full quarterly period of the years ended September 30, 2018 and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First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2018</w:t>
            </w:r>
          </w:p>
        </w:tc>
        <w:tc>
          <w:tcPr>
            <w:tcW w:w="2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3,509,821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(13,813,348)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(15,034,059)</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(15,919,719)</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(11,169,109)</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(13,198,878)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(14,884,311)</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(15,606,017)</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(10,761,272)</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Loss per share (Basic and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Third</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Fourth</w:t>
            </w: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2017</w:t>
            </w:r>
          </w:p>
        </w:tc>
        <w:tc>
          <w:tcPr>
            <w:tcW w:w="2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4,365,496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8,985,930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9,342,498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(14,901,887)</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(6,129,642)</w:t>
            </w:r>
          </w:p>
        </w:tc>
        <w:tc>
          <w:tcPr>
            <w:tcW w:w="200" w:type="dxa"/>
            <w:vAlign w:val="bottom"/>
          </w:tcPr>
          <w:p>
            <w:pPr>
              <w:spacing w:after="0"/>
              <w:rPr>
                <w:sz w:val="18"/>
                <w:szCs w:val="18"/>
                <w:color w:val="auto"/>
              </w:rPr>
            </w:pP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(5,714,164)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(10,250,216)</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(12,086,108)</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(6,042,557)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(5,519,741)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(10,731,889)</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Loss per share (Basic and 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SUBSEQUENT EVENTS</w:t>
      </w:r>
    </w:p>
    <w:p>
      <w:pPr>
        <w:spacing w:after="0" w:line="229" w:lineRule="exact"/>
        <w:rPr>
          <w:sz w:val="20"/>
          <w:szCs w:val="20"/>
          <w:color w:val="auto"/>
        </w:rPr>
      </w:pPr>
    </w:p>
    <w:p>
      <w:pPr>
        <w:ind w:right="20" w:firstLine="305"/>
        <w:spacing w:after="0" w:line="285"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license agreement and up to low teens under the collaboration and option agreement on product sales.</w:t>
      </w:r>
    </w:p>
    <w:p>
      <w:pPr>
        <w:spacing w:after="0" w:line="178" w:lineRule="exact"/>
        <w:rPr>
          <w:sz w:val="20"/>
          <w:szCs w:val="20"/>
          <w:color w:val="auto"/>
        </w:rPr>
      </w:pPr>
    </w:p>
    <w:p>
      <w:pPr>
        <w:ind w:right="300" w:firstLine="305"/>
        <w:spacing w:after="0" w:line="277" w:lineRule="auto"/>
        <w:rPr>
          <w:sz w:val="20"/>
          <w:szCs w:val="20"/>
          <w:color w:val="auto"/>
        </w:rPr>
      </w:pPr>
      <w:r>
        <w:rPr>
          <w:rFonts w:ascii="Arial" w:cs="Arial" w:eastAsia="Arial" w:hAnsi="Arial"/>
          <w:sz w:val="18"/>
          <w:szCs w:val="18"/>
          <w:color w:val="auto"/>
        </w:rPr>
        <w:t>In October 2018, the Company repaid the entire balance due for the Note Payable associated with its Madison research and development facility lease discussed in Note 7 – Commitments and Contingencies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Australia Pty Ltd</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hereby consent to the incorporation by reference in the Registration Statements on Forms S-1 (Nos. 333-164039 and 333-161344), Forms S-3 (Nos. 333-202737, 333-191922, 333-188718, 333-178532, 333-178073, 333-178072, 333-144109, 333-137329, 333-132310, 333-124065, 333-113065, 333-213484, 333-214311, and 333-214315, and 333-228598), and Forms S-8 (Nos. 333-223836, 333-202741, 333-198920, 333-194596, 333-190970, 333-180692, 333-170252, 333-136225, 333-124066, 333-120072, 333-210117, and 333-223836) of Arrowhead Pharmaceuticals, Inc. of our report dated December 11, 2018, with respect to the consolidated balance sheets of Arrowhead Pharmaceuticals, Inc. and Subsidiaries as of September 30, 2018 and September 30, 2017, and the related consolidated statements of operations and comprehensive loss, stockholders’ equity and cash flows for each of the years in the three-year period ended September 30, 2018, and the effectiveness of internal control over financial reporting as of September 30, 2018, which reports appear in the September 30, 2018 annual report on Form 10-K of 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2018</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3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2018,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2018,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o"/>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o"/>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lvl w:ilvl="1">
      <w:lvlJc w:val="left"/>
      <w:lvlText w:val="o"/>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lvl w:ilvl="1">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75" Type="http://schemas.openxmlformats.org/officeDocument/2006/relationships/hyperlink" Target="http://www.sec.gov/Archives/edgar/data/879407/000119312511347334/d265091dex21.htm" TargetMode="External"/><Relationship Id="rId76" Type="http://schemas.openxmlformats.org/officeDocument/2006/relationships/hyperlink" Target="http://www.sec.gov/Archives/edgar/data/879407/000156459015003902/arwr-ex21_20150331298.htm" TargetMode="External"/><Relationship Id="rId77" Type="http://schemas.openxmlformats.org/officeDocument/2006/relationships/hyperlink" Target="http://www.sec.gov/Archives/edgar/data/879407/000119312516532364/d175317dex33.htm" TargetMode="External"/><Relationship Id="rId78" Type="http://schemas.openxmlformats.org/officeDocument/2006/relationships/hyperlink" Target="http://www.sec.gov/Archives/edgar/data/879407/000119312516532364/d175317dex34.htm" TargetMode="External"/><Relationship Id="rId79" Type="http://schemas.openxmlformats.org/officeDocument/2006/relationships/hyperlink" Target="http://www.sec.gov/Archives/edgar/data/879407/000119312512500051/d451384dex42.htm" TargetMode="External"/><Relationship Id="rId80" Type="http://schemas.openxmlformats.org/officeDocument/2006/relationships/hyperlink" Target="http://www.sec.gov/Archives/edgar/data/879407/000119312513029963/d476118dex42.htm" TargetMode="External"/><Relationship Id="rId81" Type="http://schemas.openxmlformats.org/officeDocument/2006/relationships/hyperlink" Target="http://www.sec.gov/Archives/edgar/data/879407/000119312516532364/d175317dex41.htm" TargetMode="External"/><Relationship Id="rId82" Type="http://schemas.openxmlformats.org/officeDocument/2006/relationships/hyperlink" Target="http://www.sec.gov/Archives/edgar/data/879407/000119312516751770/d278005dex42.htm" TargetMode="External"/><Relationship Id="rId83" Type="http://schemas.openxmlformats.org/officeDocument/2006/relationships/hyperlink" Target="http://www.sec.gov/Archives/edgar/data/879407/000119312517092797/d319463dex41.htm" TargetMode="External"/><Relationship Id="rId84" Type="http://schemas.openxmlformats.org/officeDocument/2006/relationships/hyperlink" Target="http://www.sec.gov/Archives/edgar/data/879407/000101540200003706/0001015402-00-003706-0001.txt" TargetMode="External"/><Relationship Id="rId85" Type="http://schemas.openxmlformats.org/officeDocument/2006/relationships/hyperlink" Target="http://www.sec.gov/Archives/edgar/data/879407/000119312512009893/d275001ddef14a.htm" TargetMode="External"/><Relationship Id="rId86" Type="http://schemas.openxmlformats.org/officeDocument/2006/relationships/hyperlink" Target="http://www.sec.gov/Archives/edgar/data/879407/000119312513481209/d647635ddef14a.htm" TargetMode="External"/><Relationship Id="rId87" Type="http://schemas.openxmlformats.org/officeDocument/2006/relationships/hyperlink" Target="http://www.sec.gov/Archives/edgar/data/879407/000119312514048097/d675317dex101.htm" TargetMode="External"/><Relationship Id="rId88" Type="http://schemas.openxmlformats.org/officeDocument/2006/relationships/hyperlink" Target="http://www.sec.gov/Archives/edgar/data/879407/000119312514048097/d675317dex102.htm" TargetMode="External"/><Relationship Id="rId91" Type="http://schemas.openxmlformats.org/officeDocument/2006/relationships/hyperlink" Target="http://www.sec.gov/Archives/edgar/data/879407/000119312506253375/dex1011.htm" TargetMode="External"/><Relationship Id="rId92" Type="http://schemas.openxmlformats.org/officeDocument/2006/relationships/hyperlink" Target="http://www.sec.gov/Archives/edgar/data/879407/000119312508133616/dex101.htm" TargetMode="External"/><Relationship Id="rId93" Type="http://schemas.openxmlformats.org/officeDocument/2006/relationships/hyperlink" Target="http://www.sec.gov/Archives/edgar/data/879407/000119312509258134/dex108.htm" TargetMode="External"/><Relationship Id="rId94" Type="http://schemas.openxmlformats.org/officeDocument/2006/relationships/hyperlink" Target="http://www.sec.gov/Archives/edgar/data/879407/000119312511347334/d265091dex1033.htm" TargetMode="External"/><Relationship Id="rId95" Type="http://schemas.openxmlformats.org/officeDocument/2006/relationships/hyperlink" Target="http://www.sec.gov/Archives/edgar/data/879407/000119312511347334/d265091dex1036.htm" TargetMode="External"/><Relationship Id="rId96" Type="http://schemas.openxmlformats.org/officeDocument/2006/relationships/hyperlink" Target="http://www.sec.gov/Archives/edgar/data/879407/000119312512218387/d336351dex101.htm" TargetMode="External"/><Relationship Id="rId97" Type="http://schemas.openxmlformats.org/officeDocument/2006/relationships/hyperlink" Target="http://www.sec.gov/Archives/edgar/data/879407/000156459014003557/arwr-ex10_20140630353.htm" TargetMode="External"/><Relationship Id="rId98" Type="http://schemas.openxmlformats.org/officeDocument/2006/relationships/hyperlink" Target="http://www.sec.gov/Archives/edgar/data/879407/000156459016012515/arwr-ex101_83.htm" TargetMode="External"/><Relationship Id="rId99" Type="http://schemas.openxmlformats.org/officeDocument/2006/relationships/hyperlink" Target="http://www.sec.gov/Archives/edgar/data/879407/000119312516678199/d236239dex101.htm" TargetMode="External"/><Relationship Id="rId100" Type="http://schemas.openxmlformats.org/officeDocument/2006/relationships/hyperlink" Target="http://www.sec.gov/Archives/edgar/data/879407/000156459016030217/arwr-ex1018_310.htm" TargetMode="External"/><Relationship Id="rId101" Type="http://schemas.openxmlformats.org/officeDocument/2006/relationships/hyperlink" Target="http://www.sec.gov/Archives/edgar/data/879407/000156459016030217/arwr-ex1019_309.htm" TargetMode="External"/><Relationship Id="rId102" Type="http://schemas.openxmlformats.org/officeDocument/2006/relationships/hyperlink" Target="http://www.sec.gov/Archives/edgar/data/879407/000119312516776646/d27215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2019-12-28T17:32:49Z</dcterms:created>
  <dcterms:modified xsi:type="dcterms:W3CDTF">2019-12-28T17:32:49Z</dcterms:modified>
</cp:coreProperties>
</file>