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148590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UNDER SECTION 13 OR 15(d) OF THE SECURITIES EXCHANGE ACT OF 1934</w:t>
      </w:r>
    </w:p>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17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UNDER SECTION 13 OR 15(d) OF THE SECURITIES EXCHANGE ACT OF 1934</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423" w:right="31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60"/>
          </w:cols>
          <w:pgMar w:left="240" w:top="423" w:right="31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20"/>
          </w:cols>
          <w:pgMar w:left="240" w:top="423" w:right="319" w:bottom="1440" w:gutter="0" w:footer="0" w:header="0"/>
          <w:type w:val="continuous"/>
        </w:sectPr>
      </w:pP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177 E. Colorado Blvd, Suite 700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147955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423" w:right="319" w:bottom="144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3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87"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tbl>
      <w:tblPr>
        <w:tblLayout w:type="fixed"/>
        <w:tblInd w:w="48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374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440" w:type="dxa"/>
            <w:vAlign w:val="bottom"/>
          </w:tcPr>
          <w:p>
            <w:pPr>
              <w:spacing w:after="0"/>
              <w:rPr>
                <w:sz w:val="16"/>
                <w:szCs w:val="16"/>
                <w:color w:val="auto"/>
              </w:rPr>
            </w:pPr>
          </w:p>
        </w:tc>
      </w:tr>
      <w:tr>
        <w:trPr>
          <w:trHeight w:val="350"/>
        </w:trPr>
        <w:tc>
          <w:tcPr>
            <w:tcW w:w="328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0"/>
        </w:trPr>
        <w:tc>
          <w:tcPr>
            <w:tcW w:w="3280" w:type="dxa"/>
            <w:vAlign w:val="bottom"/>
            <w:tcBorders>
              <w:top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Common Stock, Par Value $0.001 per share</w:t>
            </w:r>
          </w:p>
        </w:tc>
        <w:tc>
          <w:tcPr>
            <w:tcW w:w="2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ARWR</w:t>
            </w:r>
          </w:p>
        </w:tc>
        <w:tc>
          <w:tcPr>
            <w:tcW w:w="42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199" w:lineRule="exact"/>
        <w:rPr>
          <w:sz w:val="24"/>
          <w:szCs w:val="24"/>
          <w:color w:val="auto"/>
        </w:rPr>
      </w:pPr>
    </w:p>
    <w:p>
      <w:pPr>
        <w:ind w:right="182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February 3, 2020 was 101,654,477.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322580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2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60" w:type="dxa"/>
            <w:vAlign w:val="bottom"/>
            <w:gridSpan w:val="8"/>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500" w:type="dxa"/>
            <w:vAlign w:val="bottom"/>
            <w:gridSpan w:val="9"/>
            <w:vMerge w:val="restart"/>
          </w:tcPr>
          <w:p>
            <w:pPr>
              <w:spacing w:after="0"/>
              <w:rPr>
                <w:sz w:val="14"/>
                <w:szCs w:val="14"/>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8"/>
            <w:vMerge w:val="continue"/>
          </w:tcPr>
          <w:p>
            <w:pPr>
              <w:spacing w:after="0"/>
              <w:rPr>
                <w:sz w:val="12"/>
                <w:szCs w:val="12"/>
                <w:color w:val="auto"/>
              </w:rPr>
            </w:pPr>
          </w:p>
        </w:tc>
        <w:tc>
          <w:tcPr>
            <w:tcW w:w="7500" w:type="dxa"/>
            <w:vAlign w:val="bottom"/>
            <w:gridSpan w:val="9"/>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1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20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20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Statements of Operations and Comprehensive Income (Loss</w:t>
              </w:r>
            </w:hyperlink>
            <w:r>
              <w:rPr>
                <w:rFonts w:ascii="Arial" w:cs="Arial" w:eastAsia="Arial" w:hAnsi="Arial"/>
                <w:sz w:val="17"/>
                <w:szCs w:val="17"/>
                <w:u w:val="single" w:color="auto"/>
                <w:color w:val="000000"/>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5040" w:type="dxa"/>
            <w:vAlign w:val="bottom"/>
            <w:tcBorders>
              <w:top w:val="single" w:sz="8" w:color="0000EE"/>
            </w:tcBorders>
            <w:gridSpan w:val="1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516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3280" w:type="dxa"/>
            <w:vAlign w:val="bottom"/>
            <w:tcBorders>
              <w:top w:val="single" w:sz="8" w:color="0000EE"/>
            </w:tcBorders>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692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20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ITEM 2. 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04"/>
        </w:trPr>
        <w:tc>
          <w:tcPr>
            <w:tcW w:w="6480" w:type="dxa"/>
            <w:vAlign w:val="bottom"/>
            <w:tcBorders>
              <w:top w:val="single" w:sz="8" w:color="0000EE"/>
              <w:bottom w:val="single" w:sz="8" w:color="0000EE"/>
            </w:tcBorders>
            <w:gridSpan w:val="15"/>
          </w:tcPr>
          <w:p>
            <w:pPr>
              <w:spacing w:after="0"/>
              <w:rPr>
                <w:rFonts w:ascii="Arial" w:cs="Arial" w:eastAsia="Arial" w:hAnsi="Arial"/>
                <w:sz w:val="17"/>
                <w:szCs w:val="17"/>
                <w:color w:val="0000EE"/>
                <w:w w:val="98"/>
              </w:rPr>
            </w:pPr>
            <w:hyperlink w:anchor="page24">
              <w:r>
                <w:rPr>
                  <w:rFonts w:ascii="Arial" w:cs="Arial" w:eastAsia="Arial" w:hAnsi="Arial"/>
                  <w:sz w:val="17"/>
                  <w:szCs w:val="17"/>
                  <w:color w:val="0000EE"/>
                  <w:w w:val="98"/>
                </w:rPr>
                <w:t>ITEM 3. QUANTITATIVE AND QUALITATIVE DISCLOSURES ABOUT MARKET RISK</w:t>
              </w:r>
            </w:hyperlink>
          </w:p>
        </w:tc>
        <w:tc>
          <w:tcPr>
            <w:tcW w:w="26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ITEM 4. CONTROLS AND PROCEDURES</w:t>
              </w:r>
            </w:hyperlink>
          </w:p>
        </w:tc>
        <w:tc>
          <w:tcPr>
            <w:tcW w:w="76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8"/>
          </w:tcPr>
          <w:p>
            <w:pPr>
              <w:spacing w:after="0"/>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PART II — OTHER INFORMATION</w:t>
              </w:r>
            </w:hyperlink>
          </w:p>
        </w:tc>
        <w:tc>
          <w:tcPr>
            <w:tcW w:w="75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6"/>
              </w:rPr>
            </w:pPr>
            <w:hyperlink w:anchor="page25">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86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ITEM 1A. RISK FACTORS</w:t>
              </w:r>
            </w:hyperlink>
          </w:p>
        </w:tc>
        <w:tc>
          <w:tcPr>
            <w:tcW w:w="7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ITEM 2. 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4"/>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ITEM 3. DEFAULTS UPON SENIOR SECURITIES</w:t>
              </w:r>
            </w:hyperlink>
          </w:p>
        </w:tc>
        <w:tc>
          <w:tcPr>
            <w:tcW w:w="426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6"/>
              </w:rPr>
            </w:pPr>
            <w:hyperlink w:anchor="page25">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4"/>
          </w:tcPr>
          <w:p>
            <w:pPr>
              <w:spacing w:after="0"/>
              <w:rPr>
                <w:sz w:val="24"/>
                <w:szCs w:val="24"/>
                <w:color w:val="auto"/>
              </w:rPr>
            </w:pPr>
          </w:p>
        </w:tc>
        <w:tc>
          <w:tcPr>
            <w:tcW w:w="700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ITEM 5. OTHER INFORMATION</w:t>
              </w:r>
            </w:hyperlink>
          </w:p>
        </w:tc>
        <w:tc>
          <w:tcPr>
            <w:tcW w:w="7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8"/>
              </w:rPr>
            </w:pPr>
            <w:hyperlink w:anchor="page26">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240" w:type="dxa"/>
            <w:vAlign w:val="bottom"/>
            <w:gridSpan w:val="1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SIGNATURE</w:t>
              </w:r>
            </w:hyperlink>
          </w:p>
        </w:tc>
        <w:tc>
          <w:tcPr>
            <w:tcW w:w="76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013"/>
        </w:trPr>
        <w:tc>
          <w:tcPr>
            <w:tcW w:w="46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40" w:type="dxa"/>
            <w:vAlign w:val="bottom"/>
          </w:tcPr>
          <w:p>
            <w:pPr>
              <w:jc w:val="center"/>
              <w:ind w:left="3102"/>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4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6840" w:type="dxa"/>
            <w:vAlign w:val="bottom"/>
          </w:tcPr>
          <w:p>
            <w:pPr>
              <w:jc w:val="center"/>
              <w:ind w:left="3102"/>
              <w:spacing w:after="0"/>
              <w:rPr>
                <w:sz w:val="20"/>
                <w:szCs w:val="20"/>
                <w:color w:val="auto"/>
              </w:rPr>
            </w:pPr>
            <w:r>
              <w:rPr>
                <w:rFonts w:ascii="Arial" w:cs="Arial" w:eastAsia="Arial" w:hAnsi="Arial"/>
                <w:sz w:val="18"/>
                <w:szCs w:val="18"/>
                <w:b w:val="1"/>
                <w:bCs w:val="1"/>
                <w:color w:val="auto"/>
                <w:w w:val="91"/>
              </w:rPr>
              <w:t>Arrowhead Pharmaceuticals,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840" w:type="dxa"/>
            <w:vAlign w:val="bottom"/>
          </w:tcPr>
          <w:p>
            <w:pPr>
              <w:jc w:val="center"/>
              <w:ind w:left="3122"/>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December 31, 2019</w:t>
            </w:r>
          </w:p>
        </w:tc>
        <w:tc>
          <w:tcPr>
            <w:tcW w:w="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84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461,032,249</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221,804,128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tcPr>
          <w:p>
            <w:pPr>
              <w:ind w:left="50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1,345,298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661,361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Prepaid expenses</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2,733,140</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3,317,999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tcPr>
          <w:p>
            <w:pPr>
              <w:ind w:left="50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1,534,344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2,563,435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Short term investments</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40,969,341</w:t>
            </w:r>
          </w:p>
        </w:tc>
        <w:tc>
          <w:tcPr>
            <w:tcW w:w="3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36,899,894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507,614,372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265,246,817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26,434,783</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23,214,899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16,638,473</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17,063,580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 term investments</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26,329,098</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44,175,993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Right-of-use assets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10,440,758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144,150</w:t>
            </w:r>
          </w:p>
        </w:tc>
        <w:tc>
          <w:tcPr>
            <w:tcW w:w="3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4"/>
                <w:szCs w:val="14"/>
                <w:b w:val="1"/>
                <w:bCs w:val="1"/>
                <w:color w:val="auto"/>
              </w:rPr>
              <w:t>TOTAL ASSETS</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587,601,634</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349,845,437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840" w:type="dxa"/>
            <w:vAlign w:val="bottom"/>
            <w:tcBorders>
              <w:top w:val="single" w:sz="8" w:color="CFF0FC"/>
            </w:tcBorders>
            <w:shd w:val="clear" w:color="auto" w:fill="CFF0FC"/>
          </w:tcPr>
          <w:p>
            <w:pPr>
              <w:ind w:left="164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12,201,532</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7,649,921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3,988,186</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6,504,729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2,993,682</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4,955,887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Arial" w:cs="Arial" w:eastAsia="Arial" w:hAnsi="Arial"/>
                <w:sz w:val="14"/>
                <w:szCs w:val="14"/>
                <w:color w:val="auto"/>
              </w:rPr>
              <w:t>Lease liabilities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461,178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173,952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54,034,129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77,769,629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16,561</w:t>
            </w:r>
          </w:p>
        </w:tc>
        <w:tc>
          <w:tcPr>
            <w:tcW w:w="3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73,695,268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97,070,679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LIABILITIES</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Arial" w:cs="Arial" w:eastAsia="Arial" w:hAnsi="Arial"/>
                <w:sz w:val="14"/>
                <w:szCs w:val="14"/>
                <w:color w:val="auto"/>
              </w:rPr>
              <w:t>Lease liabilities, net of current portion</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14,377,723</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 net of current portion</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3,703,364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Deferred revenue, net of current portion</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5,035,142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684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LONG-TERM LIABILITIES</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14,377,723</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8,738,506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Commitments and contingencies (Note 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54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101,111,797 and 95,506,271 shares</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54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issued and outstanding as of December 31, 2019 and September 30, 2019, respectively</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193,481</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187,876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922,050,595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664,086,155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(195,550)</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(391,624)</w:t>
            </w: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(421,964,695)</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(419,290,967)</w:t>
            </w:r>
          </w:p>
        </w:tc>
        <w:tc>
          <w:tcPr>
            <w:tcW w:w="0" w:type="dxa"/>
            <w:vAlign w:val="bottom"/>
          </w:tcPr>
          <w:p>
            <w:pPr>
              <w:spacing w:after="0"/>
              <w:rPr>
                <w:sz w:val="1"/>
                <w:szCs w:val="1"/>
                <w:color w:val="auto"/>
              </w:rPr>
            </w:pPr>
          </w:p>
        </w:tc>
      </w:tr>
      <w:tr>
        <w:trPr>
          <w:trHeight w:val="169"/>
        </w:trPr>
        <w:tc>
          <w:tcPr>
            <w:tcW w:w="754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500,083,831</w:t>
            </w:r>
          </w:p>
        </w:tc>
        <w:tc>
          <w:tcPr>
            <w:tcW w:w="3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244,591,440</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260"/>
              <w:spacing w:after="0"/>
              <w:rPr>
                <w:sz w:val="20"/>
                <w:szCs w:val="20"/>
                <w:color w:val="auto"/>
              </w:rPr>
            </w:pPr>
            <w:r>
              <w:rPr>
                <w:rFonts w:ascii="Arial" w:cs="Arial" w:eastAsia="Arial" w:hAnsi="Arial"/>
                <w:sz w:val="14"/>
                <w:szCs w:val="14"/>
                <w:color w:val="auto"/>
              </w:rPr>
              <w:t>Noncontrolling interest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68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499,528,643</w:t>
            </w:r>
          </w:p>
        </w:tc>
        <w:tc>
          <w:tcPr>
            <w:tcW w:w="3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244,036,252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840" w:type="dxa"/>
            <w:vAlign w:val="bottom"/>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587,601,634</w:t>
            </w: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349,845,437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Three Months Ended December 31,</w:t>
            </w:r>
          </w:p>
        </w:tc>
        <w:tc>
          <w:tcPr>
            <w:tcW w:w="0" w:type="dxa"/>
            <w:vAlign w:val="bottom"/>
          </w:tcPr>
          <w:p>
            <w:pPr>
              <w:spacing w:after="0"/>
              <w:rPr>
                <w:sz w:val="1"/>
                <w:szCs w:val="1"/>
                <w:color w:val="auto"/>
              </w:rPr>
            </w:pPr>
          </w:p>
        </w:tc>
      </w:tr>
      <w:tr>
        <w:trPr>
          <w:trHeight w:val="219"/>
        </w:trPr>
        <w:tc>
          <w:tcPr>
            <w:tcW w:w="74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29,454,579</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34,657,896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23,373,616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17,572,043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10,934,557</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6,139,709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34,308,173</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23,711,752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(4,853,594)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10,946,144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Interest income (expense), net</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2,179,866</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2,179,866</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1,091,109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(2,673,728)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12,037,253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(2,673,728)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12,037,253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 PER SHARE - BASIC</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(0.03)</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NET INCOME (LOSS) PER SHARE - 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97,090,079</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91,091,823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97,090,079</w:t>
            </w:r>
          </w:p>
        </w:tc>
        <w:tc>
          <w:tcPr>
            <w:tcW w:w="30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95,590,183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196,074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(22,180)</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INCOME (LOSS)</w:t>
            </w: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(2,477,654)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12,015,073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rPr>
              <w:t>Non-</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86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September 30, 2018</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88,505,302</w:t>
            </w:r>
          </w:p>
        </w:tc>
        <w:tc>
          <w:tcPr>
            <w:tcW w:w="1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180,875</w:t>
            </w: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$ 582,902,694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(21,564)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(487,265,816)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95,241,001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2,717,534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2,717,534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166,327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1,004,528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1,004,694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w w:val="96"/>
              </w:rPr>
              <w:t>Common stock - restricted stock units</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vesting</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658,959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w:t>
            </w: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(659)</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Common stock - issued for cash</w:t>
            </w:r>
          </w:p>
        </w:tc>
        <w:tc>
          <w:tcPr>
            <w:tcW w:w="820" w:type="dxa"/>
            <w:vAlign w:val="bottom"/>
          </w:tcPr>
          <w:p>
            <w:pPr>
              <w:jc w:val="right"/>
              <w:spacing w:after="0"/>
              <w:rPr>
                <w:sz w:val="20"/>
                <w:szCs w:val="20"/>
                <w:color w:val="auto"/>
              </w:rPr>
            </w:pPr>
            <w:r>
              <w:rPr>
                <w:rFonts w:ascii="Arial" w:cs="Arial" w:eastAsia="Arial" w:hAnsi="Arial"/>
                <w:sz w:val="14"/>
                <w:szCs w:val="14"/>
                <w:color w:val="auto"/>
              </w:rPr>
              <w:t>3,260,869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3,261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60,518,468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60,521,729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(22,180)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(22,180)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Pr>
          <w:p>
            <w:pPr>
              <w:ind w:left="120"/>
              <w:spacing w:after="0" w:line="143" w:lineRule="exact"/>
              <w:rPr>
                <w:sz w:val="20"/>
                <w:szCs w:val="20"/>
                <w:color w:val="auto"/>
              </w:rPr>
            </w:pPr>
            <w:r>
              <w:rPr>
                <w:rFonts w:ascii="Arial" w:cs="Arial" w:eastAsia="Arial" w:hAnsi="Arial"/>
                <w:sz w:val="14"/>
                <w:szCs w:val="14"/>
                <w:color w:val="auto"/>
              </w:rPr>
              <w:t>Net income (loss) for the three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months ended December 31, 2018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12,037,253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12,037,253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92,591,457</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4"/>
              </w:rPr>
              <w:t>184,961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$ 647,142,565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(43,744)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(475,228,563</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171,500,031</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2"/>
                <w:szCs w:val="12"/>
                <w:color w:val="auto"/>
              </w:rPr>
            </w:pPr>
          </w:p>
        </w:tc>
        <w:tc>
          <w:tcPr>
            <w:tcW w:w="108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980" w:type="dxa"/>
            <w:vAlign w:val="bottom"/>
            <w:gridSpan w:val="2"/>
            <w:vMerge w:val="restart"/>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4"/>
                <w:szCs w:val="14"/>
                <w:color w:val="auto"/>
              </w:rPr>
            </w:pPr>
          </w:p>
        </w:tc>
        <w:tc>
          <w:tcPr>
            <w:tcW w:w="9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2019</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95,506,271</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4"/>
              </w:rPr>
              <w:t>187,876</w:t>
            </w:r>
          </w:p>
        </w:tc>
        <w:tc>
          <w:tcPr>
            <w:tcW w:w="1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$ 664,086,155</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(391,624)</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6"/>
              </w:rPr>
              <w:t>$ (419,290,967)</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244,036,252</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4,491,752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4,491,752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472,193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3,001,082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3,001,554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Pr>
          <w:p>
            <w:pPr>
              <w:ind w:left="120"/>
              <w:spacing w:after="0" w:line="143" w:lineRule="exact"/>
              <w:rPr>
                <w:sz w:val="20"/>
                <w:szCs w:val="20"/>
                <w:color w:val="auto"/>
              </w:rPr>
            </w:pPr>
            <w:r>
              <w:rPr>
                <w:rFonts w:ascii="Arial" w:cs="Arial" w:eastAsia="Arial" w:hAnsi="Arial"/>
                <w:sz w:val="14"/>
                <w:szCs w:val="14"/>
                <w:color w:val="auto"/>
                <w:w w:val="96"/>
              </w:rPr>
              <w:t>Common stock - restricted stock units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vesting</w:t>
            </w:r>
          </w:p>
        </w:tc>
        <w:tc>
          <w:tcPr>
            <w:tcW w:w="820" w:type="dxa"/>
            <w:vAlign w:val="bottom"/>
          </w:tcPr>
          <w:p>
            <w:pPr>
              <w:jc w:val="right"/>
              <w:spacing w:after="0"/>
              <w:rPr>
                <w:sz w:val="20"/>
                <w:szCs w:val="20"/>
                <w:color w:val="auto"/>
              </w:rPr>
            </w:pPr>
            <w:r>
              <w:rPr>
                <w:rFonts w:ascii="Arial" w:cs="Arial" w:eastAsia="Arial" w:hAnsi="Arial"/>
                <w:sz w:val="14"/>
                <w:szCs w:val="14"/>
                <w:color w:val="auto"/>
              </w:rPr>
              <w:t>533,333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533</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(533)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 issued for cash</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250,472,139</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2"/>
              </w:rPr>
              <w:t>250,476,739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196,074</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196,074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Net income (loss) for the three</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months ended December 31, 2019</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rPr>
              <w:t>(2,673,728)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(2,673,728)</w:t>
            </w:r>
          </w:p>
        </w:tc>
        <w:tc>
          <w:tcPr>
            <w:tcW w:w="0" w:type="dxa"/>
            <w:vAlign w:val="bottom"/>
          </w:tcPr>
          <w:p>
            <w:pPr>
              <w:spacing w:after="0"/>
              <w:rPr>
                <w:sz w:val="1"/>
                <w:szCs w:val="1"/>
                <w:color w:val="auto"/>
              </w:rPr>
            </w:pPr>
          </w:p>
        </w:tc>
      </w:tr>
      <w:tr>
        <w:trPr>
          <w:trHeight w:val="196"/>
        </w:trPr>
        <w:tc>
          <w:tcPr>
            <w:tcW w:w="2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101,111,797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193,481</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$ 922,050,595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(195,550)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(421,964,695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499,528,643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140"/>
          </w:cols>
          <w:pgMar w:left="1380" w:top="135"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December 31,</w:t>
            </w:r>
          </w:p>
        </w:tc>
      </w:tr>
      <w:tr>
        <w:trPr>
          <w:trHeight w:val="188"/>
        </w:trPr>
        <w:tc>
          <w:tcPr>
            <w:tcW w:w="78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r>
      <w:tr>
        <w:trPr>
          <w:trHeight w:val="156"/>
        </w:trPr>
        <w:tc>
          <w:tcPr>
            <w:tcW w:w="78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82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(2,673,728)</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12,037,253</w:t>
            </w:r>
          </w:p>
        </w:tc>
        <w:tc>
          <w:tcPr>
            <w:tcW w:w="100" w:type="dxa"/>
            <w:vAlign w:val="bottom"/>
          </w:tcPr>
          <w:p>
            <w:pPr>
              <w:spacing w:after="0"/>
              <w:rPr>
                <w:sz w:val="14"/>
                <w:szCs w:val="14"/>
                <w:color w:val="auto"/>
              </w:rPr>
            </w:pPr>
          </w:p>
        </w:tc>
      </w:tr>
      <w:tr>
        <w:trPr>
          <w:trHeight w:val="176"/>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4,491,752</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2,717,534</w:t>
            </w:r>
          </w:p>
        </w:tc>
        <w:tc>
          <w:tcPr>
            <w:tcW w:w="100" w:type="dxa"/>
            <w:vAlign w:val="bottom"/>
            <w:shd w:val="clear" w:color="auto" w:fill="CFF0FC"/>
          </w:tcPr>
          <w:p>
            <w:pPr>
              <w:spacing w:after="0"/>
              <w:rPr>
                <w:sz w:val="15"/>
                <w:szCs w:val="15"/>
                <w:color w:val="auto"/>
              </w:rPr>
            </w:pPr>
          </w:p>
        </w:tc>
      </w:tr>
      <w:tr>
        <w:trPr>
          <w:trHeight w:val="162"/>
        </w:trPr>
        <w:tc>
          <w:tcPr>
            <w:tcW w:w="78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1,259,884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1,177,352</w:t>
            </w:r>
          </w:p>
        </w:tc>
        <w:tc>
          <w:tcPr>
            <w:tcW w:w="100" w:type="dxa"/>
            <w:vAlign w:val="bottom"/>
          </w:tcPr>
          <w:p>
            <w:pPr>
              <w:spacing w:after="0"/>
              <w:rPr>
                <w:sz w:val="14"/>
                <w:szCs w:val="14"/>
                <w:color w:val="auto"/>
              </w:rPr>
            </w:pPr>
          </w:p>
        </w:tc>
      </w:tr>
      <w:tr>
        <w:trPr>
          <w:trHeight w:val="162"/>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177,448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(156,637)</w:t>
            </w:r>
          </w:p>
        </w:tc>
      </w:tr>
      <w:tr>
        <w:trPr>
          <w:trHeight w:val="162"/>
        </w:trPr>
        <w:tc>
          <w:tcPr>
            <w:tcW w:w="782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8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(683,937)</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(2,841,204)</w:t>
            </w:r>
          </w:p>
        </w:tc>
      </w:tr>
      <w:tr>
        <w:trPr>
          <w:trHeight w:val="162"/>
        </w:trPr>
        <w:tc>
          <w:tcPr>
            <w:tcW w:w="7820" w:type="dxa"/>
            <w:vAlign w:val="bottom"/>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1,377,660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(120,912)</w:t>
            </w:r>
          </w:p>
        </w:tc>
      </w:tr>
      <w:tr>
        <w:trPr>
          <w:trHeight w:val="162"/>
        </w:trPr>
        <w:tc>
          <w:tcPr>
            <w:tcW w:w="78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Deferred revenue</w:t>
            </w: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(28,770,642)</w:t>
            </w: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158,096,440</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tcPr>
          <w:p>
            <w:pPr>
              <w:ind w:left="62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4,551,611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1,130,491</w:t>
            </w:r>
          </w:p>
        </w:tc>
        <w:tc>
          <w:tcPr>
            <w:tcW w:w="100" w:type="dxa"/>
            <w:vAlign w:val="bottom"/>
          </w:tcPr>
          <w:p>
            <w:pPr>
              <w:spacing w:after="0"/>
              <w:rPr>
                <w:sz w:val="14"/>
                <w:szCs w:val="14"/>
                <w:color w:val="auto"/>
              </w:rPr>
            </w:pPr>
          </w:p>
        </w:tc>
      </w:tr>
      <w:tr>
        <w:trPr>
          <w:trHeight w:val="162"/>
        </w:trPr>
        <w:tc>
          <w:tcPr>
            <w:tcW w:w="78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Accrued expenses</w:t>
            </w: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(4,213,695)</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(3,489,712)</w:t>
            </w:r>
          </w:p>
        </w:tc>
      </w:tr>
      <w:tr>
        <w:trPr>
          <w:trHeight w:val="162"/>
        </w:trPr>
        <w:tc>
          <w:tcPr>
            <w:tcW w:w="7820" w:type="dxa"/>
            <w:vAlign w:val="bottom"/>
          </w:tcPr>
          <w:p>
            <w:pPr>
              <w:ind w:left="62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953,189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(265,842)</w:t>
            </w:r>
          </w:p>
        </w:tc>
      </w:tr>
      <w:tr>
        <w:trPr>
          <w:trHeight w:val="156"/>
        </w:trPr>
        <w:tc>
          <w:tcPr>
            <w:tcW w:w="782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(23,530,458)</w:t>
            </w:r>
          </w:p>
        </w:tc>
        <w:tc>
          <w:tcPr>
            <w:tcW w:w="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168,284,763</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820" w:type="dxa"/>
            <w:vAlign w:val="bottom"/>
          </w:tcPr>
          <w:p>
            <w:pPr>
              <w:ind w:left="14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(4,319,714)</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(737,487)</w:t>
            </w:r>
          </w:p>
        </w:tc>
      </w:tr>
      <w:tr>
        <w:trPr>
          <w:trHeight w:val="162"/>
        </w:trPr>
        <w:tc>
          <w:tcPr>
            <w:tcW w:w="7820" w:type="dxa"/>
            <w:vAlign w:val="bottom"/>
          </w:tcPr>
          <w:p>
            <w:pPr>
              <w:ind w:left="38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(69,271,001)</w:t>
            </w:r>
          </w:p>
        </w:tc>
      </w:tr>
      <w:tr>
        <w:trPr>
          <w:trHeight w:val="162"/>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13,600,000</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2,252,219</w:t>
            </w:r>
          </w:p>
        </w:tc>
        <w:tc>
          <w:tcPr>
            <w:tcW w:w="100" w:type="dxa"/>
            <w:vAlign w:val="bottom"/>
            <w:shd w:val="clear" w:color="auto" w:fill="CFF0FC"/>
          </w:tcPr>
          <w:p>
            <w:pPr>
              <w:spacing w:after="0"/>
              <w:rPr>
                <w:sz w:val="14"/>
                <w:szCs w:val="14"/>
                <w:color w:val="auto"/>
              </w:rPr>
            </w:pPr>
          </w:p>
        </w:tc>
      </w:tr>
      <w:tr>
        <w:trPr>
          <w:trHeight w:val="156"/>
        </w:trPr>
        <w:tc>
          <w:tcPr>
            <w:tcW w:w="782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9,280,286</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(67,756,269)</w:t>
            </w:r>
          </w:p>
        </w:tc>
        <w:tc>
          <w:tcPr>
            <w:tcW w:w="100" w:type="dxa"/>
            <w:vAlign w:val="bottom"/>
          </w:tcPr>
          <w:p>
            <w:pPr>
              <w:spacing w:after="0"/>
              <w:rPr>
                <w:sz w:val="13"/>
                <w:szCs w:val="13"/>
                <w:color w:val="auto"/>
              </w:rPr>
            </w:pPr>
          </w:p>
        </w:tc>
      </w:tr>
      <w:tr>
        <w:trPr>
          <w:trHeight w:val="162"/>
        </w:trPr>
        <w:tc>
          <w:tcPr>
            <w:tcW w:w="78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820" w:type="dxa"/>
            <w:vAlign w:val="bottom"/>
          </w:tcPr>
          <w:p>
            <w:pPr>
              <w:ind w:left="380"/>
              <w:spacing w:after="0"/>
              <w:rPr>
                <w:sz w:val="20"/>
                <w:szCs w:val="20"/>
                <w:color w:val="auto"/>
              </w:rPr>
            </w:pPr>
            <w:r>
              <w:rPr>
                <w:rFonts w:ascii="Arial" w:cs="Arial" w:eastAsia="Arial" w:hAnsi="Arial"/>
                <w:sz w:val="14"/>
                <w:szCs w:val="14"/>
                <w:color w:val="auto"/>
              </w:rPr>
              <w:t>Principal payments on notes payable</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(2,415,149)</w:t>
            </w:r>
          </w:p>
        </w:tc>
      </w:tr>
      <w:tr>
        <w:trPr>
          <w:trHeight w:val="162"/>
        </w:trPr>
        <w:tc>
          <w:tcPr>
            <w:tcW w:w="7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stock options</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3,001,554</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1,004,694</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250,476,739</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60,521,729</w:t>
            </w:r>
          </w:p>
        </w:tc>
        <w:tc>
          <w:tcPr>
            <w:tcW w:w="100" w:type="dxa"/>
            <w:vAlign w:val="bottom"/>
            <w:tcBorders>
              <w:bottom w:val="single" w:sz="8" w:color="CFF0FC"/>
            </w:tcBorders>
          </w:tcPr>
          <w:p>
            <w:pPr>
              <w:spacing w:after="0"/>
              <w:rPr>
                <w:sz w:val="14"/>
                <w:szCs w:val="14"/>
                <w:color w:val="auto"/>
              </w:rPr>
            </w:pPr>
          </w:p>
        </w:tc>
      </w:tr>
      <w:tr>
        <w:trPr>
          <w:trHeight w:val="156"/>
        </w:trPr>
        <w:tc>
          <w:tcPr>
            <w:tcW w:w="78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253,478,293</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59,111,274</w:t>
            </w:r>
          </w:p>
        </w:tc>
        <w:tc>
          <w:tcPr>
            <w:tcW w:w="100" w:type="dxa"/>
            <w:vAlign w:val="bottom"/>
            <w:shd w:val="clear" w:color="auto" w:fill="CFF0FC"/>
          </w:tcPr>
          <w:p>
            <w:pPr>
              <w:spacing w:after="0"/>
              <w:rPr>
                <w:sz w:val="13"/>
                <w:szCs w:val="13"/>
                <w:color w:val="auto"/>
              </w:rPr>
            </w:pPr>
          </w:p>
        </w:tc>
      </w:tr>
      <w:tr>
        <w:trPr>
          <w:trHeight w:val="162"/>
        </w:trPr>
        <w:tc>
          <w:tcPr>
            <w:tcW w:w="782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239,228,121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159,639,768</w:t>
            </w:r>
          </w:p>
        </w:tc>
        <w:tc>
          <w:tcPr>
            <w:tcW w:w="100" w:type="dxa"/>
            <w:vAlign w:val="bottom"/>
          </w:tcPr>
          <w:p>
            <w:pPr>
              <w:spacing w:after="0"/>
              <w:rPr>
                <w:sz w:val="14"/>
                <w:szCs w:val="14"/>
                <w:color w:val="auto"/>
              </w:rPr>
            </w:pPr>
          </w:p>
        </w:tc>
      </w:tr>
      <w:tr>
        <w:trPr>
          <w:trHeight w:val="162"/>
        </w:trPr>
        <w:tc>
          <w:tcPr>
            <w:tcW w:w="78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221,804,128</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30,133,213</w:t>
            </w:r>
          </w:p>
        </w:tc>
        <w:tc>
          <w:tcPr>
            <w:tcW w:w="100" w:type="dxa"/>
            <w:vAlign w:val="bottom"/>
            <w:shd w:val="clear" w:color="auto" w:fill="CFF0FC"/>
          </w:tcPr>
          <w:p>
            <w:pPr>
              <w:spacing w:after="0"/>
              <w:rPr>
                <w:sz w:val="14"/>
                <w:szCs w:val="14"/>
                <w:color w:val="auto"/>
              </w:rPr>
            </w:pPr>
          </w:p>
        </w:tc>
      </w:tr>
      <w:tr>
        <w:trPr>
          <w:trHeight w:val="196"/>
        </w:trPr>
        <w:tc>
          <w:tcPr>
            <w:tcW w:w="782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461,032,249</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189,772,981</w:t>
            </w:r>
          </w:p>
        </w:tc>
        <w:tc>
          <w:tcPr>
            <w:tcW w:w="100" w:type="dxa"/>
            <w:vAlign w:val="bottom"/>
            <w:tcBorders>
              <w:bottom w:val="single" w:sz="8" w:color="CFF0FC"/>
            </w:tcBorders>
          </w:tcPr>
          <w:p>
            <w:pPr>
              <w:spacing w:after="0"/>
              <w:rPr>
                <w:sz w:val="17"/>
                <w:szCs w:val="17"/>
                <w:color w:val="auto"/>
              </w:rPr>
            </w:pPr>
          </w:p>
        </w:tc>
      </w:tr>
      <w:tr>
        <w:trPr>
          <w:trHeight w:val="143"/>
        </w:trPr>
        <w:tc>
          <w:tcPr>
            <w:tcW w:w="78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82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(27,437)</w:t>
            </w:r>
          </w:p>
        </w:tc>
      </w:tr>
      <w:tr>
        <w:trPr>
          <w:trHeight w:val="162"/>
        </w:trPr>
        <w:tc>
          <w:tcPr>
            <w:tcW w:w="78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30"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right="60" w:firstLine="518"/>
        <w:spacing w:after="0" w:line="253" w:lineRule="auto"/>
        <w:rPr>
          <w:sz w:val="20"/>
          <w:szCs w:val="20"/>
          <w:color w:val="auto"/>
        </w:rPr>
      </w:pPr>
      <w:r>
        <w:rPr>
          <w:rFonts w:ascii="Arial" w:cs="Arial" w:eastAsia="Arial" w:hAnsi="Arial"/>
          <w:sz w:val="18"/>
          <w:szCs w:val="18"/>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ARO-HSD for liver disease, ARO-ENaC for cystic fibrosis, and ARO-HIF2 for renal cell carcinoma. ARO-JNJ1 is being developed for an undisclosed liver-expressed target under a collaboration agreement with Janssen Pharmaceuticals, Inc. (“Janssen”). ARO-HBV (JNJ-3989) for chronic hepatitis B virus was out-licensed to Janssen in October 2018. ARO-LPA (AMG 890) for cardiovascular disease was out-licensed to Amgen Inc. (“Amgen”) in 2016.</w:t>
      </w:r>
    </w:p>
    <w:p>
      <w:pPr>
        <w:spacing w:after="0" w:line="19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During the first quarter of fiscal 2020, the Company has continued to develop its pipeline and partnered candidates. The Company has began dosing in an adaptive design phase 2/3 trial, called SEQUOIA, with the potential to serve as a pivotal registration study of ARO-AAT. The Company also began dosing in its ARO-AAT 2002 study, a pilot open-label, multi-dose Phase 2 study to assess changes in novel histological activity scale in response to ARO-AAT over time in patients with alpha-1 antitrypsin deficiency associated liver disease. The Company also presented new clinical data on its two cardiometabolic candidates, ARO-APOC3 and ARO-ANG3, in two late-breaking oral presentations at the American Heart Association Scientific Sessions 2019. The Company also filed an IND to begin a phase 1b study of ARO-HIF2, and filed a CTA to begin a phase 1 study of ARO-HSD. The Company has continued to work on optimizing its other extra-hepatic preclinical pipeline candidates including ARO-ENaC.</w:t>
      </w:r>
    </w:p>
    <w:p>
      <w:pPr>
        <w:spacing w:after="0" w:line="178"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The Company’s partnered candidates under its collaboration agreements with Janssen and Amgen also continue to progress. Janssen began dosing patients in a phase 2b triple combination study called REEF-1, designed to enroll up to 450 patients with chronic hepatitis B infection, and in connection with the start of this study Arrowhead earned a $25 million milestone payment under the License Agreement (“Janssen License Agreement”). Janssen has also nominated the first of 3 potential candidates under the Research Collaboration and Option Agreement (“Janssen Collaboration Agreement”), ARO-JNJ1, and the Company is currently performing discovery, optimization and preclinical research and development for this candidate. Under the terms of the Janssen agreements taken together, the Company has received $175 million as an upfront payment, $75 million in the form of an equity investment by JJDC in Arrowhead common stock,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The Company’s collaboration agreement with Amgen for AMG 890 (ARO-LPA), (the “Second Collaboration and License Agreement” or “AMG 890 (ARO-LPA) Agreement”), continues to progress. The Company has received $35 million in upfront payments, $21.5 million in the form of an equity investment by Amgen in the Company’s Common Stock, a $10 million milestone payment, and may receive up to $420 million in development, regulatory and sales milestone payments. The Company is eligible to receive up to low double-digit royalties for sales of products under the AMG 890 (ARO-LPA) Agreement.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revenue recognition for these collaboration agreements is discussed further in Note 2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At December 31, 2019, the Company had $461.0 million in cash and cash equivalents (including $1.0 million in restricted cash), $41.0 million in short-term investments, and $26.3 million in long-term investments to fund operations. During the three months ended December 31, 2019, the Company’s cash and investments balance increased by $225.5 million, which was primarily the result of the December 2019 securities offering that generated $250.5 million in net cash proceeds for the Company, as discussed further in Note 6 below. These cash inflows were partially offset by cash outflows related to operating activities.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There have been no changes to the significant accounting policies disclosed in the Company’s most recent Annual Report on Form 10-K, except as a result of the Financial Accounting Standards Board (FASB)’s Accounting Standards Update (ASU) No. 2016-02, Leases (ASC 842), as discussed below.</w:t>
      </w:r>
    </w:p>
    <w:p>
      <w:pPr>
        <w:spacing w:after="0" w:line="124"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Leases — 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less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March 2016, the FASB issued ASU No. 2016-02, Leases (Topic ASC 842). Under ASC 842, lessees are required to recognize a right-of-use asset and a right-of-use lease liability for virtually all leases other than those that meet the definition of a short-term lease. For income statement purposes, a dual model was retained, requiring leases to be classified as either operating or finance. Operating leases will result in straight-line expense while finance leases will result in a front-loaded expense pattern (similar to current capital leases). The Company adopted this standard effective October 1, 2019 and elected the package of three practical expedients that permits an entity to a) not reassess whether expired or existing contracts contain leases, b) not reassess lease classification for existing or expired leases, and c) not consider whether previously capitalized initial direct costs would be appropriate under the new standard. At December 31, 2019, the Company has recorded right-of-use assets of $10.4 million and right-of-use liabilities of $14.8 million on its Consolidated Balance Sheets for its research and development facility lease in Madison, Wisconsin, and its corporate headquarters lease in Pasadena, California, as discussed further in Note 8 below. The adoption of this standard did not have a material impact on the Company’s Consolidated Statement of Comprehensive Income (Loss) and the Company’s Consolidated Statement of Cash Flows.</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ASU 2018-18 becomes effective for the Company in the first quarter of fiscal 2021 with early adoption permitted. The Company does not expect the adoption of this update to have a material effect on its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and a $10 million milestone payment, and may receive up to $420 million in development, regulatory and sales milestone payments. The Company is further eligible to receive up to low double-digit royalties for sales of products under the AMG 890 (ARO-LPA) Agreement. In July 2019, Amgen informed the Company that it would not be exercising its option for an exclusive license for ARO-AMG1, and as such, there will be no further milestone or royalty payments under the ARO-AMG1 Agreement.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substantially completed its performance obligations under the AMG 890 (ARO-LPA) Agreement and the ARO-AMG1</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Agreement. Future milestones and royalties achieved will be recognized in their entirety when earned. During the three months ended December 31, 2019 and 2018, the Company recognized $0 and $0 of Revenue associated with its agreements with Amgen, respectively. As of December 31, 2019, there were $0 contract assets, and $0 contract liabilities recorded as current deferred revenue on the Company’s Consolidated Balance Sheets.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research and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 million as an upfront payment, $75 million in the form of an equity investment by JJDC in Arrowhead common stock under the JJDC Stock Purchase Agreement, and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7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6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 Company determined the transaction price totaled approximately $252.6 million which includes the upfront payment, the premium paid by JJDC for its equity investment in the Company, the two $25 million milestone payments earned and estimated payments for reimbursable Janssen R&amp;D services to be performed. The Company has allocated the total $252.6 million initial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9" w:name="page10"/>
    <w:bookmarkEnd w:id="9"/>
    <w:p>
      <w:pPr>
        <w:spacing w:after="0" w:line="297" w:lineRule="auto"/>
        <w:rPr>
          <w:sz w:val="20"/>
          <w:szCs w:val="20"/>
          <w:color w:val="auto"/>
        </w:rPr>
      </w:pPr>
      <w:r>
        <w:rPr>
          <w:rFonts w:ascii="Arial" w:cs="Arial" w:eastAsia="Arial" w:hAnsi="Arial"/>
          <w:sz w:val="16"/>
          <w:szCs w:val="16"/>
          <w:color w:val="auto"/>
        </w:rPr>
        <w:t>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months ended December 31, 2019 and 2018, the Company recognized approximately $28.8 million and $34.7 million of Revenue associated with its agreements with Janssen and JJDC, respectively. As of December 31, 2019 there were $0 contract assets recorded as accounts receivable, and $54.0 million of contract liabilities recorded as current deferred revenue on the Company’s Consolidated Balance Sheets. The $54.0 million of current deferred revenue is driven by the upfront payment, the premium paid by JJDC for its equity investment in the Company, and the two $25 million milestone payments earned, net of revenue recognized to date.</w:t>
      </w:r>
    </w:p>
    <w:p>
      <w:pPr>
        <w:spacing w:after="0" w:line="162" w:lineRule="exact"/>
        <w:rPr>
          <w:sz w:val="20"/>
          <w:szCs w:val="20"/>
          <w:color w:val="auto"/>
        </w:rPr>
      </w:pPr>
    </w:p>
    <w:p>
      <w:pPr>
        <w:ind w:right="20" w:firstLine="518"/>
        <w:spacing w:after="0" w:line="265" w:lineRule="auto"/>
        <w:rPr>
          <w:sz w:val="20"/>
          <w:szCs w:val="20"/>
          <w:color w:val="auto"/>
        </w:rPr>
      </w:pPr>
      <w:r>
        <w:rPr>
          <w:rFonts w:ascii="Arial" w:cs="Arial" w:eastAsia="Arial" w:hAnsi="Arial"/>
          <w:sz w:val="18"/>
          <w:szCs w:val="18"/>
          <w:color w:val="auto"/>
        </w:rPr>
        <w:t>Janssen has also selected the first of the three targets under the Janssen Collaboration Agreement, now referred to as ARO-JNJ1, and the Company has begun to conduct its discovery, optimization and preclinical research and development of ARO-JNJ1. All costs and labor hours spent by the Company will be entirely funded by Janssen. During the three months ended December 31, 2019 and 2018, the Company recognized $0.7 million and $0 of Revenue associated with its efforts on the ARO-JNJ1 candidate, respectively. As of December 31, 2019, there were $1.3 million of contract assets recorded as Accounts Receivable, and $0 of contract liabilities.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458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627,311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637,577</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Research equipment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15,245,138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12,932,304</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147,254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147,254</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23,321,242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21,579,415</w:t>
            </w:r>
          </w:p>
        </w:tc>
        <w:tc>
          <w:tcPr>
            <w:tcW w:w="8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39,340,945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35,296,550</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(12,906,162)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(12,081,651)</w:t>
            </w:r>
          </w:p>
        </w:tc>
      </w:tr>
      <w:tr>
        <w:trPr>
          <w:trHeight w:val="223"/>
        </w:trPr>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26,434,783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23,214,899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Depreciation and amortization expense for Property and Equipment for the three months ended December 31, 2019 and 2018 and was $834,777 and $752,245,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December 31, 2019 consisted of corporate bonds with maturities remaining of less than 24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December 31, 2019,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Company’s short-term and long-term investments as of December 31, 2019, and September 30, 2019.</w:t>
      </w:r>
    </w:p>
    <w:p>
      <w:pPr>
        <w:spacing w:after="0" w:line="336"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As of December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80" w:type="dxa"/>
            <w:vAlign w:val="bottom"/>
          </w:tcPr>
          <w:p>
            <w:pPr>
              <w:spacing w:after="0"/>
              <w:rPr>
                <w:sz w:val="11"/>
                <w:szCs w:val="11"/>
                <w:color w:val="auto"/>
              </w:rPr>
            </w:pPr>
          </w:p>
        </w:tc>
        <w:tc>
          <w:tcPr>
            <w:tcW w:w="404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vMerge w:val="restart"/>
            <w:shd w:val="clear" w:color="auto" w:fill="CCEEFF"/>
          </w:tcPr>
          <w:p>
            <w:pPr>
              <w:jc w:val="right"/>
              <w:ind w:right="177"/>
              <w:spacing w:after="0"/>
              <w:rPr>
                <w:sz w:val="20"/>
                <w:szCs w:val="20"/>
                <w:color w:val="auto"/>
              </w:rPr>
            </w:pPr>
            <w:r>
              <w:rPr>
                <w:rFonts w:ascii="Arial" w:cs="Arial" w:eastAsia="Arial" w:hAnsi="Arial"/>
                <w:sz w:val="14"/>
                <w:szCs w:val="14"/>
                <w:b w:val="1"/>
                <w:bCs w:val="1"/>
                <w:color w:val="auto"/>
              </w:rPr>
              <w:t>Amortized</w:t>
            </w:r>
          </w:p>
        </w:tc>
        <w:tc>
          <w:tcPr>
            <w:tcW w:w="1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center"/>
              <w:ind w:right="59"/>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Fair Value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4"/>
                <w:szCs w:val="14"/>
                <w:b w:val="1"/>
                <w:bCs w:val="1"/>
                <w:color w:val="auto"/>
              </w:rPr>
              <w:t>Cost</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Commercial notes (due within one year)</w:t>
            </w:r>
          </w:p>
        </w:tc>
        <w:tc>
          <w:tcPr>
            <w:tcW w:w="1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40,969,341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362,500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41,331,841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two years)</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26,329,098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626,503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26,955,601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67,298,439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989,003</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68,287,442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 w:name="page11"/>
    <w:bookmarkEnd w:id="10"/>
    <w:p>
      <w:pPr>
        <w:ind w:left="7540"/>
        <w:spacing w:after="0"/>
        <w:rPr>
          <w:sz w:val="20"/>
          <w:szCs w:val="20"/>
          <w:color w:val="auto"/>
        </w:rPr>
      </w:pPr>
      <w:r>
        <w:rPr>
          <w:rFonts w:ascii="Arial" w:cs="Arial" w:eastAsia="Arial" w:hAnsi="Arial"/>
          <w:sz w:val="14"/>
          <w:szCs w:val="14"/>
          <w:b w:val="1"/>
          <w:bCs w:val="1"/>
          <w:color w:val="auto"/>
        </w:rPr>
        <w:t>As of September 30, 2019</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33"/>
        </w:trPr>
        <w:tc>
          <w:tcPr>
            <w:tcW w:w="42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vMerge w:val="restart"/>
            <w:shd w:val="clear" w:color="auto" w:fill="CCEEFF"/>
          </w:tcPr>
          <w:p>
            <w:pPr>
              <w:jc w:val="right"/>
              <w:ind w:right="137"/>
              <w:spacing w:after="0"/>
              <w:rPr>
                <w:sz w:val="20"/>
                <w:szCs w:val="20"/>
                <w:color w:val="auto"/>
              </w:rPr>
            </w:pPr>
            <w:r>
              <w:rPr>
                <w:rFonts w:ascii="Arial" w:cs="Arial" w:eastAsia="Arial" w:hAnsi="Arial"/>
                <w:sz w:val="14"/>
                <w:szCs w:val="14"/>
                <w:b w:val="1"/>
                <w:bCs w:val="1"/>
                <w:color w:val="auto"/>
              </w:rPr>
              <w:t>Amortized</w:t>
            </w: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ind w:right="99"/>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gridSpan w:val="2"/>
            <w:shd w:val="clear" w:color="auto" w:fill="CCEEFF"/>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1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36,899,894</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222,584</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37,122,478</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three years)</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44,175,993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875,258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45,051,251</w:t>
            </w:r>
          </w:p>
        </w:tc>
        <w:tc>
          <w:tcPr>
            <w:tcW w:w="0" w:type="dxa"/>
            <w:vAlign w:val="bottom"/>
          </w:tcPr>
          <w:p>
            <w:pPr>
              <w:spacing w:after="0"/>
              <w:rPr>
                <w:sz w:val="1"/>
                <w:szCs w:val="1"/>
                <w:color w:val="auto"/>
              </w:rPr>
            </w:pPr>
          </w:p>
        </w:tc>
      </w:tr>
      <w:tr>
        <w:trPr>
          <w:trHeight w:val="223"/>
        </w:trPr>
        <w:tc>
          <w:tcPr>
            <w:tcW w:w="4200" w:type="dxa"/>
            <w:vAlign w:val="bottom"/>
          </w:tcPr>
          <w:p>
            <w:pPr>
              <w:ind w:left="1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81,075,887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1,097,842</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82,173,729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$717,292. The patents associated with the Novartis RNAi asset acquisition are being amortized over the estimated life remaining at the time of acquisition, which was 14 years, and the accumulated amortization of the assets is approximately $7,501,448. Amortization expense for the three months ended December 31, 2019 and 2018 was $425,107 and $425,107, respectively. Amortization expense is expected to be $1,275,322 for the remainder of fiscal 2020, $1,700,429 in 2021, $1,700,429 in 2022, $1,700,429 in 2023, $1,700,429 in 2024, and $8,561,435 thereafter.</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Intangible assets</w:t>
            </w:r>
          </w:p>
        </w:tc>
      </w:tr>
      <w:tr>
        <w:trPr>
          <w:trHeight w:val="149"/>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subject to</w:t>
            </w:r>
          </w:p>
        </w:tc>
      </w:t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17,063,580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(425,107)</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16,638,473</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jc w:val="both"/>
        <w:ind w:right="260" w:firstLine="518"/>
        <w:spacing w:after="0" w:line="277" w:lineRule="auto"/>
        <w:rPr>
          <w:sz w:val="20"/>
          <w:szCs w:val="20"/>
          <w:color w:val="auto"/>
        </w:rPr>
      </w:pPr>
      <w:r>
        <w:rPr>
          <w:rFonts w:ascii="Arial" w:cs="Arial" w:eastAsia="Arial" w:hAnsi="Arial"/>
          <w:sz w:val="18"/>
          <w:szCs w:val="18"/>
          <w:color w:val="auto"/>
        </w:rPr>
        <w:t>At December 31, 2019, the Company had a total of 150,000,000 shares of capital stock authorized for issuance, consisting of 145,000,000 shares of Common Stock, par value $0.001 per share, and 5,000,000 shares of Preferred Stock, par value $0.001 per share.</w:t>
      </w:r>
    </w:p>
    <w:p>
      <w:pPr>
        <w:spacing w:after="0" w:line="170"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At December 31, 2019, 101,111,797 shares of Common Stock were outstanding. At December 31, 2019, 6,665,719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14"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In December 31, 2019 the Company sold 4,600,000 shares of its Common Stock in a public offering at a price of $58.00 per share. The aggregate purchase price paid by the investors for the Common Stock was $266.8 million, and the Company received net proceeds of $250.5 million after deducting advisory fees and offering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On occasion,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December 31, 2019.</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the normal course of business, the Company enters into various purchase commitments for the manufacture of drug components, for toxicology studies, and for clinical studies. As of December 31, 2019, these future commitments were estimated at approximately $62.5 million, of which approximately $42.5 million is expected to be incurred in fiscal 2020, and $20.0 million is expected to be incurred beyond fiscal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20" w:firstLine="518"/>
        <w:spacing w:after="0" w:line="260" w:lineRule="auto"/>
        <w:rPr>
          <w:sz w:val="20"/>
          <w:szCs w:val="20"/>
          <w:color w:val="auto"/>
        </w:rPr>
      </w:pPr>
      <w:r>
        <w:rPr>
          <w:rFonts w:ascii="Arial" w:cs="Arial" w:eastAsia="Arial" w:hAnsi="Arial"/>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months ended December 31, 2019 and 2018, the Company did not reach milestones requiring payment. In certain agreements, the Company may be required to make mid to high single-digit percentage royalty payments based on a percentage of the sales of the relevant products.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60" w:firstLine="305"/>
        <w:spacing w:after="0" w:line="271" w:lineRule="auto"/>
        <w:rPr>
          <w:sz w:val="20"/>
          <w:szCs w:val="20"/>
          <w:color w:val="auto"/>
        </w:rPr>
      </w:pPr>
      <w:r>
        <w:rPr>
          <w:rFonts w:ascii="Arial" w:cs="Arial" w:eastAsia="Arial" w:hAnsi="Arial"/>
          <w:sz w:val="17"/>
          <w:szCs w:val="17"/>
          <w:color w:val="auto"/>
        </w:rPr>
        <w:t>In April 2019, the Company entered a new lease for its corporate headquarters in Pasadena, California. The 91 month office building lease between the Company and 177 Colorado Owner, LLC is for approximately 24,000 square feet of office space located at 177 E. Colorado Blvd, Pasadena, California, and this lease has replaced the Company’s previous corporate headquarters office lease. The increased capacity of this new office space compared to the Company’s current corporate headquarters will accommodate increased personnel as the Company’s pipeline of drug candidates expands and moves closer to market. Lease payments began on September 30, 2019 and are estimated to total approximately $8.8 million over the remainder of the term. The Company expects to pay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December 31, 2019.</w:t>
      </w:r>
    </w:p>
    <w:p>
      <w:pPr>
        <w:spacing w:after="0" w:line="17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Company also leases approximately 74,000 square feet of office and laboratory space for its research facility in Madison, Wisconsin. The lease will expire in September 2029. Lease payments are estimated to total approximately $13.3 million for the remainder of the term. The lease contains two options to renew for two terms of five years. The exercise of these options were not determined to be reasonably certain and thus was not included in Lease liabilities on the Company’s Consolidated Balance Sheet at December 31, 2019.</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Operating lease cost during the three months ended December 31, 2019 was $0.5 million. Variable lease cost during the three months ended December 31, 2019 was $0.2 million. There was no short-term lease cost during the three months ended December 31,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Operating Lease Liabilities on an undiscounted basis as of December 31, 2019:</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 (remainder of fiscal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1,240,509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2,256,379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2,521,446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2,590,558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2,661,512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10,834,206</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22,104,610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(7,265,709)</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 (includes current portion)</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14,838,901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 of Cash Flow was $0.3 million for the three months ended December 31, 2019. The weighted-average remaining lease term and weighted-average discount rate for all leases as of December 31, 2019 was 8.8 years and 8.9%,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As of September 30, 2019, future minimum lease payments due in fiscal years under operating leases were as follows:</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1,521,451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2,256,379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2,521,446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2,590,558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2,661,512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10,834,206</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22,385,552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Arrowhead has two plans that provide for equity-based compensation. Under the 2004 Equity Incentive Plan and 2013 Incentive Plan, as of December 31, 2019, 955,949 and 4,500,846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December 31, 2019, there were options granted and outstanding to purchase 955,949 and 2,635,429 shares of Common Stock under the 2004 Equity Incentive Plan and the 2013 Incentive Plan, respectively, and there were 1,526,000 restricted stock units granted and outstanding under the 2013 Incentive Plan. Also, as of December 31, 2019, there were 915,849 shares reserved for options and 293,075 shares reserved for restricted stock units issued as inducement grants to new employees outside of equity compensation plans. During the three months ended December 31, 2019, 4,000 options and 5,000 restricted stock units were granted under the 2013 Incentive Plan, and 217,000 options and 284,575 restricted stock units were granted as inducement awards to new employees outside of equity incentive plans.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Per Share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4,773,670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221,000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51.58</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(15,250)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(472,193)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4,507,227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86"/>
              </w:rPr>
              <w:t>6.1 years</w:t>
            </w:r>
          </w:p>
        </w:tc>
        <w:tc>
          <w:tcPr>
            <w:tcW w:w="118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$ 239,071,624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3,185,761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9"/>
                <w:szCs w:val="19"/>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w w:val="86"/>
              </w:rPr>
              <w:t>4.8 years</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$ 180,745,146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Stock-based compensation expense related to stock options for the three months ended December 31, 2019 and 2018 was $1,609,071 and $790,345, respectively. For non-qualified stock options, the expense creates a timing difference, resulting in a deferred tax asset, which is fully reserved by a valuation allowance.</w:t>
      </w:r>
    </w:p>
    <w:p>
      <w:pPr>
        <w:spacing w:after="0" w:line="18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grant date fair value of the options granted by the Company for the three months ended December 31, 2019 and 2018 was $8,630,492 and $556,889, respectively.</w:t>
      </w:r>
    </w:p>
    <w:p>
      <w:pPr>
        <w:spacing w:after="0" w:line="170" w:lineRule="exact"/>
        <w:rPr>
          <w:sz w:val="20"/>
          <w:szCs w:val="20"/>
          <w:color w:val="auto"/>
        </w:rPr>
      </w:pPr>
    </w:p>
    <w:p>
      <w:pPr>
        <w:ind w:right="860" w:firstLine="518"/>
        <w:spacing w:after="0" w:line="277" w:lineRule="auto"/>
        <w:rPr>
          <w:sz w:val="20"/>
          <w:szCs w:val="20"/>
          <w:color w:val="auto"/>
        </w:rPr>
      </w:pPr>
      <w:r>
        <w:rPr>
          <w:rFonts w:ascii="Arial" w:cs="Arial" w:eastAsia="Arial" w:hAnsi="Arial"/>
          <w:sz w:val="18"/>
          <w:szCs w:val="18"/>
          <w:color w:val="auto"/>
        </w:rPr>
        <w:t>The intrinsic value of the options exercised during the three months ended December 31, 2019 and 2018 was $21,640,591 and $1,315,700, respectively.</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December 31, 2019, the pre-tax compensation expense for all outstanding unvested stock options in the amount of approximately $19,560,770 will be recognized in the Company’s results of operations over a weighted average period of 3.4 years.</w:t>
      </w:r>
    </w:p>
    <w:p>
      <w:pPr>
        <w:spacing w:after="0" w:line="170"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3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December 31,</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3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center"/>
              <w:ind w:right="554"/>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 1.8%</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2.8 – 3.1%</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1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 91.0%</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115%</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20" w:type="dxa"/>
            <w:vAlign w:val="bottom"/>
          </w:tcPr>
          <w:p>
            <w:pPr>
              <w:spacing w:after="0"/>
              <w:rPr>
                <w:sz w:val="18"/>
                <w:szCs w:val="18"/>
                <w:color w:val="auto"/>
              </w:rPr>
            </w:pPr>
          </w:p>
        </w:tc>
        <w:tc>
          <w:tcPr>
            <w:tcW w:w="940" w:type="dxa"/>
            <w:vAlign w:val="bottom"/>
          </w:tcPr>
          <w:p>
            <w:pPr>
              <w:jc w:val="center"/>
              <w:ind w:right="534"/>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$39.05</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$11.85</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Restricted stock units (RSUs), including time-based and performance-based awards, were granted under the Company’s 2013 Incentive Plan and as inducements grants granted outside of the Plan. During the three months ended December 31, 2019, the Company issued 5,000 RSUs under the 2013 Incentive Plan and 284,575 RSUs as inducement awards to a new director and several new employees outside of equity incentive plans.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RSUs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2,062,833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289,575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(533,333)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1,819,075</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During the three months ended December 31, 2019 and 2018, the Company recorded $2,882,681 and $1,927,099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4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December 31, 2019, the pre-tax compensation expense for all unvested RSUs in the amount of approximately $21,642,921 will be recognized in the Company’s results of operations over a weighted average period of 3.3 years.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 w:name="page15"/>
    <w:bookmarkEnd w:id="14"/>
    <w:p>
      <w:pPr>
        <w:ind w:right="340"/>
        <w:spacing w:after="0" w:line="277" w:lineRule="auto"/>
        <w:rPr>
          <w:sz w:val="20"/>
          <w:szCs w:val="20"/>
          <w:color w:val="auto"/>
        </w:rPr>
      </w:pPr>
      <w:r>
        <w:rPr>
          <w:rFonts w:ascii="Arial" w:cs="Arial" w:eastAsia="Arial" w:hAnsi="Arial"/>
          <w:sz w:val="18"/>
          <w:szCs w:val="18"/>
          <w:color w:val="auto"/>
        </w:rPr>
        <w:t>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December 31, 2019 and September 30, 2019 for assets and liabilities measured at fair value on a recurring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461,032,249</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ind w:right="662"/>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461,032,249</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41,331,841</w:t>
            </w:r>
          </w:p>
        </w:tc>
        <w:tc>
          <w:tcPr>
            <w:tcW w:w="360" w:type="dxa"/>
            <w:vAlign w:val="bottom"/>
            <w:gridSpan w:val="4"/>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62"/>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41,331,841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2FF"/>
          </w:tcPr>
          <w:p>
            <w:pPr>
              <w:spacing w:after="0"/>
              <w:rPr>
                <w:sz w:val="20"/>
                <w:szCs w:val="20"/>
                <w:color w:val="auto"/>
              </w:rPr>
            </w:pPr>
            <w:r>
              <w:rPr>
                <w:rFonts w:ascii="Arial" w:cs="Arial" w:eastAsia="Arial" w:hAnsi="Arial"/>
                <w:sz w:val="18"/>
                <w:szCs w:val="18"/>
                <w:color w:val="auto"/>
              </w:rPr>
              <w:t>Long-term investments</w:t>
            </w:r>
          </w:p>
        </w:tc>
        <w:tc>
          <w:tcPr>
            <w:tcW w:w="1880" w:type="dxa"/>
            <w:vAlign w:val="bottom"/>
            <w:gridSpan w:val="3"/>
            <w:shd w:val="clear" w:color="auto" w:fill="CFF2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F"/>
          </w:tcPr>
          <w:p>
            <w:pPr>
              <w:jc w:val="right"/>
              <w:spacing w:after="0"/>
              <w:rPr>
                <w:sz w:val="20"/>
                <w:szCs w:val="20"/>
                <w:color w:val="auto"/>
              </w:rPr>
            </w:pPr>
            <w:r>
              <w:rPr>
                <w:rFonts w:ascii="Arial" w:cs="Arial" w:eastAsia="Arial" w:hAnsi="Arial"/>
                <w:sz w:val="18"/>
                <w:szCs w:val="18"/>
                <w:color w:val="auto"/>
              </w:rPr>
              <w:t>26,955,601</w:t>
            </w:r>
          </w:p>
        </w:tc>
        <w:tc>
          <w:tcPr>
            <w:tcW w:w="360" w:type="dxa"/>
            <w:vAlign w:val="bottom"/>
            <w:gridSpan w:val="4"/>
            <w:shd w:val="clear" w:color="auto" w:fill="CFF2FF"/>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2FF"/>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2FF"/>
          </w:tcPr>
          <w:p>
            <w:pPr>
              <w:jc w:val="right"/>
              <w:ind w:right="66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2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2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2FF"/>
          </w:tcPr>
          <w:p>
            <w:pPr>
              <w:spacing w:after="0"/>
              <w:rPr>
                <w:sz w:val="19"/>
                <w:szCs w:val="19"/>
                <w:color w:val="auto"/>
              </w:rPr>
            </w:pPr>
          </w:p>
        </w:tc>
        <w:tc>
          <w:tcPr>
            <w:tcW w:w="960" w:type="dxa"/>
            <w:vAlign w:val="bottom"/>
            <w:shd w:val="clear" w:color="auto" w:fill="CFF2FF"/>
          </w:tcPr>
          <w:p>
            <w:pPr>
              <w:jc w:val="right"/>
              <w:spacing w:after="0"/>
              <w:rPr>
                <w:sz w:val="20"/>
                <w:szCs w:val="20"/>
                <w:color w:val="auto"/>
              </w:rPr>
            </w:pPr>
            <w:r>
              <w:rPr>
                <w:rFonts w:ascii="Arial" w:cs="Arial" w:eastAsia="Arial" w:hAnsi="Arial"/>
                <w:sz w:val="18"/>
                <w:szCs w:val="18"/>
                <w:color w:val="auto"/>
              </w:rPr>
              <w:t>26,955,601</w:t>
            </w:r>
          </w:p>
        </w:tc>
        <w:tc>
          <w:tcPr>
            <w:tcW w:w="20" w:type="dxa"/>
            <w:vAlign w:val="bottom"/>
            <w:shd w:val="clear" w:color="auto" w:fill="CFF2FF"/>
          </w:tcPr>
          <w:p>
            <w:pPr>
              <w:spacing w:after="0"/>
              <w:rPr>
                <w:sz w:val="19"/>
                <w:szCs w:val="19"/>
                <w:color w:val="auto"/>
              </w:rPr>
            </w:pPr>
          </w:p>
        </w:tc>
        <w:tc>
          <w:tcPr>
            <w:tcW w:w="80" w:type="dxa"/>
            <w:vAlign w:val="bottom"/>
            <w:shd w:val="clear" w:color="auto" w:fill="CFF2FF"/>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4"/>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62"/>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458"/>
        </w:trPr>
        <w:tc>
          <w:tcPr>
            <w:tcW w:w="414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221,804,128</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221,804,128</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37,122,478</w:t>
            </w:r>
          </w:p>
        </w:tc>
        <w:tc>
          <w:tcPr>
            <w:tcW w:w="360" w:type="dxa"/>
            <w:vAlign w:val="bottom"/>
            <w:gridSpan w:val="4"/>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582"/>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37,122,478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2FF"/>
          </w:tcPr>
          <w:p>
            <w:pPr>
              <w:spacing w:after="0"/>
              <w:rPr>
                <w:sz w:val="20"/>
                <w:szCs w:val="20"/>
                <w:color w:val="auto"/>
              </w:rPr>
            </w:pPr>
            <w:r>
              <w:rPr>
                <w:rFonts w:ascii="Arial" w:cs="Arial" w:eastAsia="Arial" w:hAnsi="Arial"/>
                <w:sz w:val="18"/>
                <w:szCs w:val="18"/>
                <w:color w:val="auto"/>
              </w:rPr>
              <w:t>Long-term investments</w:t>
            </w:r>
          </w:p>
        </w:tc>
        <w:tc>
          <w:tcPr>
            <w:tcW w:w="1880" w:type="dxa"/>
            <w:vAlign w:val="bottom"/>
            <w:gridSpan w:val="3"/>
            <w:shd w:val="clear" w:color="auto" w:fill="CFF2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F"/>
          </w:tcPr>
          <w:p>
            <w:pPr>
              <w:jc w:val="right"/>
              <w:spacing w:after="0"/>
              <w:rPr>
                <w:sz w:val="20"/>
                <w:szCs w:val="20"/>
                <w:color w:val="auto"/>
              </w:rPr>
            </w:pPr>
            <w:r>
              <w:rPr>
                <w:rFonts w:ascii="Arial" w:cs="Arial" w:eastAsia="Arial" w:hAnsi="Arial"/>
                <w:sz w:val="18"/>
                <w:szCs w:val="18"/>
                <w:color w:val="auto"/>
              </w:rPr>
              <w:t>45,051,251</w:t>
            </w:r>
          </w:p>
        </w:tc>
        <w:tc>
          <w:tcPr>
            <w:tcW w:w="360" w:type="dxa"/>
            <w:vAlign w:val="bottom"/>
            <w:gridSpan w:val="4"/>
            <w:shd w:val="clear" w:color="auto" w:fill="CFF2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2FF"/>
          </w:tcPr>
          <w:p>
            <w:pPr>
              <w:ind w:left="680"/>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FF2FF"/>
          </w:tcPr>
          <w:p>
            <w:pPr>
              <w:jc w:val="right"/>
              <w:ind w:right="58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2FF"/>
          </w:tcPr>
          <w:p>
            <w:pPr>
              <w:ind w:left="8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2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2FF"/>
          </w:tcPr>
          <w:p>
            <w:pPr>
              <w:jc w:val="right"/>
              <w:spacing w:after="0"/>
              <w:rPr>
                <w:sz w:val="20"/>
                <w:szCs w:val="20"/>
                <w:color w:val="auto"/>
              </w:rPr>
            </w:pPr>
            <w:r>
              <w:rPr>
                <w:rFonts w:ascii="Arial" w:cs="Arial" w:eastAsia="Arial" w:hAnsi="Arial"/>
                <w:sz w:val="18"/>
                <w:szCs w:val="18"/>
                <w:color w:val="auto"/>
              </w:rPr>
              <w:t>45,051,251</w:t>
            </w:r>
          </w:p>
        </w:tc>
        <w:tc>
          <w:tcPr>
            <w:tcW w:w="20" w:type="dxa"/>
            <w:vAlign w:val="bottom"/>
            <w:shd w:val="clear" w:color="auto" w:fill="CFF2FF"/>
          </w:tcPr>
          <w:p>
            <w:pPr>
              <w:spacing w:after="0"/>
              <w:rPr>
                <w:sz w:val="19"/>
                <w:szCs w:val="19"/>
                <w:color w:val="auto"/>
              </w:rPr>
            </w:pPr>
          </w:p>
        </w:tc>
        <w:tc>
          <w:tcPr>
            <w:tcW w:w="80" w:type="dxa"/>
            <w:vAlign w:val="bottom"/>
            <w:shd w:val="clear" w:color="auto" w:fill="CFF2FF"/>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4"/>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582"/>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December 31, 2019 and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ind w:right="40" w:firstLine="305"/>
        <w:spacing w:after="0" w:line="252"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301" w:lineRule="exact"/>
        <w:rPr>
          <w:sz w:val="20"/>
          <w:szCs w:val="20"/>
          <w:color w:val="auto"/>
        </w:rPr>
      </w:pPr>
    </w:p>
    <w:p>
      <w:pPr>
        <w:ind w:right="20" w:firstLine="305"/>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ARO-HSD for liver disease, ARO-ENaC for cystic fibrosis, and ARO-HIF2 for renal cell carcinoma. ARO-JNJ1 is being developed for an undisclosed liver-expressed target under a collaboration agreement with Janssen Pharmaceuticals, Inc. (“Janssen”). ARO-HBV (JNJ-3989) for chronic hepatitis B virus was out-licensed to Janssen in October 2018. ARO-LPA (AMG 890) for cardiovascular disease was out-licensed to Amgen Inc. (“Amgen”) in 2016.</w:t>
      </w:r>
    </w:p>
    <w:p>
      <w:pPr>
        <w:spacing w:after="0" w:line="19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right="20" w:firstLine="518"/>
        <w:spacing w:after="0" w:line="207" w:lineRule="auto"/>
        <w:rPr>
          <w:sz w:val="20"/>
          <w:szCs w:val="20"/>
          <w:color w:val="auto"/>
        </w:rPr>
      </w:pPr>
      <w:r>
        <w:rPr>
          <w:rFonts w:ascii="Arial" w:cs="Arial" w:eastAsia="Arial" w:hAnsi="Arial"/>
          <w:sz w:val="18"/>
          <w:szCs w:val="18"/>
          <w:color w:val="auto"/>
        </w:rPr>
        <w:t>Arrowhead has focused its resources on therapeutics that exclusively utilize the company’s Targeted RNAi Molecule (TRiM</w:t>
      </w:r>
      <w:r>
        <w:rPr>
          <w:rFonts w:ascii="Arial" w:cs="Arial" w:eastAsia="Arial" w:hAnsi="Arial"/>
          <w:sz w:val="26"/>
          <w:szCs w:val="26"/>
          <w:color w:val="auto"/>
          <w:vertAlign w:val="superscript"/>
        </w:rPr>
        <w:t>TM</w:t>
      </w:r>
      <w:r>
        <w:rPr>
          <w:rFonts w:ascii="Arial" w:cs="Arial" w:eastAsia="Arial" w:hAnsi="Arial"/>
          <w:sz w:val="18"/>
          <w:szCs w:val="18"/>
          <w:color w:val="auto"/>
        </w:rPr>
        <w:t>) platform technology. Therapeutics built on the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20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During the first quarter of fiscal 2020, the Company has continued to develop its pipeline and partnered candidates. The Company has began dosing in an adaptive design phase 2/3 trial, called SEQUOIA, with the potential to serve as a pivotal registration study of ARO-AAT. The Company also began dosing in its ARO-AAT 2002 study, a pilot open-label, multi-dose Phase 2 study to assess changes in novel histological activity scale in response to ARO-AAT over time in patients with alpha-1 antitrypsin deficiency associated liver disease. The Company also presented new clinical data on its two cardiometabolic candidates, ARO-APOC3 and ARO-ANG3, in two late-breaking oral presentations at the American Heart Association Scientific Sessions 2019. The Company also filed an IND to begin a phase 1b study of ARO-HIF2, and filed a CTA to begin a phase 1 study of ARO-HSD. The Company also continues to work on optimizing its other extra-hepatic preclinical pipeline candidates including ARO-ENaC. Amgen is currently progressing its phase 1 clinical study of AMG-890 (ARO-LPA).</w:t>
      </w:r>
    </w:p>
    <w:p>
      <w:pPr>
        <w:spacing w:after="0" w:line="84"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Company’s partnered candidates under its collaboration agreements with Janssen and Amgen also continue to progress. Janssen began dosing patients in a phase 2b triple combination study called REEF-1, designed to enroll up to 450 patients with chronic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6" w:name="page17"/>
    <w:bookmarkEnd w:id="16"/>
    <w:p>
      <w:pPr>
        <w:ind w:right="20"/>
        <w:spacing w:after="0" w:line="289" w:lineRule="auto"/>
        <w:rPr>
          <w:sz w:val="20"/>
          <w:szCs w:val="20"/>
          <w:color w:val="auto"/>
        </w:rPr>
      </w:pPr>
      <w:r>
        <w:rPr>
          <w:rFonts w:ascii="Arial" w:cs="Arial" w:eastAsia="Arial" w:hAnsi="Arial"/>
          <w:sz w:val="16"/>
          <w:szCs w:val="16"/>
          <w:color w:val="auto"/>
        </w:rPr>
        <w:t>hepatitis B infection, and in connection with the start of this study Arrowhead earned a $25 million milestone payment under the License Agreement (“Janssen License Agreement”). Janssen has also nominated the first of 3 potential candidates under the Research Collaboration and Option Agreement (“Janssen Collaboration Agreement”), ARO-JNJ1, and the Company is currently performing discovery, optimization and preclinical research and development for this candidate. Under the terms of the Janssen agreements taken together, the Company has received $175 million as an upfront payment, $75 million in the form of an equity investment by Johnson &amp; Johnson Innovation-JJDC, Inc. (“JJDC”) in Arrowhead common stock under the Stock Purchase Agreement (“JJDC Stock Purchase Agreement”),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The Company’s collaboration agreement with Amgen for AMG 890 (ARO-LPA), (the “Second Collaboration and License Agreement” or “AMG 890 (ARO-LPA) Agreement”), continues to progress. The Company has received $35 million in upfront payments, $21.5 million in the form of an equity investment by Amgen in the Company’s Common Stock, a $10 million milestone payment, and may receive up to $420 million in development, regulatory and sales milestone payments. The Company is eligible to receive up to low double-digit royalties for sales of products under the AMG 890 (ARO-LPA) Agreement.</w:t>
      </w:r>
    </w:p>
    <w:p>
      <w:pPr>
        <w:spacing w:after="0" w:line="17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Net losses were $2.7 million for the three months ended December 31, 2019 as compared to net income of $12.0 million for the three months ended December 31, 2018. Net losses per share – diluted were $0.03 for the three months ended December 31, 2019 as compared to net income per share - diluted of $0.13 for the three months ended December 31, 2018. An increase in research and development and general and administrative expenses coupled with a decrease in revenue from the license and collaboration agreements with Janssen were the drivers of the increase in net losses and net losses per share, as discussed further below.</w:t>
      </w:r>
    </w:p>
    <w:p>
      <w:pPr>
        <w:spacing w:after="0" w:line="188" w:lineRule="exact"/>
        <w:rPr>
          <w:sz w:val="20"/>
          <w:szCs w:val="20"/>
          <w:color w:val="auto"/>
        </w:rPr>
      </w:pPr>
    </w:p>
    <w:p>
      <w:pPr>
        <w:ind w:right="260" w:firstLine="518"/>
        <w:spacing w:after="0" w:line="288" w:lineRule="auto"/>
        <w:rPr>
          <w:sz w:val="20"/>
          <w:szCs w:val="20"/>
          <w:color w:val="auto"/>
        </w:rPr>
      </w:pPr>
      <w:r>
        <w:rPr>
          <w:rFonts w:ascii="Arial" w:cs="Arial" w:eastAsia="Arial" w:hAnsi="Arial"/>
          <w:sz w:val="16"/>
          <w:szCs w:val="16"/>
          <w:color w:val="auto"/>
        </w:rPr>
        <w:t>The Company strengthened its liquidity and financial position through the Janssen License Agreement, Janssen Collaboration Agreement and JJDC Stock Purchase Agreement, executed in October 2018. Under the terms of the agreements taken together, the Company has received $175 million as an upfront payment, $75 million in the form of an equity investment by JJDC in Arrowhead common stock, and two $25 million milestone</w:t>
      </w:r>
    </w:p>
    <w:p>
      <w:pPr>
        <w:ind w:right="40"/>
        <w:spacing w:after="0" w:line="292" w:lineRule="auto"/>
        <w:rPr>
          <w:sz w:val="20"/>
          <w:szCs w:val="20"/>
          <w:color w:val="auto"/>
        </w:rPr>
      </w:pPr>
      <w:r>
        <w:rPr>
          <w:rFonts w:ascii="Arial" w:cs="Arial" w:eastAsia="Arial" w:hAnsi="Arial"/>
          <w:sz w:val="16"/>
          <w:szCs w:val="16"/>
          <w:color w:val="auto"/>
        </w:rPr>
        <w:t>payments. Additionally, in December 2019, the Company completed a securities offering which generated approximately $250.5 million in net cash proceeds. These cash proceeds secure the funding needed to continue to advance our pipeline candidates. The Company had $461.0 million of cash and cash equivalents, $41.0 million in short-term investments, $26.3 million of long term investments and $587.6 million of total assets as of December 31, 2019, as compared to $221.8 million, $36.9 million, $44.2 million and $349.8 million as of September 30, 2019, respectively. Based upon the Company’s current cash and investment resources and operating plan, the Company expects to have sufficient liquidity to fund operations for at least the next twelve months.</w:t>
      </w: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59"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There have been no changes to the significant accounting policies disclosed in the Company’s most recent Annual Report on Form 10-K, except as a result of the Financial Accounting Standards Board (FASB)’s Accounting Standards Update (ASU) No. 2016-02, Leases (ASC 842), as discussed below:</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7" w:name="page18"/>
    <w:bookmarkEnd w:id="17"/>
    <w:p>
      <w:pPr>
        <w:ind w:right="220" w:firstLine="518"/>
        <w:spacing w:after="0" w:line="270" w:lineRule="auto"/>
        <w:rPr>
          <w:sz w:val="20"/>
          <w:szCs w:val="20"/>
          <w:color w:val="auto"/>
        </w:rPr>
      </w:pPr>
      <w:r>
        <w:rPr>
          <w:rFonts w:ascii="Arial" w:cs="Arial" w:eastAsia="Arial" w:hAnsi="Arial"/>
          <w:sz w:val="17"/>
          <w:szCs w:val="17"/>
          <w:color w:val="auto"/>
        </w:rPr>
        <w:t>Leases - 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minus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29,454,579</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34,657,896</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(4,853,594)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10,946,144</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(2,673,728)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12,037,253</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0.13</w:t>
            </w:r>
          </w:p>
        </w:tc>
      </w:tr>
    </w:tbl>
    <w:p>
      <w:pPr>
        <w:spacing w:after="0" w:line="24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decrease in our Revenue during the three months ended December 31, 2019 was driven by the timing of progress achieved in completing our performance obligation from our agreements with Janssen and JJDC, which were executed in October 2018. The increase in our Net Loss during the three months ended December 31, 2019 was driven by this decrease in Revenue and also increases in Research and Development and General and Administrative Expenses as our pipeline of clinical candidates has continued to increase.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540" w:firstLine="518"/>
        <w:spacing w:after="0" w:line="286" w:lineRule="auto"/>
        <w:rPr>
          <w:sz w:val="20"/>
          <w:szCs w:val="20"/>
          <w:color w:val="auto"/>
        </w:rPr>
      </w:pPr>
      <w:r>
        <w:rPr>
          <w:rFonts w:ascii="Arial" w:cs="Arial" w:eastAsia="Arial" w:hAnsi="Arial"/>
          <w:sz w:val="17"/>
          <w:szCs w:val="17"/>
          <w:color w:val="auto"/>
        </w:rPr>
        <w:t>Total revenue was $29,454,579 for the three months ended December 31, 2019 and $34,657,896 for the three months ended December 31, 2018. Revenue in the both periods is primarily related to the recognition of a portion of the $252.6 million initial transaction price associated with our agreements with Janssen and JJDC as we achieved progress toward completing our performance obligation within those agreements.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22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and a $10 million milestone payment, and may receive up to $420 million in development, regulatory and sales milestone payments. The Company is further eligible to receive up to low double-digit royalties for sales of products under the AMG 890 (ARO-LPA) Agreement. In July 2019, Amgen informed the Company that it would not be exercising its option for an exclusive license for ARO-AMG1, and as such, there will be no further milestone or royalty payments under the ARO-AMG1 Agreement.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substantially completed its performance obligations under the AMG 890 (ARO-LPA) Agreement and the ARO-AMG1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Future milestones and royalties achieved will be recognized in their entirety when earned. During the three months ended December 31,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2018, the Company recognized $0 and $0 Revenue associated with its agreements with Amgen, respectively. As of December 31, 2019, there was $0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recorded as accounts receivable, and $0 contract liabilities recorded as current deferred revenue on the Company’s Consolidated Balance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47"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ind w:right="20" w:firstLine="8"/>
        <w:spacing w:after="0" w:line="285" w:lineRule="auto"/>
        <w:tabs>
          <w:tab w:leader="none" w:pos="185" w:val="left"/>
        </w:tabs>
        <w:numPr>
          <w:ilvl w:val="0"/>
          <w:numId w:val="3"/>
        </w:numPr>
        <w:rPr>
          <w:rFonts w:ascii="Arial" w:cs="Arial" w:eastAsia="Arial" w:hAnsi="Arial"/>
          <w:sz w:val="16"/>
          <w:szCs w:val="16"/>
          <w:color w:val="auto"/>
        </w:rPr>
      </w:pPr>
      <w:r>
        <w:rPr>
          <w:rFonts w:ascii="Arial" w:cs="Arial" w:eastAsia="Arial" w:hAnsi="Arial"/>
          <w:sz w:val="16"/>
          <w:szCs w:val="16"/>
          <w:color w:val="auto"/>
        </w:rPr>
        <w:t>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research and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 million as an upfront payment, $75 million in the form of an equity investment by JJDC in Arrowhead common stock,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6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59" w:lineRule="exact"/>
        <w:rPr>
          <w:sz w:val="20"/>
          <w:szCs w:val="20"/>
          <w:color w:val="auto"/>
        </w:rPr>
      </w:pPr>
    </w:p>
    <w:p>
      <w:pPr>
        <w:ind w:right="40" w:firstLine="588"/>
        <w:spacing w:after="0" w:line="273" w:lineRule="auto"/>
        <w:rPr>
          <w:sz w:val="20"/>
          <w:szCs w:val="20"/>
          <w:color w:val="auto"/>
        </w:rPr>
      </w:pPr>
      <w:r>
        <w:rPr>
          <w:rFonts w:ascii="Arial" w:cs="Arial" w:eastAsia="Arial" w:hAnsi="Arial"/>
          <w:sz w:val="17"/>
          <w:szCs w:val="17"/>
          <w:color w:val="auto"/>
        </w:rPr>
        <w:t>The Company determined the transaction price totaled approximately $252.6 million which includes the upfront payment, the premium paid by JJDC for its equity investment in the Company, the two $25 million milestone payments earned and estimated payments for reimbursable Janssen R&amp;D services to be performed. The Company has allocated the total $252.6 million initial 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months ended December 31, 2019 and 2018, the Company recognized approximately $28.8 million and $34.7 million of Revenue associated with this performance obligation, respectively. As of December 31, 2019 there were $0 contract assets recorded as Accounts Receivable and $54.0 million of contract liabilities recorded as current Deferred Revenue on the Company’s Consolidated Balance Sheets. The $54.0 million of current Deferred Revenue is driven by the upfront payment and premium paid by JJDC for its equity investment in the Company as well as the two $25 million milestones paid by Janssen, net of revenue recognized to date.</w:t>
      </w:r>
    </w:p>
    <w:p>
      <w:pPr>
        <w:spacing w:after="0" w:line="72" w:lineRule="exact"/>
        <w:rPr>
          <w:sz w:val="20"/>
          <w:szCs w:val="20"/>
          <w:color w:val="auto"/>
        </w:rPr>
      </w:pPr>
    </w:p>
    <w:p>
      <w:pPr>
        <w:ind w:firstLine="588"/>
        <w:spacing w:after="0" w:line="257" w:lineRule="auto"/>
        <w:rPr>
          <w:sz w:val="20"/>
          <w:szCs w:val="20"/>
          <w:color w:val="auto"/>
        </w:rPr>
      </w:pPr>
      <w:r>
        <w:rPr>
          <w:rFonts w:ascii="Arial" w:cs="Arial" w:eastAsia="Arial" w:hAnsi="Arial"/>
          <w:sz w:val="18"/>
          <w:szCs w:val="18"/>
          <w:color w:val="auto"/>
        </w:rPr>
        <w:t>Janssen has also selected the first of the three targets under the Janssen Collaboration Agreement, now referred to as ARO-JNJ1, and the Company has begun to conduct its discovery, optimization and preclinical research and development of ARO-JNJ1. All costs and labor hours spent by the Company will be entirely funded by Janssen. During the three months ended December 31, 2019 and 2018, the Company recognized $0.7 million and $0 of Revenue associated with its efforts on the ARO-JNJ1 candidate, respectively. As of December 31, 2019 there were $1.3 million of contract assets recorded as Accounts Receivable, and $0 of contract liabilities.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months ended December 31, 2019 and 2018 are shown in the tables below.</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expenses for the periods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Months Ended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B6EA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4,096</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3,277</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819</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382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Drug manufacturing</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5,804</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(696)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82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2,411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1,541</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Clinical trials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2,125</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82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Facilities related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(61)</w:t>
            </w: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 R&amp;D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B6EAFC"/>
          </w:tcPr>
          <w:p>
            <w:pPr>
              <w:spacing w:after="0" w:line="20" w:lineRule="exact"/>
              <w:rPr>
                <w:sz w:val="1"/>
                <w:szCs w:val="1"/>
                <w:color w:val="auto"/>
              </w:rPr>
            </w:pPr>
          </w:p>
        </w:tc>
        <w:tc>
          <w:tcPr>
            <w:tcW w:w="14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23,374</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17,572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5,802</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60" w:firstLine="518"/>
        <w:spacing w:after="0" w:line="264" w:lineRule="auto"/>
        <w:rPr>
          <w:sz w:val="20"/>
          <w:szCs w:val="20"/>
          <w:color w:val="auto"/>
        </w:rPr>
      </w:pPr>
      <w:r>
        <w:rPr>
          <w:rFonts w:ascii="Arial" w:cs="Arial" w:eastAsia="Arial" w:hAnsi="Arial"/>
          <w:sz w:val="18"/>
          <w:szCs w:val="18"/>
          <w:color w:val="auto"/>
        </w:rPr>
        <w:t>Salaries expense increased by $819,000 from $3,277,000 during the three months ended December 31, 2018 to $4,096,000 during the current period. The increase in the expense is primarily due to an increase in R&amp;D headcount that has occurred as the Company has expanded its pipeline of candidates.</w:t>
      </w:r>
    </w:p>
    <w:p>
      <w:pPr>
        <w:spacing w:after="0" w:line="18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Stock compensation expense, a non-cash expense, increased by $521,000 from $641,000 during the three months ended December 31, 2018 to $1,162,000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increased headcount discussed above and a mix of higher grant date fair values of awards amortizing during the periods due to the Company’s stock price at the time of the grants.</w:t>
      </w:r>
    </w:p>
    <w:p>
      <w:pPr>
        <w:spacing w:after="0" w:line="173"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In vivo studies expense increased by $488,000 from $483,000 during the three months ended December 31, 2018 to $971,000 during the current period. In vivo studies expense can vary depending on the stage of preclinical candidates, the nature and amount of testing required and the cost variation of different in vivo testing models. The increase in vivo studies expense is the result of the timing of discovery studies being completed between periods.</w:t>
      </w:r>
    </w:p>
    <w:p>
      <w:pPr>
        <w:spacing w:after="0" w:line="147" w:lineRule="exact"/>
        <w:rPr>
          <w:sz w:val="20"/>
          <w:szCs w:val="20"/>
          <w:color w:val="auto"/>
        </w:rPr>
      </w:pPr>
    </w:p>
    <w:p>
      <w:pPr>
        <w:jc w:val="both"/>
        <w:ind w:right="320" w:firstLine="518"/>
        <w:spacing w:after="0" w:line="259" w:lineRule="auto"/>
        <w:rPr>
          <w:sz w:val="20"/>
          <w:szCs w:val="20"/>
          <w:color w:val="auto"/>
        </w:rPr>
      </w:pPr>
      <w:r>
        <w:rPr>
          <w:rFonts w:ascii="Arial" w:cs="Arial" w:eastAsia="Arial" w:hAnsi="Arial"/>
          <w:sz w:val="18"/>
          <w:szCs w:val="18"/>
          <w:color w:val="auto"/>
        </w:rPr>
        <w:t>Drug manufacturing expense decreased by $696,000 from $5,804,000 during the three months ended December 31, 2018 to $5,108,000 during the current period. The decrease in the expense primarily relates to the timing of manufacturing campaigns in preparation for our candidate clinical trials and toxicology studies. We anticipate this expense to increase as the volume of candidates in our pipeline increases and as each candidate progresses through clinical trial phases.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0" w:name="page21"/>
    <w:bookmarkEnd w:id="20"/>
    <w:p>
      <w:pPr>
        <w:ind w:right="40" w:firstLine="518"/>
        <w:spacing w:after="0" w:line="257" w:lineRule="auto"/>
        <w:rPr>
          <w:sz w:val="20"/>
          <w:szCs w:val="20"/>
          <w:color w:val="auto"/>
        </w:rPr>
      </w:pPr>
      <w:r>
        <w:rPr>
          <w:rFonts w:ascii="Arial" w:cs="Arial" w:eastAsia="Arial" w:hAnsi="Arial"/>
          <w:sz w:val="18"/>
          <w:szCs w:val="18"/>
          <w:color w:val="auto"/>
        </w:rPr>
        <w:t>Toxicity/efficacy studies expense increased by $1,541,000 from $2,411,000 during the three months ended December 31, 2018 to $3,952,000 during the current period. This category includes IND-enabling toxicology studies as well as post-IND toxicology studies, such as long-term toxicology studies, and other efficacy studies. The increase in the expense primarily relates to toxicology studies for ARO-ANG3, ARO-APOC3, ARO-HIF2 and ARO-HSD as each candidate progresses through and into clinical trials. We anticipate this expense to increase as we prepare to enter clinical trials with our other drug candidates.</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Clinical trials expense increased by $2,125,000 from $2,242,000 during the three months ended December 31, 2018 to $4,367,000 during the current period. The increase in the expense is primarily due to the ongoing ARO-AAT and JNJ-3989 (ARO-HBV) clinical trials, and the start up of the ARO-ANG3 and ARO-APOC3 clinical trials. We anticipate this expense to increase as our current clinical candidates progress through clinical trials and as we enter clinical trials with our other drug candidates.</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License, royalty and milestones expense was minor in both periods. This category includes milestone payments which can vary from period to period depending on the nature of our various license agreements, and the timing of reaching various development milestones requiring payment. No milestones were achieved in either period.</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Facilities expense increased by $37,000 from $583,000 during the three months ended December 31, 2018 to $620,000 during the current period. This category includes rental costs for our research and development facility in Madison, Wisconsin. The increase in the expense is primarily due to increased rental and common area maintenance expenses for our research and development facility.</w:t>
      </w:r>
    </w:p>
    <w:p>
      <w:pPr>
        <w:spacing w:after="0" w:line="18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Depreciation and amortization expense, a non-cash expense, decreased by $61,000 from $1,172,000 during the three months ended December 31, 2018 to $1,111,000 during the current period. The majority of depreciation and amortization expense relates to depreciation on lab equipment at our Madison research facility. In addition, the Company records depreciation on leasehold improvements at its Madison research facility, and the decrease in depreciation and amortization expense relates to the timing of amortization of these leasehold improvements in each period as the length of our lease has been extended.</w:t>
      </w:r>
    </w:p>
    <w:p>
      <w:pPr>
        <w:spacing w:after="0" w:line="15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Other research expense increased by $1,025,000 from $959,000 during the three months ended December 31, 2018 to $1,984,000 during the current period. This category includes the following costs to support discovery efforts and the advancement of current drug candidates: in-house laboratory supplies, outsourced labs services, and other miscellaneous research and development expenses. The increase in other research expense is due to additional in-house laboratory supplies for our increased headcount.</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200" w:type="dxa"/>
            <w:vAlign w:val="bottom"/>
            <w:shd w:val="clear" w:color="auto" w:fill="B6EAFC"/>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4,081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2,089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1,992</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3,330</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1,220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10,935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6,140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4,794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Salaries expense increased by $1,992,000 from $2,089,000 during the three months ended December 31, 2018 to $4,081,000 during the current period. The increase in the expense is primarily driven by annual merit increases, performance bonuses and increased headcount.</w:t>
      </w:r>
    </w:p>
    <w:p>
      <w:pPr>
        <w:spacing w:after="0" w:line="147"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Stock compensation expense, a non-cash expense, increased by $1,253,000 from $2,077,000 during the three months ended December 31, 2018 to $3,330,000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expense is primarily due to the timing of the achievement of certain performance-based awards in each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 w:name="page22"/>
    <w:bookmarkEnd w:id="21"/>
    <w:p>
      <w:pPr>
        <w:jc w:val="both"/>
        <w:ind w:firstLine="518"/>
        <w:spacing w:after="0" w:line="286" w:lineRule="auto"/>
        <w:rPr>
          <w:sz w:val="20"/>
          <w:szCs w:val="20"/>
          <w:color w:val="auto"/>
        </w:rPr>
      </w:pPr>
      <w:r>
        <w:rPr>
          <w:rFonts w:ascii="Arial" w:cs="Arial" w:eastAsia="Arial" w:hAnsi="Arial"/>
          <w:sz w:val="17"/>
          <w:szCs w:val="17"/>
          <w:color w:val="auto"/>
        </w:rPr>
        <w:t>Professional/outside services include legal, accounting, consulting, patent expenses, business insurance expenses and other outside services retained by the Company. Professional/outside services expense increased by $602,000 from $1,220,000 during the three months ended December 31, 2018 to $1,822,000 during the current period. The increase in the expense is primarily related to recruiting fees for increased headcount.</w:t>
      </w:r>
    </w:p>
    <w:p>
      <w:pPr>
        <w:spacing w:after="0" w:line="166"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Facilities-related expense increased by $495,000 from $298,000 during the three months ended December 31, 2018 to $793,000 during the current period. This category primarily includes rental costs for our corporate headquarters in Pasadena, California. The increase in the expense is primarily related to costs incurred as we moved into a new corporate headquarters during the current period.</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Depreciation and amortization expense, a noncash expense, increased by $144,000 from $5,000 during the three months ended December 31, 2018 to $149,000 during the current period. The majority of general and administrative depreciation and amortization expense relates to depreciation on leasehold improvements at our Pasadena headquarters. The increase in the expense is primarily related to amortization of leasehold improvements for our new corporate headquarters.</w:t>
      </w:r>
    </w:p>
    <w:p>
      <w:pPr>
        <w:spacing w:after="0" w:line="187"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Other G&amp;A expense increased by $308,000 from $451,000 during the three months ended December 31, 2018 to $759,000 during the current period. This category consists primarily of travel, communication and technology, office expenses, and franchise and property tax expenses. The increase in the expense was due to increased communication and technology and office expenses associated with our new corporate headquarters.</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Other income / expense was income of $2,179,886 and $1,091,109 during the three months ended December 31, 2019 and 2018, respectively. Other income / expense in the both periods was interest income earned on the Company’s investments. This interest income has increased in the current periods as our investment holdings have grown.</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700" w:firstLine="518"/>
        <w:spacing w:after="0" w:line="342" w:lineRule="auto"/>
        <w:rPr>
          <w:sz w:val="20"/>
          <w:szCs w:val="20"/>
          <w:color w:val="auto"/>
        </w:rPr>
      </w:pPr>
      <w:r>
        <w:rPr>
          <w:rFonts w:ascii="Arial" w:cs="Arial" w:eastAsia="Arial" w:hAnsi="Arial"/>
          <w:sz w:val="16"/>
          <w:szCs w:val="16"/>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2019, the Company had cash on hand of approximately $461.0 million as compared to $221.8 million at September 30,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2019. Excess cash invested in short-term fixed income securities was $41.0 million at December 31, 2019, compared to $36.9 million at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2019. Excess cash invested in long-term fixed income securities was $26.3 million at December 31, 2019, compared to $44.2 million at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2019. The Company believes its current financial resources are sufficient to fund its operations through at least the next twelve months.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three months ended December 31, 2019 and 2018 is as follows: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2018</w:t>
            </w:r>
          </w:p>
        </w:tc>
      </w:tr>
      <w:tr>
        <w:trPr>
          <w:trHeight w:val="223"/>
        </w:trPr>
        <w:tc>
          <w:tcPr>
            <w:tcW w:w="2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Activities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(23,530,458)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168,284,763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9,280,286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(67,756,269)</w:t>
            </w: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253,478,293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59,111,274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239,228,121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159,639,768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6"/>
              </w:rPr>
              <w:t>Cash and Cash Equivalents at Beginning of Period</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221,804,128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30,133,213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461,032,249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189,772,981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During the three months ended December 31, 2019, the Company used $23.5 million in cash from operating activities, which was primarily related to the ongoing expenses of the Company’s research and development programs and general and administrative expenses. Cash provided by investing activities was $9.3 million, which was primarily related to maturities of fixed-income investments of $13.6 million, partially offset by capital expenditures of $4.3 million. Cash provided by financing activities of $253.5 million was driven by the securities financing in December 2019, which generated $250.5 million in net cash proceeds, as well as $3.0 million in cash received from stock option exercises.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 w:name="page23"/>
    <w:bookmarkEnd w:id="22"/>
    <w:p>
      <w:pPr>
        <w:ind w:firstLine="518"/>
        <w:spacing w:after="0" w:line="297" w:lineRule="auto"/>
        <w:rPr>
          <w:sz w:val="20"/>
          <w:szCs w:val="20"/>
          <w:color w:val="auto"/>
        </w:rPr>
      </w:pPr>
      <w:r>
        <w:rPr>
          <w:rFonts w:ascii="Arial" w:cs="Arial" w:eastAsia="Arial" w:hAnsi="Arial"/>
          <w:sz w:val="16"/>
          <w:szCs w:val="16"/>
          <w:color w:val="auto"/>
        </w:rPr>
        <w:t>During the three months ended December 31, 2018, the Company generated $168.3 million in cash from operating activities, which was primarily related to the $175.0 million upfront payment received from Janssen and the premium JJDC paid on the Company’s common stock during the period. These inflows were partially offset by $21.2 million of cash used for the ongoing expenses of the Company’s research and development programs and general and administrative expenses. Cash used in investing activities was $67.8 million, which was primarily related to purchases of fixed-income investments of $69.3 million. Cash provided by financing activities of $59.1 million was driven by the equity investment the Company received from JJDC during the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55" w:right="339" w:bottom="1440" w:gutter="0" w:footer="0" w:header="0"/>
        </w:sectPr>
      </w:pPr>
    </w:p>
    <w:bookmarkStart w:id="23" w:name="page24"/>
    <w:bookmarkEnd w:id="23"/>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2019.</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2019.</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2019. Please carefully consider the information set forth in this Quarterly Report on Form 10-Q and the risk factors discussed in Part I, “Item 1A. Risk Factors” in our Annual Report on Form 10-K for the year ended September 30, 2019,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7"/>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tcBorders>
              <w:top w:val="single" w:sz="8" w:color="auto"/>
            </w:tcBorders>
            <w:gridSpan w:val="7"/>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 of Chief Executive Officer pursuant to Rule 13a-14(a)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of the Sarbanes-Oxley Act of 2002*</w:t>
              </w:r>
            </w:hyperlink>
          </w:p>
        </w:tc>
        <w:tc>
          <w:tcPr>
            <w:tcW w:w="778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Chief Financial Officer pursuant to Rule 13a-14(a) of the Securities Exchange Act of 1934, as Adopted Pursuant to Section 302</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of the Sarbanes-Oxley Act of 2002*</w:t>
              </w:r>
            </w:hyperlink>
          </w:p>
        </w:tc>
        <w:tc>
          <w:tcPr>
            <w:tcW w:w="7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7"/>
          </w:tcPr>
          <w:p>
            <w:pPr>
              <w:spacing w:after="0"/>
              <w:rPr>
                <w:sz w:val="20"/>
                <w:szCs w:val="20"/>
                <w:color w:val="auto"/>
              </w:rPr>
            </w:pPr>
            <w:r>
              <w:rPr>
                <w:rFonts w:ascii="Arial" w:cs="Arial" w:eastAsia="Arial" w:hAnsi="Arial"/>
                <w:sz w:val="18"/>
                <w:szCs w:val="18"/>
                <w:color w:val="212529"/>
              </w:rPr>
              <w:t>XBRL Taxonomy Extension Calculation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7"/>
          </w:tcPr>
          <w:p>
            <w:pPr>
              <w:spacing w:after="0"/>
              <w:rPr>
                <w:sz w:val="20"/>
                <w:szCs w:val="20"/>
                <w:color w:val="auto"/>
              </w:rPr>
            </w:pPr>
            <w:r>
              <w:rPr>
                <w:rFonts w:ascii="Arial" w:cs="Arial" w:eastAsia="Arial" w:hAnsi="Arial"/>
                <w:sz w:val="18"/>
                <w:szCs w:val="18"/>
                <w:color w:val="212529"/>
              </w:rPr>
              <w:t>XBRL Taxonomy Extension Label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7"/>
          </w:tcPr>
          <w:p>
            <w:pPr>
              <w:spacing w:after="0"/>
              <w:rPr>
                <w:sz w:val="20"/>
                <w:szCs w:val="20"/>
                <w:color w:val="auto"/>
              </w:rPr>
            </w:pPr>
            <w:r>
              <w:rPr>
                <w:rFonts w:ascii="Arial" w:cs="Arial" w:eastAsia="Arial" w:hAnsi="Arial"/>
                <w:sz w:val="18"/>
                <w:szCs w:val="18"/>
                <w:color w:val="212529"/>
              </w:rPr>
              <w:t>XBRL Taxonomy Extension Presentation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7"/>
          </w:tcPr>
          <w:p>
            <w:pPr>
              <w:spacing w:after="0"/>
              <w:rPr>
                <w:sz w:val="20"/>
                <w:szCs w:val="20"/>
                <w:color w:val="auto"/>
              </w:rPr>
            </w:pPr>
            <w:r>
              <w:rPr>
                <w:rFonts w:ascii="Arial" w:cs="Arial" w:eastAsia="Arial" w:hAnsi="Arial"/>
                <w:sz w:val="18"/>
                <w:szCs w:val="18"/>
                <w:color w:val="212529"/>
              </w:rPr>
              <w:t>XBRL Taxonomy Extension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right="540" w:hanging="912"/>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212529"/>
        </w:rPr>
        <w:t>The cover page from the Company’s Quarterly Report on Form 10-Q for the quarter ended December 31, 2019,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9690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6" w:name="page27"/>
    <w:bookmarkEnd w:id="26"/>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590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135" w:right="4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2020</w:t>
      </w:r>
    </w:p>
    <w:p>
      <w:pPr>
        <w:spacing w:after="0" w:line="131"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-130810</wp:posOffset>
            </wp:positionV>
            <wp:extent cx="39363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Feburary 5, 2020</w:t>
      </w:r>
    </w:p>
    <w:p>
      <w:pPr>
        <w:spacing w:after="0" w:line="13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-130810</wp:posOffset>
            </wp:positionV>
            <wp:extent cx="3961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December 31, 2019,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2020</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360" w:firstLine="518"/>
        <w:spacing w:after="0" w:line="288" w:lineRule="auto"/>
        <w:rPr>
          <w:sz w:val="20"/>
          <w:szCs w:val="20"/>
          <w:color w:val="auto"/>
        </w:rPr>
      </w:pPr>
      <w:r>
        <w:rPr>
          <w:rFonts w:ascii="Arial" w:cs="Arial" w:eastAsia="Arial" w:hAnsi="Arial"/>
          <w:sz w:val="16"/>
          <w:szCs w:val="16"/>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December 31, 2019, fully complies with the requirements of Section 13(a) or 15(d) of the Securities Exchange Act of 1934, and</w:t>
      </w:r>
    </w:p>
    <w:p>
      <w:pPr>
        <w:ind w:right="180" w:firstLine="8"/>
        <w:spacing w:after="0" w:line="261"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2020</w:t>
      </w:r>
    </w:p>
    <w:p>
      <w:pPr>
        <w:spacing w:after="0" w:line="131"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amp;"/>
      <w:numFmt w:val="bullet"/>
      <w:start w:val="1"/>
    </w:lvl>
  </w:abstractNum>
  <w:abstractNum w:abstractNumId="3">
    <w:nsid w:val="2EB141F2"/>
    <w:multiLevelType w:val="hybridMultilevel"/>
    <w:lvl w:ilvl="0">
      <w:lvlJc w:val="left"/>
      <w:lvlText w:val="%1"/>
      <w:numFmt w:val="decimal"/>
      <w:start w:val="104"/>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2020-02-05T15:18:50Z</dcterms:created>
  <dcterms:modified xsi:type="dcterms:W3CDTF">2020-02-05T15:18:50Z</dcterms:modified>
</cp:coreProperties>
</file>