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265430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68" w:lineRule="exact"/>
        <w:rPr>
          <w:sz w:val="24"/>
          <w:szCs w:val="24"/>
          <w:color w:val="auto"/>
        </w:rPr>
      </w:pPr>
    </w:p>
    <w:p>
      <w:pPr>
        <w:jc w:val="center"/>
        <w:ind w:right="-219"/>
        <w:spacing w:after="0"/>
        <w:rPr>
          <w:sz w:val="20"/>
          <w:szCs w:val="20"/>
          <w:color w:val="auto"/>
        </w:rPr>
      </w:pPr>
      <w:r>
        <w:rPr>
          <w:rFonts w:ascii="Arial" w:cs="Arial" w:eastAsia="Arial" w:hAnsi="Arial"/>
          <w:sz w:val="21"/>
          <w:szCs w:val="21"/>
          <w:b w:val="1"/>
          <w:bCs w:val="1"/>
          <w:color w:val="auto"/>
        </w:rPr>
        <w:t>UNITED STATES</w:t>
      </w:r>
    </w:p>
    <w:p>
      <w:pPr>
        <w:spacing w:after="0" w:line="28" w:lineRule="exact"/>
        <w:rPr>
          <w:sz w:val="24"/>
          <w:szCs w:val="24"/>
          <w:color w:val="auto"/>
        </w:rPr>
      </w:pPr>
    </w:p>
    <w:p>
      <w:pPr>
        <w:jc w:val="center"/>
        <w:ind w:right="-219"/>
        <w:spacing w:after="0"/>
        <w:rPr>
          <w:sz w:val="20"/>
          <w:szCs w:val="20"/>
          <w:color w:val="auto"/>
        </w:rPr>
      </w:pPr>
      <w:r>
        <w:rPr>
          <w:rFonts w:ascii="Arial" w:cs="Arial" w:eastAsia="Arial" w:hAnsi="Arial"/>
          <w:sz w:val="21"/>
          <w:szCs w:val="21"/>
          <w:b w:val="1"/>
          <w:bCs w:val="1"/>
          <w:color w:val="auto"/>
        </w:rPr>
        <w:t>SECURITIES AND EXCHANGE COMMISSION</w:t>
      </w:r>
    </w:p>
    <w:p>
      <w:pPr>
        <w:spacing w:after="0" w:line="5"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Washington, D.C. 20549</w:t>
      </w:r>
    </w:p>
    <w:p>
      <w:pPr>
        <w:spacing w:after="0" w:line="80" w:lineRule="exact"/>
        <w:rPr>
          <w:sz w:val="24"/>
          <w:szCs w:val="24"/>
          <w:color w:val="auto"/>
        </w:rPr>
      </w:pPr>
    </w:p>
    <w:p>
      <w:pPr>
        <w:jc w:val="center"/>
        <w:ind w:right="-219"/>
        <w:spacing w:after="0"/>
        <w:rPr>
          <w:sz w:val="20"/>
          <w:szCs w:val="20"/>
          <w:color w:val="auto"/>
        </w:rPr>
      </w:pPr>
      <w:r>
        <w:rPr>
          <w:rFonts w:ascii="Arial" w:cs="Arial" w:eastAsia="Arial" w:hAnsi="Arial"/>
          <w:sz w:val="21"/>
          <w:szCs w:val="21"/>
          <w:b w:val="1"/>
          <w:bCs w:val="1"/>
          <w:color w:val="auto"/>
        </w:rPr>
        <w:t>SCHEDULE 14A</w:t>
      </w:r>
    </w:p>
    <w:p>
      <w:pPr>
        <w:spacing w:after="0" w:line="2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(Rule 14a-101)</w:t>
      </w:r>
    </w:p>
    <w:p>
      <w:pPr>
        <w:spacing w:after="0" w:line="83" w:lineRule="exact"/>
        <w:rPr>
          <w:sz w:val="24"/>
          <w:szCs w:val="24"/>
          <w:color w:val="auto"/>
        </w:rPr>
      </w:pPr>
    </w:p>
    <w:p>
      <w:pPr>
        <w:jc w:val="center"/>
        <w:ind w:right="-219"/>
        <w:spacing w:after="0"/>
        <w:rPr>
          <w:sz w:val="20"/>
          <w:szCs w:val="20"/>
          <w:color w:val="auto"/>
        </w:rPr>
      </w:pPr>
      <w:r>
        <w:rPr>
          <w:rFonts w:ascii="Arial" w:cs="Arial" w:eastAsia="Arial" w:hAnsi="Arial"/>
          <w:sz w:val="15"/>
          <w:szCs w:val="15"/>
          <w:b w:val="1"/>
          <w:bCs w:val="1"/>
          <w:color w:val="auto"/>
        </w:rPr>
        <w:t>INFORMATION REQUIRED IN PROXY STATEMENT</w:t>
      </w:r>
    </w:p>
    <w:p>
      <w:pPr>
        <w:spacing w:after="0" w:line="98" w:lineRule="exact"/>
        <w:rPr>
          <w:sz w:val="24"/>
          <w:szCs w:val="24"/>
          <w:color w:val="auto"/>
        </w:rPr>
      </w:pPr>
    </w:p>
    <w:p>
      <w:pPr>
        <w:jc w:val="center"/>
        <w:ind w:right="-219"/>
        <w:spacing w:after="0"/>
        <w:rPr>
          <w:sz w:val="20"/>
          <w:szCs w:val="20"/>
          <w:color w:val="auto"/>
        </w:rPr>
      </w:pPr>
      <w:r>
        <w:rPr>
          <w:rFonts w:ascii="Arial" w:cs="Arial" w:eastAsia="Arial" w:hAnsi="Arial"/>
          <w:sz w:val="15"/>
          <w:szCs w:val="15"/>
          <w:b w:val="1"/>
          <w:bCs w:val="1"/>
          <w:color w:val="auto"/>
        </w:rPr>
        <w:t>SCHEDULE 14A INFORMATION</w:t>
      </w:r>
    </w:p>
    <w:p>
      <w:pPr>
        <w:spacing w:after="0" w:line="106"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Proxy Statement Pursuant to Section 14(a) of the</w:t>
      </w:r>
    </w:p>
    <w:p>
      <w:pPr>
        <w:spacing w:after="0" w:line="19"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Securities Exchange Act of 1934</w:t>
      </w:r>
    </w:p>
    <w:p>
      <w:pPr>
        <w:spacing w:after="0" w:line="72" w:lineRule="exact"/>
        <w:rPr>
          <w:sz w:val="24"/>
          <w:szCs w:val="24"/>
          <w:color w:val="auto"/>
        </w:rPr>
      </w:pPr>
    </w:p>
    <w:p>
      <w:pPr>
        <w:ind w:left="120"/>
        <w:spacing w:after="0" w:line="161" w:lineRule="exact"/>
        <w:tabs>
          <w:tab w:leader="none" w:pos="2900" w:val="left"/>
        </w:tabs>
        <w:rPr>
          <w:sz w:val="20"/>
          <w:szCs w:val="20"/>
          <w:color w:val="auto"/>
        </w:rPr>
      </w:pPr>
      <w:r>
        <w:rPr>
          <w:rFonts w:ascii="Arial" w:cs="Arial" w:eastAsia="Arial" w:hAnsi="Arial"/>
          <w:sz w:val="14"/>
          <w:szCs w:val="14"/>
          <w:color w:val="auto"/>
        </w:rPr>
        <w:t xml:space="preserve">Filed by the Registrant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160" w:lineRule="exact"/>
        <w:rPr>
          <w:sz w:val="24"/>
          <w:szCs w:val="24"/>
          <w:color w:val="auto"/>
        </w:rPr>
      </w:pPr>
    </w:p>
    <w:p>
      <w:pPr>
        <w:ind w:left="120"/>
        <w:spacing w:after="0"/>
        <w:rPr>
          <w:sz w:val="20"/>
          <w:szCs w:val="20"/>
          <w:color w:val="auto"/>
        </w:rPr>
      </w:pPr>
      <w:r>
        <w:rPr>
          <w:rFonts w:ascii="Arial" w:cs="Arial" w:eastAsia="Arial" w:hAnsi="Arial"/>
          <w:sz w:val="14"/>
          <w:szCs w:val="14"/>
          <w:color w:val="auto"/>
        </w:rPr>
        <w:t>Check the appropriate box:</w:t>
      </w:r>
    </w:p>
    <w:p>
      <w:pPr>
        <w:spacing w:after="0" w:line="136" w:lineRule="exact"/>
        <w:rPr>
          <w:sz w:val="24"/>
          <w:szCs w:val="24"/>
          <w:color w:val="auto"/>
        </w:rPr>
      </w:pPr>
    </w:p>
    <w:p>
      <w:pPr>
        <w:ind w:left="660" w:hanging="544"/>
        <w:spacing w:after="0"/>
        <w:tabs>
          <w:tab w:leader="none" w:pos="6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104" w:lineRule="exact"/>
        <w:rPr>
          <w:rFonts w:ascii="MS PGothic" w:cs="MS PGothic" w:eastAsia="MS PGothic" w:hAnsi="MS PGothic"/>
          <w:sz w:val="14"/>
          <w:szCs w:val="14"/>
          <w:color w:val="auto"/>
        </w:rPr>
      </w:pPr>
    </w:p>
    <w:p>
      <w:pPr>
        <w:ind w:left="660" w:hanging="544"/>
        <w:spacing w:after="0"/>
        <w:tabs>
          <w:tab w:leader="none" w:pos="66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Confidential, For Use of the Commission Only (as permitted by 14a-6(e)(2))</w:t>
      </w:r>
    </w:p>
    <w:p>
      <w:pPr>
        <w:spacing w:after="0" w:line="141" w:lineRule="exact"/>
        <w:rPr>
          <w:sz w:val="24"/>
          <w:szCs w:val="24"/>
          <w:color w:val="auto"/>
        </w:rPr>
      </w:pPr>
    </w:p>
    <w:p>
      <w:pPr>
        <w:ind w:left="660" w:hanging="544"/>
        <w:spacing w:after="0"/>
        <w:tabs>
          <w:tab w:leader="none" w:pos="66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Definitive Proxy Statement</w:t>
      </w:r>
    </w:p>
    <w:p>
      <w:pPr>
        <w:spacing w:after="0" w:line="123" w:lineRule="exact"/>
        <w:rPr>
          <w:sz w:val="24"/>
          <w:szCs w:val="24"/>
          <w:color w:val="auto"/>
        </w:rPr>
      </w:pPr>
    </w:p>
    <w:p>
      <w:pPr>
        <w:ind w:left="660" w:hanging="544"/>
        <w:spacing w:after="0"/>
        <w:tabs>
          <w:tab w:leader="none" w:pos="66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122" w:lineRule="exact"/>
        <w:rPr>
          <w:rFonts w:ascii="MS PGothic" w:cs="MS PGothic" w:eastAsia="MS PGothic" w:hAnsi="MS PGothic"/>
          <w:sz w:val="14"/>
          <w:szCs w:val="14"/>
          <w:color w:val="auto"/>
        </w:rPr>
      </w:pPr>
    </w:p>
    <w:p>
      <w:pPr>
        <w:ind w:left="660" w:hanging="544"/>
        <w:spacing w:after="0"/>
        <w:tabs>
          <w:tab w:leader="none" w:pos="66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§240.14a-12</w:t>
      </w:r>
    </w:p>
    <w:p>
      <w:pPr>
        <w:spacing w:after="0" w:line="64" w:lineRule="exact"/>
        <w:rPr>
          <w:sz w:val="24"/>
          <w:szCs w:val="24"/>
          <w:color w:val="auto"/>
        </w:rPr>
      </w:pPr>
    </w:p>
    <w:p>
      <w:pPr>
        <w:jc w:val="center"/>
        <w:ind w:right="-219"/>
        <w:spacing w:after="0"/>
        <w:rPr>
          <w:sz w:val="20"/>
          <w:szCs w:val="20"/>
          <w:color w:val="auto"/>
        </w:rPr>
      </w:pPr>
      <w:r>
        <w:rPr>
          <w:rFonts w:ascii="Arial" w:cs="Arial" w:eastAsia="Arial" w:hAnsi="Arial"/>
          <w:sz w:val="29"/>
          <w:szCs w:val="29"/>
          <w:b w:val="1"/>
          <w:bCs w:val="1"/>
          <w:color w:val="auto"/>
        </w:rPr>
        <w:t>ARROWHEAD PHARMACEUTICALS, INC.</w:t>
      </w:r>
    </w:p>
    <w:p>
      <w:pPr>
        <w:spacing w:after="0" w:line="49" w:lineRule="exact"/>
        <w:rPr>
          <w:sz w:val="24"/>
          <w:szCs w:val="24"/>
          <w:color w:val="auto"/>
        </w:rPr>
      </w:pPr>
    </w:p>
    <w:p>
      <w:pPr>
        <w:ind w:left="4020"/>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91" w:lineRule="exact"/>
        <w:rPr>
          <w:sz w:val="24"/>
          <w:szCs w:val="24"/>
          <w:color w:val="auto"/>
        </w:rPr>
      </w:pPr>
    </w:p>
    <w:p>
      <w:pPr>
        <w:ind w:left="320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27" w:lineRule="exact"/>
        <w:rPr>
          <w:sz w:val="24"/>
          <w:szCs w:val="24"/>
          <w:color w:val="auto"/>
        </w:rPr>
      </w:pPr>
    </w:p>
    <w:p>
      <w:pPr>
        <w:ind w:left="120"/>
        <w:spacing w:after="0"/>
        <w:rPr>
          <w:sz w:val="20"/>
          <w:szCs w:val="20"/>
          <w:color w:val="auto"/>
        </w:rPr>
      </w:pPr>
      <w:r>
        <w:rPr>
          <w:rFonts w:ascii="Arial" w:cs="Arial" w:eastAsia="Arial" w:hAnsi="Arial"/>
          <w:sz w:val="14"/>
          <w:szCs w:val="14"/>
          <w:color w:val="auto"/>
        </w:rPr>
        <w:t>Payment of filing fee (Check the appropriate box):</w:t>
      </w:r>
    </w:p>
    <w:p>
      <w:pPr>
        <w:spacing w:after="0" w:line="217" w:lineRule="exact"/>
        <w:rPr>
          <w:sz w:val="24"/>
          <w:szCs w:val="24"/>
          <w:color w:val="auto"/>
        </w:rPr>
      </w:pPr>
    </w:p>
    <w:p>
      <w:pPr>
        <w:ind w:left="680" w:hanging="564"/>
        <w:spacing w:after="0"/>
        <w:tabs>
          <w:tab w:leader="none" w:pos="680"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No fee required.</w:t>
      </w:r>
    </w:p>
    <w:p>
      <w:pPr>
        <w:spacing w:after="0" w:line="231" w:lineRule="exact"/>
        <w:rPr>
          <w:sz w:val="24"/>
          <w:szCs w:val="24"/>
          <w:color w:val="auto"/>
        </w:rPr>
      </w:pPr>
    </w:p>
    <w:p>
      <w:pPr>
        <w:ind w:left="680" w:hanging="564"/>
        <w:spacing w:after="0"/>
        <w:tabs>
          <w:tab w:leader="none" w:pos="6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computed on table below per Exchange Act Rules 14a-6(i)(1) and 0-11.</w:t>
      </w:r>
    </w:p>
    <w:p>
      <w:pPr>
        <w:spacing w:after="0" w:line="230" w:lineRule="exact"/>
        <w:rPr>
          <w:rFonts w:ascii="MS PGothic" w:cs="MS PGothic" w:eastAsia="MS PGothic" w:hAnsi="MS PGothic"/>
          <w:sz w:val="14"/>
          <w:szCs w:val="14"/>
          <w:color w:val="auto"/>
        </w:rPr>
      </w:pPr>
    </w:p>
    <w:p>
      <w:pPr>
        <w:ind w:left="1220" w:hanging="537"/>
        <w:spacing w:after="0"/>
        <w:tabs>
          <w:tab w:leader="none" w:pos="1220" w:val="left"/>
        </w:tabs>
        <w:numPr>
          <w:ilvl w:val="1"/>
          <w:numId w:val="5"/>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200" w:lineRule="exact"/>
        <w:rPr>
          <w:rFonts w:ascii="Arial" w:cs="Arial" w:eastAsia="Arial" w:hAnsi="Arial"/>
          <w:sz w:val="14"/>
          <w:szCs w:val="14"/>
          <w:color w:val="auto"/>
        </w:rPr>
      </w:pPr>
    </w:p>
    <w:p>
      <w:pPr>
        <w:spacing w:after="0" w:line="233" w:lineRule="exact"/>
        <w:rPr>
          <w:rFonts w:ascii="Arial" w:cs="Arial" w:eastAsia="Arial" w:hAnsi="Arial"/>
          <w:sz w:val="14"/>
          <w:szCs w:val="14"/>
          <w:color w:val="auto"/>
        </w:rPr>
      </w:pPr>
    </w:p>
    <w:p>
      <w:pPr>
        <w:ind w:left="1220" w:hanging="537"/>
        <w:spacing w:after="0"/>
        <w:tabs>
          <w:tab w:leader="none" w:pos="1220" w:val="left"/>
        </w:tabs>
        <w:numPr>
          <w:ilvl w:val="1"/>
          <w:numId w:val="5"/>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200" w:lineRule="exact"/>
        <w:rPr>
          <w:rFonts w:ascii="Arial" w:cs="Arial" w:eastAsia="Arial" w:hAnsi="Arial"/>
          <w:sz w:val="14"/>
          <w:szCs w:val="14"/>
          <w:color w:val="auto"/>
        </w:rPr>
      </w:pPr>
    </w:p>
    <w:p>
      <w:pPr>
        <w:spacing w:after="0" w:line="233" w:lineRule="exact"/>
        <w:rPr>
          <w:rFonts w:ascii="Arial" w:cs="Arial" w:eastAsia="Arial" w:hAnsi="Arial"/>
          <w:sz w:val="14"/>
          <w:szCs w:val="14"/>
          <w:color w:val="auto"/>
        </w:rPr>
      </w:pPr>
    </w:p>
    <w:p>
      <w:pPr>
        <w:ind w:left="1220" w:right="460" w:hanging="537"/>
        <w:spacing w:after="0" w:line="258" w:lineRule="auto"/>
        <w:tabs>
          <w:tab w:leader="none" w:pos="1220" w:val="left"/>
        </w:tabs>
        <w:numPr>
          <w:ilvl w:val="1"/>
          <w:numId w:val="5"/>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4"/>
          <w:szCs w:val="14"/>
          <w:color w:val="auto"/>
        </w:rPr>
      </w:pPr>
    </w:p>
    <w:p>
      <w:pPr>
        <w:spacing w:after="0" w:line="209" w:lineRule="exact"/>
        <w:rPr>
          <w:rFonts w:ascii="Arial" w:cs="Arial" w:eastAsia="Arial" w:hAnsi="Arial"/>
          <w:sz w:val="14"/>
          <w:szCs w:val="14"/>
          <w:color w:val="auto"/>
        </w:rPr>
      </w:pPr>
    </w:p>
    <w:p>
      <w:pPr>
        <w:ind w:left="1220" w:hanging="537"/>
        <w:spacing w:after="0"/>
        <w:tabs>
          <w:tab w:leader="none" w:pos="1220" w:val="left"/>
        </w:tabs>
        <w:numPr>
          <w:ilvl w:val="1"/>
          <w:numId w:val="5"/>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spacing w:after="0" w:line="200" w:lineRule="exact"/>
        <w:rPr>
          <w:rFonts w:ascii="Arial" w:cs="Arial" w:eastAsia="Arial" w:hAnsi="Arial"/>
          <w:sz w:val="14"/>
          <w:szCs w:val="14"/>
          <w:color w:val="auto"/>
        </w:rPr>
      </w:pPr>
    </w:p>
    <w:p>
      <w:pPr>
        <w:spacing w:after="0" w:line="233" w:lineRule="exact"/>
        <w:rPr>
          <w:rFonts w:ascii="Arial" w:cs="Arial" w:eastAsia="Arial" w:hAnsi="Arial"/>
          <w:sz w:val="14"/>
          <w:szCs w:val="14"/>
          <w:color w:val="auto"/>
        </w:rPr>
      </w:pPr>
    </w:p>
    <w:p>
      <w:pPr>
        <w:ind w:left="1220" w:hanging="537"/>
        <w:spacing w:after="0"/>
        <w:tabs>
          <w:tab w:leader="none" w:pos="1220" w:val="left"/>
        </w:tabs>
        <w:numPr>
          <w:ilvl w:val="1"/>
          <w:numId w:val="5"/>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200" w:lineRule="exact"/>
        <w:rPr>
          <w:rFonts w:ascii="Arial" w:cs="Arial" w:eastAsia="Arial" w:hAnsi="Arial"/>
          <w:sz w:val="14"/>
          <w:szCs w:val="14"/>
          <w:color w:val="auto"/>
        </w:rPr>
      </w:pPr>
    </w:p>
    <w:p>
      <w:pPr>
        <w:spacing w:after="0" w:line="233" w:lineRule="exact"/>
        <w:rPr>
          <w:rFonts w:ascii="Arial" w:cs="Arial" w:eastAsia="Arial" w:hAnsi="Arial"/>
          <w:sz w:val="14"/>
          <w:szCs w:val="14"/>
          <w:color w:val="auto"/>
        </w:rPr>
      </w:pPr>
    </w:p>
    <w:p>
      <w:pPr>
        <w:ind w:left="680" w:hanging="564"/>
        <w:spacing w:after="0"/>
        <w:tabs>
          <w:tab w:leader="none" w:pos="6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230" w:lineRule="exact"/>
        <w:rPr>
          <w:rFonts w:ascii="MS PGothic" w:cs="MS PGothic" w:eastAsia="MS PGothic" w:hAnsi="MS PGothic"/>
          <w:sz w:val="14"/>
          <w:szCs w:val="14"/>
          <w:color w:val="auto"/>
        </w:rPr>
      </w:pPr>
    </w:p>
    <w:p>
      <w:pPr>
        <w:ind w:left="680" w:hanging="564"/>
        <w:spacing w:after="0" w:line="258" w:lineRule="auto"/>
        <w:tabs>
          <w:tab w:leader="none" w:pos="6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3" w:lineRule="exact"/>
        <w:rPr>
          <w:rFonts w:ascii="MS PGothic" w:cs="MS PGothic" w:eastAsia="MS PGothic" w:hAnsi="MS PGothic"/>
          <w:sz w:val="14"/>
          <w:szCs w:val="14"/>
          <w:color w:val="auto"/>
        </w:rPr>
      </w:pPr>
    </w:p>
    <w:p>
      <w:pPr>
        <w:ind w:left="1220" w:hanging="537"/>
        <w:spacing w:after="0"/>
        <w:tabs>
          <w:tab w:leader="none" w:pos="1220" w:val="left"/>
        </w:tabs>
        <w:numPr>
          <w:ilvl w:val="1"/>
          <w:numId w:val="5"/>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200" w:lineRule="exact"/>
        <w:rPr>
          <w:rFonts w:ascii="Arial" w:cs="Arial" w:eastAsia="Arial" w:hAnsi="Arial"/>
          <w:sz w:val="14"/>
          <w:szCs w:val="14"/>
          <w:color w:val="auto"/>
        </w:rPr>
      </w:pPr>
    </w:p>
    <w:p>
      <w:pPr>
        <w:spacing w:after="0" w:line="233" w:lineRule="exact"/>
        <w:rPr>
          <w:rFonts w:ascii="Arial" w:cs="Arial" w:eastAsia="Arial" w:hAnsi="Arial"/>
          <w:sz w:val="14"/>
          <w:szCs w:val="14"/>
          <w:color w:val="auto"/>
        </w:rPr>
      </w:pPr>
    </w:p>
    <w:p>
      <w:pPr>
        <w:ind w:left="1220" w:hanging="537"/>
        <w:spacing w:after="0"/>
        <w:tabs>
          <w:tab w:leader="none" w:pos="1220" w:val="left"/>
        </w:tabs>
        <w:numPr>
          <w:ilvl w:val="1"/>
          <w:numId w:val="5"/>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200" w:lineRule="exact"/>
        <w:rPr>
          <w:rFonts w:ascii="Arial" w:cs="Arial" w:eastAsia="Arial" w:hAnsi="Arial"/>
          <w:sz w:val="14"/>
          <w:szCs w:val="14"/>
          <w:color w:val="auto"/>
        </w:rPr>
      </w:pPr>
    </w:p>
    <w:p>
      <w:pPr>
        <w:spacing w:after="0" w:line="233" w:lineRule="exact"/>
        <w:rPr>
          <w:rFonts w:ascii="Arial" w:cs="Arial" w:eastAsia="Arial" w:hAnsi="Arial"/>
          <w:sz w:val="14"/>
          <w:szCs w:val="14"/>
          <w:color w:val="auto"/>
        </w:rPr>
      </w:pPr>
    </w:p>
    <w:p>
      <w:pPr>
        <w:ind w:left="1220" w:hanging="537"/>
        <w:spacing w:after="0"/>
        <w:tabs>
          <w:tab w:leader="none" w:pos="1220" w:val="left"/>
        </w:tabs>
        <w:numPr>
          <w:ilvl w:val="1"/>
          <w:numId w:val="5"/>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200" w:lineRule="exact"/>
        <w:rPr>
          <w:rFonts w:ascii="Arial" w:cs="Arial" w:eastAsia="Arial" w:hAnsi="Arial"/>
          <w:sz w:val="14"/>
          <w:szCs w:val="14"/>
          <w:color w:val="auto"/>
        </w:rPr>
      </w:pPr>
    </w:p>
    <w:p>
      <w:pPr>
        <w:spacing w:after="0" w:line="233" w:lineRule="exact"/>
        <w:rPr>
          <w:rFonts w:ascii="Arial" w:cs="Arial" w:eastAsia="Arial" w:hAnsi="Arial"/>
          <w:sz w:val="14"/>
          <w:szCs w:val="14"/>
          <w:color w:val="auto"/>
        </w:rPr>
      </w:pPr>
    </w:p>
    <w:p>
      <w:pPr>
        <w:ind w:left="1220" w:hanging="537"/>
        <w:spacing w:after="0"/>
        <w:tabs>
          <w:tab w:leader="none" w:pos="1220" w:val="left"/>
        </w:tabs>
        <w:numPr>
          <w:ilvl w:val="1"/>
          <w:numId w:val="5"/>
        </w:numPr>
        <w:rPr>
          <w:rFonts w:ascii="Arial" w:cs="Arial" w:eastAsia="Arial" w:hAnsi="Arial"/>
          <w:sz w:val="14"/>
          <w:szCs w:val="14"/>
          <w:color w:val="auto"/>
        </w:rPr>
      </w:pPr>
      <w:r>
        <w:rPr>
          <w:rFonts w:ascii="Arial" w:cs="Arial" w:eastAsia="Arial" w:hAnsi="Arial"/>
          <w:sz w:val="14"/>
          <w:szCs w:val="14"/>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776605</wp:posOffset>
            </wp:positionH>
            <wp:positionV relativeFrom="paragraph">
              <wp:posOffset>-3456305</wp:posOffset>
            </wp:positionV>
            <wp:extent cx="6292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-3079115</wp:posOffset>
            </wp:positionV>
            <wp:extent cx="6292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-2599055</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-2221865</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-1844675</wp:posOffset>
            </wp:positionV>
            <wp:extent cx="629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-876300</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-499110</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-121920</wp:posOffset>
            </wp:positionV>
            <wp:extent cx="6292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254635</wp:posOffset>
            </wp:positionV>
            <wp:extent cx="6292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374650</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426085</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320" w:top="230" w:right="559" w:bottom="1440" w:gutter="0" w:footer="0" w:header="0"/>
        </w:sectPr>
      </w:pPr>
    </w:p>
    <w:bookmarkStart w:id="1" w:name="page2"/>
    <w:bookmarkEnd w:id="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220345</wp:posOffset>
            </wp:positionV>
            <wp:extent cx="6000750" cy="77152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00750" cy="771525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2263140" cy="4718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6314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20"/>
        <w:spacing w:after="0"/>
        <w:rPr>
          <w:sz w:val="20"/>
          <w:szCs w:val="20"/>
          <w:color w:val="auto"/>
        </w:rPr>
      </w:pPr>
      <w:r>
        <w:rPr>
          <w:rFonts w:ascii="Arial" w:cs="Arial" w:eastAsia="Arial" w:hAnsi="Arial"/>
          <w:sz w:val="35"/>
          <w:szCs w:val="35"/>
          <w:b w:val="1"/>
          <w:bCs w:val="1"/>
          <w:color w:val="0071CE"/>
        </w:rPr>
        <w:t>Notice of Annual Meeting of Stockholders</w:t>
      </w:r>
    </w:p>
    <w:p>
      <w:pPr>
        <w:spacing w:after="0" w:line="5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C4C4C"/>
        </w:rPr>
        <w:t>To Be Held on Thursday, March 17,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229235</wp:posOffset>
            </wp:positionV>
            <wp:extent cx="2802890" cy="62922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02890" cy="6292215"/>
                    </a:xfrm>
                    <a:prstGeom prst="rect">
                      <a:avLst/>
                    </a:prstGeom>
                    <a:noFill/>
                  </pic:spPr>
                </pic:pic>
              </a:graphicData>
            </a:graphic>
          </wp:anchor>
        </w:drawing>
      </w:r>
    </w:p>
    <w:p>
      <w:pPr>
        <w:sectPr>
          <w:pgSz w:w="11900" w:h="16838" w:orient="portrait"/>
          <w:cols w:equalWidth="0" w:num="1">
            <w:col w:w="11100"/>
          </w:cols>
          <w:pgMar w:left="320" w:top="459"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20"/>
        <w:spacing w:after="0" w:line="254" w:lineRule="auto"/>
        <w:rPr>
          <w:sz w:val="20"/>
          <w:szCs w:val="20"/>
          <w:color w:val="auto"/>
        </w:rPr>
      </w:pPr>
      <w:r>
        <w:rPr>
          <w:rFonts w:ascii="Arial" w:cs="Arial" w:eastAsia="Arial" w:hAnsi="Arial"/>
          <w:sz w:val="16"/>
          <w:szCs w:val="16"/>
          <w:b w:val="1"/>
          <w:bCs w:val="1"/>
          <w:color w:val="auto"/>
        </w:rPr>
        <w:t>Your vote is important, whether or not you expect to attend the Annual Meeting of Stockholders. Stockholders of record are urged to vote via the Internet or telephone as instructed, or if you are voting by mail, to mark, sign and date and promptly return the proxy in the postage-prepaid return envelope provided.</w:t>
      </w:r>
    </w:p>
    <w:p>
      <w:pPr>
        <w:spacing w:after="0" w:line="168" w:lineRule="exact"/>
        <w:rPr>
          <w:sz w:val="20"/>
          <w:szCs w:val="20"/>
          <w:color w:val="auto"/>
        </w:rPr>
      </w:pPr>
    </w:p>
    <w:p>
      <w:pPr>
        <w:ind w:left="220" w:right="80"/>
        <w:spacing w:after="0" w:line="266" w:lineRule="auto"/>
        <w:rPr>
          <w:sz w:val="20"/>
          <w:szCs w:val="20"/>
          <w:color w:val="auto"/>
        </w:rPr>
      </w:pPr>
      <w:r>
        <w:rPr>
          <w:rFonts w:ascii="Arial" w:cs="Arial" w:eastAsia="Arial" w:hAnsi="Arial"/>
          <w:sz w:val="16"/>
          <w:szCs w:val="16"/>
          <w:b w:val="1"/>
          <w:bCs w:val="1"/>
          <w:color w:val="auto"/>
        </w:rPr>
        <w:t>Voting promptly will help avoid the additional expense of further solicitation to assure a quorum at the meeting.</w:t>
      </w:r>
    </w:p>
    <w:p>
      <w:pPr>
        <w:spacing w:after="0" w:line="158" w:lineRule="exact"/>
        <w:rPr>
          <w:sz w:val="20"/>
          <w:szCs w:val="20"/>
          <w:color w:val="auto"/>
        </w:rPr>
      </w:pPr>
    </w:p>
    <w:p>
      <w:pPr>
        <w:jc w:val="both"/>
        <w:ind w:left="220" w:right="240"/>
        <w:spacing w:after="0" w:line="266" w:lineRule="auto"/>
        <w:rPr>
          <w:sz w:val="20"/>
          <w:szCs w:val="20"/>
          <w:color w:val="auto"/>
        </w:rPr>
      </w:pPr>
      <w:r>
        <w:rPr>
          <w:rFonts w:ascii="Arial" w:cs="Arial" w:eastAsia="Arial" w:hAnsi="Arial"/>
          <w:sz w:val="16"/>
          <w:szCs w:val="16"/>
          <w:b w:val="1"/>
          <w:bCs w:val="1"/>
          <w:color w:val="auto"/>
        </w:rPr>
        <w:t>Important Notice Regarding the Availability of Proxy Materials for the Stockholder Meeting to be Held on Thursday, March 17, 2022:</w:t>
      </w:r>
    </w:p>
    <w:p>
      <w:pPr>
        <w:spacing w:after="0" w:line="178" w:lineRule="exact"/>
        <w:rPr>
          <w:sz w:val="20"/>
          <w:szCs w:val="20"/>
          <w:color w:val="auto"/>
        </w:rPr>
      </w:pPr>
    </w:p>
    <w:p>
      <w:pPr>
        <w:ind w:left="220"/>
        <w:spacing w:after="0" w:line="251" w:lineRule="auto"/>
        <w:rPr>
          <w:sz w:val="20"/>
          <w:szCs w:val="20"/>
          <w:color w:val="auto"/>
        </w:rPr>
      </w:pPr>
      <w:r>
        <w:rPr>
          <w:rFonts w:ascii="Arial" w:cs="Arial" w:eastAsia="Arial" w:hAnsi="Arial"/>
          <w:sz w:val="16"/>
          <w:szCs w:val="16"/>
          <w:color w:val="auto"/>
        </w:rPr>
        <w:t>You may access the following proxy materials at www.proxyvote.com before the meeting and www.virtualshareholdermeeting.com/ARWR2022 during the meeting.</w:t>
      </w:r>
    </w:p>
    <w:p>
      <w:pPr>
        <w:spacing w:after="0" w:line="108" w:lineRule="exact"/>
        <w:rPr>
          <w:sz w:val="20"/>
          <w:szCs w:val="20"/>
          <w:color w:val="auto"/>
        </w:rPr>
      </w:pPr>
    </w:p>
    <w:p>
      <w:pPr>
        <w:ind w:left="340" w:hanging="143"/>
        <w:spacing w:after="0"/>
        <w:tabs>
          <w:tab w:leader="none" w:pos="340" w:val="left"/>
        </w:tabs>
        <w:numPr>
          <w:ilvl w:val="0"/>
          <w:numId w:val="6"/>
        </w:numPr>
        <w:rPr>
          <w:rFonts w:ascii="Arial" w:cs="Arial" w:eastAsia="Arial" w:hAnsi="Arial"/>
          <w:sz w:val="16"/>
          <w:szCs w:val="16"/>
          <w:color w:val="0071CE"/>
        </w:rPr>
      </w:pPr>
      <w:r>
        <w:rPr>
          <w:rFonts w:ascii="Arial" w:cs="Arial" w:eastAsia="Arial" w:hAnsi="Arial"/>
          <w:sz w:val="16"/>
          <w:szCs w:val="16"/>
          <w:color w:val="auto"/>
        </w:rPr>
        <w:t>Notice of the 2022 Annual Meeting of Stockholders;</w:t>
      </w:r>
    </w:p>
    <w:p>
      <w:pPr>
        <w:spacing w:after="0" w:line="126" w:lineRule="exact"/>
        <w:rPr>
          <w:rFonts w:ascii="Arial" w:cs="Arial" w:eastAsia="Arial" w:hAnsi="Arial"/>
          <w:sz w:val="16"/>
          <w:szCs w:val="16"/>
          <w:color w:val="0071CE"/>
        </w:rPr>
      </w:pPr>
    </w:p>
    <w:p>
      <w:pPr>
        <w:ind w:left="340" w:hanging="143"/>
        <w:spacing w:after="0"/>
        <w:tabs>
          <w:tab w:leader="none" w:pos="340" w:val="left"/>
        </w:tabs>
        <w:numPr>
          <w:ilvl w:val="0"/>
          <w:numId w:val="6"/>
        </w:numPr>
        <w:rPr>
          <w:rFonts w:ascii="Arial" w:cs="Arial" w:eastAsia="Arial" w:hAnsi="Arial"/>
          <w:sz w:val="16"/>
          <w:szCs w:val="16"/>
          <w:color w:val="0071CE"/>
        </w:rPr>
      </w:pPr>
      <w:r>
        <w:rPr>
          <w:rFonts w:ascii="Arial" w:cs="Arial" w:eastAsia="Arial" w:hAnsi="Arial"/>
          <w:sz w:val="16"/>
          <w:szCs w:val="16"/>
          <w:color w:val="auto"/>
        </w:rPr>
        <w:t>Company’s 2022 Proxy Statement;</w:t>
      </w:r>
    </w:p>
    <w:p>
      <w:pPr>
        <w:spacing w:after="0" w:line="126" w:lineRule="exact"/>
        <w:rPr>
          <w:rFonts w:ascii="Arial" w:cs="Arial" w:eastAsia="Arial" w:hAnsi="Arial"/>
          <w:sz w:val="16"/>
          <w:szCs w:val="16"/>
          <w:color w:val="0071CE"/>
        </w:rPr>
      </w:pPr>
    </w:p>
    <w:p>
      <w:pPr>
        <w:ind w:left="360" w:right="340" w:hanging="163"/>
        <w:spacing w:after="0" w:line="260" w:lineRule="auto"/>
        <w:tabs>
          <w:tab w:leader="none" w:pos="346" w:val="left"/>
        </w:tabs>
        <w:numPr>
          <w:ilvl w:val="0"/>
          <w:numId w:val="6"/>
        </w:numPr>
        <w:rPr>
          <w:rFonts w:ascii="Arial" w:cs="Arial" w:eastAsia="Arial" w:hAnsi="Arial"/>
          <w:sz w:val="16"/>
          <w:szCs w:val="16"/>
          <w:color w:val="0071CE"/>
        </w:rPr>
      </w:pPr>
      <w:r>
        <w:rPr>
          <w:rFonts w:ascii="Arial" w:cs="Arial" w:eastAsia="Arial" w:hAnsi="Arial"/>
          <w:sz w:val="16"/>
          <w:szCs w:val="16"/>
          <w:color w:val="auto"/>
        </w:rPr>
        <w:t>Company’s Annual Report on Form 10-K for the year ended September 30, 2021; and</w:t>
      </w:r>
    </w:p>
    <w:p>
      <w:pPr>
        <w:spacing w:after="0" w:line="100" w:lineRule="exact"/>
        <w:rPr>
          <w:rFonts w:ascii="Arial" w:cs="Arial" w:eastAsia="Arial" w:hAnsi="Arial"/>
          <w:sz w:val="16"/>
          <w:szCs w:val="16"/>
          <w:color w:val="0071CE"/>
        </w:rPr>
      </w:pPr>
    </w:p>
    <w:p>
      <w:pPr>
        <w:ind w:left="340" w:hanging="143"/>
        <w:spacing w:after="0"/>
        <w:tabs>
          <w:tab w:leader="none" w:pos="340" w:val="left"/>
        </w:tabs>
        <w:numPr>
          <w:ilvl w:val="0"/>
          <w:numId w:val="6"/>
        </w:numPr>
        <w:rPr>
          <w:rFonts w:ascii="Arial" w:cs="Arial" w:eastAsia="Arial" w:hAnsi="Arial"/>
          <w:sz w:val="16"/>
          <w:szCs w:val="16"/>
          <w:color w:val="0071CE"/>
        </w:rPr>
      </w:pPr>
      <w:r>
        <w:rPr>
          <w:rFonts w:ascii="Arial" w:cs="Arial" w:eastAsia="Arial" w:hAnsi="Arial"/>
          <w:sz w:val="16"/>
          <w:szCs w:val="16"/>
          <w:color w:val="auto"/>
        </w:rPr>
        <w:t>Form of Proxy Card</w:t>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OF ARROWHEAD PHARMACEUTICALS, INC.:</w:t>
      </w:r>
    </w:p>
    <w:p>
      <w:pPr>
        <w:spacing w:after="0" w:line="100"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NOTICE IS HEREBY GIVEN that the 2022 Annual Meeting of Stockholders of Arrowhead Pharmaceuticals, Inc., a Delaware corporation (the “Company”), will be held on Thursday, March 17, 2022, at 10:00 a.m., Pacific time (the “Annual Meeting”). This year’s meeting will be a completely “virtual” meeting of stockholders. You can attend the Annual Meeting online, vote your shares electronically, and submit your questions during the Annual Meeting by visiting www.virtualshareholdermeeting.com/ARWR2022. Prior to the Annual Meeting, you will be able to vote at www.proxyvote.com. The Annual Meeting will be held for the purpose of considering and voting upon the following proposals, as more fully described in the accompanying Proxy Statement:</w:t>
      </w:r>
    </w:p>
    <w:p>
      <w:pPr>
        <w:spacing w:after="0" w:line="57" w:lineRule="exact"/>
        <w:rPr>
          <w:sz w:val="20"/>
          <w:szCs w:val="20"/>
          <w:color w:val="auto"/>
        </w:rPr>
      </w:pPr>
    </w:p>
    <w:p>
      <w:pPr>
        <w:ind w:left="320" w:right="100" w:hanging="320"/>
        <w:spacing w:after="0" w:line="253" w:lineRule="auto"/>
        <w:tabs>
          <w:tab w:leader="none" w:pos="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elect the seven directors named in the Proxy Statement to serve as members of the Company’s Board of Directors until the next Annual Meeting or until their successors are elected;</w:t>
      </w:r>
    </w:p>
    <w:p>
      <w:pPr>
        <w:spacing w:after="0" w:line="53"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color w:val="auto"/>
        </w:rPr>
        <w:t>2.</w:t>
        <w:tab/>
        <w:t>To conduct an advisory (non-binding) vote to approve executive compensation;</w:t>
      </w:r>
    </w:p>
    <w:p>
      <w:pPr>
        <w:spacing w:after="0" w:line="73" w:lineRule="exact"/>
        <w:rPr>
          <w:sz w:val="20"/>
          <w:szCs w:val="20"/>
          <w:color w:val="auto"/>
        </w:rPr>
      </w:pPr>
    </w:p>
    <w:p>
      <w:pPr>
        <w:ind w:left="320" w:right="820" w:hanging="320"/>
        <w:spacing w:after="0" w:line="260" w:lineRule="auto"/>
        <w:tabs>
          <w:tab w:leader="none" w:pos="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approve the Arrowhead Pharmaceuticals, Inc. Non-Employee Director Compensation Plan;</w:t>
      </w:r>
    </w:p>
    <w:p>
      <w:pPr>
        <w:spacing w:after="0" w:line="46" w:lineRule="exact"/>
        <w:rPr>
          <w:rFonts w:ascii="Arial" w:cs="Arial" w:eastAsia="Arial" w:hAnsi="Arial"/>
          <w:sz w:val="16"/>
          <w:szCs w:val="16"/>
          <w:color w:val="auto"/>
        </w:rPr>
      </w:pPr>
    </w:p>
    <w:p>
      <w:pPr>
        <w:ind w:left="320" w:right="40" w:hanging="320"/>
        <w:spacing w:after="0" w:line="260" w:lineRule="auto"/>
        <w:tabs>
          <w:tab w:leader="none" w:pos="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ratify the selection of Rose, Snyder &amp; Jacobs LLP as independent auditors of the Company for the fiscal year ending September 30, 2022; and</w:t>
      </w:r>
    </w:p>
    <w:p>
      <w:pPr>
        <w:spacing w:after="0" w:line="46" w:lineRule="exact"/>
        <w:rPr>
          <w:rFonts w:ascii="Arial" w:cs="Arial" w:eastAsia="Arial" w:hAnsi="Arial"/>
          <w:sz w:val="16"/>
          <w:szCs w:val="16"/>
          <w:color w:val="auto"/>
        </w:rPr>
      </w:pPr>
    </w:p>
    <w:p>
      <w:pPr>
        <w:ind w:left="320" w:right="60" w:hanging="320"/>
        <w:spacing w:after="0" w:line="260" w:lineRule="auto"/>
        <w:tabs>
          <w:tab w:leader="none" w:pos="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transact any other matters that may properly come before the Annual Meeting or any adjournments or postponements thereof.</w:t>
      </w:r>
    </w:p>
    <w:p>
      <w:pPr>
        <w:spacing w:after="0" w:line="74"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The foregoing items of business are more fully described in the Proxy Statement accompanying this Notice. Proposal No. 1 relates solely to the election of the seven directors nominated by the Board of Directors and does not include any other matters relating to the election of directors, including, without limitation, the election of directors nominated by any stockholder of the Company.</w:t>
      </w:r>
    </w:p>
    <w:p>
      <w:pPr>
        <w:spacing w:after="0" w:line="81"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All stockholders of record are cordially invited to attend the Annual Meeting by visiting www.virtualshareholdermeeting.com/ARWR2022. Instructions for accessing the virtual Annual Meeting are provided in the Proxy Statement. In the event of a technical malfunction or other situation that the meeting chair determines may affect the ability of the Annual Meeting to satisfy the requirements for a meeting of stockholders to be held by means of remote communication under the Delaware General Corporation Law, or that otherwise makes it advisable to adjourn the Annual Meeting, the chair or secretary of the Annual Meeting will convene the meeting at 12:00 p.m., Pacific time on the date specified above and at the Company’s address specified below solely for the purpose of adjourning the meeting to reconvene at a date, time and physical or virtual location announced by the meeting chair. Under either of the foregoing circumstances, we will post information regarding the announcement on the Investors page of the Company’s website at ir.arrowheadpharma.com.</w:t>
      </w:r>
    </w:p>
    <w:p>
      <w:pPr>
        <w:spacing w:after="0" w:line="90"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If you prefer to receive paper copies of our proxy materials, please follow the instructions included in the Notice of Internet Availability. To ensure your representation at the meeting, you are urged to vote via the Internet or telephone as instructed in the Notice of Internet Availability, or to mark, sign, date and return the proxy card as promptly as possible in the postage-prepaid envelope enclosed for that purpose. Any stockholder of record attending the Annual Meeting may vote at the Annual Meeting even if such stockholder has previously returned a proxy.</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40" w:type="dxa"/>
            <w:vAlign w:val="bottom"/>
          </w:tcPr>
          <w:p>
            <w:pPr>
              <w:spacing w:after="0"/>
              <w:rPr>
                <w:sz w:val="20"/>
                <w:szCs w:val="20"/>
                <w:color w:val="auto"/>
              </w:rPr>
            </w:pPr>
            <w:r>
              <w:rPr>
                <w:rFonts w:ascii="Arial" w:cs="Arial" w:eastAsia="Arial" w:hAnsi="Arial"/>
                <w:sz w:val="16"/>
                <w:szCs w:val="16"/>
                <w:color w:val="auto"/>
              </w:rPr>
              <w:t>/s/ Patrick O’Brien</w:t>
            </w:r>
          </w:p>
        </w:tc>
        <w:tc>
          <w:tcPr>
            <w:tcW w:w="2440" w:type="dxa"/>
            <w:vAlign w:val="bottom"/>
          </w:tcPr>
          <w:p>
            <w:pPr>
              <w:spacing w:after="0"/>
              <w:rPr>
                <w:sz w:val="16"/>
                <w:szCs w:val="16"/>
                <w:color w:val="auto"/>
              </w:rPr>
            </w:pPr>
          </w:p>
        </w:tc>
      </w:tr>
      <w:tr>
        <w:trPr>
          <w:trHeight w:val="193"/>
        </w:trPr>
        <w:tc>
          <w:tcPr>
            <w:tcW w:w="2240" w:type="dxa"/>
            <w:vAlign w:val="bottom"/>
          </w:tcPr>
          <w:p>
            <w:pPr>
              <w:spacing w:after="0"/>
              <w:rPr>
                <w:sz w:val="20"/>
                <w:szCs w:val="20"/>
                <w:color w:val="auto"/>
              </w:rPr>
            </w:pPr>
            <w:r>
              <w:rPr>
                <w:rFonts w:ascii="Arial" w:cs="Arial" w:eastAsia="Arial" w:hAnsi="Arial"/>
                <w:sz w:val="16"/>
                <w:szCs w:val="16"/>
                <w:b w:val="1"/>
                <w:bCs w:val="1"/>
                <w:color w:val="auto"/>
              </w:rPr>
              <w:t>Patrick O’Brien</w:t>
            </w:r>
          </w:p>
        </w:tc>
        <w:tc>
          <w:tcPr>
            <w:tcW w:w="2440" w:type="dxa"/>
            <w:vAlign w:val="bottom"/>
          </w:tcPr>
          <w:p>
            <w:pPr>
              <w:ind w:left="940"/>
              <w:spacing w:after="0"/>
              <w:rPr>
                <w:sz w:val="20"/>
                <w:szCs w:val="20"/>
                <w:color w:val="auto"/>
              </w:rPr>
            </w:pPr>
            <w:r>
              <w:rPr>
                <w:rFonts w:ascii="Arial" w:cs="Arial" w:eastAsia="Arial" w:hAnsi="Arial"/>
                <w:sz w:val="16"/>
                <w:szCs w:val="16"/>
                <w:color w:val="auto"/>
                <w:w w:val="99"/>
              </w:rPr>
              <w:t>Pasadena, California</w:t>
            </w:r>
          </w:p>
        </w:tc>
      </w:tr>
      <w:tr>
        <w:trPr>
          <w:trHeight w:val="224"/>
        </w:trPr>
        <w:tc>
          <w:tcPr>
            <w:tcW w:w="2240" w:type="dxa"/>
            <w:vAlign w:val="bottom"/>
          </w:tcPr>
          <w:p>
            <w:pPr>
              <w:spacing w:after="0"/>
              <w:rPr>
                <w:sz w:val="20"/>
                <w:szCs w:val="20"/>
                <w:color w:val="auto"/>
              </w:rPr>
            </w:pPr>
            <w:r>
              <w:rPr>
                <w:rFonts w:ascii="Arial" w:cs="Arial" w:eastAsia="Arial" w:hAnsi="Arial"/>
                <w:sz w:val="16"/>
                <w:szCs w:val="16"/>
                <w:i w:val="1"/>
                <w:iCs w:val="1"/>
                <w:color w:val="auto"/>
              </w:rPr>
              <w:t>Secretary</w:t>
            </w:r>
          </w:p>
        </w:tc>
        <w:tc>
          <w:tcPr>
            <w:tcW w:w="2440" w:type="dxa"/>
            <w:vAlign w:val="bottom"/>
          </w:tcPr>
          <w:p>
            <w:pPr>
              <w:ind w:left="940"/>
              <w:spacing w:after="0"/>
              <w:rPr>
                <w:sz w:val="20"/>
                <w:szCs w:val="20"/>
                <w:color w:val="auto"/>
              </w:rPr>
            </w:pPr>
            <w:r>
              <w:rPr>
                <w:rFonts w:ascii="Arial" w:cs="Arial" w:eastAsia="Arial" w:hAnsi="Arial"/>
                <w:sz w:val="16"/>
                <w:szCs w:val="16"/>
                <w:color w:val="auto"/>
              </w:rPr>
              <w:t>January 26, 2022</w:t>
            </w:r>
          </w:p>
        </w:tc>
      </w:tr>
    </w:tbl>
    <w:p>
      <w:pPr>
        <w:spacing w:after="0" w:line="200" w:lineRule="exact"/>
        <w:rPr>
          <w:sz w:val="20"/>
          <w:szCs w:val="20"/>
          <w:color w:val="auto"/>
        </w:rPr>
      </w:pPr>
    </w:p>
    <w:p>
      <w:pPr>
        <w:sectPr>
          <w:pgSz w:w="11900" w:h="16838" w:orient="portrait"/>
          <w:cols w:equalWidth="0" w:num="2">
            <w:col w:w="4480" w:space="280"/>
            <w:col w:w="6340"/>
          </w:cols>
          <w:pgMar w:left="320" w:top="459" w:right="479" w:bottom="1440" w:gutter="0" w:footer="0" w:header="0"/>
          <w:type w:val="continuous"/>
        </w:sectPr>
      </w:pPr>
    </w:p>
    <w:p>
      <w:pPr>
        <w:spacing w:after="0" w:line="152" w:lineRule="exact"/>
        <w:rPr>
          <w:sz w:val="20"/>
          <w:szCs w:val="20"/>
          <w:color w:val="auto"/>
        </w:rPr>
      </w:pPr>
    </w:p>
    <w:p>
      <w:pPr>
        <w:jc w:val="center"/>
        <w:ind w:right="-159"/>
        <w:spacing w:after="0"/>
        <w:tabs>
          <w:tab w:leader="none" w:pos="160" w:val="left"/>
          <w:tab w:leader="none" w:pos="160" w:val="left"/>
          <w:tab w:leader="none" w:pos="160" w:val="left"/>
          <w:tab w:leader="none" w:pos="160" w:val="left"/>
        </w:tabs>
        <w:rPr>
          <w:sz w:val="20"/>
          <w:szCs w:val="20"/>
          <w:color w:val="auto"/>
        </w:rPr>
      </w:pPr>
      <w:r>
        <w:rPr>
          <w:rFonts w:ascii="Arial" w:cs="Arial" w:eastAsia="Arial" w:hAnsi="Arial"/>
          <w:sz w:val="16"/>
          <w:szCs w:val="16"/>
          <w:b w:val="1"/>
          <w:bCs w:val="1"/>
          <w:color w:val="4C4C4C"/>
        </w:rPr>
        <w:t>Arrowhead Pharmaceuticals, Inc.</w:t>
      </w:r>
      <w:r>
        <w:rPr>
          <w:sz w:val="20"/>
          <w:szCs w:val="20"/>
          <w:color w:val="auto"/>
        </w:rPr>
        <w:tab/>
      </w:r>
      <w:r>
        <w:rPr>
          <w:rFonts w:ascii="Arial" w:cs="Arial" w:eastAsia="Arial" w:hAnsi="Arial"/>
          <w:sz w:val="16"/>
          <w:szCs w:val="16"/>
          <w:color w:val="0071CE"/>
        </w:rPr>
        <w:t>●</w:t>
      </w:r>
      <w:r>
        <w:rPr>
          <w:sz w:val="20"/>
          <w:szCs w:val="20"/>
          <w:color w:val="auto"/>
        </w:rPr>
        <w:tab/>
      </w:r>
      <w:r>
        <w:rPr>
          <w:rFonts w:ascii="Arial" w:cs="Arial" w:eastAsia="Arial" w:hAnsi="Arial"/>
          <w:sz w:val="16"/>
          <w:szCs w:val="16"/>
          <w:b w:val="1"/>
          <w:bCs w:val="1"/>
          <w:color w:val="4C4C4C"/>
        </w:rPr>
        <w:t>177 E. Colorado Blvd., Suite 700</w:t>
      </w:r>
      <w:r>
        <w:rPr>
          <w:sz w:val="20"/>
          <w:szCs w:val="20"/>
          <w:color w:val="auto"/>
        </w:rPr>
        <w:tab/>
      </w:r>
      <w:r>
        <w:rPr>
          <w:rFonts w:ascii="Arial" w:cs="Arial" w:eastAsia="Arial" w:hAnsi="Arial"/>
          <w:sz w:val="16"/>
          <w:szCs w:val="16"/>
          <w:color w:val="0071CE"/>
        </w:rPr>
        <w:t>●</w:t>
      </w:r>
      <w:r>
        <w:rPr>
          <w:sz w:val="20"/>
          <w:szCs w:val="20"/>
          <w:color w:val="auto"/>
        </w:rPr>
        <w:tab/>
      </w:r>
      <w:r>
        <w:rPr>
          <w:rFonts w:ascii="Arial" w:cs="Arial" w:eastAsia="Arial" w:hAnsi="Arial"/>
          <w:sz w:val="16"/>
          <w:szCs w:val="16"/>
          <w:b w:val="1"/>
          <w:bCs w:val="1"/>
          <w:color w:val="4C4C4C"/>
        </w:rPr>
        <w:t>Pasadena, California 91105</w:t>
      </w:r>
    </w:p>
    <w:p>
      <w:pPr>
        <w:sectPr>
          <w:pgSz w:w="11900" w:h="16838" w:orient="portrait"/>
          <w:cols w:equalWidth="0" w:num="1">
            <w:col w:w="11100"/>
          </w:cols>
          <w:pgMar w:left="320" w:top="459" w:right="47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60" w:type="dxa"/>
            <w:vAlign w:val="bottom"/>
            <w:gridSpan w:val="2"/>
          </w:tcPr>
          <w:p>
            <w:pPr>
              <w:ind w:left="220"/>
              <w:spacing w:after="0"/>
              <w:rPr>
                <w:sz w:val="20"/>
                <w:szCs w:val="20"/>
                <w:color w:val="auto"/>
              </w:rPr>
            </w:pPr>
            <w:r>
              <w:rPr>
                <w:rFonts w:ascii="Arial" w:cs="Arial" w:eastAsia="Arial" w:hAnsi="Arial"/>
                <w:sz w:val="14"/>
                <w:szCs w:val="14"/>
                <w:b w:val="1"/>
                <w:bCs w:val="1"/>
                <w:color w:val="0071CE"/>
              </w:rPr>
              <w:t>2022 PROXY STATEMENT</w:t>
            </w:r>
          </w:p>
        </w:tc>
        <w:tc>
          <w:tcPr>
            <w:tcW w:w="1300" w:type="dxa"/>
            <w:vAlign w:val="bottom"/>
          </w:tcPr>
          <w:p>
            <w:pPr>
              <w:jc w:val="right"/>
              <w:spacing w:after="0"/>
              <w:rPr>
                <w:sz w:val="20"/>
                <w:szCs w:val="20"/>
                <w:color w:val="auto"/>
              </w:rPr>
            </w:pPr>
            <w:r>
              <w:rPr>
                <w:rFonts w:ascii="Arial" w:cs="Arial" w:eastAsia="Arial" w:hAnsi="Arial"/>
                <w:sz w:val="14"/>
                <w:szCs w:val="14"/>
                <w:b w:val="1"/>
                <w:bCs w:val="1"/>
                <w:i w:val="1"/>
                <w:iCs w:val="1"/>
                <w:color w:val="3FAE2A"/>
              </w:rPr>
              <w:t>Table of Contents</w:t>
            </w:r>
          </w:p>
        </w:tc>
      </w:tr>
      <w:tr>
        <w:trPr>
          <w:trHeight w:val="566"/>
        </w:trPr>
        <w:tc>
          <w:tcPr>
            <w:tcW w:w="9720" w:type="dxa"/>
            <w:vAlign w:val="bottom"/>
            <w:gridSpan w:val="37"/>
          </w:tcPr>
          <w:p>
            <w:pPr>
              <w:spacing w:after="0"/>
              <w:rPr>
                <w:sz w:val="20"/>
                <w:szCs w:val="20"/>
                <w:color w:val="auto"/>
              </w:rPr>
            </w:pPr>
            <w:r>
              <w:rPr>
                <w:rFonts w:ascii="Arial" w:cs="Arial" w:eastAsia="Arial" w:hAnsi="Arial"/>
                <w:sz w:val="36"/>
                <w:szCs w:val="36"/>
                <w:b w:val="1"/>
                <w:bCs w:val="1"/>
                <w:color w:val="0071CE"/>
              </w:rPr>
              <w:t>Table of Contents</w:t>
            </w:r>
          </w:p>
        </w:tc>
        <w:tc>
          <w:tcPr>
            <w:tcW w:w="1300" w:type="dxa"/>
            <w:vAlign w:val="bottom"/>
          </w:tcPr>
          <w:p>
            <w:pPr>
              <w:spacing w:after="0"/>
              <w:rPr>
                <w:sz w:val="24"/>
                <w:szCs w:val="24"/>
                <w:color w:val="auto"/>
              </w:rPr>
            </w:pPr>
          </w:p>
        </w:tc>
      </w:tr>
      <w:tr>
        <w:trPr>
          <w:trHeight w:val="527"/>
        </w:trPr>
        <w:tc>
          <w:tcPr>
            <w:tcW w:w="9720" w:type="dxa"/>
            <w:vAlign w:val="bottom"/>
            <w:gridSpan w:val="37"/>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General Information Concerning Solicitation and Voting</w:t>
              </w:r>
            </w:hyperlink>
          </w:p>
        </w:tc>
        <w:tc>
          <w:tcPr>
            <w:tcW w:w="1300" w:type="dxa"/>
            <w:vAlign w:val="bottom"/>
          </w:tcPr>
          <w:p>
            <w:pPr>
              <w:jc w:val="right"/>
              <w:spacing w:after="0"/>
              <w:rPr>
                <w:sz w:val="20"/>
                <w:szCs w:val="20"/>
                <w:color w:val="auto"/>
              </w:rPr>
            </w:pPr>
            <w:r>
              <w:rPr>
                <w:rFonts w:ascii="Arial" w:cs="Arial" w:eastAsia="Arial" w:hAnsi="Arial"/>
                <w:sz w:val="18"/>
                <w:szCs w:val="18"/>
                <w:b w:val="1"/>
                <w:bCs w:val="1"/>
                <w:color w:val="0071CE"/>
              </w:rPr>
              <w:t>1</w:t>
            </w:r>
          </w:p>
        </w:tc>
      </w:tr>
      <w:tr>
        <w:trPr>
          <w:trHeight w:val="223"/>
        </w:trPr>
        <w:tc>
          <w:tcPr>
            <w:tcW w:w="60" w:type="dxa"/>
            <w:vAlign w:val="bottom"/>
            <w:tcBorders>
              <w:top w:val="single" w:sz="8" w:color="0000EE"/>
            </w:tcBorders>
          </w:tcPr>
          <w:p>
            <w:pPr>
              <w:spacing w:after="0"/>
              <w:rPr>
                <w:sz w:val="19"/>
                <w:szCs w:val="19"/>
                <w:color w:val="auto"/>
              </w:rPr>
            </w:pPr>
          </w:p>
        </w:tc>
        <w:tc>
          <w:tcPr>
            <w:tcW w:w="4680" w:type="dxa"/>
            <w:vAlign w:val="bottom"/>
            <w:tcBorders>
              <w:top w:val="single" w:sz="8" w:color="0000EE"/>
            </w:tcBorders>
            <w:gridSpan w:val="29"/>
          </w:tcPr>
          <w:p>
            <w:pPr>
              <w:spacing w:after="0"/>
              <w:rPr>
                <w:rFonts w:ascii="Arial" w:cs="Arial" w:eastAsia="Arial" w:hAnsi="Arial"/>
                <w:sz w:val="16"/>
                <w:szCs w:val="16"/>
                <w:b w:val="1"/>
                <w:bCs w:val="1"/>
                <w:color w:val="0000EE"/>
              </w:rPr>
            </w:pPr>
            <w:hyperlink w:anchor="page5">
              <w:r>
                <w:rPr>
                  <w:rFonts w:ascii="Arial" w:cs="Arial" w:eastAsia="Arial" w:hAnsi="Arial"/>
                  <w:sz w:val="16"/>
                  <w:szCs w:val="16"/>
                  <w:b w:val="1"/>
                  <w:bCs w:val="1"/>
                  <w:color w:val="0000EE"/>
                </w:rPr>
                <w:t>Record Date</w:t>
              </w:r>
            </w:hyperlink>
          </w:p>
        </w:tc>
        <w:tc>
          <w:tcPr>
            <w:tcW w:w="4980" w:type="dxa"/>
            <w:vAlign w:val="bottom"/>
            <w:gridSpan w:val="7"/>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4C4C4C"/>
              </w:rPr>
              <w:t>1</w:t>
            </w:r>
          </w:p>
        </w:tc>
      </w:tr>
      <w:tr>
        <w:trPr>
          <w:trHeight w:val="20"/>
        </w:trPr>
        <w:tc>
          <w:tcPr>
            <w:tcW w:w="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9660" w:type="dxa"/>
            <w:vAlign w:val="bottom"/>
            <w:gridSpan w:val="36"/>
          </w:tcPr>
          <w:p>
            <w:pPr>
              <w:spacing w:after="0"/>
              <w:rPr>
                <w:rFonts w:ascii="Arial" w:cs="Arial" w:eastAsia="Arial" w:hAnsi="Arial"/>
                <w:sz w:val="16"/>
                <w:szCs w:val="16"/>
                <w:b w:val="1"/>
                <w:bCs w:val="1"/>
                <w:color w:val="0000EE"/>
              </w:rPr>
            </w:pPr>
            <w:hyperlink w:anchor="page6">
              <w:r>
                <w:rPr>
                  <w:rFonts w:ascii="Arial" w:cs="Arial" w:eastAsia="Arial" w:hAnsi="Arial"/>
                  <w:sz w:val="16"/>
                  <w:szCs w:val="16"/>
                  <w:b w:val="1"/>
                  <w:bCs w:val="1"/>
                  <w:color w:val="0000EE"/>
                </w:rPr>
                <w:t>Revocability of Proxies</w:t>
              </w:r>
            </w:hyperlink>
          </w:p>
        </w:tc>
        <w:tc>
          <w:tcPr>
            <w:tcW w:w="1300" w:type="dxa"/>
            <w:vAlign w:val="bottom"/>
          </w:tcPr>
          <w:p>
            <w:pPr>
              <w:jc w:val="right"/>
              <w:spacing w:after="0"/>
              <w:rPr>
                <w:sz w:val="20"/>
                <w:szCs w:val="20"/>
                <w:color w:val="auto"/>
              </w:rPr>
            </w:pPr>
            <w:r>
              <w:rPr>
                <w:rFonts w:ascii="Arial" w:cs="Arial" w:eastAsia="Arial" w:hAnsi="Arial"/>
                <w:sz w:val="16"/>
                <w:szCs w:val="16"/>
                <w:b w:val="1"/>
                <w:bCs w:val="1"/>
                <w:color w:val="4C4C4C"/>
              </w:rPr>
              <w:t>2</w:t>
            </w:r>
          </w:p>
        </w:tc>
      </w:tr>
      <w:tr>
        <w:trPr>
          <w:trHeight w:val="223"/>
        </w:trPr>
        <w:tc>
          <w:tcPr>
            <w:tcW w:w="60" w:type="dxa"/>
            <w:vAlign w:val="bottom"/>
          </w:tcPr>
          <w:p>
            <w:pPr>
              <w:spacing w:after="0"/>
              <w:rPr>
                <w:sz w:val="19"/>
                <w:szCs w:val="19"/>
                <w:color w:val="auto"/>
              </w:rPr>
            </w:pPr>
          </w:p>
        </w:tc>
        <w:tc>
          <w:tcPr>
            <w:tcW w:w="1780" w:type="dxa"/>
            <w:vAlign w:val="bottom"/>
            <w:tcBorders>
              <w:top w:val="single" w:sz="8" w:color="0000EE"/>
            </w:tcBorders>
            <w:gridSpan w:val="8"/>
          </w:tcPr>
          <w:p>
            <w:pPr>
              <w:spacing w:after="0"/>
              <w:rPr>
                <w:rFonts w:ascii="Arial" w:cs="Arial" w:eastAsia="Arial" w:hAnsi="Arial"/>
                <w:sz w:val="16"/>
                <w:szCs w:val="16"/>
                <w:b w:val="1"/>
                <w:bCs w:val="1"/>
                <w:color w:val="0000EE"/>
              </w:rPr>
            </w:pPr>
            <w:hyperlink w:anchor="page6">
              <w:r>
                <w:rPr>
                  <w:rFonts w:ascii="Arial" w:cs="Arial" w:eastAsia="Arial" w:hAnsi="Arial"/>
                  <w:sz w:val="16"/>
                  <w:szCs w:val="16"/>
                  <w:b w:val="1"/>
                  <w:bCs w:val="1"/>
                  <w:color w:val="0000EE"/>
                </w:rPr>
                <w:t>Voting and Solicitation</w:t>
              </w:r>
            </w:hyperlink>
          </w:p>
        </w:tc>
        <w:tc>
          <w:tcPr>
            <w:tcW w:w="7880" w:type="dxa"/>
            <w:vAlign w:val="bottom"/>
            <w:gridSpan w:val="28"/>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4C4C4C"/>
              </w:rPr>
              <w:t>2</w:t>
            </w:r>
          </w:p>
        </w:tc>
      </w:tr>
      <w:tr>
        <w:trPr>
          <w:trHeight w:val="20"/>
        </w:trPr>
        <w:tc>
          <w:tcPr>
            <w:tcW w:w="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3140" w:type="dxa"/>
            <w:vAlign w:val="bottom"/>
            <w:tcBorders>
              <w:bottom w:val="single" w:sz="8" w:color="0000EE"/>
            </w:tcBorders>
            <w:gridSpan w:val="19"/>
          </w:tcPr>
          <w:p>
            <w:pPr>
              <w:spacing w:after="0"/>
              <w:rPr>
                <w:rFonts w:ascii="Arial" w:cs="Arial" w:eastAsia="Arial" w:hAnsi="Arial"/>
                <w:sz w:val="16"/>
                <w:szCs w:val="16"/>
                <w:b w:val="1"/>
                <w:bCs w:val="1"/>
                <w:color w:val="0000EE"/>
                <w:w w:val="99"/>
              </w:rPr>
            </w:pPr>
            <w:hyperlink w:anchor="page6">
              <w:r>
                <w:rPr>
                  <w:rFonts w:ascii="Arial" w:cs="Arial" w:eastAsia="Arial" w:hAnsi="Arial"/>
                  <w:sz w:val="16"/>
                  <w:szCs w:val="16"/>
                  <w:b w:val="1"/>
                  <w:bCs w:val="1"/>
                  <w:color w:val="0000EE"/>
                  <w:w w:val="99"/>
                </w:rPr>
                <w:t>Quorum; Abstentions; Broker Non-Votes</w:t>
              </w:r>
            </w:hyperlink>
          </w:p>
        </w:tc>
        <w:tc>
          <w:tcPr>
            <w:tcW w:w="6520" w:type="dxa"/>
            <w:vAlign w:val="bottom"/>
            <w:gridSpan w:val="17"/>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4C4C4C"/>
              </w:rPr>
              <w:t>2</w:t>
            </w:r>
          </w:p>
        </w:tc>
      </w:tr>
      <w:tr>
        <w:trPr>
          <w:trHeight w:val="223"/>
        </w:trPr>
        <w:tc>
          <w:tcPr>
            <w:tcW w:w="60" w:type="dxa"/>
            <w:vAlign w:val="bottom"/>
          </w:tcPr>
          <w:p>
            <w:pPr>
              <w:spacing w:after="0"/>
              <w:rPr>
                <w:sz w:val="19"/>
                <w:szCs w:val="19"/>
                <w:color w:val="auto"/>
              </w:rPr>
            </w:pPr>
          </w:p>
        </w:tc>
        <w:tc>
          <w:tcPr>
            <w:tcW w:w="9660" w:type="dxa"/>
            <w:vAlign w:val="bottom"/>
            <w:gridSpan w:val="36"/>
          </w:tcPr>
          <w:p>
            <w:pPr>
              <w:spacing w:after="0"/>
              <w:rPr>
                <w:rFonts w:ascii="Arial" w:cs="Arial" w:eastAsia="Arial" w:hAnsi="Arial"/>
                <w:sz w:val="16"/>
                <w:szCs w:val="16"/>
                <w:b w:val="1"/>
                <w:bCs w:val="1"/>
                <w:color w:val="0000EE"/>
              </w:rPr>
            </w:pPr>
            <w:hyperlink w:anchor="page7">
              <w:r>
                <w:rPr>
                  <w:rFonts w:ascii="Arial" w:cs="Arial" w:eastAsia="Arial" w:hAnsi="Arial"/>
                  <w:sz w:val="16"/>
                  <w:szCs w:val="16"/>
                  <w:b w:val="1"/>
                  <w:bCs w:val="1"/>
                  <w:color w:val="0000EE"/>
                </w:rPr>
                <w:t>Deadline for Receipt of Stockholder Proposals</w:t>
              </w:r>
            </w:hyperlink>
          </w:p>
        </w:tc>
        <w:tc>
          <w:tcPr>
            <w:tcW w:w="1300" w:type="dxa"/>
            <w:vAlign w:val="bottom"/>
          </w:tcPr>
          <w:p>
            <w:pPr>
              <w:jc w:val="right"/>
              <w:spacing w:after="0"/>
              <w:rPr>
                <w:sz w:val="20"/>
                <w:szCs w:val="20"/>
                <w:color w:val="auto"/>
              </w:rPr>
            </w:pPr>
            <w:r>
              <w:rPr>
                <w:rFonts w:ascii="Arial" w:cs="Arial" w:eastAsia="Arial" w:hAnsi="Arial"/>
                <w:sz w:val="16"/>
                <w:szCs w:val="16"/>
                <w:b w:val="1"/>
                <w:bCs w:val="1"/>
                <w:color w:val="4C4C4C"/>
              </w:rPr>
              <w:t>3</w:t>
            </w:r>
          </w:p>
        </w:tc>
      </w:tr>
      <w:tr>
        <w:trPr>
          <w:trHeight w:val="20"/>
        </w:trPr>
        <w:tc>
          <w:tcPr>
            <w:tcW w:w="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45"/>
        </w:trPr>
        <w:tc>
          <w:tcPr>
            <w:tcW w:w="9720" w:type="dxa"/>
            <w:vAlign w:val="bottom"/>
            <w:gridSpan w:val="37"/>
          </w:tcPr>
          <w:p>
            <w:pPr>
              <w:spacing w:after="0"/>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Proposal One — Election of Directors</w:t>
              </w:r>
            </w:hyperlink>
          </w:p>
        </w:tc>
        <w:tc>
          <w:tcPr>
            <w:tcW w:w="1300" w:type="dxa"/>
            <w:vAlign w:val="bottom"/>
          </w:tcPr>
          <w:p>
            <w:pPr>
              <w:jc w:val="right"/>
              <w:spacing w:after="0"/>
              <w:rPr>
                <w:sz w:val="20"/>
                <w:szCs w:val="20"/>
                <w:color w:val="auto"/>
              </w:rPr>
            </w:pPr>
            <w:r>
              <w:rPr>
                <w:rFonts w:ascii="Arial" w:cs="Arial" w:eastAsia="Arial" w:hAnsi="Arial"/>
                <w:sz w:val="18"/>
                <w:szCs w:val="18"/>
                <w:b w:val="1"/>
                <w:bCs w:val="1"/>
                <w:color w:val="0071CE"/>
              </w:rPr>
              <w:t>4</w:t>
            </w:r>
          </w:p>
        </w:tc>
      </w:tr>
      <w:tr>
        <w:trPr>
          <w:trHeight w:val="20"/>
        </w:trPr>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3460" w:type="dxa"/>
            <w:vAlign w:val="bottom"/>
            <w:tcBorders>
              <w:bottom w:val="single" w:sz="8" w:color="0000EE"/>
            </w:tcBorders>
            <w:gridSpan w:val="24"/>
          </w:tcPr>
          <w:p>
            <w:pPr>
              <w:spacing w:after="0"/>
              <w:rPr>
                <w:rFonts w:ascii="Arial" w:cs="Arial" w:eastAsia="Arial" w:hAnsi="Arial"/>
                <w:sz w:val="16"/>
                <w:szCs w:val="16"/>
                <w:b w:val="1"/>
                <w:bCs w:val="1"/>
                <w:color w:val="0000EE"/>
              </w:rPr>
            </w:pPr>
            <w:hyperlink w:anchor="page12">
              <w:r>
                <w:rPr>
                  <w:rFonts w:ascii="Arial" w:cs="Arial" w:eastAsia="Arial" w:hAnsi="Arial"/>
                  <w:sz w:val="16"/>
                  <w:szCs w:val="16"/>
                  <w:b w:val="1"/>
                  <w:bCs w:val="1"/>
                  <w:color w:val="0000EE"/>
                </w:rPr>
                <w:t>Board Composition and Nominating Process</w:t>
              </w:r>
            </w:hyperlink>
          </w:p>
        </w:tc>
        <w:tc>
          <w:tcPr>
            <w:tcW w:w="6200" w:type="dxa"/>
            <w:vAlign w:val="bottom"/>
            <w:gridSpan w:val="12"/>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4C4C4C"/>
              </w:rPr>
              <w:t>8</w:t>
            </w:r>
          </w:p>
        </w:tc>
      </w:tr>
      <w:tr>
        <w:trPr>
          <w:trHeight w:val="223"/>
        </w:trPr>
        <w:tc>
          <w:tcPr>
            <w:tcW w:w="60" w:type="dxa"/>
            <w:vAlign w:val="bottom"/>
          </w:tcPr>
          <w:p>
            <w:pPr>
              <w:spacing w:after="0"/>
              <w:rPr>
                <w:sz w:val="19"/>
                <w:szCs w:val="19"/>
                <w:color w:val="auto"/>
              </w:rPr>
            </w:pPr>
          </w:p>
        </w:tc>
        <w:tc>
          <w:tcPr>
            <w:tcW w:w="3580" w:type="dxa"/>
            <w:vAlign w:val="bottom"/>
            <w:tcBorders>
              <w:bottom w:val="single" w:sz="8" w:color="0000EE"/>
            </w:tcBorders>
            <w:gridSpan w:val="25"/>
          </w:tcPr>
          <w:p>
            <w:pPr>
              <w:spacing w:after="0"/>
              <w:rPr>
                <w:rFonts w:ascii="Arial" w:cs="Arial" w:eastAsia="Arial" w:hAnsi="Arial"/>
                <w:sz w:val="16"/>
                <w:szCs w:val="16"/>
                <w:b w:val="1"/>
                <w:bCs w:val="1"/>
                <w:color w:val="0000EE"/>
              </w:rPr>
            </w:pPr>
            <w:hyperlink w:anchor="page13">
              <w:r>
                <w:rPr>
                  <w:rFonts w:ascii="Arial" w:cs="Arial" w:eastAsia="Arial" w:hAnsi="Arial"/>
                  <w:sz w:val="16"/>
                  <w:szCs w:val="16"/>
                  <w:b w:val="1"/>
                  <w:bCs w:val="1"/>
                  <w:color w:val="0000EE"/>
                </w:rPr>
                <w:t>Corporate Governance Policies and Practices</w:t>
              </w:r>
            </w:hyperlink>
          </w:p>
        </w:tc>
        <w:tc>
          <w:tcPr>
            <w:tcW w:w="6080" w:type="dxa"/>
            <w:vAlign w:val="bottom"/>
            <w:gridSpan w:val="11"/>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4C4C4C"/>
              </w:rPr>
              <w:t>9</w:t>
            </w:r>
          </w:p>
        </w:tc>
      </w:tr>
      <w:tr>
        <w:trPr>
          <w:trHeight w:val="223"/>
        </w:trPr>
        <w:tc>
          <w:tcPr>
            <w:tcW w:w="60" w:type="dxa"/>
            <w:vAlign w:val="bottom"/>
          </w:tcPr>
          <w:p>
            <w:pPr>
              <w:spacing w:after="0"/>
              <w:rPr>
                <w:sz w:val="19"/>
                <w:szCs w:val="19"/>
                <w:color w:val="auto"/>
              </w:rPr>
            </w:pPr>
          </w:p>
        </w:tc>
        <w:tc>
          <w:tcPr>
            <w:tcW w:w="9660" w:type="dxa"/>
            <w:vAlign w:val="bottom"/>
            <w:gridSpan w:val="36"/>
          </w:tcPr>
          <w:p>
            <w:pPr>
              <w:spacing w:after="0"/>
              <w:rPr>
                <w:rFonts w:ascii="Arial" w:cs="Arial" w:eastAsia="Arial" w:hAnsi="Arial"/>
                <w:sz w:val="16"/>
                <w:szCs w:val="16"/>
                <w:b w:val="1"/>
                <w:bCs w:val="1"/>
                <w:color w:val="0000EE"/>
              </w:rPr>
            </w:pPr>
            <w:hyperlink w:anchor="page14">
              <w:r>
                <w:rPr>
                  <w:rFonts w:ascii="Arial" w:cs="Arial" w:eastAsia="Arial" w:hAnsi="Arial"/>
                  <w:sz w:val="16"/>
                  <w:szCs w:val="16"/>
                  <w:b w:val="1"/>
                  <w:bCs w:val="1"/>
                  <w:color w:val="0000EE"/>
                </w:rPr>
                <w:t>Stockholder Communications with Directors</w:t>
              </w:r>
            </w:hyperlink>
          </w:p>
        </w:tc>
        <w:tc>
          <w:tcPr>
            <w:tcW w:w="1300" w:type="dxa"/>
            <w:vAlign w:val="bottom"/>
          </w:tcPr>
          <w:p>
            <w:pPr>
              <w:jc w:val="right"/>
              <w:spacing w:after="0"/>
              <w:rPr>
                <w:sz w:val="20"/>
                <w:szCs w:val="20"/>
                <w:color w:val="auto"/>
              </w:rPr>
            </w:pPr>
            <w:r>
              <w:rPr>
                <w:rFonts w:ascii="Arial" w:cs="Arial" w:eastAsia="Arial" w:hAnsi="Arial"/>
                <w:sz w:val="16"/>
                <w:szCs w:val="16"/>
                <w:b w:val="1"/>
                <w:bCs w:val="1"/>
                <w:color w:val="4C4C4C"/>
              </w:rPr>
              <w:t>10</w:t>
            </w:r>
          </w:p>
        </w:tc>
      </w:tr>
      <w:tr>
        <w:trPr>
          <w:trHeight w:val="223"/>
        </w:trPr>
        <w:tc>
          <w:tcPr>
            <w:tcW w:w="60" w:type="dxa"/>
            <w:vAlign w:val="bottom"/>
          </w:tcPr>
          <w:p>
            <w:pPr>
              <w:spacing w:after="0"/>
              <w:rPr>
                <w:sz w:val="19"/>
                <w:szCs w:val="19"/>
                <w:color w:val="auto"/>
              </w:rPr>
            </w:pPr>
          </w:p>
        </w:tc>
        <w:tc>
          <w:tcPr>
            <w:tcW w:w="3420" w:type="dxa"/>
            <w:vAlign w:val="bottom"/>
            <w:tcBorders>
              <w:top w:val="single" w:sz="8" w:color="0000EE"/>
            </w:tcBorders>
            <w:gridSpan w:val="23"/>
          </w:tcPr>
          <w:p>
            <w:pPr>
              <w:spacing w:after="0"/>
              <w:rPr>
                <w:rFonts w:ascii="Arial" w:cs="Arial" w:eastAsia="Arial" w:hAnsi="Arial"/>
                <w:sz w:val="16"/>
                <w:szCs w:val="16"/>
                <w:b w:val="1"/>
                <w:bCs w:val="1"/>
                <w:color w:val="0000EE"/>
              </w:rPr>
            </w:pPr>
            <w:hyperlink w:anchor="page14">
              <w:r>
                <w:rPr>
                  <w:rFonts w:ascii="Arial" w:cs="Arial" w:eastAsia="Arial" w:hAnsi="Arial"/>
                  <w:sz w:val="16"/>
                  <w:szCs w:val="16"/>
                  <w:b w:val="1"/>
                  <w:bCs w:val="1"/>
                  <w:color w:val="0000EE"/>
                </w:rPr>
                <w:t>Board Meetings and Committees</w:t>
              </w:r>
            </w:hyperlink>
          </w:p>
        </w:tc>
        <w:tc>
          <w:tcPr>
            <w:tcW w:w="6240" w:type="dxa"/>
            <w:vAlign w:val="bottom"/>
            <w:gridSpan w:val="13"/>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4C4C4C"/>
              </w:rPr>
              <w:t>10</w:t>
            </w:r>
          </w:p>
        </w:tc>
      </w:tr>
      <w:tr>
        <w:trPr>
          <w:trHeight w:val="20"/>
        </w:trPr>
        <w:tc>
          <w:tcPr>
            <w:tcW w:w="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45"/>
        </w:trPr>
        <w:tc>
          <w:tcPr>
            <w:tcW w:w="9720" w:type="dxa"/>
            <w:vAlign w:val="bottom"/>
            <w:gridSpan w:val="37"/>
          </w:tcPr>
          <w:p>
            <w:pPr>
              <w:spacing w:after="0"/>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Director Compensation</w:t>
              </w:r>
            </w:hyperlink>
          </w:p>
        </w:tc>
        <w:tc>
          <w:tcPr>
            <w:tcW w:w="1300" w:type="dxa"/>
            <w:vAlign w:val="bottom"/>
          </w:tcPr>
          <w:p>
            <w:pPr>
              <w:jc w:val="right"/>
              <w:spacing w:after="0"/>
              <w:rPr>
                <w:sz w:val="20"/>
                <w:szCs w:val="20"/>
                <w:color w:val="auto"/>
              </w:rPr>
            </w:pPr>
            <w:r>
              <w:rPr>
                <w:rFonts w:ascii="Arial" w:cs="Arial" w:eastAsia="Arial" w:hAnsi="Arial"/>
                <w:sz w:val="18"/>
                <w:szCs w:val="18"/>
                <w:b w:val="1"/>
                <w:bCs w:val="1"/>
                <w:color w:val="0071CE"/>
              </w:rPr>
              <w:t>13</w:t>
            </w:r>
          </w:p>
        </w:tc>
      </w:tr>
      <w:tr>
        <w:trPr>
          <w:trHeight w:val="20"/>
        </w:trPr>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44"/>
        </w:trPr>
        <w:tc>
          <w:tcPr>
            <w:tcW w:w="9720" w:type="dxa"/>
            <w:vAlign w:val="bottom"/>
            <w:gridSpan w:val="37"/>
          </w:tcPr>
          <w:p>
            <w:pPr>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Proposal Two — Advisory Vote to Approve Executive Compensation</w:t>
              </w:r>
            </w:hyperlink>
          </w:p>
        </w:tc>
        <w:tc>
          <w:tcPr>
            <w:tcW w:w="1300" w:type="dxa"/>
            <w:vAlign w:val="bottom"/>
          </w:tcPr>
          <w:p>
            <w:pPr>
              <w:jc w:val="right"/>
              <w:spacing w:after="0"/>
              <w:rPr>
                <w:sz w:val="20"/>
                <w:szCs w:val="20"/>
                <w:color w:val="auto"/>
              </w:rPr>
            </w:pPr>
            <w:r>
              <w:rPr>
                <w:rFonts w:ascii="Arial" w:cs="Arial" w:eastAsia="Arial" w:hAnsi="Arial"/>
                <w:sz w:val="18"/>
                <w:szCs w:val="18"/>
                <w:b w:val="1"/>
                <w:bCs w:val="1"/>
                <w:color w:val="0071CE"/>
              </w:rPr>
              <w:t>14</w:t>
            </w:r>
          </w:p>
        </w:tc>
      </w:tr>
      <w:tr>
        <w:trPr>
          <w:trHeight w:val="20"/>
        </w:trPr>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44"/>
        </w:trPr>
        <w:tc>
          <w:tcPr>
            <w:tcW w:w="9720" w:type="dxa"/>
            <w:vAlign w:val="bottom"/>
            <w:gridSpan w:val="37"/>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Proposal Three — Approval of the Arrowhead Pharmaceuticals, Inc. Non-Employee Director Compensation Plan</w:t>
              </w:r>
            </w:hyperlink>
          </w:p>
        </w:tc>
        <w:tc>
          <w:tcPr>
            <w:tcW w:w="1300" w:type="dxa"/>
            <w:vAlign w:val="bottom"/>
          </w:tcPr>
          <w:p>
            <w:pPr>
              <w:jc w:val="right"/>
              <w:spacing w:after="0"/>
              <w:rPr>
                <w:sz w:val="20"/>
                <w:szCs w:val="20"/>
                <w:color w:val="auto"/>
              </w:rPr>
            </w:pPr>
            <w:r>
              <w:rPr>
                <w:rFonts w:ascii="Arial" w:cs="Arial" w:eastAsia="Arial" w:hAnsi="Arial"/>
                <w:sz w:val="18"/>
                <w:szCs w:val="18"/>
                <w:b w:val="1"/>
                <w:bCs w:val="1"/>
                <w:color w:val="0071CE"/>
              </w:rPr>
              <w:t>15</w:t>
            </w:r>
          </w:p>
        </w:tc>
      </w:tr>
      <w:tr>
        <w:trPr>
          <w:trHeight w:val="345"/>
        </w:trPr>
        <w:tc>
          <w:tcPr>
            <w:tcW w:w="2140" w:type="dxa"/>
            <w:vAlign w:val="bottom"/>
            <w:tcBorders>
              <w:top w:val="single" w:sz="8" w:color="0000EE"/>
              <w:bottom w:val="single" w:sz="8" w:color="0000EE"/>
            </w:tcBorders>
            <w:gridSpan w:val="13"/>
          </w:tcPr>
          <w:p>
            <w:pPr>
              <w:spacing w:after="0"/>
              <w:rPr>
                <w:rFonts w:ascii="Arial" w:cs="Arial" w:eastAsia="Arial" w:hAnsi="Arial"/>
                <w:sz w:val="18"/>
                <w:szCs w:val="18"/>
                <w:b w:val="1"/>
                <w:bCs w:val="1"/>
                <w:color w:val="0000EE"/>
                <w:w w:val="99"/>
              </w:rPr>
            </w:pPr>
            <w:hyperlink w:anchor="page21">
              <w:r>
                <w:rPr>
                  <w:rFonts w:ascii="Arial" w:cs="Arial" w:eastAsia="Arial" w:hAnsi="Arial"/>
                  <w:sz w:val="18"/>
                  <w:szCs w:val="18"/>
                  <w:b w:val="1"/>
                  <w:bCs w:val="1"/>
                  <w:color w:val="0000EE"/>
                  <w:w w:val="99"/>
                </w:rPr>
                <w:t>Executive Compensation</w:t>
              </w:r>
            </w:hyperlink>
          </w:p>
        </w:tc>
        <w:tc>
          <w:tcPr>
            <w:tcW w:w="7420" w:type="dxa"/>
            <w:vAlign w:val="bottom"/>
            <w:tcBorders>
              <w:top w:val="single" w:sz="8" w:color="0000EE"/>
            </w:tcBorders>
            <w:gridSpan w:val="23"/>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0071CE"/>
              </w:rPr>
              <w:t>17</w:t>
            </w:r>
          </w:p>
        </w:tc>
      </w:tr>
      <w:tr>
        <w:trPr>
          <w:trHeight w:val="223"/>
        </w:trPr>
        <w:tc>
          <w:tcPr>
            <w:tcW w:w="60" w:type="dxa"/>
            <w:vAlign w:val="bottom"/>
          </w:tcPr>
          <w:p>
            <w:pPr>
              <w:spacing w:after="0"/>
              <w:rPr>
                <w:sz w:val="19"/>
                <w:szCs w:val="19"/>
                <w:color w:val="auto"/>
              </w:rPr>
            </w:pPr>
          </w:p>
        </w:tc>
        <w:tc>
          <w:tcPr>
            <w:tcW w:w="3140" w:type="dxa"/>
            <w:vAlign w:val="bottom"/>
            <w:tcBorders>
              <w:bottom w:val="single" w:sz="8" w:color="0000EE"/>
            </w:tcBorders>
            <w:gridSpan w:val="19"/>
          </w:tcPr>
          <w:p>
            <w:pPr>
              <w:spacing w:after="0"/>
              <w:rPr>
                <w:rFonts w:ascii="Arial" w:cs="Arial" w:eastAsia="Arial" w:hAnsi="Arial"/>
                <w:sz w:val="16"/>
                <w:szCs w:val="16"/>
                <w:b w:val="1"/>
                <w:bCs w:val="1"/>
                <w:color w:val="0000EE"/>
              </w:rPr>
            </w:pPr>
            <w:hyperlink w:anchor="page21">
              <w:r>
                <w:rPr>
                  <w:rFonts w:ascii="Arial" w:cs="Arial" w:eastAsia="Arial" w:hAnsi="Arial"/>
                  <w:sz w:val="16"/>
                  <w:szCs w:val="16"/>
                  <w:b w:val="1"/>
                  <w:bCs w:val="1"/>
                  <w:color w:val="0000EE"/>
                </w:rPr>
                <w:t>Compensation Discussion and Analysis</w:t>
              </w:r>
            </w:hyperlink>
          </w:p>
        </w:tc>
        <w:tc>
          <w:tcPr>
            <w:tcW w:w="6520" w:type="dxa"/>
            <w:vAlign w:val="bottom"/>
            <w:gridSpan w:val="17"/>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4C4C4C"/>
              </w:rPr>
              <w:t>17</w:t>
            </w:r>
          </w:p>
        </w:tc>
      </w:tr>
      <w:tr>
        <w:trPr>
          <w:trHeight w:val="223"/>
        </w:trPr>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Borders>
              <w:bottom w:val="single" w:sz="8" w:color="0000EE"/>
            </w:tcBorders>
            <w:gridSpan w:val="5"/>
          </w:tcPr>
          <w:p>
            <w:pPr>
              <w:spacing w:after="0"/>
              <w:rPr>
                <w:rFonts w:ascii="Arial" w:cs="Arial" w:eastAsia="Arial" w:hAnsi="Arial"/>
                <w:sz w:val="16"/>
                <w:szCs w:val="16"/>
                <w:color w:val="0000EE"/>
              </w:rPr>
            </w:pPr>
            <w:hyperlink w:anchor="page21">
              <w:r>
                <w:rPr>
                  <w:rFonts w:ascii="Arial" w:cs="Arial" w:eastAsia="Arial" w:hAnsi="Arial"/>
                  <w:sz w:val="16"/>
                  <w:szCs w:val="16"/>
                  <w:color w:val="0000EE"/>
                </w:rPr>
                <w:t>Our Company</w:t>
              </w:r>
            </w:hyperlink>
          </w:p>
        </w:tc>
        <w:tc>
          <w:tcPr>
            <w:tcW w:w="8480" w:type="dxa"/>
            <w:vAlign w:val="bottom"/>
            <w:gridSpan w:val="30"/>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23"/>
        </w:trPr>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500" w:type="dxa"/>
            <w:vAlign w:val="bottom"/>
            <w:gridSpan w:val="35"/>
          </w:tcPr>
          <w:p>
            <w:pPr>
              <w:spacing w:after="0"/>
              <w:rPr>
                <w:rFonts w:ascii="Arial" w:cs="Arial" w:eastAsia="Arial" w:hAnsi="Arial"/>
                <w:sz w:val="16"/>
                <w:szCs w:val="16"/>
                <w:color w:val="0000EE"/>
              </w:rPr>
            </w:pPr>
            <w:hyperlink w:anchor="page22">
              <w:r>
                <w:rPr>
                  <w:rFonts w:ascii="Arial" w:cs="Arial" w:eastAsia="Arial" w:hAnsi="Arial"/>
                  <w:sz w:val="16"/>
                  <w:szCs w:val="16"/>
                  <w:color w:val="0000EE"/>
                </w:rPr>
                <w:t>Business Development</w:t>
              </w:r>
            </w:hyperlink>
          </w:p>
        </w:tc>
        <w:tc>
          <w:tcPr>
            <w:tcW w:w="13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23"/>
        </w:trPr>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Borders>
              <w:top w:val="single" w:sz="8" w:color="0000EE"/>
              <w:bottom w:val="single" w:sz="8" w:color="0000EE"/>
            </w:tcBorders>
            <w:gridSpan w:val="2"/>
          </w:tcPr>
          <w:p>
            <w:pPr>
              <w:spacing w:after="0"/>
              <w:rPr>
                <w:rFonts w:ascii="Arial" w:cs="Arial" w:eastAsia="Arial" w:hAnsi="Arial"/>
                <w:sz w:val="16"/>
                <w:szCs w:val="16"/>
                <w:color w:val="0000EE"/>
              </w:rPr>
            </w:pPr>
            <w:hyperlink w:anchor="page22">
              <w:r>
                <w:rPr>
                  <w:rFonts w:ascii="Arial" w:cs="Arial" w:eastAsia="Arial" w:hAnsi="Arial"/>
                  <w:sz w:val="16"/>
                  <w:szCs w:val="16"/>
                  <w:color w:val="0000EE"/>
                </w:rPr>
                <w:t>Platform</w:t>
              </w:r>
            </w:hyperlink>
          </w:p>
        </w:tc>
        <w:tc>
          <w:tcPr>
            <w:tcW w:w="1040" w:type="dxa"/>
            <w:vAlign w:val="bottom"/>
            <w:tcBorders>
              <w:top w:val="single" w:sz="8" w:color="0000EE"/>
            </w:tcBorders>
            <w:gridSpan w:val="7"/>
          </w:tcPr>
          <w:p>
            <w:pPr>
              <w:spacing w:after="0"/>
              <w:rPr>
                <w:sz w:val="19"/>
                <w:szCs w:val="19"/>
                <w:color w:val="auto"/>
              </w:rPr>
            </w:pPr>
          </w:p>
        </w:tc>
        <w:tc>
          <w:tcPr>
            <w:tcW w:w="7840" w:type="dxa"/>
            <w:vAlign w:val="bottom"/>
            <w:gridSpan w:val="26"/>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23"/>
        </w:trPr>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500" w:type="dxa"/>
            <w:vAlign w:val="bottom"/>
            <w:gridSpan w:val="35"/>
          </w:tcPr>
          <w:p>
            <w:pPr>
              <w:spacing w:after="0"/>
              <w:rPr>
                <w:rFonts w:ascii="Arial" w:cs="Arial" w:eastAsia="Arial" w:hAnsi="Arial"/>
                <w:sz w:val="16"/>
                <w:szCs w:val="16"/>
                <w:color w:val="0000EE"/>
              </w:rPr>
            </w:pPr>
            <w:hyperlink w:anchor="page23">
              <w:r>
                <w:rPr>
                  <w:rFonts w:ascii="Arial" w:cs="Arial" w:eastAsia="Arial" w:hAnsi="Arial"/>
                  <w:sz w:val="16"/>
                  <w:szCs w:val="16"/>
                  <w:color w:val="0000EE"/>
                </w:rPr>
                <w:t>Pipeline</w:t>
              </w:r>
            </w:hyperlink>
          </w:p>
        </w:tc>
        <w:tc>
          <w:tcPr>
            <w:tcW w:w="130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40" w:type="dxa"/>
            <w:vAlign w:val="bottom"/>
            <w:tcBorders>
              <w:bottom w:val="single" w:sz="8" w:color="0000EE"/>
            </w:tcBorders>
            <w:gridSpan w:val="17"/>
          </w:tcPr>
          <w:p>
            <w:pPr>
              <w:spacing w:after="0"/>
              <w:rPr>
                <w:rFonts w:ascii="Arial" w:cs="Arial" w:eastAsia="Arial" w:hAnsi="Arial"/>
                <w:sz w:val="16"/>
                <w:szCs w:val="16"/>
                <w:color w:val="0000EE"/>
              </w:rPr>
            </w:pPr>
            <w:hyperlink w:anchor="page27">
              <w:r>
                <w:rPr>
                  <w:rFonts w:ascii="Arial" w:cs="Arial" w:eastAsia="Arial" w:hAnsi="Arial"/>
                  <w:sz w:val="16"/>
                  <w:szCs w:val="16"/>
                  <w:color w:val="0000EE"/>
                </w:rPr>
                <w:t>Executive Compensation Philosophy</w:t>
              </w:r>
            </w:hyperlink>
          </w:p>
        </w:tc>
        <w:tc>
          <w:tcPr>
            <w:tcW w:w="6860" w:type="dxa"/>
            <w:vAlign w:val="bottom"/>
            <w:gridSpan w:val="18"/>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23"/>
        </w:trPr>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20" w:type="dxa"/>
            <w:vAlign w:val="bottom"/>
            <w:tcBorders>
              <w:bottom w:val="single" w:sz="8" w:color="0000EE"/>
            </w:tcBorders>
            <w:gridSpan w:val="19"/>
          </w:tcPr>
          <w:p>
            <w:pPr>
              <w:spacing w:after="0"/>
              <w:rPr>
                <w:rFonts w:ascii="Arial" w:cs="Arial" w:eastAsia="Arial" w:hAnsi="Arial"/>
                <w:sz w:val="16"/>
                <w:szCs w:val="16"/>
                <w:color w:val="0000EE"/>
              </w:rPr>
            </w:pPr>
            <w:hyperlink w:anchor="page31">
              <w:r>
                <w:rPr>
                  <w:rFonts w:ascii="Arial" w:cs="Arial" w:eastAsia="Arial" w:hAnsi="Arial"/>
                  <w:sz w:val="16"/>
                  <w:szCs w:val="16"/>
                  <w:color w:val="0000EE"/>
                </w:rPr>
                <w:t>Executive Compensation Program Design</w:t>
              </w:r>
            </w:hyperlink>
          </w:p>
        </w:tc>
        <w:tc>
          <w:tcPr>
            <w:tcW w:w="6480" w:type="dxa"/>
            <w:vAlign w:val="bottom"/>
            <w:gridSpan w:val="16"/>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23"/>
        </w:trPr>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580" w:type="dxa"/>
            <w:vAlign w:val="bottom"/>
            <w:tcBorders>
              <w:bottom w:val="single" w:sz="8" w:color="0000EE"/>
            </w:tcBorders>
            <w:gridSpan w:val="26"/>
          </w:tcPr>
          <w:p>
            <w:pPr>
              <w:spacing w:after="0"/>
              <w:rPr>
                <w:rFonts w:ascii="Arial" w:cs="Arial" w:eastAsia="Arial" w:hAnsi="Arial"/>
                <w:sz w:val="16"/>
                <w:szCs w:val="16"/>
                <w:color w:val="0000EE"/>
              </w:rPr>
            </w:pPr>
            <w:hyperlink w:anchor="page32">
              <w:r>
                <w:rPr>
                  <w:rFonts w:ascii="Arial" w:cs="Arial" w:eastAsia="Arial" w:hAnsi="Arial"/>
                  <w:sz w:val="16"/>
                  <w:szCs w:val="16"/>
                  <w:color w:val="0000EE"/>
                </w:rPr>
                <w:t>Governance of Executive Compensation Program</w:t>
              </w:r>
            </w:hyperlink>
          </w:p>
        </w:tc>
        <w:tc>
          <w:tcPr>
            <w:tcW w:w="5920" w:type="dxa"/>
            <w:vAlign w:val="bottom"/>
            <w:gridSpan w:val="9"/>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23"/>
        </w:trPr>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500" w:type="dxa"/>
            <w:vAlign w:val="bottom"/>
            <w:gridSpan w:val="35"/>
          </w:tcPr>
          <w:p>
            <w:pPr>
              <w:spacing w:after="0"/>
              <w:rPr>
                <w:rFonts w:ascii="Arial" w:cs="Arial" w:eastAsia="Arial" w:hAnsi="Arial"/>
                <w:sz w:val="16"/>
                <w:szCs w:val="16"/>
                <w:color w:val="0000EE"/>
              </w:rPr>
            </w:pPr>
            <w:hyperlink w:anchor="page34">
              <w:r>
                <w:rPr>
                  <w:rFonts w:ascii="Arial" w:cs="Arial" w:eastAsia="Arial" w:hAnsi="Arial"/>
                  <w:sz w:val="16"/>
                  <w:szCs w:val="16"/>
                  <w:color w:val="0000EE"/>
                </w:rPr>
                <w:t>Individual Compensation Elements</w:t>
              </w:r>
            </w:hyperlink>
          </w:p>
        </w:tc>
        <w:tc>
          <w:tcPr>
            <w:tcW w:w="130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23"/>
        </w:trPr>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tcBorders>
              <w:top w:val="single" w:sz="8" w:color="0000EE"/>
              <w:bottom w:val="single" w:sz="8" w:color="0000EE"/>
            </w:tcBorders>
            <w:gridSpan w:val="12"/>
          </w:tcPr>
          <w:p>
            <w:pPr>
              <w:spacing w:after="0"/>
              <w:rPr>
                <w:rFonts w:ascii="Arial" w:cs="Arial" w:eastAsia="Arial" w:hAnsi="Arial"/>
                <w:sz w:val="16"/>
                <w:szCs w:val="16"/>
                <w:color w:val="0000EE"/>
              </w:rPr>
            </w:pPr>
            <w:hyperlink w:anchor="page39">
              <w:r>
                <w:rPr>
                  <w:rFonts w:ascii="Arial" w:cs="Arial" w:eastAsia="Arial" w:hAnsi="Arial"/>
                  <w:sz w:val="16"/>
                  <w:szCs w:val="16"/>
                  <w:color w:val="0000EE"/>
                </w:rPr>
                <w:t>Employment Arrangements</w:t>
              </w:r>
            </w:hyperlink>
          </w:p>
        </w:tc>
        <w:tc>
          <w:tcPr>
            <w:tcW w:w="520" w:type="dxa"/>
            <w:vAlign w:val="bottom"/>
            <w:tcBorders>
              <w:top w:val="single" w:sz="8" w:color="0000EE"/>
            </w:tcBorders>
            <w:gridSpan w:val="3"/>
          </w:tcPr>
          <w:p>
            <w:pPr>
              <w:spacing w:after="0"/>
              <w:rPr>
                <w:sz w:val="19"/>
                <w:szCs w:val="19"/>
                <w:color w:val="auto"/>
              </w:rPr>
            </w:pPr>
          </w:p>
        </w:tc>
        <w:tc>
          <w:tcPr>
            <w:tcW w:w="7000" w:type="dxa"/>
            <w:vAlign w:val="bottom"/>
            <w:gridSpan w:val="20"/>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23"/>
        </w:trPr>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40" w:type="dxa"/>
            <w:vAlign w:val="bottom"/>
            <w:tcBorders>
              <w:bottom w:val="single" w:sz="8" w:color="0000EE"/>
            </w:tcBorders>
            <w:gridSpan w:val="25"/>
          </w:tcPr>
          <w:p>
            <w:pPr>
              <w:spacing w:after="0"/>
              <w:rPr>
                <w:rFonts w:ascii="Arial" w:cs="Arial" w:eastAsia="Arial" w:hAnsi="Arial"/>
                <w:sz w:val="16"/>
                <w:szCs w:val="16"/>
                <w:color w:val="0000EE"/>
              </w:rPr>
            </w:pPr>
            <w:hyperlink w:anchor="page39">
              <w:r>
                <w:rPr>
                  <w:rFonts w:ascii="Arial" w:cs="Arial" w:eastAsia="Arial" w:hAnsi="Arial"/>
                  <w:sz w:val="16"/>
                  <w:szCs w:val="16"/>
                  <w:color w:val="0000EE"/>
                </w:rPr>
                <w:t>Post-Employment Compensation Arrangements</w:t>
              </w:r>
            </w:hyperlink>
          </w:p>
        </w:tc>
        <w:tc>
          <w:tcPr>
            <w:tcW w:w="6060" w:type="dxa"/>
            <w:vAlign w:val="bottom"/>
            <w:gridSpan w:val="10"/>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23"/>
        </w:trPr>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40" w:type="dxa"/>
            <w:vAlign w:val="bottom"/>
            <w:tcBorders>
              <w:bottom w:val="single" w:sz="8" w:color="0000EE"/>
            </w:tcBorders>
            <w:gridSpan w:val="21"/>
          </w:tcPr>
          <w:p>
            <w:pPr>
              <w:spacing w:after="0"/>
              <w:rPr>
                <w:rFonts w:ascii="Arial" w:cs="Arial" w:eastAsia="Arial" w:hAnsi="Arial"/>
                <w:sz w:val="16"/>
                <w:szCs w:val="16"/>
                <w:color w:val="0000EE"/>
              </w:rPr>
            </w:pPr>
            <w:hyperlink w:anchor="page39">
              <w:r>
                <w:rPr>
                  <w:rFonts w:ascii="Arial" w:cs="Arial" w:eastAsia="Arial" w:hAnsi="Arial"/>
                  <w:sz w:val="16"/>
                  <w:szCs w:val="16"/>
                  <w:color w:val="0000EE"/>
                </w:rPr>
                <w:t>Other Compensation Policies and Practices</w:t>
              </w:r>
            </w:hyperlink>
          </w:p>
        </w:tc>
        <w:tc>
          <w:tcPr>
            <w:tcW w:w="6360" w:type="dxa"/>
            <w:vAlign w:val="bottom"/>
            <w:gridSpan w:val="14"/>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23"/>
        </w:trPr>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500" w:type="dxa"/>
            <w:vAlign w:val="bottom"/>
            <w:gridSpan w:val="35"/>
          </w:tcPr>
          <w:p>
            <w:pPr>
              <w:spacing w:after="0"/>
              <w:rPr>
                <w:rFonts w:ascii="Arial" w:cs="Arial" w:eastAsia="Arial" w:hAnsi="Arial"/>
                <w:sz w:val="16"/>
                <w:szCs w:val="16"/>
                <w:color w:val="0000EE"/>
              </w:rPr>
            </w:pPr>
            <w:hyperlink w:anchor="page40">
              <w:r>
                <w:rPr>
                  <w:rFonts w:ascii="Arial" w:cs="Arial" w:eastAsia="Arial" w:hAnsi="Arial"/>
                  <w:sz w:val="16"/>
                  <w:szCs w:val="16"/>
                  <w:color w:val="0000EE"/>
                </w:rPr>
                <w:t>Tax and Accounting Considerations</w:t>
              </w:r>
            </w:hyperlink>
          </w:p>
        </w:tc>
        <w:tc>
          <w:tcPr>
            <w:tcW w:w="130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23"/>
        </w:trPr>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40" w:type="dxa"/>
            <w:vAlign w:val="bottom"/>
            <w:tcBorders>
              <w:top w:val="single" w:sz="8" w:color="0000EE"/>
            </w:tcBorders>
            <w:gridSpan w:val="16"/>
          </w:tcPr>
          <w:p>
            <w:pPr>
              <w:spacing w:after="0"/>
              <w:rPr>
                <w:rFonts w:ascii="Arial" w:cs="Arial" w:eastAsia="Arial" w:hAnsi="Arial"/>
                <w:sz w:val="16"/>
                <w:szCs w:val="16"/>
                <w:color w:val="0000EE"/>
              </w:rPr>
            </w:pPr>
            <w:hyperlink w:anchor="page41">
              <w:r>
                <w:rPr>
                  <w:rFonts w:ascii="Arial" w:cs="Arial" w:eastAsia="Arial" w:hAnsi="Arial"/>
                  <w:sz w:val="16"/>
                  <w:szCs w:val="16"/>
                  <w:color w:val="0000EE"/>
                </w:rPr>
                <w:t>Compensation Risk Assessment</w:t>
              </w:r>
            </w:hyperlink>
          </w:p>
        </w:tc>
        <w:tc>
          <w:tcPr>
            <w:tcW w:w="6960" w:type="dxa"/>
            <w:vAlign w:val="bottom"/>
            <w:gridSpan w:val="19"/>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0"/>
        </w:trPr>
        <w:tc>
          <w:tcPr>
            <w:tcW w:w="220" w:type="dxa"/>
            <w:vAlign w:val="bottom"/>
            <w:gridSpan w:val="2"/>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940" w:type="dxa"/>
            <w:vAlign w:val="bottom"/>
            <w:gridSpan w:val="5"/>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1080" w:type="dxa"/>
            <w:vAlign w:val="bottom"/>
            <w:gridSpan w:val="7"/>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45"/>
        </w:trPr>
        <w:tc>
          <w:tcPr>
            <w:tcW w:w="1860" w:type="dxa"/>
            <w:vAlign w:val="bottom"/>
            <w:tcBorders>
              <w:bottom w:val="single" w:sz="8" w:color="0000EE"/>
            </w:tcBorders>
            <w:gridSpan w:val="10"/>
          </w:tcPr>
          <w:p>
            <w:pPr>
              <w:spacing w:after="0"/>
              <w:rPr>
                <w:rFonts w:ascii="Arial" w:cs="Arial" w:eastAsia="Arial" w:hAnsi="Arial"/>
                <w:sz w:val="18"/>
                <w:szCs w:val="18"/>
                <w:b w:val="1"/>
                <w:bCs w:val="1"/>
                <w:color w:val="0000EE"/>
                <w:w w:val="98"/>
              </w:rPr>
            </w:pPr>
            <w:hyperlink w:anchor="page42">
              <w:r>
                <w:rPr>
                  <w:rFonts w:ascii="Arial" w:cs="Arial" w:eastAsia="Arial" w:hAnsi="Arial"/>
                  <w:sz w:val="18"/>
                  <w:szCs w:val="18"/>
                  <w:b w:val="1"/>
                  <w:bCs w:val="1"/>
                  <w:color w:val="0000EE"/>
                  <w:w w:val="98"/>
                </w:rPr>
                <w:t>Compensation Tables</w:t>
              </w:r>
            </w:hyperlink>
          </w:p>
        </w:tc>
        <w:tc>
          <w:tcPr>
            <w:tcW w:w="7860" w:type="dxa"/>
            <w:vAlign w:val="bottom"/>
            <w:gridSpan w:val="27"/>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0071CE"/>
              </w:rPr>
              <w:t>38</w:t>
            </w:r>
          </w:p>
        </w:tc>
      </w:tr>
      <w:tr>
        <w:trPr>
          <w:trHeight w:val="345"/>
        </w:trPr>
        <w:tc>
          <w:tcPr>
            <w:tcW w:w="9720" w:type="dxa"/>
            <w:vAlign w:val="bottom"/>
            <w:gridSpan w:val="37"/>
          </w:tcPr>
          <w:p>
            <w:pPr>
              <w:spacing w:after="0"/>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Proposal Four — Ratification of Appointment of Independent Auditors</w:t>
              </w:r>
            </w:hyperlink>
          </w:p>
        </w:tc>
        <w:tc>
          <w:tcPr>
            <w:tcW w:w="1300" w:type="dxa"/>
            <w:vAlign w:val="bottom"/>
          </w:tcPr>
          <w:p>
            <w:pPr>
              <w:jc w:val="right"/>
              <w:spacing w:after="0"/>
              <w:rPr>
                <w:sz w:val="20"/>
                <w:szCs w:val="20"/>
                <w:color w:val="auto"/>
              </w:rPr>
            </w:pPr>
            <w:r>
              <w:rPr>
                <w:rFonts w:ascii="Arial" w:cs="Arial" w:eastAsia="Arial" w:hAnsi="Arial"/>
                <w:sz w:val="18"/>
                <w:szCs w:val="18"/>
                <w:b w:val="1"/>
                <w:bCs w:val="1"/>
                <w:color w:val="0071CE"/>
              </w:rPr>
              <w:t>45</w:t>
            </w:r>
          </w:p>
        </w:tc>
      </w:tr>
      <w:tr>
        <w:trPr>
          <w:trHeight w:val="345"/>
        </w:trPr>
        <w:tc>
          <w:tcPr>
            <w:tcW w:w="920" w:type="dxa"/>
            <w:vAlign w:val="bottom"/>
            <w:tcBorders>
              <w:top w:val="single" w:sz="8" w:color="0000EE"/>
              <w:bottom w:val="single" w:sz="8" w:color="0000EE"/>
            </w:tcBorders>
            <w:gridSpan w:val="5"/>
          </w:tcPr>
          <w:p>
            <w:pPr>
              <w:spacing w:after="0"/>
              <w:rPr>
                <w:rFonts w:ascii="Arial" w:cs="Arial" w:eastAsia="Arial" w:hAnsi="Arial"/>
                <w:sz w:val="18"/>
                <w:szCs w:val="18"/>
                <w:b w:val="1"/>
                <w:bCs w:val="1"/>
                <w:color w:val="0000EE"/>
                <w:w w:val="97"/>
              </w:rPr>
            </w:pPr>
            <w:hyperlink w:anchor="page50">
              <w:r>
                <w:rPr>
                  <w:rFonts w:ascii="Arial" w:cs="Arial" w:eastAsia="Arial" w:hAnsi="Arial"/>
                  <w:sz w:val="18"/>
                  <w:szCs w:val="18"/>
                  <w:b w:val="1"/>
                  <w:bCs w:val="1"/>
                  <w:color w:val="0000EE"/>
                  <w:w w:val="97"/>
                </w:rPr>
                <w:t>Audit Fees</w:t>
              </w:r>
            </w:hyperlink>
          </w:p>
        </w:tc>
        <w:tc>
          <w:tcPr>
            <w:tcW w:w="5060" w:type="dxa"/>
            <w:vAlign w:val="bottom"/>
            <w:tcBorders>
              <w:top w:val="single" w:sz="8" w:color="0000EE"/>
            </w:tcBorders>
            <w:gridSpan w:val="28"/>
          </w:tcPr>
          <w:p>
            <w:pPr>
              <w:spacing w:after="0"/>
              <w:rPr>
                <w:sz w:val="24"/>
                <w:szCs w:val="24"/>
                <w:color w:val="auto"/>
              </w:rPr>
            </w:pPr>
          </w:p>
        </w:tc>
        <w:tc>
          <w:tcPr>
            <w:tcW w:w="3740" w:type="dxa"/>
            <w:vAlign w:val="bottom"/>
            <w:gridSpan w:val="4"/>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0071CE"/>
              </w:rPr>
              <w:t>46</w:t>
            </w:r>
          </w:p>
        </w:tc>
      </w:tr>
      <w:tr>
        <w:trPr>
          <w:trHeight w:val="344"/>
        </w:trPr>
        <w:tc>
          <w:tcPr>
            <w:tcW w:w="9720" w:type="dxa"/>
            <w:vAlign w:val="bottom"/>
            <w:gridSpan w:val="37"/>
          </w:tcPr>
          <w:p>
            <w:pPr>
              <w:spacing w:after="0"/>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Report of the Audit Committee</w:t>
              </w:r>
            </w:hyperlink>
          </w:p>
        </w:tc>
        <w:tc>
          <w:tcPr>
            <w:tcW w:w="1300" w:type="dxa"/>
            <w:vAlign w:val="bottom"/>
          </w:tcPr>
          <w:p>
            <w:pPr>
              <w:jc w:val="right"/>
              <w:spacing w:after="0"/>
              <w:rPr>
                <w:sz w:val="20"/>
                <w:szCs w:val="20"/>
                <w:color w:val="auto"/>
              </w:rPr>
            </w:pPr>
            <w:r>
              <w:rPr>
                <w:rFonts w:ascii="Arial" w:cs="Arial" w:eastAsia="Arial" w:hAnsi="Arial"/>
                <w:sz w:val="18"/>
                <w:szCs w:val="18"/>
                <w:b w:val="1"/>
                <w:bCs w:val="1"/>
                <w:color w:val="0071CE"/>
              </w:rPr>
              <w:t>47</w:t>
            </w:r>
          </w:p>
        </w:tc>
      </w:tr>
      <w:tr>
        <w:trPr>
          <w:trHeight w:val="20"/>
        </w:trPr>
        <w:tc>
          <w:tcPr>
            <w:tcW w:w="2600" w:type="dxa"/>
            <w:vAlign w:val="bottom"/>
            <w:gridSpan w:val="16"/>
            <w:shd w:val="clear" w:color="auto" w:fill="0000EE"/>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1080" w:type="dxa"/>
            <w:vAlign w:val="bottom"/>
            <w:gridSpan w:val="7"/>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45"/>
        </w:trPr>
        <w:tc>
          <w:tcPr>
            <w:tcW w:w="5200" w:type="dxa"/>
            <w:vAlign w:val="bottom"/>
            <w:tcBorders>
              <w:bottom w:val="single" w:sz="8" w:color="0000EE"/>
            </w:tcBorders>
            <w:gridSpan w:val="31"/>
          </w:tcPr>
          <w:p>
            <w:pPr>
              <w:spacing w:after="0"/>
              <w:rPr>
                <w:rFonts w:ascii="Arial" w:cs="Arial" w:eastAsia="Arial" w:hAnsi="Arial"/>
                <w:sz w:val="18"/>
                <w:szCs w:val="18"/>
                <w:b w:val="1"/>
                <w:bCs w:val="1"/>
                <w:color w:val="0000EE"/>
                <w:w w:val="99"/>
              </w:rPr>
            </w:pPr>
            <w:hyperlink w:anchor="page52">
              <w:r>
                <w:rPr>
                  <w:rFonts w:ascii="Arial" w:cs="Arial" w:eastAsia="Arial" w:hAnsi="Arial"/>
                  <w:sz w:val="18"/>
                  <w:szCs w:val="18"/>
                  <w:b w:val="1"/>
                  <w:bCs w:val="1"/>
                  <w:color w:val="0000EE"/>
                  <w:w w:val="99"/>
                </w:rPr>
                <w:t>Voting Securities of Principal Stockholders and Management</w:t>
              </w:r>
            </w:hyperlink>
          </w:p>
        </w:tc>
        <w:tc>
          <w:tcPr>
            <w:tcW w:w="4520" w:type="dxa"/>
            <w:vAlign w:val="bottom"/>
            <w:gridSpan w:val="6"/>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0071CE"/>
              </w:rPr>
              <w:t>48</w:t>
            </w:r>
          </w:p>
        </w:tc>
      </w:tr>
      <w:tr>
        <w:trPr>
          <w:trHeight w:val="345"/>
        </w:trPr>
        <w:tc>
          <w:tcPr>
            <w:tcW w:w="3320" w:type="dxa"/>
            <w:vAlign w:val="bottom"/>
            <w:tcBorders>
              <w:bottom w:val="single" w:sz="8" w:color="0000EE"/>
            </w:tcBorders>
            <w:gridSpan w:val="22"/>
          </w:tcPr>
          <w:p>
            <w:pPr>
              <w:spacing w:after="0"/>
              <w:rPr>
                <w:rFonts w:ascii="Arial" w:cs="Arial" w:eastAsia="Arial" w:hAnsi="Arial"/>
                <w:sz w:val="18"/>
                <w:szCs w:val="18"/>
                <w:b w:val="1"/>
                <w:bCs w:val="1"/>
                <w:color w:val="0000EE"/>
                <w:w w:val="99"/>
              </w:rPr>
            </w:pPr>
            <w:hyperlink w:anchor="page53">
              <w:r>
                <w:rPr>
                  <w:rFonts w:ascii="Arial" w:cs="Arial" w:eastAsia="Arial" w:hAnsi="Arial"/>
                  <w:sz w:val="18"/>
                  <w:szCs w:val="18"/>
                  <w:b w:val="1"/>
                  <w:bCs w:val="1"/>
                  <w:color w:val="0000EE"/>
                  <w:w w:val="99"/>
                </w:rPr>
                <w:t>Equity Compensation Plan Information</w:t>
              </w:r>
            </w:hyperlink>
          </w:p>
        </w:tc>
        <w:tc>
          <w:tcPr>
            <w:tcW w:w="6400" w:type="dxa"/>
            <w:vAlign w:val="bottom"/>
            <w:gridSpan w:val="15"/>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0071CE"/>
              </w:rPr>
              <w:t>49</w:t>
            </w:r>
          </w:p>
        </w:tc>
      </w:tr>
      <w:tr>
        <w:trPr>
          <w:trHeight w:val="344"/>
        </w:trPr>
        <w:tc>
          <w:tcPr>
            <w:tcW w:w="9720" w:type="dxa"/>
            <w:vAlign w:val="bottom"/>
            <w:gridSpan w:val="37"/>
          </w:tcPr>
          <w:p>
            <w:pPr>
              <w:spacing w:after="0"/>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Review and Approval of Related-Party Transactions</w:t>
              </w:r>
            </w:hyperlink>
          </w:p>
        </w:tc>
        <w:tc>
          <w:tcPr>
            <w:tcW w:w="1300" w:type="dxa"/>
            <w:vAlign w:val="bottom"/>
          </w:tcPr>
          <w:p>
            <w:pPr>
              <w:jc w:val="right"/>
              <w:spacing w:after="0"/>
              <w:rPr>
                <w:sz w:val="20"/>
                <w:szCs w:val="20"/>
                <w:color w:val="auto"/>
              </w:rPr>
            </w:pPr>
            <w:r>
              <w:rPr>
                <w:rFonts w:ascii="Arial" w:cs="Arial" w:eastAsia="Arial" w:hAnsi="Arial"/>
                <w:sz w:val="18"/>
                <w:szCs w:val="18"/>
                <w:b w:val="1"/>
                <w:bCs w:val="1"/>
                <w:color w:val="0071CE"/>
              </w:rPr>
              <w:t>51</w:t>
            </w:r>
          </w:p>
        </w:tc>
      </w:tr>
      <w:tr>
        <w:trPr>
          <w:trHeight w:val="20"/>
        </w:trPr>
        <w:tc>
          <w:tcPr>
            <w:tcW w:w="4400" w:type="dxa"/>
            <w:vAlign w:val="bottom"/>
            <w:gridSpan w:val="29"/>
            <w:shd w:val="clear" w:color="auto" w:fill="0000EE"/>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45"/>
        </w:trPr>
        <w:tc>
          <w:tcPr>
            <w:tcW w:w="6500" w:type="dxa"/>
            <w:vAlign w:val="bottom"/>
            <w:tcBorders>
              <w:bottom w:val="single" w:sz="8" w:color="0000EE"/>
            </w:tcBorders>
            <w:gridSpan w:val="34"/>
          </w:tcPr>
          <w:p>
            <w:pPr>
              <w:spacing w:after="0"/>
              <w:rPr>
                <w:rFonts w:ascii="Arial" w:cs="Arial" w:eastAsia="Arial" w:hAnsi="Arial"/>
                <w:sz w:val="18"/>
                <w:szCs w:val="18"/>
                <w:b w:val="1"/>
                <w:bCs w:val="1"/>
                <w:color w:val="0000EE"/>
                <w:w w:val="99"/>
              </w:rPr>
            </w:pPr>
            <w:hyperlink w:anchor="page56">
              <w:r>
                <w:rPr>
                  <w:rFonts w:ascii="Arial" w:cs="Arial" w:eastAsia="Arial" w:hAnsi="Arial"/>
                  <w:sz w:val="18"/>
                  <w:szCs w:val="18"/>
                  <w:b w:val="1"/>
                  <w:bCs w:val="1"/>
                  <w:color w:val="0000EE"/>
                  <w:w w:val="99"/>
                </w:rPr>
                <w:t>Certain Relationships and Related Transactions, and Director Independence</w:t>
              </w:r>
            </w:hyperlink>
          </w:p>
        </w:tc>
        <w:tc>
          <w:tcPr>
            <w:tcW w:w="3220" w:type="dxa"/>
            <w:vAlign w:val="bottom"/>
            <w:gridSpan w:val="3"/>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0071CE"/>
              </w:rPr>
              <w:t>52</w:t>
            </w:r>
          </w:p>
        </w:tc>
      </w:tr>
      <w:tr>
        <w:trPr>
          <w:trHeight w:val="344"/>
        </w:trPr>
        <w:tc>
          <w:tcPr>
            <w:tcW w:w="9720" w:type="dxa"/>
            <w:vAlign w:val="bottom"/>
            <w:gridSpan w:val="37"/>
          </w:tcPr>
          <w:p>
            <w:pPr>
              <w:spacing w:after="0"/>
              <w:rPr>
                <w:rFonts w:ascii="Arial" w:cs="Arial" w:eastAsia="Arial" w:hAnsi="Arial"/>
                <w:sz w:val="18"/>
                <w:szCs w:val="18"/>
                <w:b w:val="1"/>
                <w:bCs w:val="1"/>
                <w:color w:val="0000EE"/>
              </w:rPr>
            </w:pPr>
            <w:hyperlink w:anchor="page57">
              <w:r>
                <w:rPr>
                  <w:rFonts w:ascii="Arial" w:cs="Arial" w:eastAsia="Arial" w:hAnsi="Arial"/>
                  <w:sz w:val="18"/>
                  <w:szCs w:val="18"/>
                  <w:b w:val="1"/>
                  <w:bCs w:val="1"/>
                  <w:color w:val="0000EE"/>
                </w:rPr>
                <w:t>Exhibit A — Arrowhead Pharmaceuticals, Inc. Non-Employee Director Compensation Plan</w:t>
              </w:r>
            </w:hyperlink>
          </w:p>
        </w:tc>
        <w:tc>
          <w:tcPr>
            <w:tcW w:w="1300" w:type="dxa"/>
            <w:vAlign w:val="bottom"/>
          </w:tcPr>
          <w:p>
            <w:pPr>
              <w:jc w:val="right"/>
              <w:spacing w:after="0"/>
              <w:rPr>
                <w:sz w:val="20"/>
                <w:szCs w:val="20"/>
                <w:color w:val="auto"/>
              </w:rPr>
            </w:pPr>
            <w:r>
              <w:rPr>
                <w:rFonts w:ascii="Arial" w:cs="Arial" w:eastAsia="Arial" w:hAnsi="Arial"/>
                <w:sz w:val="18"/>
                <w:szCs w:val="18"/>
                <w:b w:val="1"/>
                <w:bCs w:val="1"/>
                <w:color w:val="0071CE"/>
              </w:rPr>
              <w:t>53</w:t>
            </w:r>
          </w:p>
        </w:tc>
      </w:tr>
      <w:tr>
        <w:trPr>
          <w:trHeight w:val="20"/>
        </w:trPr>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137160</wp:posOffset>
            </wp:positionV>
            <wp:extent cx="986155" cy="2057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5420"/>
        <w:spacing w:after="0"/>
        <w:tabs>
          <w:tab w:leader="none" w:pos="7320" w:val="left"/>
        </w:tabs>
        <w:rPr>
          <w:sz w:val="20"/>
          <w:szCs w:val="20"/>
          <w:color w:val="auto"/>
        </w:rPr>
      </w:pPr>
      <w:r>
        <w:rPr>
          <w:rFonts w:ascii="Arial" w:cs="Arial" w:eastAsia="Arial" w:hAnsi="Arial"/>
          <w:sz w:val="14"/>
          <w:szCs w:val="14"/>
          <w:b w:val="1"/>
          <w:bCs w:val="1"/>
          <w:color w:val="0071CE"/>
        </w:rPr>
        <w:t>2022 PROXY STATEMENT</w:t>
      </w:r>
      <w:r>
        <w:rPr>
          <w:sz w:val="20"/>
          <w:szCs w:val="20"/>
          <w:color w:val="auto"/>
        </w:rPr>
        <w:tab/>
      </w:r>
      <w:r>
        <w:rPr>
          <w:rFonts w:ascii="Arial" w:cs="Arial" w:eastAsia="Arial" w:hAnsi="Arial"/>
          <w:sz w:val="14"/>
          <w:szCs w:val="14"/>
          <w:b w:val="1"/>
          <w:bCs w:val="1"/>
          <w:i w:val="1"/>
          <w:iCs w:val="1"/>
          <w:color w:val="3FAE2A"/>
        </w:rPr>
        <w:t>General Information Concerning Solicitation and Voting</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ARROWHEAD PHARMACEUTICALS, INC.</w:t>
      </w:r>
    </w:p>
    <w:p>
      <w:pPr>
        <w:spacing w:after="0" w:line="1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177 E. Colorado Blvd., Suite 700</w:t>
      </w:r>
    </w:p>
    <w:p>
      <w:pPr>
        <w:jc w:val="center"/>
        <w:ind w:right="-119"/>
        <w:spacing w:after="0" w:line="234" w:lineRule="auto"/>
        <w:rPr>
          <w:sz w:val="20"/>
          <w:szCs w:val="20"/>
          <w:color w:val="auto"/>
        </w:rPr>
      </w:pPr>
      <w:r>
        <w:rPr>
          <w:rFonts w:ascii="Arial" w:cs="Arial" w:eastAsia="Arial" w:hAnsi="Arial"/>
          <w:sz w:val="18"/>
          <w:szCs w:val="18"/>
          <w:b w:val="1"/>
          <w:bCs w:val="1"/>
          <w:color w:val="auto"/>
        </w:rPr>
        <w:t>Pasadena, California 91105</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(626) 304-3400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151765</wp:posOffset>
            </wp:positionV>
            <wp:extent cx="14744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0071CE"/>
        </w:rPr>
        <w:t>PROXY STATEMENT</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0071CE"/>
        </w:rPr>
        <w:t>FOR ANNUAL MEETING OF STOCKHOLDERS</w:t>
      </w:r>
    </w:p>
    <w:p>
      <w:pPr>
        <w:spacing w:after="0" w:line="41"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4C4C4C"/>
        </w:rPr>
        <w:t>To be held on Thursday, March 17,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237490</wp:posOffset>
            </wp:positionV>
            <wp:extent cx="1474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1CE"/>
        </w:rPr>
        <w:t>General Information Concerning Solicitation and Voting</w:t>
      </w:r>
    </w:p>
    <w:p>
      <w:pPr>
        <w:spacing w:after="0" w:line="352" w:lineRule="exact"/>
        <w:rPr>
          <w:sz w:val="20"/>
          <w:szCs w:val="20"/>
          <w:color w:val="auto"/>
        </w:rPr>
      </w:pPr>
    </w:p>
    <w:p>
      <w:pPr>
        <w:ind w:left="120" w:right="40"/>
        <w:spacing w:after="0" w:line="250" w:lineRule="auto"/>
        <w:rPr>
          <w:sz w:val="20"/>
          <w:szCs w:val="20"/>
          <w:color w:val="auto"/>
        </w:rPr>
      </w:pPr>
      <w:r>
        <w:rPr>
          <w:rFonts w:ascii="Arial" w:cs="Arial" w:eastAsia="Arial" w:hAnsi="Arial"/>
          <w:sz w:val="16"/>
          <w:szCs w:val="16"/>
          <w:color w:val="auto"/>
        </w:rPr>
        <w:t>The enclosed Proxy is solicited on behalf of Arrowhead Pharmaceuticals, Inc. (the “</w:t>
      </w:r>
      <w:r>
        <w:rPr>
          <w:rFonts w:ascii="Arial" w:cs="Arial" w:eastAsia="Arial" w:hAnsi="Arial"/>
          <w:sz w:val="16"/>
          <w:szCs w:val="16"/>
          <w:b w:val="1"/>
          <w:bCs w:val="1"/>
          <w:color w:val="auto"/>
        </w:rPr>
        <w:t>Company</w:t>
      </w:r>
      <w:r>
        <w:rPr>
          <w:rFonts w:ascii="Arial" w:cs="Arial" w:eastAsia="Arial" w:hAnsi="Arial"/>
          <w:sz w:val="16"/>
          <w:szCs w:val="16"/>
          <w:color w:val="auto"/>
        </w:rPr>
        <w:t>” or “</w:t>
      </w:r>
      <w:r>
        <w:rPr>
          <w:rFonts w:ascii="Arial" w:cs="Arial" w:eastAsia="Arial" w:hAnsi="Arial"/>
          <w:sz w:val="16"/>
          <w:szCs w:val="16"/>
          <w:b w:val="1"/>
          <w:bCs w:val="1"/>
          <w:color w:val="auto"/>
        </w:rPr>
        <w:t>Arrowhead</w:t>
      </w:r>
      <w:r>
        <w:rPr>
          <w:rFonts w:ascii="Arial" w:cs="Arial" w:eastAsia="Arial" w:hAnsi="Arial"/>
          <w:sz w:val="16"/>
          <w:szCs w:val="16"/>
          <w:color w:val="auto"/>
        </w:rPr>
        <w:t>”) for use at the 2022 Annual Meeting of Stockholders (the “</w:t>
      </w:r>
      <w:r>
        <w:rPr>
          <w:rFonts w:ascii="Arial" w:cs="Arial" w:eastAsia="Arial" w:hAnsi="Arial"/>
          <w:sz w:val="16"/>
          <w:szCs w:val="16"/>
          <w:b w:val="1"/>
          <w:bCs w:val="1"/>
          <w:color w:val="auto"/>
        </w:rPr>
        <w:t>Annual Meeting</w:t>
      </w:r>
      <w:r>
        <w:rPr>
          <w:rFonts w:ascii="Arial" w:cs="Arial" w:eastAsia="Arial" w:hAnsi="Arial"/>
          <w:sz w:val="16"/>
          <w:szCs w:val="16"/>
          <w:color w:val="auto"/>
        </w:rPr>
        <w:t>”) to be held on Thursday, March 17, 2022 at 10:00 a.m., Pacific time, and at any adjournment(s) or postponement(s) thereof, for the purposes set forth herein and in the accompanying Notice of Annual Meeting of Stockholders (the “</w:t>
      </w:r>
      <w:r>
        <w:rPr>
          <w:rFonts w:ascii="Arial" w:cs="Arial" w:eastAsia="Arial" w:hAnsi="Arial"/>
          <w:sz w:val="16"/>
          <w:szCs w:val="16"/>
          <w:b w:val="1"/>
          <w:bCs w:val="1"/>
          <w:color w:val="auto"/>
        </w:rPr>
        <w:t>Notice</w:t>
      </w:r>
      <w:r>
        <w:rPr>
          <w:rFonts w:ascii="Arial" w:cs="Arial" w:eastAsia="Arial" w:hAnsi="Arial"/>
          <w:sz w:val="16"/>
          <w:szCs w:val="16"/>
          <w:color w:val="auto"/>
        </w:rPr>
        <w:t>”). This year’s meeting will be a completely “virtual” meeting of stockholders. If you were a stockholder as of the close of business on the Record Date (as defined below), you can attend the Annual Meeting online, vote your shares electronically, and submit your questions and view our list of stockholders as of the Record Date during the Annual Meeting, by visiting www.virtualshareholdermeeting.com/ARWR2022. You will need to have your 16-digit Control Number included on your Notice Regarding the Availability of Proxy Materials (the “Notice of Internet Availability”) or your proxy card (if you received a printed copy of the proxy materials) to join the Annual Meeting. If your shares are held in street name and your voting instruction form or Notice of Internet Availability indicates that you may vote those shares through www.proxyvote.com, then you may access, participate in, and vote at the Annual Meeting with the 16-digit access code indicated on that voting instruction form or Notice. Otherwise, stockholders who hold their shares in street name should contact their bank, broker or other nominee (preferably at least five days before the Annual Meeting) and obtain a “legal proxy” in order to be able to attend, participate in or vote at the Annual Meeting.</w:t>
      </w:r>
    </w:p>
    <w:p>
      <w:pPr>
        <w:spacing w:after="0" w:line="204" w:lineRule="exact"/>
        <w:rPr>
          <w:sz w:val="20"/>
          <w:szCs w:val="20"/>
          <w:color w:val="auto"/>
        </w:rPr>
      </w:pPr>
    </w:p>
    <w:p>
      <w:pPr>
        <w:jc w:val="both"/>
        <w:ind w:left="120" w:right="100"/>
        <w:spacing w:after="0" w:line="253" w:lineRule="auto"/>
        <w:rPr>
          <w:sz w:val="20"/>
          <w:szCs w:val="20"/>
          <w:color w:val="auto"/>
        </w:rPr>
      </w:pPr>
      <w:r>
        <w:rPr>
          <w:rFonts w:ascii="Arial" w:cs="Arial" w:eastAsia="Arial" w:hAnsi="Arial"/>
          <w:sz w:val="16"/>
          <w:szCs w:val="16"/>
          <w:color w:val="auto"/>
        </w:rPr>
        <w:t>The meeting webcast will begin promptly at 10:00 a.m. Pacific Time. Online check-in will begin approximately 15 minutes before then and we encourage you to allow ample time for check-in procedures. If you experience technical difficulties during the check-in process or during the meeting, please call the number listed on the meeting website for technical support.</w:t>
      </w:r>
    </w:p>
    <w:p>
      <w:pPr>
        <w:spacing w:after="0" w:line="201" w:lineRule="exact"/>
        <w:rPr>
          <w:sz w:val="20"/>
          <w:szCs w:val="20"/>
          <w:color w:val="auto"/>
        </w:rPr>
      </w:pPr>
    </w:p>
    <w:p>
      <w:pPr>
        <w:jc w:val="both"/>
        <w:ind w:left="120" w:right="100"/>
        <w:spacing w:after="0" w:line="246" w:lineRule="auto"/>
        <w:rPr>
          <w:sz w:val="20"/>
          <w:szCs w:val="20"/>
          <w:color w:val="auto"/>
        </w:rPr>
      </w:pPr>
      <w:r>
        <w:rPr>
          <w:rFonts w:ascii="Arial" w:cs="Arial" w:eastAsia="Arial" w:hAnsi="Arial"/>
          <w:sz w:val="16"/>
          <w:szCs w:val="16"/>
          <w:color w:val="auto"/>
        </w:rPr>
        <w:t>We will endeavor to answer as many stockholder-submitted questions as time permits that comply with the Annual Meeting rules of conduct. We reserve the right to edit profanity or other inappropriate language and to exclude questions regarding topics that are not pertinent to meeting matters or Company business. If we receive substantially similar questions, we may group such questions together and provide a single response to avoid repetition.</w:t>
      </w:r>
    </w:p>
    <w:p>
      <w:pPr>
        <w:spacing w:after="0" w:line="1" w:lineRule="exact"/>
        <w:rPr>
          <w:sz w:val="20"/>
          <w:szCs w:val="20"/>
          <w:color w:val="auto"/>
        </w:rPr>
      </w:pPr>
    </w:p>
    <w:p>
      <w:pPr>
        <w:ind w:left="120" w:right="240"/>
        <w:spacing w:after="0" w:line="260" w:lineRule="auto"/>
        <w:rPr>
          <w:sz w:val="20"/>
          <w:szCs w:val="20"/>
          <w:color w:val="auto"/>
        </w:rPr>
      </w:pPr>
      <w:r>
        <w:rPr>
          <w:rFonts w:ascii="Arial" w:cs="Arial" w:eastAsia="Arial" w:hAnsi="Arial"/>
          <w:sz w:val="16"/>
          <w:szCs w:val="16"/>
          <w:color w:val="auto"/>
        </w:rPr>
        <w:t>Additional information regarding the rules and procedures for participating in the Annual Meeting will be set forth in our meeting rules of conduct, which stockholders can view during the meeting at the meeting website.</w:t>
      </w:r>
    </w:p>
    <w:p>
      <w:pPr>
        <w:spacing w:after="0" w:line="195" w:lineRule="exact"/>
        <w:rPr>
          <w:sz w:val="20"/>
          <w:szCs w:val="20"/>
          <w:color w:val="auto"/>
        </w:rPr>
      </w:pPr>
    </w:p>
    <w:p>
      <w:pPr>
        <w:ind w:left="120" w:right="360"/>
        <w:spacing w:after="0" w:line="253" w:lineRule="auto"/>
        <w:rPr>
          <w:sz w:val="20"/>
          <w:szCs w:val="20"/>
          <w:color w:val="auto"/>
        </w:rPr>
      </w:pPr>
      <w:r>
        <w:rPr>
          <w:rFonts w:ascii="Arial" w:cs="Arial" w:eastAsia="Arial" w:hAnsi="Arial"/>
          <w:sz w:val="16"/>
          <w:szCs w:val="16"/>
          <w:color w:val="auto"/>
        </w:rPr>
        <w:t>By hosting the Annual Meeting virtually, we believe we are able to expand access, improve communication and lower costs while reducing the environmental impact of the meeting. This approach also provides for the health and safety of our stockholders and employees in light of the evolving public health and safety considerations posed by the ongoing coronavirus (“</w:t>
      </w:r>
      <w:r>
        <w:rPr>
          <w:rFonts w:ascii="Arial" w:cs="Arial" w:eastAsia="Arial" w:hAnsi="Arial"/>
          <w:sz w:val="16"/>
          <w:szCs w:val="16"/>
          <w:b w:val="1"/>
          <w:bCs w:val="1"/>
          <w:color w:val="auto"/>
        </w:rPr>
        <w:t>COVID-19</w:t>
      </w:r>
      <w:r>
        <w:rPr>
          <w:rFonts w:ascii="Arial" w:cs="Arial" w:eastAsia="Arial" w:hAnsi="Arial"/>
          <w:sz w:val="16"/>
          <w:szCs w:val="16"/>
          <w:color w:val="auto"/>
        </w:rPr>
        <w:t>”) pandemic.</w:t>
      </w:r>
    </w:p>
    <w:p>
      <w:pPr>
        <w:spacing w:after="0" w:line="201" w:lineRule="exact"/>
        <w:rPr>
          <w:sz w:val="20"/>
          <w:szCs w:val="20"/>
          <w:color w:val="auto"/>
        </w:rPr>
      </w:pPr>
    </w:p>
    <w:p>
      <w:pPr>
        <w:ind w:left="120" w:right="20"/>
        <w:spacing w:after="0" w:line="251" w:lineRule="auto"/>
        <w:rPr>
          <w:sz w:val="20"/>
          <w:szCs w:val="20"/>
          <w:color w:val="auto"/>
        </w:rPr>
      </w:pPr>
      <w:r>
        <w:rPr>
          <w:rFonts w:ascii="Arial" w:cs="Arial" w:eastAsia="Arial" w:hAnsi="Arial"/>
          <w:sz w:val="16"/>
          <w:szCs w:val="16"/>
          <w:color w:val="auto"/>
        </w:rPr>
        <w:t>The Company anticipates that the Notice of Internet Availability in connection with these proxy solicitation materials will first be mailed on or about January 26, 2022 to all stockholders entitled to vote at the Annual Meeting and we will post our proxy materials on the website referenced in the Notice of Internet Availability. As more fully described in the Notice of Internet Availability, all stockholders may choose to access our proxy materials on the website referred to in the Notice of Internet Availability or may request to receive a printed set of our proxy materials.</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C4C4C"/>
        </w:rPr>
        <w:t>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57150</wp:posOffset>
            </wp:positionV>
            <wp:extent cx="69951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46"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Only holders of record of our common stock at the close of business on January 21, 2022 (the “</w:t>
      </w:r>
      <w:r>
        <w:rPr>
          <w:rFonts w:ascii="Arial" w:cs="Arial" w:eastAsia="Arial" w:hAnsi="Arial"/>
          <w:sz w:val="16"/>
          <w:szCs w:val="16"/>
          <w:b w:val="1"/>
          <w:bCs w:val="1"/>
          <w:color w:val="auto"/>
        </w:rPr>
        <w:t>Record Date</w:t>
      </w:r>
      <w:r>
        <w:rPr>
          <w:rFonts w:ascii="Arial" w:cs="Arial" w:eastAsia="Arial" w:hAnsi="Arial"/>
          <w:sz w:val="16"/>
          <w:szCs w:val="16"/>
          <w:color w:val="auto"/>
        </w:rPr>
        <w:t>”) are entitled to notice of the Annual Meeting and to vote at the Annual Meeting. On that date, the Company had outstanding 105,448,417 shares of common stock (“</w:t>
      </w:r>
      <w:r>
        <w:rPr>
          <w:rFonts w:ascii="Arial" w:cs="Arial" w:eastAsia="Arial" w:hAnsi="Arial"/>
          <w:sz w:val="16"/>
          <w:szCs w:val="16"/>
          <w:b w:val="1"/>
          <w:bCs w:val="1"/>
          <w:color w:val="auto"/>
        </w:rPr>
        <w:t>Common Stock</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67310</wp:posOffset>
            </wp:positionV>
            <wp:extent cx="986155" cy="2057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17" w:lineRule="exact"/>
        <w:rPr>
          <w:sz w:val="20"/>
          <w:szCs w:val="20"/>
          <w:color w:val="auto"/>
        </w:rPr>
      </w:pPr>
    </w:p>
    <w:p>
      <w:pPr>
        <w:ind w:left="10980"/>
        <w:spacing w:after="0"/>
        <w:rPr>
          <w:sz w:val="20"/>
          <w:szCs w:val="20"/>
          <w:color w:val="auto"/>
        </w:rPr>
      </w:pPr>
      <w:r>
        <w:rPr>
          <w:rFonts w:ascii="Arial" w:cs="Arial" w:eastAsia="Arial" w:hAnsi="Arial"/>
          <w:sz w:val="18"/>
          <w:szCs w:val="18"/>
          <w:b w:val="1"/>
          <w:bCs w:val="1"/>
          <w:color w:val="0071CE"/>
        </w:rPr>
        <w:t>1</w:t>
      </w:r>
    </w:p>
    <w:p>
      <w:pPr>
        <w:sectPr>
          <w:pgSz w:w="11900" w:h="16838" w:orient="portrait"/>
          <w:cols w:equalWidth="0" w:num="1">
            <w:col w:w="11140"/>
          </w:cols>
          <w:pgMar w:left="32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20"/>
        <w:spacing w:after="0"/>
        <w:tabs>
          <w:tab w:leader="none" w:pos="2020" w:val="left"/>
        </w:tabs>
        <w:rPr>
          <w:sz w:val="20"/>
          <w:szCs w:val="20"/>
          <w:color w:val="auto"/>
        </w:rPr>
      </w:pPr>
      <w:r>
        <w:rPr>
          <w:rFonts w:ascii="Arial" w:cs="Arial" w:eastAsia="Arial" w:hAnsi="Arial"/>
          <w:sz w:val="14"/>
          <w:szCs w:val="14"/>
          <w:b w:val="1"/>
          <w:bCs w:val="1"/>
          <w:color w:val="0071CE"/>
        </w:rPr>
        <w:t>2022 PROXY STATEMENT</w:t>
      </w:r>
      <w:r>
        <w:rPr>
          <w:sz w:val="20"/>
          <w:szCs w:val="20"/>
          <w:color w:val="auto"/>
        </w:rPr>
        <w:tab/>
      </w:r>
      <w:r>
        <w:rPr>
          <w:rFonts w:ascii="Arial" w:cs="Arial" w:eastAsia="Arial" w:hAnsi="Arial"/>
          <w:sz w:val="14"/>
          <w:szCs w:val="14"/>
          <w:b w:val="1"/>
          <w:bCs w:val="1"/>
          <w:i w:val="1"/>
          <w:iCs w:val="1"/>
          <w:color w:val="3FAE2A"/>
        </w:rPr>
        <w:t>General Information Concerning Solicitation and Voting</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C4C4C"/>
        </w:rPr>
        <w:t>Revocability of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57150</wp:posOffset>
            </wp:positionV>
            <wp:extent cx="69951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6" w:lineRule="exact"/>
        <w:rPr>
          <w:sz w:val="20"/>
          <w:szCs w:val="20"/>
          <w:color w:val="auto"/>
        </w:rPr>
      </w:pPr>
    </w:p>
    <w:p>
      <w:pPr>
        <w:jc w:val="both"/>
        <w:ind w:left="120" w:right="60"/>
        <w:spacing w:after="0" w:line="251" w:lineRule="auto"/>
        <w:rPr>
          <w:sz w:val="20"/>
          <w:szCs w:val="20"/>
          <w:color w:val="auto"/>
        </w:rPr>
      </w:pPr>
      <w:r>
        <w:rPr>
          <w:rFonts w:ascii="Arial" w:cs="Arial" w:eastAsia="Arial" w:hAnsi="Arial"/>
          <w:sz w:val="16"/>
          <w:szCs w:val="16"/>
          <w:color w:val="auto"/>
        </w:rPr>
        <w:t>Any proxy given by a stockholder of record pursuant to this solicitation may be revoked by the person giving it at any time before its use by delivering to the Secretary of the Company, at or before the taking of the vote at the Annual Meeting, a written notice of revocation or a duly executed proxy bearing a later date or by attending the Annual Meeting and voting electronically. Stockholders may also revoke their proxy by entering a new vote over the Internet or by telephone.</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C4C4C"/>
        </w:rPr>
        <w:t>Voting and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57150</wp:posOffset>
            </wp:positionV>
            <wp:extent cx="69951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53" w:lineRule="exact"/>
        <w:rPr>
          <w:sz w:val="20"/>
          <w:szCs w:val="20"/>
          <w:color w:val="auto"/>
        </w:rPr>
      </w:pPr>
    </w:p>
    <w:p>
      <w:pPr>
        <w:ind w:left="120" w:right="60"/>
        <w:spacing w:after="0" w:line="248" w:lineRule="auto"/>
        <w:rPr>
          <w:sz w:val="20"/>
          <w:szCs w:val="20"/>
          <w:color w:val="auto"/>
        </w:rPr>
      </w:pPr>
      <w:r>
        <w:rPr>
          <w:rFonts w:ascii="Arial" w:cs="Arial" w:eastAsia="Arial" w:hAnsi="Arial"/>
          <w:sz w:val="16"/>
          <w:szCs w:val="16"/>
          <w:color w:val="auto"/>
        </w:rPr>
        <w:t>Each share of the Company’s Common Stock is entitled to one vote on all matters presented at the Annual Meeting. Each stockholder may appoint only one proxy holder or representative to attend the Annual Meeting on his or her behalf. Stockholders do not have the right to cumulate their votes in the election of directors. Shares of Common Stock represented by properly executed proxies will, unless such proxies have been previously revoked, be voted in accordance with the instructions indicated thereon. In the absence of specific instructions to the contrary, properly executed proxies will be voted FOR the Proposals 1, 2, 3 and 4 and submitted to a vote of stockholders at the Annual Meeting pursuant to this proxy statement. No business other than that set forth in the accompanying Notice of Annual Meeting of Stockholders is expected to come before the Annual Meeting. Should any other matter requiring a vote of stockholders properly arise, the persons named in the enclosed form of proxy will vote such proxy in accordance with the recommendation of the Board of Directors (the “</w:t>
      </w:r>
      <w:r>
        <w:rPr>
          <w:rFonts w:ascii="Arial" w:cs="Arial" w:eastAsia="Arial" w:hAnsi="Arial"/>
          <w:sz w:val="16"/>
          <w:szCs w:val="16"/>
          <w:b w:val="1"/>
          <w:bCs w:val="1"/>
          <w:color w:val="auto"/>
        </w:rPr>
        <w:t>Board</w:t>
      </w:r>
      <w:r>
        <w:rPr>
          <w:rFonts w:ascii="Arial" w:cs="Arial" w:eastAsia="Arial" w:hAnsi="Arial"/>
          <w:sz w:val="16"/>
          <w:szCs w:val="16"/>
          <w:color w:val="auto"/>
        </w:rPr>
        <w:t>”).</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If you will not be able to attend the Annual Meeting to vote, you may vote your shares via the Internet or by telephone or by mail as set forth in the Notice.</w:t>
      </w:r>
    </w:p>
    <w:p>
      <w:pPr>
        <w:spacing w:after="0" w:line="221" w:lineRule="exact"/>
        <w:rPr>
          <w:sz w:val="20"/>
          <w:szCs w:val="20"/>
          <w:color w:val="auto"/>
        </w:rPr>
      </w:pPr>
    </w:p>
    <w:p>
      <w:pPr>
        <w:jc w:val="both"/>
        <w:ind w:left="120" w:right="300"/>
        <w:spacing w:after="0" w:line="251" w:lineRule="auto"/>
        <w:rPr>
          <w:sz w:val="20"/>
          <w:szCs w:val="20"/>
          <w:color w:val="auto"/>
        </w:rPr>
      </w:pPr>
      <w:r>
        <w:rPr>
          <w:rFonts w:ascii="Arial" w:cs="Arial" w:eastAsia="Arial" w:hAnsi="Arial"/>
          <w:sz w:val="16"/>
          <w:szCs w:val="16"/>
          <w:color w:val="auto"/>
        </w:rPr>
        <w:t>The Company has engaged a proxy solicitor, Alliance Advisors, LLC, to encourage voting by our stockholders. It is estimated that the total cost for the solicitation campaign will be approximately $10,000. Proxies may also be solicited by certain of the directors, officers and employees of the Company, without additional compensation. The Company will bear the costs of solicitation. In addition, the Company expects to reimburse brokerage firms and other persons representing beneficial owners of shares for their expenses in forwarding solicitation materials to such beneficial owners.</w:t>
      </w:r>
    </w:p>
    <w:p>
      <w:pPr>
        <w:spacing w:after="0" w:line="202" w:lineRule="exact"/>
        <w:rPr>
          <w:sz w:val="20"/>
          <w:szCs w:val="20"/>
          <w:color w:val="auto"/>
        </w:rPr>
      </w:pPr>
    </w:p>
    <w:p>
      <w:pPr>
        <w:ind w:left="120"/>
        <w:spacing w:after="0" w:line="249" w:lineRule="auto"/>
        <w:rPr>
          <w:sz w:val="20"/>
          <w:szCs w:val="20"/>
          <w:color w:val="auto"/>
        </w:rPr>
      </w:pPr>
      <w:r>
        <w:rPr>
          <w:rFonts w:ascii="Arial" w:cs="Arial" w:eastAsia="Arial" w:hAnsi="Arial"/>
          <w:sz w:val="16"/>
          <w:szCs w:val="16"/>
          <w:color w:val="auto"/>
        </w:rPr>
        <w:t>If your shares are held in street name, the voting instruction form sent to you by your broker, bank or other nominee should indicate whether the institution has a process for beneficial holders to provide voting instructions over the Internet or by telephone. If your bank or brokerage firm gives you this opportunity, the voting instructions from the bank or brokerage firm that accompany this proxy statement will tell you how to use the Internet or telephone to direct the vote of shares held in your account. If your voting instruction form does not include Internet or telephone information, please complete and return the voting instruction form in the self-addressed, postage-paid envelope provided by your broker. Stockholders who vote by proxy over the Internet or by telephone need not return a proxy card or voting instruction form by mail.</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C4C4C"/>
        </w:rPr>
        <w:t>Quorum; Abstentions; 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57150</wp:posOffset>
            </wp:positionV>
            <wp:extent cx="69951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53"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auto"/>
        </w:rPr>
        <w:t>The required quorum for the transaction of business at the Annual Meeting is a majority of the votes eligible to be cast by holders of shares of Common Stock issued and outstanding on the Record Date. Shares that are voted “FOR,” “AGAINST” or “ABSTAIN” on a matter are treated as being present at the meeting for purposes of establishing a quorum with respect to such matter. For certain proposals, brokers may not have discretionary authority to vote on a particular matter if they have not received specific instructions from the beneficial owner of the shares (“</w:t>
      </w:r>
      <w:r>
        <w:rPr>
          <w:rFonts w:ascii="Arial" w:cs="Arial" w:eastAsia="Arial" w:hAnsi="Arial"/>
          <w:sz w:val="16"/>
          <w:szCs w:val="16"/>
          <w:b w:val="1"/>
          <w:bCs w:val="1"/>
          <w:color w:val="auto"/>
        </w:rPr>
        <w:t>broker non-votes</w:t>
      </w:r>
      <w:r>
        <w:rPr>
          <w:rFonts w:ascii="Arial" w:cs="Arial" w:eastAsia="Arial" w:hAnsi="Arial"/>
          <w:sz w:val="16"/>
          <w:szCs w:val="16"/>
          <w:color w:val="auto"/>
        </w:rPr>
        <w:t>”). In accordance with the rules of the New York Stock Exchange, banks, brokerage firms and other nominees who hold Arrowhead shares in street name for their customers have authority to vote on “routine” proposals when they have not received instructions from beneficial owners. However, banks, brokerage firms and other nominees are precluded from exercising their voting discretion with respect to non-routine matters. Shares subject to a broker non-vote will be counted as present for the purpose of determining the presence or absence of a quorum for the transaction of business at the Annual Meeting; the effect of abstentions and broker non-votes on the proposals presented herein is discussed below.</w:t>
      </w:r>
    </w:p>
    <w:p>
      <w:pPr>
        <w:spacing w:after="0" w:line="20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With regard to the election of directors, votes may be cast “FOR,” “AGAINST” or “ABSTAIN” for each director nominee. Because directors are elected by</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 majority of votes cast in an uncontested election, abstentions from voting and broker non-votes will be excluded from the vote and will have no effect on</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its outcome. If a quorum is present at the meeting, the nominees receiving more “FOR” votes than “AGAINST” votes will be elected. Abstentions and</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broker non-votes will be excluded from the vote and will have no effect on its outcome. Because Proposal Nos. 2, 3 and 4 must be approved by the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affirmative vote of a majority of the shares of Common Stock entitled to vote thereon and present in person or by proxy at the Annual Meeting (the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Required Vote</w:t>
      </w:r>
      <w:r>
        <w:rPr>
          <w:rFonts w:ascii="Arial" w:cs="Arial" w:eastAsia="Arial" w:hAnsi="Arial"/>
          <w:sz w:val="16"/>
          <w:szCs w:val="16"/>
          <w:color w:val="auto"/>
        </w:rPr>
        <w:t>”), abstentions will be counted in tabulations of the votes cast on each such proposal and will have the same effect as a vote against the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proposal, whereas broker non-votes will be excluded from the vote and will have no effect on its outcome.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96520</wp:posOffset>
            </wp:positionV>
            <wp:extent cx="986155" cy="2057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1CE"/>
        </w:rPr>
        <w:t>2</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spacing w:after="0"/>
        <w:tabs>
          <w:tab w:leader="none" w:pos="3780" w:val="left"/>
        </w:tabs>
        <w:rPr>
          <w:sz w:val="20"/>
          <w:szCs w:val="20"/>
          <w:color w:val="auto"/>
        </w:rPr>
      </w:pPr>
      <w:r>
        <w:rPr>
          <w:rFonts w:ascii="Arial" w:cs="Arial" w:eastAsia="Arial" w:hAnsi="Arial"/>
          <w:sz w:val="14"/>
          <w:szCs w:val="14"/>
          <w:b w:val="1"/>
          <w:bCs w:val="1"/>
          <w:color w:val="0071CE"/>
        </w:rPr>
        <w:t>2022 PROXY STATEMENT</w:t>
      </w:r>
      <w:r>
        <w:rPr>
          <w:sz w:val="20"/>
          <w:szCs w:val="20"/>
          <w:color w:val="auto"/>
        </w:rPr>
        <w:tab/>
      </w:r>
      <w:r>
        <w:rPr>
          <w:rFonts w:ascii="Arial" w:cs="Arial" w:eastAsia="Arial" w:hAnsi="Arial"/>
          <w:sz w:val="14"/>
          <w:szCs w:val="14"/>
          <w:b w:val="1"/>
          <w:bCs w:val="1"/>
          <w:i w:val="1"/>
          <w:iCs w:val="1"/>
          <w:color w:val="3FAE2A"/>
        </w:rPr>
        <w:t>General Information Concerning Solicitation and Voting</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C4C4C"/>
        </w:rPr>
        <w:t>Deadline for Receipt of Stockholder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57150</wp:posOffset>
            </wp:positionV>
            <wp:extent cx="6995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6" w:lineRule="exact"/>
        <w:rPr>
          <w:sz w:val="20"/>
          <w:szCs w:val="20"/>
          <w:color w:val="auto"/>
        </w:rPr>
      </w:pPr>
    </w:p>
    <w:p>
      <w:pPr>
        <w:ind w:left="120" w:right="40"/>
        <w:spacing w:after="0" w:line="253" w:lineRule="auto"/>
        <w:rPr>
          <w:sz w:val="20"/>
          <w:szCs w:val="20"/>
          <w:color w:val="auto"/>
        </w:rPr>
      </w:pPr>
      <w:r>
        <w:rPr>
          <w:rFonts w:ascii="Arial" w:cs="Arial" w:eastAsia="Arial" w:hAnsi="Arial"/>
          <w:sz w:val="16"/>
          <w:szCs w:val="16"/>
          <w:color w:val="auto"/>
        </w:rPr>
        <w:t>Any stockholder who meets the requirements of the proxy rules under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who intends to present a proposal at the Company’s 2023 Annual Meeting of Stockholders must ensure that the proposal is received by the Corporate Secretary at Arrowhead Pharmaceuticals, Inc., 177 E. Colorado Blvd., Suite 700, Pasadena, CA 91105, not later than our close of business (5:00 p.m. Pacific Time) on September 28, 2022, in order to be considered for inclusion in our proxy materials for that meeting; provided, however, that if the Company’s 2023 Annual Meeting of Stockholders is held before February 15, 2023 or after April 16, 2023, you must provide specified information to us a reasonable time before we begin to print and send our proxy statement for our 2023 Annual Meeting. Proposals received after the specified dates may be excluded from the Company’s proxy statement.</w:t>
      </w:r>
    </w:p>
    <w:p>
      <w:pPr>
        <w:spacing w:after="0" w:line="181" w:lineRule="exact"/>
        <w:rPr>
          <w:sz w:val="20"/>
          <w:szCs w:val="20"/>
          <w:color w:val="auto"/>
        </w:rPr>
      </w:pPr>
    </w:p>
    <w:p>
      <w:pPr>
        <w:ind w:left="120" w:right="220"/>
        <w:spacing w:after="0" w:line="253" w:lineRule="auto"/>
        <w:rPr>
          <w:sz w:val="20"/>
          <w:szCs w:val="20"/>
          <w:color w:val="auto"/>
        </w:rPr>
      </w:pPr>
      <w:r>
        <w:rPr>
          <w:rFonts w:ascii="Arial" w:cs="Arial" w:eastAsia="Arial" w:hAnsi="Arial"/>
          <w:sz w:val="16"/>
          <w:szCs w:val="16"/>
          <w:color w:val="auto"/>
        </w:rPr>
        <w:t>Additionally, our Amended and Restated Bylaws (“</w:t>
      </w:r>
      <w:r>
        <w:rPr>
          <w:rFonts w:ascii="Arial" w:cs="Arial" w:eastAsia="Arial" w:hAnsi="Arial"/>
          <w:sz w:val="16"/>
          <w:szCs w:val="16"/>
          <w:b w:val="1"/>
          <w:bCs w:val="1"/>
          <w:color w:val="auto"/>
        </w:rPr>
        <w:t>Bylaws</w:t>
      </w:r>
      <w:r>
        <w:rPr>
          <w:rFonts w:ascii="Arial" w:cs="Arial" w:eastAsia="Arial" w:hAnsi="Arial"/>
          <w:sz w:val="16"/>
          <w:szCs w:val="16"/>
          <w:color w:val="auto"/>
        </w:rPr>
        <w:t xml:space="preserve">”) provide for notice procedures to recommend a person for nomination as a director or to propose business to be considered by stockholders at a meeting. To be considered timely under these provisions, the stockholder’s notice must be received by the Corporate Secretary at our principal executive offices at the address set forth above between 90 and 120 days prior to the one-year anniversary of the date of the 2022 Annual Meeting (between November 17, 2022 and December 17, 2022);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2023 Annual Meeting date is advanced by more than 30 days before or delayed by more than 60 days after the anniversary date of the 2022 Annual Meeting, then stockholders must provide notice within time periods specified in our Bylaws. Our Bylaws also specify requirements as to the form and content of a stockholder’s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83820</wp:posOffset>
            </wp:positionV>
            <wp:extent cx="986155" cy="2057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43" w:lineRule="exact"/>
        <w:rPr>
          <w:sz w:val="20"/>
          <w:szCs w:val="20"/>
          <w:color w:val="auto"/>
        </w:rPr>
      </w:pPr>
    </w:p>
    <w:p>
      <w:pPr>
        <w:ind w:left="10980"/>
        <w:spacing w:after="0"/>
        <w:rPr>
          <w:sz w:val="20"/>
          <w:szCs w:val="20"/>
          <w:color w:val="auto"/>
        </w:rPr>
      </w:pPr>
      <w:r>
        <w:rPr>
          <w:rFonts w:ascii="Arial" w:cs="Arial" w:eastAsia="Arial" w:hAnsi="Arial"/>
          <w:sz w:val="18"/>
          <w:szCs w:val="18"/>
          <w:b w:val="1"/>
          <w:bCs w:val="1"/>
          <w:color w:val="0071CE"/>
        </w:rPr>
        <w:t>3</w:t>
      </w:r>
    </w:p>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20"/>
        <w:spacing w:after="0"/>
        <w:tabs>
          <w:tab w:leader="none" w:pos="2020" w:val="left"/>
        </w:tabs>
        <w:rPr>
          <w:sz w:val="20"/>
          <w:szCs w:val="20"/>
          <w:color w:val="auto"/>
        </w:rPr>
      </w:pPr>
      <w:r>
        <w:rPr>
          <w:rFonts w:ascii="Arial" w:cs="Arial" w:eastAsia="Arial" w:hAnsi="Arial"/>
          <w:sz w:val="14"/>
          <w:szCs w:val="14"/>
          <w:b w:val="1"/>
          <w:bCs w:val="1"/>
          <w:color w:val="0071CE"/>
        </w:rPr>
        <w:t>2022 PROXY STATEMENT</w:t>
      </w:r>
      <w:r>
        <w:rPr>
          <w:sz w:val="20"/>
          <w:szCs w:val="20"/>
          <w:color w:val="auto"/>
        </w:rPr>
        <w:tab/>
      </w:r>
      <w:r>
        <w:rPr>
          <w:rFonts w:ascii="Arial" w:cs="Arial" w:eastAsia="Arial" w:hAnsi="Arial"/>
          <w:sz w:val="14"/>
          <w:szCs w:val="14"/>
          <w:b w:val="1"/>
          <w:bCs w:val="1"/>
          <w:i w:val="1"/>
          <w:iCs w:val="1"/>
          <w:color w:val="3FAE2A"/>
        </w:rPr>
        <w:t>Proposal One — Election of Directors</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1CE"/>
        </w:rPr>
        <w:t>Proposal One — Election of Directors</w:t>
      </w:r>
    </w:p>
    <w:p>
      <w:pPr>
        <w:spacing w:after="0" w:line="264" w:lineRule="exact"/>
        <w:rPr>
          <w:sz w:val="20"/>
          <w:szCs w:val="20"/>
          <w:color w:val="auto"/>
        </w:rPr>
      </w:pPr>
    </w:p>
    <w:p>
      <w:pPr>
        <w:ind w:left="120" w:right="540"/>
        <w:spacing w:after="0" w:line="260" w:lineRule="auto"/>
        <w:rPr>
          <w:sz w:val="20"/>
          <w:szCs w:val="20"/>
          <w:color w:val="auto"/>
        </w:rPr>
      </w:pPr>
      <w:r>
        <w:rPr>
          <w:rFonts w:ascii="Arial" w:cs="Arial" w:eastAsia="Arial" w:hAnsi="Arial"/>
          <w:sz w:val="16"/>
          <w:szCs w:val="16"/>
          <w:color w:val="auto"/>
        </w:rPr>
        <w:t>The Board has nominated the following seven persons as directors to serve until the 2023 Annual Meeting or until their successors have been duly elected. Each of the nominees is currently a director of Arrowhead.</w:t>
      </w:r>
    </w:p>
    <w:p>
      <w:pPr>
        <w:spacing w:after="0" w:line="195" w:lineRule="exact"/>
        <w:rPr>
          <w:sz w:val="20"/>
          <w:szCs w:val="20"/>
          <w:color w:val="auto"/>
        </w:rPr>
      </w:pPr>
    </w:p>
    <w:p>
      <w:pPr>
        <w:ind w:left="120" w:right="60"/>
        <w:spacing w:after="0" w:line="247" w:lineRule="auto"/>
        <w:rPr>
          <w:sz w:val="20"/>
          <w:szCs w:val="20"/>
          <w:color w:val="auto"/>
        </w:rPr>
      </w:pPr>
      <w:r>
        <w:rPr>
          <w:rFonts w:ascii="Arial" w:cs="Arial" w:eastAsia="Arial" w:hAnsi="Arial"/>
          <w:sz w:val="16"/>
          <w:szCs w:val="16"/>
          <w:color w:val="auto"/>
        </w:rPr>
        <w:t>None of the nominees is related by blood, marriage or adoption to any other nominee or any executive officer of the Company. The nominees receiving more “FOR” votes than “AGAINST” votes at the Annual Meeting will be elected to the seven director positions. Unless otherwise instructed, the proxy holders will vote the proxies received by them for the seven nominees named below. Under Delaware law, a director not receiving a majority of votes cast in an uncontested election would continue to serve as a director as a “holdover director” until the director resigns or is replaced. Under the Company’s director resignation policy, a director who is not reelected by a majority of the votes cast in an uncontested election will be required to tender his or her resignation to the Board, and the Board will then decide whether to accept or reject the resignation, or whether other action is required. Although we have no reason to believe this will occur, if any nominee is unable or declines to serve as director at the time of the Annual Meeting, the proxies will be voted for any nominee who is designated by our present Board to fill the vacancy or, alternatively, the Board may reduce its size. The table below sets forth, with respect to each nominee for election, the nominee’s age and current position with Arrowhead. The director nominees have indicated that they are willing and able to serve as directors. However, if any of the director nominees becomes unable or, for good cause, unwilling to serve, proxies may be voted for the election of such other person as shall be designated by our Board, or the Board may decrease the size of the Board.</w:t>
      </w:r>
    </w:p>
    <w:p>
      <w:pPr>
        <w:spacing w:after="0" w:line="192" w:lineRule="exact"/>
        <w:rPr>
          <w:sz w:val="20"/>
          <w:szCs w:val="20"/>
          <w:color w:val="auto"/>
        </w:rPr>
      </w:pPr>
    </w:p>
    <w:p>
      <w:pPr>
        <w:ind w:left="120" w:right="220"/>
        <w:spacing w:after="0" w:line="286" w:lineRule="auto"/>
        <w:rPr>
          <w:sz w:val="20"/>
          <w:szCs w:val="20"/>
          <w:color w:val="auto"/>
        </w:rPr>
      </w:pPr>
      <w:r>
        <w:rPr>
          <w:rFonts w:ascii="Arial" w:cs="Arial" w:eastAsia="Arial" w:hAnsi="Arial"/>
          <w:sz w:val="16"/>
          <w:szCs w:val="16"/>
          <w:b w:val="1"/>
          <w:bCs w:val="1"/>
          <w:color w:val="0071CE"/>
        </w:rPr>
        <w:t>Nominees for Election as Directors</w:t>
      </w:r>
      <w:r>
        <w:rPr>
          <w:rFonts w:ascii="Arial" w:cs="Arial" w:eastAsia="Arial" w:hAnsi="Arial"/>
          <w:sz w:val="16"/>
          <w:szCs w:val="16"/>
          <w:color w:val="000000"/>
        </w:rPr>
        <w:t>. The Board unanimously adopted a resolution proposing the nominees set forth below for election as Directors of</w:t>
      </w:r>
      <w:r>
        <w:rPr>
          <w:rFonts w:ascii="Arial" w:cs="Arial" w:eastAsia="Arial" w:hAnsi="Arial"/>
          <w:sz w:val="16"/>
          <w:szCs w:val="16"/>
          <w:b w:val="1"/>
          <w:bCs w:val="1"/>
          <w:color w:val="0071CE"/>
        </w:rPr>
        <w:t xml:space="preserve"> </w:t>
      </w:r>
      <w:r>
        <w:rPr>
          <w:rFonts w:ascii="Arial" w:cs="Arial" w:eastAsia="Arial" w:hAnsi="Arial"/>
          <w:sz w:val="16"/>
          <w:szCs w:val="16"/>
          <w:color w:val="000000"/>
        </w:rPr>
        <w:t>the Company for the next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127635</wp:posOffset>
            </wp:positionV>
            <wp:extent cx="3505835" cy="3943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05835" cy="39433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0"/>
        <w:spacing w:after="0"/>
        <w:rPr>
          <w:sz w:val="20"/>
          <w:szCs w:val="20"/>
          <w:color w:val="auto"/>
        </w:rPr>
      </w:pPr>
      <w:r>
        <w:rPr>
          <w:rFonts w:ascii="Arial" w:cs="Arial" w:eastAsia="Arial" w:hAnsi="Arial"/>
          <w:sz w:val="21"/>
          <w:szCs w:val="21"/>
          <w:b w:val="1"/>
          <w:bCs w:val="1"/>
          <w:color w:val="0071CE"/>
        </w:rPr>
        <w:t>Douglass Given, MD</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0071CE"/>
        </w:rPr>
        <w:t>Board Chair</w:t>
      </w:r>
    </w:p>
    <w:p>
      <w:pPr>
        <w:spacing w:after="0" w:line="10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69</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2010</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Serves on:</w:t>
      </w:r>
    </w:p>
    <w:p>
      <w:pPr>
        <w:spacing w:after="0" w:line="25" w:lineRule="exact"/>
        <w:rPr>
          <w:sz w:val="20"/>
          <w:szCs w:val="20"/>
          <w:color w:val="auto"/>
        </w:rPr>
      </w:pPr>
    </w:p>
    <w:p>
      <w:pPr>
        <w:ind w:left="340" w:hanging="143"/>
        <w:spacing w:after="0"/>
        <w:tabs>
          <w:tab w:leader="none" w:pos="340" w:val="left"/>
        </w:tabs>
        <w:numPr>
          <w:ilvl w:val="0"/>
          <w:numId w:val="9"/>
        </w:numPr>
        <w:rPr>
          <w:rFonts w:ascii="Arial" w:cs="Arial" w:eastAsia="Arial" w:hAnsi="Arial"/>
          <w:sz w:val="16"/>
          <w:szCs w:val="16"/>
          <w:color w:val="0071CE"/>
        </w:rPr>
      </w:pPr>
      <w:r>
        <w:rPr>
          <w:rFonts w:ascii="Arial" w:cs="Arial" w:eastAsia="Arial" w:hAnsi="Arial"/>
          <w:sz w:val="16"/>
          <w:szCs w:val="16"/>
          <w:color w:val="auto"/>
        </w:rPr>
        <w:t>Nomination Committee</w:t>
      </w:r>
    </w:p>
    <w:p>
      <w:pPr>
        <w:spacing w:after="0" w:line="5" w:lineRule="exact"/>
        <w:rPr>
          <w:rFonts w:ascii="Arial" w:cs="Arial" w:eastAsia="Arial" w:hAnsi="Arial"/>
          <w:sz w:val="16"/>
          <w:szCs w:val="16"/>
          <w:color w:val="0071CE"/>
        </w:rPr>
      </w:pPr>
    </w:p>
    <w:p>
      <w:pPr>
        <w:ind w:left="340" w:hanging="143"/>
        <w:spacing w:after="0"/>
        <w:tabs>
          <w:tab w:leader="none" w:pos="340" w:val="left"/>
        </w:tabs>
        <w:numPr>
          <w:ilvl w:val="0"/>
          <w:numId w:val="9"/>
        </w:numPr>
        <w:rPr>
          <w:rFonts w:ascii="Arial" w:cs="Arial" w:eastAsia="Arial" w:hAnsi="Arial"/>
          <w:sz w:val="16"/>
          <w:szCs w:val="16"/>
          <w:color w:val="0071CE"/>
        </w:rPr>
      </w:pPr>
      <w:r>
        <w:rPr>
          <w:rFonts w:ascii="Arial" w:cs="Arial" w:eastAsia="Arial" w:hAnsi="Arial"/>
          <w:sz w:val="16"/>
          <w:szCs w:val="16"/>
          <w:color w:val="auto"/>
        </w:rPr>
        <w:t>Science Committee</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ind w:left="520" w:right="3080"/>
        <w:spacing w:after="0" w:line="286" w:lineRule="auto"/>
        <w:rPr>
          <w:sz w:val="20"/>
          <w:szCs w:val="20"/>
          <w:color w:val="auto"/>
        </w:rPr>
      </w:pPr>
      <w:r>
        <w:rPr>
          <w:rFonts w:ascii="Arial" w:cs="Arial" w:eastAsia="Arial" w:hAnsi="Arial"/>
          <w:sz w:val="16"/>
          <w:szCs w:val="16"/>
          <w:b w:val="1"/>
          <w:bCs w:val="1"/>
          <w:color w:val="auto"/>
        </w:rPr>
        <w:t xml:space="preserve">OUR BOARD UNANIMOUSLY RECOMMENDS A VOTE </w:t>
      </w:r>
      <w:r>
        <w:rPr>
          <w:rFonts w:ascii="Arial" w:cs="Arial" w:eastAsia="Arial" w:hAnsi="Arial"/>
          <w:sz w:val="16"/>
          <w:szCs w:val="16"/>
          <w:b w:val="1"/>
          <w:bCs w:val="1"/>
          <w:color w:val="0071CE"/>
        </w:rPr>
        <w:t xml:space="preserve">“FOR” </w:t>
      </w:r>
      <w:r>
        <w:rPr>
          <w:rFonts w:ascii="Arial" w:cs="Arial" w:eastAsia="Arial" w:hAnsi="Arial"/>
          <w:sz w:val="16"/>
          <w:szCs w:val="16"/>
          <w:b w:val="1"/>
          <w:bCs w:val="1"/>
          <w:color w:val="000000"/>
        </w:rPr>
        <w:t>EACH OF THE NOMINEES LISTED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 and Expertise</w:t>
      </w:r>
    </w:p>
    <w:p>
      <w:pPr>
        <w:spacing w:after="0" w:line="25"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Dr. Given is Board Chair. He has been a director of the Company since 2010. Doug is Managing Partner at Health2047 Capital Partners LLC, a healthcare-focused venture capital firm. He served as Health2047 Inc.’s Chief Executive from its founding in August of 2015 until January 2018. Previously, Doug spent more than a decade in venture capital as an Investment Partner and General Partner at life sciences investor Bay City Capital LLC participating in five sequential life sciences general funds and two sector-specific funds; he was associated with the partnership from 1999 to 2015. A physician and medical scientist by background, Doug has been a global corporate and operating executive at Lilly, Monsanto, Schering Plough and Mallinckrodt and a serial entrepreneur, as well as a venture capitalist. In addition to a number of private companies, he led three public biotechnology and biopharmaceutical companies as CEO.</w:t>
      </w:r>
    </w:p>
    <w:p>
      <w:pPr>
        <w:spacing w:after="0" w:line="111"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Dr. Given has served on more than 20 public and private boards. He is currently a Director at Health2047 Inc., Board Chair at Akiri Inc., Managing Partner at G5 Partners LLC, and serves on the board at First Mile Care Inc. and Vivaldi Biosciences Inc. He serves on advisory boards at the University of Chicago Medicine, Johns Hopkins Bloomberg School of Public Health, Stanford Medicine, Stanford Institute for Economic Policy Research (SIEPR), and The Houston Methodist Research Institute.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4894580" cy="8655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894580" cy="865505"/>
                    </a:xfrm>
                    <a:prstGeom prst="rect">
                      <a:avLst/>
                    </a:prstGeom>
                    <a:noFill/>
                  </pic:spPr>
                </pic:pic>
              </a:graphicData>
            </a:graphic>
          </wp:anchor>
        </w:drawing>
      </w:r>
    </w:p>
    <w:p>
      <w:pPr>
        <w:spacing w:after="0" w:line="298"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Qualifications</w:t>
      </w:r>
    </w:p>
    <w:p>
      <w:pPr>
        <w:spacing w:after="0" w:line="25" w:lineRule="exact"/>
        <w:rPr>
          <w:sz w:val="20"/>
          <w:szCs w:val="20"/>
          <w:color w:val="auto"/>
        </w:rPr>
      </w:pPr>
    </w:p>
    <w:p>
      <w:pPr>
        <w:ind w:left="220" w:right="20"/>
        <w:spacing w:after="0" w:line="250" w:lineRule="auto"/>
        <w:rPr>
          <w:sz w:val="20"/>
          <w:szCs w:val="20"/>
          <w:color w:val="auto"/>
        </w:rPr>
      </w:pPr>
      <w:r>
        <w:rPr>
          <w:rFonts w:ascii="Arial" w:cs="Arial" w:eastAsia="Arial" w:hAnsi="Arial"/>
          <w:sz w:val="16"/>
          <w:szCs w:val="16"/>
          <w:color w:val="auto"/>
        </w:rPr>
        <w:t>Dr. Given’s qualifications to serve on the Board include his extensive experience as a physician scientist, in finance and business transactions, particularly investments in the life sciences industry, as well as directorship roles in biopharmaceutical companies. Dr. Given also has had significant leadership roles, including CEO of several biotech companies and Senior Vice President, at several large pharmaceutical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-2097405</wp:posOffset>
            </wp:positionH>
            <wp:positionV relativeFrom="paragraph">
              <wp:posOffset>50165</wp:posOffset>
            </wp:positionV>
            <wp:extent cx="69951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944880</wp:posOffset>
            </wp:positionH>
            <wp:positionV relativeFrom="paragraph">
              <wp:posOffset>153035</wp:posOffset>
            </wp:positionV>
            <wp:extent cx="986155" cy="2057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00" w:space="720"/>
            <w:col w:w="7720"/>
          </w:cols>
          <w:pgMar w:left="320" w:top="459" w:right="439" w:bottom="1440" w:gutter="0" w:footer="0" w:header="0"/>
          <w:type w:val="continuous"/>
        </w:sectPr>
      </w:pPr>
    </w:p>
    <w:p>
      <w:pPr>
        <w:spacing w:after="0" w:line="72"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0071CE"/>
        </w:rPr>
        <w:t>4</w:t>
      </w:r>
    </w:p>
    <w:p>
      <w:pPr>
        <w:sectPr>
          <w:pgSz w:w="11900" w:h="16838" w:orient="portrait"/>
          <w:cols w:equalWidth="0" w:num="1">
            <w:col w:w="11140"/>
          </w:cols>
          <w:pgMar w:left="320" w:top="459" w:right="439" w:bottom="1440" w:gutter="0" w:footer="0" w:header="0"/>
          <w:type w:val="continuous"/>
        </w:sectPr>
      </w:pPr>
    </w:p>
    <w:bookmarkStart w:id="8" w:name="page9"/>
    <w:bookmarkEnd w:id="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71CE"/>
        </w:rPr>
        <w:t>Michael S. Perry, DVM</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9"/>
          <w:szCs w:val="19"/>
          <w:b w:val="1"/>
          <w:bCs w:val="1"/>
          <w:i w:val="1"/>
          <w:iCs w:val="1"/>
          <w:color w:val="0071CE"/>
        </w:rPr>
        <w:t>Independent Lead Director</w:t>
      </w:r>
    </w:p>
    <w:p>
      <w:pPr>
        <w:spacing w:after="0" w:line="11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62</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2011</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Serves on:</w:t>
      </w:r>
    </w:p>
    <w:p>
      <w:pPr>
        <w:spacing w:after="0" w:line="25" w:lineRule="exact"/>
        <w:rPr>
          <w:sz w:val="20"/>
          <w:szCs w:val="20"/>
          <w:color w:val="auto"/>
        </w:rPr>
      </w:pPr>
    </w:p>
    <w:p>
      <w:pPr>
        <w:ind w:left="340" w:hanging="143"/>
        <w:spacing w:after="0"/>
        <w:tabs>
          <w:tab w:leader="none" w:pos="340" w:val="left"/>
        </w:tabs>
        <w:numPr>
          <w:ilvl w:val="0"/>
          <w:numId w:val="10"/>
        </w:numPr>
        <w:rPr>
          <w:rFonts w:ascii="Arial" w:cs="Arial" w:eastAsia="Arial" w:hAnsi="Arial"/>
          <w:sz w:val="16"/>
          <w:szCs w:val="16"/>
          <w:color w:val="0071CE"/>
        </w:rPr>
      </w:pPr>
      <w:r>
        <w:rPr>
          <w:rFonts w:ascii="Arial" w:cs="Arial" w:eastAsia="Arial" w:hAnsi="Arial"/>
          <w:sz w:val="16"/>
          <w:szCs w:val="16"/>
          <w:color w:val="auto"/>
        </w:rPr>
        <w:t>Audit Committee</w:t>
      </w:r>
    </w:p>
    <w:p>
      <w:pPr>
        <w:spacing w:after="0" w:line="5" w:lineRule="exact"/>
        <w:rPr>
          <w:rFonts w:ascii="Arial" w:cs="Arial" w:eastAsia="Arial" w:hAnsi="Arial"/>
          <w:sz w:val="16"/>
          <w:szCs w:val="16"/>
          <w:color w:val="0071CE"/>
        </w:rPr>
      </w:pPr>
    </w:p>
    <w:p>
      <w:pPr>
        <w:ind w:left="340" w:hanging="143"/>
        <w:spacing w:after="0"/>
        <w:tabs>
          <w:tab w:leader="none" w:pos="340" w:val="left"/>
        </w:tabs>
        <w:numPr>
          <w:ilvl w:val="0"/>
          <w:numId w:val="10"/>
        </w:numPr>
        <w:rPr>
          <w:rFonts w:ascii="Arial" w:cs="Arial" w:eastAsia="Arial" w:hAnsi="Arial"/>
          <w:sz w:val="16"/>
          <w:szCs w:val="16"/>
          <w:color w:val="0071CE"/>
        </w:rPr>
      </w:pPr>
      <w:r>
        <w:rPr>
          <w:rFonts w:ascii="Arial" w:cs="Arial" w:eastAsia="Arial" w:hAnsi="Arial"/>
          <w:sz w:val="16"/>
          <w:szCs w:val="16"/>
          <w:color w:val="auto"/>
        </w:rPr>
        <w:t>Compensation Committee</w:t>
      </w:r>
    </w:p>
    <w:p>
      <w:pPr>
        <w:spacing w:after="0" w:line="5" w:lineRule="exact"/>
        <w:rPr>
          <w:rFonts w:ascii="Arial" w:cs="Arial" w:eastAsia="Arial" w:hAnsi="Arial"/>
          <w:sz w:val="16"/>
          <w:szCs w:val="16"/>
          <w:color w:val="0071CE"/>
        </w:rPr>
      </w:pPr>
    </w:p>
    <w:p>
      <w:pPr>
        <w:ind w:left="340" w:hanging="143"/>
        <w:spacing w:after="0"/>
        <w:tabs>
          <w:tab w:leader="none" w:pos="340" w:val="left"/>
        </w:tabs>
        <w:numPr>
          <w:ilvl w:val="0"/>
          <w:numId w:val="10"/>
        </w:numPr>
        <w:rPr>
          <w:rFonts w:ascii="Arial" w:cs="Arial" w:eastAsia="Arial" w:hAnsi="Arial"/>
          <w:sz w:val="16"/>
          <w:szCs w:val="16"/>
          <w:color w:val="0071CE"/>
        </w:rPr>
      </w:pPr>
      <w:r>
        <w:rPr>
          <w:rFonts w:ascii="Arial" w:cs="Arial" w:eastAsia="Arial" w:hAnsi="Arial"/>
          <w:sz w:val="16"/>
          <w:szCs w:val="16"/>
          <w:color w:val="auto"/>
        </w:rPr>
        <w:t>Nominating Committee</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Other Public Company Boards:</w:t>
      </w:r>
    </w:p>
    <w:p>
      <w:pPr>
        <w:spacing w:after="0" w:line="25" w:lineRule="exact"/>
        <w:rPr>
          <w:sz w:val="20"/>
          <w:szCs w:val="20"/>
          <w:color w:val="auto"/>
        </w:rPr>
      </w:pPr>
    </w:p>
    <w:p>
      <w:pPr>
        <w:ind w:left="340" w:hanging="143"/>
        <w:spacing w:after="0"/>
        <w:tabs>
          <w:tab w:leader="none" w:pos="340" w:val="left"/>
        </w:tabs>
        <w:numPr>
          <w:ilvl w:val="0"/>
          <w:numId w:val="11"/>
        </w:numPr>
        <w:rPr>
          <w:rFonts w:ascii="Arial" w:cs="Arial" w:eastAsia="Arial" w:hAnsi="Arial"/>
          <w:sz w:val="16"/>
          <w:szCs w:val="16"/>
          <w:color w:val="0071CE"/>
        </w:rPr>
      </w:pPr>
      <w:r>
        <w:rPr>
          <w:rFonts w:ascii="Arial" w:cs="Arial" w:eastAsia="Arial" w:hAnsi="Arial"/>
          <w:sz w:val="16"/>
          <w:szCs w:val="16"/>
          <w:color w:val="auto"/>
        </w:rPr>
        <w:t>Avita Medical, Inc.</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right"/>
        <w:spacing w:after="0"/>
        <w:tabs>
          <w:tab w:leader="none" w:pos="2560" w:val="left"/>
        </w:tabs>
        <w:rPr>
          <w:sz w:val="20"/>
          <w:szCs w:val="20"/>
          <w:color w:val="auto"/>
        </w:rPr>
      </w:pPr>
      <w:r>
        <w:rPr>
          <w:rFonts w:ascii="Arial" w:cs="Arial" w:eastAsia="Arial" w:hAnsi="Arial"/>
          <w:sz w:val="14"/>
          <w:szCs w:val="14"/>
          <w:b w:val="1"/>
          <w:bCs w:val="1"/>
          <w:color w:val="0071CE"/>
        </w:rPr>
        <w:t>2022 PROXY STATEMENT</w:t>
      </w:r>
      <w:r>
        <w:rPr>
          <w:sz w:val="20"/>
          <w:szCs w:val="20"/>
          <w:color w:val="auto"/>
        </w:rPr>
        <w:tab/>
      </w:r>
      <w:r>
        <w:rPr>
          <w:rFonts w:ascii="Arial" w:cs="Arial" w:eastAsia="Arial" w:hAnsi="Arial"/>
          <w:sz w:val="14"/>
          <w:szCs w:val="14"/>
          <w:b w:val="1"/>
          <w:bCs w:val="1"/>
          <w:i w:val="1"/>
          <w:iCs w:val="1"/>
          <w:color w:val="3FAE2A"/>
        </w:rPr>
        <w:t>Proposal One — Election of Directors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 and Expertise</w:t>
      </w:r>
    </w:p>
    <w:p>
      <w:pPr>
        <w:spacing w:after="0" w:line="25"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Dr. Perry has been Chief Executive Officer and President of Avita Medical, Inc., a regenerative medicine company based in Valencia, CA (ASX: AVH and NASDAQ: RCEL), since 2017, and is also currently Managing Director of Bioscience Managers, a global Venture Capital firm. From 2014 – 2017, Dr. Perry served as Chief Scientific Officer of Novartis’ Cell and Gene Therapy Unit, and from 2012 – 2014 he served as Vice President and Global Head of Stem Cell Therapy for Novartis Pharmaceuticals Corp, a US affiliate of Switzerland-based Novartis AG, a global pharmaceutical company. Dr. Perry is a former member of the board of directors of Ampliphi Bioscience Corp and Gamida Cell Ltd. Dr. Perry has previously served as the Global Head of R&amp;D at Baxter Healthcare, President and CEO of Cell &amp; Gene Therapy at Novartis affiliates Systemix Inc. and Genetic Therapy, Inc., VP Regulatory Affairs at Novartis and Sandoz Pharmaceuticals Corp. and Syntex Corp, Director of Regulatory Affairs at Schering-Plough Corporation, and Board Chair, CEO or CMO at several early stage biotech companies. He also previously served as a Venture Partner with Bay City Capital, LLC, based in San Francisco, California. Dr. Perry holds a Doctor of Veterinary Medicine, a PhD in Biomedical Pharmacology, and a B.Sc. in Physics from the University of Guelph, Ontario, Canada. He is a graduate of the International Advanced Management Program at Harvard Business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252730</wp:posOffset>
            </wp:positionV>
            <wp:extent cx="4894580" cy="6261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894580" cy="626110"/>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Qualifications</w:t>
      </w:r>
    </w:p>
    <w:p>
      <w:pPr>
        <w:spacing w:after="0" w:line="25" w:lineRule="exact"/>
        <w:rPr>
          <w:sz w:val="20"/>
          <w:szCs w:val="20"/>
          <w:color w:val="auto"/>
        </w:rPr>
      </w:pPr>
    </w:p>
    <w:p>
      <w:pPr>
        <w:ind w:left="220" w:right="240"/>
        <w:spacing w:after="0" w:line="253" w:lineRule="auto"/>
        <w:rPr>
          <w:sz w:val="20"/>
          <w:szCs w:val="20"/>
          <w:color w:val="auto"/>
        </w:rPr>
      </w:pPr>
      <w:r>
        <w:rPr>
          <w:rFonts w:ascii="Arial" w:cs="Arial" w:eastAsia="Arial" w:hAnsi="Arial"/>
          <w:sz w:val="16"/>
          <w:szCs w:val="16"/>
          <w:color w:val="auto"/>
        </w:rPr>
        <w:t>Dr. Perry’s qualifications to serve on the board include his medical expertise and his extensive experience in preclinical and clinical drug development, including executive level leadership roles and directorships in several publicly held biotech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-2097405</wp:posOffset>
            </wp:positionH>
            <wp:positionV relativeFrom="paragraph">
              <wp:posOffset>49530</wp:posOffset>
            </wp:positionV>
            <wp:extent cx="6995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00" w:space="720"/>
            <w:col w:w="7720"/>
          </w:cols>
          <w:pgMar w:left="320" w:top="459" w:right="439" w:bottom="1440" w:gutter="0" w:footer="0" w:header="0"/>
          <w:type w:val="continuous"/>
        </w:sectPr>
      </w:pPr>
    </w:p>
    <w:p>
      <w:pPr>
        <w:spacing w:after="0" w:line="35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71CE"/>
        </w:rPr>
        <w:t>Christopher Anzalone, PhD</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9"/>
          <w:szCs w:val="19"/>
          <w:b w:val="1"/>
          <w:bCs w:val="1"/>
          <w:i w:val="1"/>
          <w:iCs w:val="1"/>
          <w:color w:val="0071CE"/>
        </w:rPr>
        <w:t>Chief Executive Officer, President &amp; Director</w:t>
      </w:r>
    </w:p>
    <w:p>
      <w:pPr>
        <w:sectPr>
          <w:pgSz w:w="11900" w:h="16838" w:orient="portrait"/>
          <w:cols w:equalWidth="0" w:num="1">
            <w:col w:w="11140"/>
          </w:cols>
          <w:pgMar w:left="320" w:top="459" w:right="439" w:bottom="1440" w:gutter="0" w:footer="0" w:header="0"/>
          <w:type w:val="continuous"/>
        </w:sectPr>
      </w:pPr>
    </w:p>
    <w:p>
      <w:pPr>
        <w:spacing w:after="0" w:line="11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52</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2007</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 &amp; Expertise</w:t>
      </w:r>
    </w:p>
    <w:p>
      <w:pPr>
        <w:spacing w:after="0" w:line="25"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Dr. Anzalone has been President, Chief Executive Officer and Director of the Company since December 1, 2007 and has led the Company’s business and technical development since then. Prior to joining Arrowhead, Dr. Anzalone formed and served as CEO of the Benet Group LLC, a private equity firm focused on creating and building new nano-biotechnology companies from university-generated science. Prior to his tenure at the Benet Group, from 1999 until 2003, he was a partner at the Washington, DC-based private equity firm Galway Partners, LLC, where he was responsible for sourcing, structuring and building new business ventures. Dr. Anzalone holds a PhD. in Biology from UCLA and a B.A. in Government from Lawrence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4894580" cy="6254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894580" cy="625475"/>
                    </a:xfrm>
                    <a:prstGeom prst="rect">
                      <a:avLst/>
                    </a:prstGeom>
                    <a:noFill/>
                  </pic:spPr>
                </pic:pic>
              </a:graphicData>
            </a:graphic>
          </wp:anchor>
        </w:drawing>
      </w:r>
    </w:p>
    <w:p>
      <w:pPr>
        <w:spacing w:after="0" w:line="302"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Qualifications</w:t>
      </w:r>
    </w:p>
    <w:p>
      <w:pPr>
        <w:spacing w:after="0" w:line="25" w:lineRule="exact"/>
        <w:rPr>
          <w:sz w:val="20"/>
          <w:szCs w:val="20"/>
          <w:color w:val="auto"/>
        </w:rPr>
      </w:pPr>
    </w:p>
    <w:p>
      <w:pPr>
        <w:ind w:left="220" w:right="480"/>
        <w:spacing w:after="0" w:line="253" w:lineRule="auto"/>
        <w:rPr>
          <w:sz w:val="20"/>
          <w:szCs w:val="20"/>
          <w:color w:val="auto"/>
        </w:rPr>
      </w:pPr>
      <w:r>
        <w:rPr>
          <w:rFonts w:ascii="Arial" w:cs="Arial" w:eastAsia="Arial" w:hAnsi="Arial"/>
          <w:sz w:val="16"/>
          <w:szCs w:val="16"/>
          <w:color w:val="auto"/>
        </w:rPr>
        <w:t>Dr. Anzalone’s qualifications to serve on the Board include his deep understanding of the business through his role as Chief Executive Officer; in addition, Dr. Anzalone has extensive experience in business development, biotechnology, drug development, company-building and venture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-2097405</wp:posOffset>
            </wp:positionH>
            <wp:positionV relativeFrom="paragraph">
              <wp:posOffset>49530</wp:posOffset>
            </wp:positionV>
            <wp:extent cx="69951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833755</wp:posOffset>
            </wp:positionH>
            <wp:positionV relativeFrom="paragraph">
              <wp:posOffset>152400</wp:posOffset>
            </wp:positionV>
            <wp:extent cx="986155" cy="2057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00" w:space="720"/>
            <w:col w:w="7720"/>
          </w:cols>
          <w:pgMar w:left="320" w:top="459" w:right="439" w:bottom="1440" w:gutter="0" w:footer="0" w:header="0"/>
          <w:type w:val="continuous"/>
        </w:sectPr>
      </w:pPr>
    </w:p>
    <w:p>
      <w:pPr>
        <w:spacing w:after="0" w:line="71" w:lineRule="exact"/>
        <w:rPr>
          <w:sz w:val="20"/>
          <w:szCs w:val="20"/>
          <w:color w:val="auto"/>
        </w:rPr>
      </w:pPr>
    </w:p>
    <w:p>
      <w:pPr>
        <w:ind w:left="10980"/>
        <w:spacing w:after="0"/>
        <w:rPr>
          <w:sz w:val="20"/>
          <w:szCs w:val="20"/>
          <w:color w:val="auto"/>
        </w:rPr>
      </w:pPr>
      <w:r>
        <w:rPr>
          <w:rFonts w:ascii="Arial" w:cs="Arial" w:eastAsia="Arial" w:hAnsi="Arial"/>
          <w:sz w:val="17"/>
          <w:szCs w:val="17"/>
          <w:b w:val="1"/>
          <w:bCs w:val="1"/>
          <w:color w:val="0071CE"/>
        </w:rPr>
        <w:t>5</w:t>
      </w:r>
    </w:p>
    <w:p>
      <w:pPr>
        <w:sectPr>
          <w:pgSz w:w="11900" w:h="16838" w:orient="portrait"/>
          <w:cols w:equalWidth="0" w:num="1">
            <w:col w:w="11140"/>
          </w:cols>
          <w:pgMar w:left="320" w:top="459" w:right="4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20"/>
        <w:spacing w:after="0"/>
        <w:tabs>
          <w:tab w:leader="none" w:pos="2020" w:val="left"/>
        </w:tabs>
        <w:rPr>
          <w:sz w:val="20"/>
          <w:szCs w:val="20"/>
          <w:color w:val="auto"/>
        </w:rPr>
      </w:pPr>
      <w:r>
        <w:rPr>
          <w:rFonts w:ascii="Arial" w:cs="Arial" w:eastAsia="Arial" w:hAnsi="Arial"/>
          <w:sz w:val="14"/>
          <w:szCs w:val="14"/>
          <w:b w:val="1"/>
          <w:bCs w:val="1"/>
          <w:color w:val="0071CE"/>
        </w:rPr>
        <w:t>2022 PROXY STATEMENT</w:t>
      </w:r>
      <w:r>
        <w:rPr>
          <w:sz w:val="20"/>
          <w:szCs w:val="20"/>
          <w:color w:val="auto"/>
        </w:rPr>
        <w:tab/>
      </w:r>
      <w:r>
        <w:rPr>
          <w:rFonts w:ascii="Arial" w:cs="Arial" w:eastAsia="Arial" w:hAnsi="Arial"/>
          <w:sz w:val="14"/>
          <w:szCs w:val="14"/>
          <w:b w:val="1"/>
          <w:bCs w:val="1"/>
          <w:i w:val="1"/>
          <w:iCs w:val="1"/>
          <w:color w:val="3FAE2A"/>
        </w:rPr>
        <w:t>Proposal One — Election of Directors</w:t>
      </w:r>
    </w:p>
    <w:p>
      <w:pPr>
        <w:sectPr>
          <w:pgSz w:w="11900" w:h="16838" w:orient="portrait"/>
          <w:cols w:equalWidth="0" w:num="1">
            <w:col w:w="11120"/>
          </w:cols>
          <w:pgMar w:left="320" w:top="459" w:right="459" w:bottom="1440" w:gutter="0" w:footer="0" w:header="0"/>
        </w:sectPr>
      </w:pPr>
    </w:p>
    <w:p>
      <w:pPr>
        <w:spacing w:after="0" w:line="130" w:lineRule="exact"/>
        <w:rPr>
          <w:sz w:val="20"/>
          <w:szCs w:val="20"/>
          <w:color w:val="auto"/>
        </w:rPr>
      </w:pPr>
    </w:p>
    <w:p>
      <w:pPr>
        <w:ind w:left="120"/>
        <w:spacing w:after="0"/>
        <w:rPr>
          <w:sz w:val="20"/>
          <w:szCs w:val="20"/>
          <w:color w:val="auto"/>
        </w:rPr>
      </w:pPr>
      <w:r>
        <w:rPr>
          <w:rFonts w:ascii="Arial" w:cs="Arial" w:eastAsia="Arial" w:hAnsi="Arial"/>
          <w:sz w:val="21"/>
          <w:szCs w:val="21"/>
          <w:b w:val="1"/>
          <w:bCs w:val="1"/>
          <w:color w:val="0071CE"/>
        </w:rPr>
        <w:t>Marianne De Backer, PhD, MBA</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0071CE"/>
        </w:rPr>
        <w:t>Independent Director</w:t>
      </w:r>
    </w:p>
    <w:p>
      <w:pPr>
        <w:spacing w:after="0" w:line="10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53</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2019</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Serves on:</w:t>
      </w:r>
    </w:p>
    <w:p>
      <w:pPr>
        <w:spacing w:after="0" w:line="25" w:lineRule="exact"/>
        <w:rPr>
          <w:sz w:val="20"/>
          <w:szCs w:val="20"/>
          <w:color w:val="auto"/>
        </w:rPr>
      </w:pPr>
    </w:p>
    <w:p>
      <w:pPr>
        <w:ind w:left="340" w:hanging="143"/>
        <w:spacing w:after="0"/>
        <w:tabs>
          <w:tab w:leader="none" w:pos="340" w:val="left"/>
        </w:tabs>
        <w:numPr>
          <w:ilvl w:val="0"/>
          <w:numId w:val="12"/>
        </w:numPr>
        <w:rPr>
          <w:rFonts w:ascii="Arial" w:cs="Arial" w:eastAsia="Arial" w:hAnsi="Arial"/>
          <w:sz w:val="16"/>
          <w:szCs w:val="16"/>
          <w:color w:val="0071CE"/>
        </w:rPr>
      </w:pPr>
      <w:r>
        <w:rPr>
          <w:rFonts w:ascii="Arial" w:cs="Arial" w:eastAsia="Arial" w:hAnsi="Arial"/>
          <w:sz w:val="16"/>
          <w:szCs w:val="16"/>
          <w:color w:val="auto"/>
        </w:rPr>
        <w:t>Nominating Committee (Chair)</w:t>
      </w:r>
    </w:p>
    <w:p>
      <w:pPr>
        <w:spacing w:after="0" w:line="5" w:lineRule="exact"/>
        <w:rPr>
          <w:rFonts w:ascii="Arial" w:cs="Arial" w:eastAsia="Arial" w:hAnsi="Arial"/>
          <w:sz w:val="16"/>
          <w:szCs w:val="16"/>
          <w:color w:val="0071CE"/>
        </w:rPr>
      </w:pPr>
    </w:p>
    <w:p>
      <w:pPr>
        <w:ind w:left="340" w:hanging="143"/>
        <w:spacing w:after="0"/>
        <w:tabs>
          <w:tab w:leader="none" w:pos="340" w:val="left"/>
        </w:tabs>
        <w:numPr>
          <w:ilvl w:val="0"/>
          <w:numId w:val="12"/>
        </w:numPr>
        <w:rPr>
          <w:rFonts w:ascii="Arial" w:cs="Arial" w:eastAsia="Arial" w:hAnsi="Arial"/>
          <w:sz w:val="16"/>
          <w:szCs w:val="16"/>
          <w:color w:val="0071CE"/>
        </w:rPr>
      </w:pPr>
      <w:r>
        <w:rPr>
          <w:rFonts w:ascii="Arial" w:cs="Arial" w:eastAsia="Arial" w:hAnsi="Arial"/>
          <w:sz w:val="16"/>
          <w:szCs w:val="16"/>
          <w:color w:val="auto"/>
        </w:rPr>
        <w:t>Audit Committee</w:t>
      </w:r>
    </w:p>
    <w:p>
      <w:pPr>
        <w:spacing w:after="0" w:line="5" w:lineRule="exact"/>
        <w:rPr>
          <w:rFonts w:ascii="Arial" w:cs="Arial" w:eastAsia="Arial" w:hAnsi="Arial"/>
          <w:sz w:val="16"/>
          <w:szCs w:val="16"/>
          <w:color w:val="0071CE"/>
        </w:rPr>
      </w:pPr>
    </w:p>
    <w:p>
      <w:pPr>
        <w:ind w:left="340" w:hanging="143"/>
        <w:spacing w:after="0"/>
        <w:tabs>
          <w:tab w:leader="none" w:pos="340" w:val="left"/>
        </w:tabs>
        <w:numPr>
          <w:ilvl w:val="0"/>
          <w:numId w:val="12"/>
        </w:numPr>
        <w:rPr>
          <w:rFonts w:ascii="Arial" w:cs="Arial" w:eastAsia="Arial" w:hAnsi="Arial"/>
          <w:sz w:val="16"/>
          <w:szCs w:val="16"/>
          <w:color w:val="0071CE"/>
        </w:rPr>
      </w:pPr>
      <w:r>
        <w:rPr>
          <w:rFonts w:ascii="Arial" w:cs="Arial" w:eastAsia="Arial" w:hAnsi="Arial"/>
          <w:sz w:val="16"/>
          <w:szCs w:val="16"/>
          <w:color w:val="auto"/>
        </w:rPr>
        <w:t>Compensation Committee</w:t>
      </w:r>
    </w:p>
    <w:p>
      <w:pPr>
        <w:spacing w:after="0" w:line="5" w:lineRule="exact"/>
        <w:rPr>
          <w:rFonts w:ascii="Arial" w:cs="Arial" w:eastAsia="Arial" w:hAnsi="Arial"/>
          <w:sz w:val="16"/>
          <w:szCs w:val="16"/>
          <w:color w:val="0071CE"/>
        </w:rPr>
      </w:pPr>
    </w:p>
    <w:p>
      <w:pPr>
        <w:ind w:left="340" w:hanging="143"/>
        <w:spacing w:after="0"/>
        <w:tabs>
          <w:tab w:leader="none" w:pos="340" w:val="left"/>
        </w:tabs>
        <w:numPr>
          <w:ilvl w:val="0"/>
          <w:numId w:val="12"/>
        </w:numPr>
        <w:rPr>
          <w:rFonts w:ascii="Arial" w:cs="Arial" w:eastAsia="Arial" w:hAnsi="Arial"/>
          <w:sz w:val="16"/>
          <w:szCs w:val="16"/>
          <w:color w:val="0071CE"/>
        </w:rPr>
      </w:pPr>
      <w:r>
        <w:rPr>
          <w:rFonts w:ascii="Arial" w:cs="Arial" w:eastAsia="Arial" w:hAnsi="Arial"/>
          <w:sz w:val="16"/>
          <w:szCs w:val="16"/>
          <w:color w:val="auto"/>
        </w:rPr>
        <w:t>Science Committee</w:t>
      </w:r>
    </w:p>
    <w:p>
      <w:pPr>
        <w:spacing w:after="0" w:line="10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Other Public Company Boards:</w:t>
      </w:r>
    </w:p>
    <w:p>
      <w:pPr>
        <w:spacing w:after="0" w:line="25" w:lineRule="exact"/>
        <w:rPr>
          <w:sz w:val="20"/>
          <w:szCs w:val="20"/>
          <w:color w:val="auto"/>
        </w:rPr>
      </w:pPr>
    </w:p>
    <w:p>
      <w:pPr>
        <w:ind w:left="340" w:hanging="143"/>
        <w:spacing w:after="0"/>
        <w:tabs>
          <w:tab w:leader="none" w:pos="340" w:val="left"/>
        </w:tabs>
        <w:numPr>
          <w:ilvl w:val="0"/>
          <w:numId w:val="13"/>
        </w:numPr>
        <w:rPr>
          <w:rFonts w:ascii="Arial" w:cs="Arial" w:eastAsia="Arial" w:hAnsi="Arial"/>
          <w:sz w:val="16"/>
          <w:szCs w:val="16"/>
          <w:color w:val="0071CE"/>
        </w:rPr>
      </w:pPr>
      <w:r>
        <w:rPr>
          <w:rFonts w:ascii="Arial" w:cs="Arial" w:eastAsia="Arial" w:hAnsi="Arial"/>
          <w:sz w:val="16"/>
          <w:szCs w:val="16"/>
          <w:color w:val="auto"/>
        </w:rPr>
        <w:t>Kronos Bio,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 &amp; Expertise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Dr. De Backer brings over 25 years of experience in healthcare, biotechnology, innovation, strategy,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business and corporate development. She has served as member of the Executive Committee, Executive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and Head of Strategy, Business Development and Licensing, and Open Innovation of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pharmaceuticals division of Bayer AG (BAYRY) since 2019. She is also on the board of directors of Kronos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Bio (NASDAQ: KRON), Gladstone Foundation and as an advisory member on the Stanford-Bayer Digital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advisory board. Previously, from 1991 through 2018, she was at Johnson &amp; Johnson where she most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recently held global Business and Corporate Development roles including the position of Vice President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M&amp;A Operations and Divestitures globally for the Pharmaceuticals Group and head of Infectious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Diseases &amp; Vaccines Business Development. Prior to that she led a commercial business unit in Europe as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well as drug discovery research in both Europe and the United States. Dr. De Backer holds an MBA from</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Erasmus University Rotterdam, a Master’s degree in Molecular Biology and Biotechnology from Vrije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Universiteit Brussels, and a Master’s degree in Engineering and a PhD in Biotechnology from Ghent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139065</wp:posOffset>
            </wp:positionV>
            <wp:extent cx="4894580" cy="6254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894580" cy="625475"/>
                    </a:xfrm>
                    <a:prstGeom prst="rect">
                      <a:avLst/>
                    </a:prstGeom>
                    <a:noFill/>
                  </pic:spPr>
                </pic:pic>
              </a:graphicData>
            </a:graphic>
          </wp:anchor>
        </w:drawing>
      </w:r>
    </w:p>
    <w:p>
      <w:pPr>
        <w:spacing w:after="0" w:line="31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Qualifications:</w:t>
      </w:r>
    </w:p>
    <w:p>
      <w:pPr>
        <w:spacing w:after="0" w:line="25" w:lineRule="exact"/>
        <w:rPr>
          <w:sz w:val="20"/>
          <w:szCs w:val="20"/>
          <w:color w:val="auto"/>
        </w:rPr>
      </w:pPr>
    </w:p>
    <w:p>
      <w:pPr>
        <w:jc w:val="both"/>
        <w:ind w:left="220" w:right="840"/>
        <w:spacing w:after="0" w:line="253" w:lineRule="auto"/>
        <w:rPr>
          <w:sz w:val="20"/>
          <w:szCs w:val="20"/>
          <w:color w:val="auto"/>
        </w:rPr>
      </w:pPr>
      <w:r>
        <w:rPr>
          <w:rFonts w:ascii="Arial" w:cs="Arial" w:eastAsia="Arial" w:hAnsi="Arial"/>
          <w:sz w:val="16"/>
          <w:szCs w:val="16"/>
          <w:color w:val="auto"/>
        </w:rPr>
        <w:t>Dr. De Backer’s qualifications to serve on the Board include her extensive background in the biopharmaceutical industry, her scientific, drug development, and pharmaceutical transaction experience, as well as her executive leadership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-2097405</wp:posOffset>
            </wp:positionH>
            <wp:positionV relativeFrom="paragraph">
              <wp:posOffset>49530</wp:posOffset>
            </wp:positionV>
            <wp:extent cx="6995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40" w:space="80"/>
            <w:col w:w="7700"/>
          </w:cols>
          <w:pgMar w:left="320" w:top="459" w:right="459" w:bottom="1440" w:gutter="0" w:footer="0" w:header="0"/>
          <w:type w:val="continuous"/>
        </w:sectPr>
      </w:pPr>
    </w:p>
    <w:p>
      <w:pPr>
        <w:spacing w:after="0" w:line="35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71CE"/>
        </w:rPr>
        <w:t>Mauro Ferrari, PhD</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0071CE"/>
        </w:rPr>
        <w:t>Independent Director</w:t>
      </w:r>
    </w:p>
    <w:p>
      <w:pPr>
        <w:spacing w:after="0" w:line="10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62</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2010</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Serves on:</w:t>
      </w:r>
    </w:p>
    <w:p>
      <w:pPr>
        <w:spacing w:after="0" w:line="25" w:lineRule="exact"/>
        <w:rPr>
          <w:sz w:val="20"/>
          <w:szCs w:val="20"/>
          <w:color w:val="auto"/>
        </w:rPr>
      </w:pPr>
    </w:p>
    <w:p>
      <w:pPr>
        <w:ind w:left="340" w:hanging="143"/>
        <w:spacing w:after="0"/>
        <w:tabs>
          <w:tab w:leader="none" w:pos="340" w:val="left"/>
        </w:tabs>
        <w:numPr>
          <w:ilvl w:val="0"/>
          <w:numId w:val="14"/>
        </w:numPr>
        <w:rPr>
          <w:rFonts w:ascii="Arial" w:cs="Arial" w:eastAsia="Arial" w:hAnsi="Arial"/>
          <w:sz w:val="16"/>
          <w:szCs w:val="16"/>
          <w:color w:val="0071CE"/>
        </w:rPr>
      </w:pPr>
      <w:r>
        <w:rPr>
          <w:rFonts w:ascii="Arial" w:cs="Arial" w:eastAsia="Arial" w:hAnsi="Arial"/>
          <w:sz w:val="16"/>
          <w:szCs w:val="16"/>
          <w:color w:val="auto"/>
        </w:rPr>
        <w:t>Science Committee (Co-Chair)</w:t>
      </w:r>
    </w:p>
    <w:p>
      <w:pPr>
        <w:spacing w:after="0" w:line="5" w:lineRule="exact"/>
        <w:rPr>
          <w:rFonts w:ascii="Arial" w:cs="Arial" w:eastAsia="Arial" w:hAnsi="Arial"/>
          <w:sz w:val="16"/>
          <w:szCs w:val="16"/>
          <w:color w:val="0071CE"/>
        </w:rPr>
      </w:pPr>
    </w:p>
    <w:p>
      <w:pPr>
        <w:ind w:left="340" w:hanging="143"/>
        <w:spacing w:after="0"/>
        <w:tabs>
          <w:tab w:leader="none" w:pos="340" w:val="left"/>
        </w:tabs>
        <w:numPr>
          <w:ilvl w:val="0"/>
          <w:numId w:val="14"/>
        </w:numPr>
        <w:rPr>
          <w:rFonts w:ascii="Arial" w:cs="Arial" w:eastAsia="Arial" w:hAnsi="Arial"/>
          <w:sz w:val="16"/>
          <w:szCs w:val="16"/>
          <w:color w:val="0071CE"/>
        </w:rPr>
      </w:pPr>
      <w:r>
        <w:rPr>
          <w:rFonts w:ascii="Arial" w:cs="Arial" w:eastAsia="Arial" w:hAnsi="Arial"/>
          <w:sz w:val="16"/>
          <w:szCs w:val="16"/>
          <w:color w:val="auto"/>
        </w:rPr>
        <w:t>Compensation Committee</w:t>
      </w:r>
    </w:p>
    <w:p>
      <w:pPr>
        <w:spacing w:after="0" w:line="5" w:lineRule="exact"/>
        <w:rPr>
          <w:rFonts w:ascii="Arial" w:cs="Arial" w:eastAsia="Arial" w:hAnsi="Arial"/>
          <w:sz w:val="16"/>
          <w:szCs w:val="16"/>
          <w:color w:val="0071CE"/>
        </w:rPr>
      </w:pPr>
    </w:p>
    <w:p>
      <w:pPr>
        <w:ind w:left="340" w:hanging="143"/>
        <w:spacing w:after="0"/>
        <w:tabs>
          <w:tab w:leader="none" w:pos="340" w:val="left"/>
        </w:tabs>
        <w:numPr>
          <w:ilvl w:val="0"/>
          <w:numId w:val="14"/>
        </w:numPr>
        <w:rPr>
          <w:rFonts w:ascii="Arial" w:cs="Arial" w:eastAsia="Arial" w:hAnsi="Arial"/>
          <w:sz w:val="16"/>
          <w:szCs w:val="16"/>
          <w:color w:val="0071CE"/>
        </w:rPr>
      </w:pPr>
      <w:r>
        <w:rPr>
          <w:rFonts w:ascii="Arial" w:cs="Arial" w:eastAsia="Arial" w:hAnsi="Arial"/>
          <w:sz w:val="16"/>
          <w:szCs w:val="16"/>
          <w:color w:val="auto"/>
        </w:rPr>
        <w:t>Nominating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 &amp; Expertise</w:t>
      </w:r>
    </w:p>
    <w:p>
      <w:pPr>
        <w:spacing w:after="0" w:line="25"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Dr. Ferrari currently serves as Affiliate Professor of Pharmaceutics at the University of Washington in Seattle, WA and CEO of BREYT Pharmaceutics in Menlo Park, CA. From 2010 to 2019, Dr. Ferrari was President and CEO of The Houston Methodist Hospital Research Institute (TMHRI), Executive Vice President of Houston Methodist Hospital and Senior Associate Dean of Weill Cornell Medical College in New York. He also served as President of the European Research Council. Dr. Ferrari is an internationally recognized expert in nanomedicine and biomedical nanotechnology. Dr. Ferrari was formerly Professor and served as chair of The Department of NanoMedicine and Biomedical Engineering at The University of Texas Health Science Center at Houston, Professor of Experimental Therapeutics at the MD Anderson Cancer Center, Adjunct Professor of Bioengineering at Rice University, and Adjunct Professor of Biomedical Engineering at the University of Texas in Austin. His previous academic appointments include tenured professorships at his graduate Alma Mater UC Berkeley, and The Ohio State University. From 2003 to 2005, Dr. Ferrari served as Special Expert on Nanotechnology and Eminent Scholar at The National Cancer Institute.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4894580" cy="9861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894580" cy="986155"/>
                    </a:xfrm>
                    <a:prstGeom prst="rect">
                      <a:avLst/>
                    </a:prstGeom>
                    <a:noFill/>
                  </pic:spPr>
                </pic:pic>
              </a:graphicData>
            </a:graphic>
          </wp:anchor>
        </w:drawing>
      </w:r>
    </w:p>
    <w:p>
      <w:pPr>
        <w:spacing w:after="0" w:line="30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Qualifications:</w:t>
      </w:r>
    </w:p>
    <w:p>
      <w:pPr>
        <w:spacing w:after="0" w:line="25" w:lineRule="exact"/>
        <w:rPr>
          <w:sz w:val="20"/>
          <w:szCs w:val="20"/>
          <w:color w:val="auto"/>
        </w:rPr>
      </w:pPr>
    </w:p>
    <w:p>
      <w:pPr>
        <w:ind w:left="220" w:right="40"/>
        <w:spacing w:after="0" w:line="249" w:lineRule="auto"/>
        <w:rPr>
          <w:sz w:val="20"/>
          <w:szCs w:val="20"/>
          <w:color w:val="auto"/>
        </w:rPr>
      </w:pPr>
      <w:r>
        <w:rPr>
          <w:rFonts w:ascii="Arial" w:cs="Arial" w:eastAsia="Arial" w:hAnsi="Arial"/>
          <w:sz w:val="16"/>
          <w:szCs w:val="16"/>
          <w:color w:val="auto"/>
        </w:rPr>
        <w:t>Dr. Ferrari’s qualifications to serve on the Board include his extensive training and experience in the fields of nanotechnology, biotechnology and biomedical applications. Dr. Ferrari has significant technical training, several academic appointments, over 500 published articles, over 30 issued patents and is the recipient of most prestigious academic awards in nanomedicine and drug delivery technology. Additionally, Dr. Ferrari has extensive experience in developmental stage organizations having founded several startup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-2097405</wp:posOffset>
            </wp:positionH>
            <wp:positionV relativeFrom="paragraph">
              <wp:posOffset>51435</wp:posOffset>
            </wp:positionV>
            <wp:extent cx="69951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944880</wp:posOffset>
            </wp:positionH>
            <wp:positionV relativeFrom="paragraph">
              <wp:posOffset>154305</wp:posOffset>
            </wp:positionV>
            <wp:extent cx="986155" cy="2057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00" w:space="720"/>
            <w:col w:w="7700"/>
          </w:cols>
          <w:pgMar w:left="320" w:top="459" w:right="459" w:bottom="1440" w:gutter="0" w:footer="0" w:header="0"/>
          <w:type w:val="continuous"/>
        </w:sectPr>
      </w:pPr>
    </w:p>
    <w:p>
      <w:pPr>
        <w:spacing w:after="0" w:line="74"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0071CE"/>
        </w:rPr>
        <w:t>6</w:t>
      </w:r>
    </w:p>
    <w:p>
      <w:pPr>
        <w:sectPr>
          <w:pgSz w:w="11900" w:h="16838" w:orient="portrait"/>
          <w:cols w:equalWidth="0" w:num="1">
            <w:col w:w="11120"/>
          </w:cols>
          <w:pgMar w:left="320" w:top="459" w:right="459" w:bottom="1440" w:gutter="0" w:footer="0" w:header="0"/>
          <w:type w:val="continuous"/>
        </w:sectPr>
      </w:pPr>
    </w:p>
    <w:bookmarkStart w:id="10" w:name="page11"/>
    <w:bookmarkEnd w:id="1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0"/>
        <w:spacing w:after="0"/>
        <w:rPr>
          <w:sz w:val="20"/>
          <w:szCs w:val="20"/>
          <w:color w:val="auto"/>
        </w:rPr>
      </w:pPr>
      <w:r>
        <w:rPr>
          <w:rFonts w:ascii="Arial" w:cs="Arial" w:eastAsia="Arial" w:hAnsi="Arial"/>
          <w:sz w:val="21"/>
          <w:szCs w:val="21"/>
          <w:b w:val="1"/>
          <w:bCs w:val="1"/>
          <w:color w:val="0071CE"/>
        </w:rPr>
        <w:t>Adeoye Olukotun, MD, MPH</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0071CE"/>
        </w:rPr>
        <w:t>Independent Director</w:t>
      </w:r>
    </w:p>
    <w:p>
      <w:pPr>
        <w:spacing w:after="0" w:line="10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77</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2020</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Serves on:</w:t>
      </w:r>
    </w:p>
    <w:p>
      <w:pPr>
        <w:spacing w:after="0" w:line="25" w:lineRule="exact"/>
        <w:rPr>
          <w:sz w:val="20"/>
          <w:szCs w:val="20"/>
          <w:color w:val="auto"/>
        </w:rPr>
      </w:pPr>
    </w:p>
    <w:p>
      <w:pPr>
        <w:ind w:left="340" w:hanging="143"/>
        <w:spacing w:after="0"/>
        <w:tabs>
          <w:tab w:leader="none" w:pos="340" w:val="left"/>
        </w:tabs>
        <w:numPr>
          <w:ilvl w:val="0"/>
          <w:numId w:val="15"/>
        </w:numPr>
        <w:rPr>
          <w:rFonts w:ascii="Arial" w:cs="Arial" w:eastAsia="Arial" w:hAnsi="Arial"/>
          <w:sz w:val="16"/>
          <w:szCs w:val="16"/>
          <w:color w:val="0071CE"/>
        </w:rPr>
      </w:pPr>
      <w:r>
        <w:rPr>
          <w:rFonts w:ascii="Arial" w:cs="Arial" w:eastAsia="Arial" w:hAnsi="Arial"/>
          <w:sz w:val="16"/>
          <w:szCs w:val="16"/>
          <w:color w:val="auto"/>
        </w:rPr>
        <w:t>Science Committee (Co-Chair)</w:t>
      </w:r>
    </w:p>
    <w:p>
      <w:pPr>
        <w:spacing w:after="0" w:line="5" w:lineRule="exact"/>
        <w:rPr>
          <w:rFonts w:ascii="Arial" w:cs="Arial" w:eastAsia="Arial" w:hAnsi="Arial"/>
          <w:sz w:val="16"/>
          <w:szCs w:val="16"/>
          <w:color w:val="0071CE"/>
        </w:rPr>
      </w:pPr>
    </w:p>
    <w:p>
      <w:pPr>
        <w:ind w:left="340" w:hanging="143"/>
        <w:spacing w:after="0"/>
        <w:tabs>
          <w:tab w:leader="none" w:pos="340" w:val="left"/>
        </w:tabs>
        <w:numPr>
          <w:ilvl w:val="0"/>
          <w:numId w:val="15"/>
        </w:numPr>
        <w:rPr>
          <w:rFonts w:ascii="Arial" w:cs="Arial" w:eastAsia="Arial" w:hAnsi="Arial"/>
          <w:sz w:val="16"/>
          <w:szCs w:val="16"/>
          <w:color w:val="0071CE"/>
        </w:rPr>
      </w:pPr>
      <w:r>
        <w:rPr>
          <w:rFonts w:ascii="Arial" w:cs="Arial" w:eastAsia="Arial" w:hAnsi="Arial"/>
          <w:sz w:val="16"/>
          <w:szCs w:val="16"/>
          <w:color w:val="auto"/>
        </w:rPr>
        <w:t>Audit Committee</w:t>
      </w:r>
    </w:p>
    <w:p>
      <w:pPr>
        <w:spacing w:after="0" w:line="5" w:lineRule="exact"/>
        <w:rPr>
          <w:rFonts w:ascii="Arial" w:cs="Arial" w:eastAsia="Arial" w:hAnsi="Arial"/>
          <w:sz w:val="16"/>
          <w:szCs w:val="16"/>
          <w:color w:val="0071CE"/>
        </w:rPr>
      </w:pPr>
    </w:p>
    <w:p>
      <w:pPr>
        <w:ind w:left="340" w:hanging="143"/>
        <w:spacing w:after="0"/>
        <w:tabs>
          <w:tab w:leader="none" w:pos="340" w:val="left"/>
        </w:tabs>
        <w:numPr>
          <w:ilvl w:val="0"/>
          <w:numId w:val="15"/>
        </w:numPr>
        <w:rPr>
          <w:rFonts w:ascii="Arial" w:cs="Arial" w:eastAsia="Arial" w:hAnsi="Arial"/>
          <w:sz w:val="16"/>
          <w:szCs w:val="16"/>
          <w:color w:val="0071CE"/>
        </w:rPr>
      </w:pPr>
      <w:r>
        <w:rPr>
          <w:rFonts w:ascii="Arial" w:cs="Arial" w:eastAsia="Arial" w:hAnsi="Arial"/>
          <w:sz w:val="16"/>
          <w:szCs w:val="16"/>
          <w:color w:val="auto"/>
        </w:rPr>
        <w:t>Compensation Committee</w:t>
      </w:r>
    </w:p>
    <w:p>
      <w:pPr>
        <w:spacing w:after="0" w:line="5" w:lineRule="exact"/>
        <w:rPr>
          <w:rFonts w:ascii="Arial" w:cs="Arial" w:eastAsia="Arial" w:hAnsi="Arial"/>
          <w:sz w:val="16"/>
          <w:szCs w:val="16"/>
          <w:color w:val="0071CE"/>
        </w:rPr>
      </w:pPr>
    </w:p>
    <w:p>
      <w:pPr>
        <w:ind w:left="340" w:hanging="143"/>
        <w:spacing w:after="0"/>
        <w:tabs>
          <w:tab w:leader="none" w:pos="340" w:val="left"/>
        </w:tabs>
        <w:numPr>
          <w:ilvl w:val="0"/>
          <w:numId w:val="15"/>
        </w:numPr>
        <w:rPr>
          <w:rFonts w:ascii="Arial" w:cs="Arial" w:eastAsia="Arial" w:hAnsi="Arial"/>
          <w:sz w:val="16"/>
          <w:szCs w:val="16"/>
          <w:color w:val="0071CE"/>
        </w:rPr>
      </w:pPr>
      <w:r>
        <w:rPr>
          <w:rFonts w:ascii="Arial" w:cs="Arial" w:eastAsia="Arial" w:hAnsi="Arial"/>
          <w:sz w:val="16"/>
          <w:szCs w:val="16"/>
          <w:color w:val="auto"/>
        </w:rPr>
        <w:t>Nominating Committee</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Other Public Company Boards:</w:t>
      </w:r>
    </w:p>
    <w:p>
      <w:pPr>
        <w:spacing w:after="0" w:line="25" w:lineRule="exact"/>
        <w:rPr>
          <w:sz w:val="20"/>
          <w:szCs w:val="20"/>
          <w:color w:val="auto"/>
        </w:rPr>
      </w:pPr>
    </w:p>
    <w:p>
      <w:pPr>
        <w:ind w:left="340" w:hanging="143"/>
        <w:spacing w:after="0"/>
        <w:tabs>
          <w:tab w:leader="none" w:pos="340" w:val="left"/>
        </w:tabs>
        <w:numPr>
          <w:ilvl w:val="0"/>
          <w:numId w:val="16"/>
        </w:numPr>
        <w:rPr>
          <w:rFonts w:ascii="Arial" w:cs="Arial" w:eastAsia="Arial" w:hAnsi="Arial"/>
          <w:sz w:val="16"/>
          <w:szCs w:val="16"/>
          <w:color w:val="0071CE"/>
        </w:rPr>
      </w:pPr>
      <w:r>
        <w:rPr>
          <w:rFonts w:ascii="Arial" w:cs="Arial" w:eastAsia="Arial" w:hAnsi="Arial"/>
          <w:sz w:val="16"/>
          <w:szCs w:val="16"/>
          <w:color w:val="auto"/>
        </w:rPr>
        <w:t>Tonix Pharmaceuticals Holding Corp.</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right"/>
        <w:spacing w:after="0"/>
        <w:tabs>
          <w:tab w:leader="none" w:pos="2560" w:val="left"/>
        </w:tabs>
        <w:rPr>
          <w:sz w:val="20"/>
          <w:szCs w:val="20"/>
          <w:color w:val="auto"/>
        </w:rPr>
      </w:pPr>
      <w:r>
        <w:rPr>
          <w:rFonts w:ascii="Arial" w:cs="Arial" w:eastAsia="Arial" w:hAnsi="Arial"/>
          <w:sz w:val="14"/>
          <w:szCs w:val="14"/>
          <w:b w:val="1"/>
          <w:bCs w:val="1"/>
          <w:color w:val="0071CE"/>
        </w:rPr>
        <w:t>2022 PROXY STATEMENT</w:t>
      </w:r>
      <w:r>
        <w:rPr>
          <w:sz w:val="20"/>
          <w:szCs w:val="20"/>
          <w:color w:val="auto"/>
        </w:rPr>
        <w:tab/>
      </w:r>
      <w:r>
        <w:rPr>
          <w:rFonts w:ascii="Arial" w:cs="Arial" w:eastAsia="Arial" w:hAnsi="Arial"/>
          <w:sz w:val="14"/>
          <w:szCs w:val="14"/>
          <w:b w:val="1"/>
          <w:bCs w:val="1"/>
          <w:i w:val="1"/>
          <w:iCs w:val="1"/>
          <w:color w:val="3FAE2A"/>
        </w:rPr>
        <w:t>Proposal One — Election of Directors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 &amp; Expertise</w:t>
      </w:r>
    </w:p>
    <w:p>
      <w:pPr>
        <w:spacing w:after="0" w:line="25"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Dr. Olukotun is a Mayo Clinic trained cardiologist who has served as Chief Executive Officer of CR Strategies, LLC, which consults on clinical trial design and FDA strategy for pharmaceutical development , since 2001. Dr. Olukotun currently serves on the board of directors of Tonix Pharmaceuticals Holding Corp. (NASDAQ: TNXP), a clinical-stage biopharmaceuticals company. He served as CEO of Epigen Pharmaceuticals, Inc., a discovery phase biotechnology company, from 2014 to 2017, and Vice Board Chair of CardioVax, Inc., a clinical-stage biopharmaceutical company, from 2012 to 2016. He spent the first 20 years of his career in roles of increasing responsibility in clinical development, including multiple product approvals, at Pfizer, Bristol-Myers Squibb, and Mallinckrodt. He has over 35 years of experience in the pharmaceutical industry and has been instrumental in the approval and success of numerous cardiology and metabolic medicines, including the first daily beta blocker and the first approved ACE inhibitor, among others. Dr. Olukotun received his Medical Doctor degree from the Albert Einstein College of Medicine in New York, and a Masters in Public Health from Harvard University School of Public Health.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4894580" cy="6254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894580" cy="625475"/>
                    </a:xfrm>
                    <a:prstGeom prst="rect">
                      <a:avLst/>
                    </a:prstGeom>
                    <a:noFill/>
                  </pic:spPr>
                </pic:pic>
              </a:graphicData>
            </a:graphic>
          </wp:anchor>
        </w:drawing>
      </w:r>
    </w:p>
    <w:p>
      <w:pPr>
        <w:spacing w:after="0" w:line="307"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Qualifications</w:t>
      </w:r>
    </w:p>
    <w:p>
      <w:pPr>
        <w:spacing w:after="0" w:line="25" w:lineRule="exact"/>
        <w:rPr>
          <w:sz w:val="20"/>
          <w:szCs w:val="20"/>
          <w:color w:val="auto"/>
        </w:rPr>
      </w:pPr>
    </w:p>
    <w:p>
      <w:pPr>
        <w:ind w:left="220" w:right="140"/>
        <w:spacing w:after="0" w:line="253" w:lineRule="auto"/>
        <w:rPr>
          <w:sz w:val="20"/>
          <w:szCs w:val="20"/>
          <w:color w:val="auto"/>
        </w:rPr>
      </w:pPr>
      <w:r>
        <w:rPr>
          <w:rFonts w:ascii="Arial" w:cs="Arial" w:eastAsia="Arial" w:hAnsi="Arial"/>
          <w:sz w:val="16"/>
          <w:szCs w:val="16"/>
          <w:color w:val="auto"/>
        </w:rPr>
        <w:t>Dr. Olukotun’s qualifications to serve on the Board include his extensive background in biopharmaceutical development, particularly in the cardiometabolic field, his scientific and public health expertise, and his board and executive leadership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-2097405</wp:posOffset>
            </wp:positionH>
            <wp:positionV relativeFrom="paragraph">
              <wp:posOffset>49530</wp:posOffset>
            </wp:positionV>
            <wp:extent cx="69951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00" w:space="420"/>
            <w:col w:w="7720"/>
          </w:cols>
          <w:pgMar w:left="320" w:top="459" w:right="439" w:bottom="1440" w:gutter="0" w:footer="0" w:header="0"/>
          <w:type w:val="continuous"/>
        </w:sectPr>
      </w:pPr>
    </w:p>
    <w:p>
      <w:pPr>
        <w:spacing w:after="0" w:line="35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71CE"/>
        </w:rPr>
        <w:t>William Waddill</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0071CE"/>
        </w:rPr>
        <w:t>Independent Director</w:t>
      </w:r>
    </w:p>
    <w:p>
      <w:pPr>
        <w:spacing w:after="0" w:line="10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64</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2018</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Serves on:</w:t>
      </w:r>
    </w:p>
    <w:p>
      <w:pPr>
        <w:spacing w:after="0" w:line="25" w:lineRule="exact"/>
        <w:rPr>
          <w:sz w:val="20"/>
          <w:szCs w:val="20"/>
          <w:color w:val="auto"/>
        </w:rPr>
      </w:pPr>
    </w:p>
    <w:p>
      <w:pPr>
        <w:ind w:left="340" w:hanging="143"/>
        <w:spacing w:after="0"/>
        <w:tabs>
          <w:tab w:leader="none" w:pos="340" w:val="left"/>
        </w:tabs>
        <w:numPr>
          <w:ilvl w:val="0"/>
          <w:numId w:val="17"/>
        </w:numPr>
        <w:rPr>
          <w:rFonts w:ascii="Arial" w:cs="Arial" w:eastAsia="Arial" w:hAnsi="Arial"/>
          <w:sz w:val="16"/>
          <w:szCs w:val="16"/>
          <w:color w:val="0071CE"/>
        </w:rPr>
      </w:pPr>
      <w:r>
        <w:rPr>
          <w:rFonts w:ascii="Arial" w:cs="Arial" w:eastAsia="Arial" w:hAnsi="Arial"/>
          <w:sz w:val="16"/>
          <w:szCs w:val="16"/>
          <w:color w:val="auto"/>
        </w:rPr>
        <w:t>Audit Committee (Chair)</w:t>
      </w:r>
    </w:p>
    <w:p>
      <w:pPr>
        <w:spacing w:after="0" w:line="5" w:lineRule="exact"/>
        <w:rPr>
          <w:rFonts w:ascii="Arial" w:cs="Arial" w:eastAsia="Arial" w:hAnsi="Arial"/>
          <w:sz w:val="16"/>
          <w:szCs w:val="16"/>
          <w:color w:val="0071CE"/>
        </w:rPr>
      </w:pPr>
    </w:p>
    <w:p>
      <w:pPr>
        <w:ind w:left="340" w:hanging="143"/>
        <w:spacing w:after="0"/>
        <w:tabs>
          <w:tab w:leader="none" w:pos="340" w:val="left"/>
        </w:tabs>
        <w:numPr>
          <w:ilvl w:val="0"/>
          <w:numId w:val="17"/>
        </w:numPr>
        <w:rPr>
          <w:rFonts w:ascii="Arial" w:cs="Arial" w:eastAsia="Arial" w:hAnsi="Arial"/>
          <w:sz w:val="16"/>
          <w:szCs w:val="16"/>
          <w:color w:val="0071CE"/>
        </w:rPr>
      </w:pPr>
      <w:r>
        <w:rPr>
          <w:rFonts w:ascii="Arial" w:cs="Arial" w:eastAsia="Arial" w:hAnsi="Arial"/>
          <w:sz w:val="16"/>
          <w:szCs w:val="16"/>
          <w:color w:val="auto"/>
        </w:rPr>
        <w:t>Compensation Committee (Chair)</w:t>
      </w:r>
    </w:p>
    <w:p>
      <w:pPr>
        <w:spacing w:after="0" w:line="5" w:lineRule="exact"/>
        <w:rPr>
          <w:rFonts w:ascii="Arial" w:cs="Arial" w:eastAsia="Arial" w:hAnsi="Arial"/>
          <w:sz w:val="16"/>
          <w:szCs w:val="16"/>
          <w:color w:val="0071CE"/>
        </w:rPr>
      </w:pPr>
    </w:p>
    <w:p>
      <w:pPr>
        <w:ind w:left="340" w:hanging="143"/>
        <w:spacing w:after="0"/>
        <w:tabs>
          <w:tab w:leader="none" w:pos="340" w:val="left"/>
        </w:tabs>
        <w:numPr>
          <w:ilvl w:val="0"/>
          <w:numId w:val="17"/>
        </w:numPr>
        <w:rPr>
          <w:rFonts w:ascii="Arial" w:cs="Arial" w:eastAsia="Arial" w:hAnsi="Arial"/>
          <w:sz w:val="16"/>
          <w:szCs w:val="16"/>
          <w:color w:val="0071CE"/>
        </w:rPr>
      </w:pPr>
      <w:r>
        <w:rPr>
          <w:rFonts w:ascii="Arial" w:cs="Arial" w:eastAsia="Arial" w:hAnsi="Arial"/>
          <w:sz w:val="16"/>
          <w:szCs w:val="16"/>
          <w:color w:val="auto"/>
        </w:rPr>
        <w:t>Nominating Committee</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Other Public Company Boards:</w:t>
      </w:r>
    </w:p>
    <w:p>
      <w:pPr>
        <w:spacing w:after="0" w:line="25" w:lineRule="exact"/>
        <w:rPr>
          <w:sz w:val="20"/>
          <w:szCs w:val="20"/>
          <w:color w:val="auto"/>
        </w:rPr>
      </w:pPr>
    </w:p>
    <w:p>
      <w:pPr>
        <w:ind w:left="340" w:hanging="143"/>
        <w:spacing w:after="0"/>
        <w:tabs>
          <w:tab w:leader="none" w:pos="340" w:val="left"/>
        </w:tabs>
        <w:numPr>
          <w:ilvl w:val="0"/>
          <w:numId w:val="18"/>
        </w:numPr>
        <w:rPr>
          <w:rFonts w:ascii="Arial" w:cs="Arial" w:eastAsia="Arial" w:hAnsi="Arial"/>
          <w:sz w:val="16"/>
          <w:szCs w:val="16"/>
          <w:color w:val="0071CE"/>
        </w:rPr>
      </w:pPr>
      <w:r>
        <w:rPr>
          <w:rFonts w:ascii="Arial" w:cs="Arial" w:eastAsia="Arial" w:hAnsi="Arial"/>
          <w:sz w:val="16"/>
          <w:szCs w:val="16"/>
          <w:color w:val="auto"/>
        </w:rPr>
        <w:t>Protagonist Therapeutics, Inc.</w:t>
      </w:r>
    </w:p>
    <w:p>
      <w:pPr>
        <w:spacing w:after="0" w:line="5" w:lineRule="exact"/>
        <w:rPr>
          <w:rFonts w:ascii="Arial" w:cs="Arial" w:eastAsia="Arial" w:hAnsi="Arial"/>
          <w:sz w:val="16"/>
          <w:szCs w:val="16"/>
          <w:color w:val="0071CE"/>
        </w:rPr>
      </w:pPr>
    </w:p>
    <w:p>
      <w:pPr>
        <w:ind w:left="340" w:hanging="143"/>
        <w:spacing w:after="0"/>
        <w:tabs>
          <w:tab w:leader="none" w:pos="340" w:val="left"/>
        </w:tabs>
        <w:numPr>
          <w:ilvl w:val="0"/>
          <w:numId w:val="18"/>
        </w:numPr>
        <w:rPr>
          <w:rFonts w:ascii="Arial" w:cs="Arial" w:eastAsia="Arial" w:hAnsi="Arial"/>
          <w:sz w:val="16"/>
          <w:szCs w:val="16"/>
          <w:color w:val="0071CE"/>
        </w:rPr>
      </w:pPr>
      <w:r>
        <w:rPr>
          <w:rFonts w:ascii="Arial" w:cs="Arial" w:eastAsia="Arial" w:hAnsi="Arial"/>
          <w:sz w:val="16"/>
          <w:szCs w:val="16"/>
          <w:color w:val="auto"/>
        </w:rPr>
        <w:t>Annexon Biosciences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 &amp; Expertise</w:t>
      </w:r>
    </w:p>
    <w:p>
      <w:pPr>
        <w:spacing w:after="0" w:line="25"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Mr. Waddill began his career 35 years ago in commercial banking and public accounting and has been in the biotechnology industry for over 30 years. He currently serves on the boards of Protagonist Therapeutics and Annexon Biosciences, both clinical-stage biopharmaceutical companies. Mr. Waddill was Senior Vice President and CFO of Calithera Bioscience, from 2014 to 2016 and Senior Vice President and CFO at OncoMed Pharmaceuticals from 2007 to 2014, both of which are public clinical-stage biopharmaceutical companies. Priorto that, he served as the Senior Vice President and CFO of Ilypsa, Inc., a biotechnology company that was acquired in 2007 by Amgen, Inc. Before joining Ilypsa, he served as the founder and principal at Square One Finance, a financial consulting business. Mr. Waddill received a BS in accounting from the University of Illinois, Chicago, and certification as a public accountant (inactive) after working at PriceWaterhouseCoopers and Deloitte in Boston.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128905</wp:posOffset>
            </wp:positionV>
            <wp:extent cx="4894580" cy="6254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894580" cy="625475"/>
                    </a:xfrm>
                    <a:prstGeom prst="rect">
                      <a:avLst/>
                    </a:prstGeom>
                    <a:noFill/>
                  </pic:spPr>
                </pic:pic>
              </a:graphicData>
            </a:graphic>
          </wp:anchor>
        </w:drawing>
      </w:r>
    </w:p>
    <w:p>
      <w:pPr>
        <w:spacing w:after="0" w:line="300"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Qualifications</w:t>
      </w:r>
    </w:p>
    <w:p>
      <w:pPr>
        <w:spacing w:after="0" w:line="25" w:lineRule="exact"/>
        <w:rPr>
          <w:sz w:val="20"/>
          <w:szCs w:val="20"/>
          <w:color w:val="auto"/>
        </w:rPr>
      </w:pPr>
    </w:p>
    <w:p>
      <w:pPr>
        <w:jc w:val="both"/>
        <w:ind w:left="220" w:right="340"/>
        <w:spacing w:after="0" w:line="253" w:lineRule="auto"/>
        <w:rPr>
          <w:sz w:val="20"/>
          <w:szCs w:val="20"/>
          <w:color w:val="auto"/>
        </w:rPr>
      </w:pPr>
      <w:r>
        <w:rPr>
          <w:rFonts w:ascii="Arial" w:cs="Arial" w:eastAsia="Arial" w:hAnsi="Arial"/>
          <w:sz w:val="16"/>
          <w:szCs w:val="16"/>
          <w:color w:val="auto"/>
        </w:rPr>
        <w:t>Mr. Waddill’s qualifications to serve on the Board include his extensive background in the biopharma industry, his financial and audit expertise, executive leadership roles and experience as a director of other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-2097405</wp:posOffset>
            </wp:positionH>
            <wp:positionV relativeFrom="paragraph">
              <wp:posOffset>49530</wp:posOffset>
            </wp:positionV>
            <wp:extent cx="69951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833755</wp:posOffset>
            </wp:positionH>
            <wp:positionV relativeFrom="paragraph">
              <wp:posOffset>152400</wp:posOffset>
            </wp:positionV>
            <wp:extent cx="986155" cy="2057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60" w:space="660"/>
            <w:col w:w="7720"/>
          </w:cols>
          <w:pgMar w:left="320" w:top="459" w:right="439" w:bottom="1440" w:gutter="0" w:footer="0" w:header="0"/>
          <w:type w:val="continuous"/>
        </w:sectPr>
      </w:pPr>
    </w:p>
    <w:p>
      <w:pPr>
        <w:spacing w:after="0" w:line="71" w:lineRule="exact"/>
        <w:rPr>
          <w:sz w:val="20"/>
          <w:szCs w:val="20"/>
          <w:color w:val="auto"/>
        </w:rPr>
      </w:pPr>
    </w:p>
    <w:p>
      <w:pPr>
        <w:ind w:left="10980"/>
        <w:spacing w:after="0"/>
        <w:rPr>
          <w:sz w:val="20"/>
          <w:szCs w:val="20"/>
          <w:color w:val="auto"/>
        </w:rPr>
      </w:pPr>
      <w:r>
        <w:rPr>
          <w:rFonts w:ascii="Arial" w:cs="Arial" w:eastAsia="Arial" w:hAnsi="Arial"/>
          <w:sz w:val="17"/>
          <w:szCs w:val="17"/>
          <w:b w:val="1"/>
          <w:bCs w:val="1"/>
          <w:color w:val="0071CE"/>
        </w:rPr>
        <w:t>7</w:t>
      </w:r>
    </w:p>
    <w:p>
      <w:pPr>
        <w:sectPr>
          <w:pgSz w:w="11900" w:h="16838" w:orient="portrait"/>
          <w:cols w:equalWidth="0" w:num="1">
            <w:col w:w="11140"/>
          </w:cols>
          <w:pgMar w:left="320" w:top="459" w:right="4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20"/>
        <w:spacing w:after="0"/>
        <w:tabs>
          <w:tab w:leader="none" w:pos="2020" w:val="left"/>
        </w:tabs>
        <w:rPr>
          <w:sz w:val="20"/>
          <w:szCs w:val="20"/>
          <w:color w:val="auto"/>
        </w:rPr>
      </w:pPr>
      <w:r>
        <w:rPr>
          <w:rFonts w:ascii="Arial" w:cs="Arial" w:eastAsia="Arial" w:hAnsi="Arial"/>
          <w:sz w:val="14"/>
          <w:szCs w:val="14"/>
          <w:b w:val="1"/>
          <w:bCs w:val="1"/>
          <w:color w:val="0071CE"/>
        </w:rPr>
        <w:t>2022 PROXY STATEMENT</w:t>
      </w:r>
      <w:r>
        <w:rPr>
          <w:sz w:val="20"/>
          <w:szCs w:val="20"/>
          <w:color w:val="auto"/>
        </w:rPr>
        <w:tab/>
      </w:r>
      <w:r>
        <w:rPr>
          <w:rFonts w:ascii="Arial" w:cs="Arial" w:eastAsia="Arial" w:hAnsi="Arial"/>
          <w:sz w:val="14"/>
          <w:szCs w:val="14"/>
          <w:b w:val="1"/>
          <w:bCs w:val="1"/>
          <w:i w:val="1"/>
          <w:iCs w:val="1"/>
          <w:color w:val="3FAE2A"/>
        </w:rPr>
        <w:t>Proposal One — Election of Directors</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C4C4C"/>
        </w:rPr>
        <w:t>Board Composition and Nominating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57150</wp:posOffset>
            </wp:positionV>
            <wp:extent cx="69951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6" w:lineRule="exact"/>
        <w:rPr>
          <w:sz w:val="20"/>
          <w:szCs w:val="20"/>
          <w:color w:val="auto"/>
        </w:rPr>
      </w:pPr>
    </w:p>
    <w:p>
      <w:pPr>
        <w:ind w:left="120" w:right="80"/>
        <w:spacing w:after="0" w:line="253" w:lineRule="auto"/>
        <w:rPr>
          <w:sz w:val="20"/>
          <w:szCs w:val="20"/>
          <w:color w:val="auto"/>
        </w:rPr>
      </w:pPr>
      <w:r>
        <w:rPr>
          <w:rFonts w:ascii="Arial" w:cs="Arial" w:eastAsia="Arial" w:hAnsi="Arial"/>
          <w:sz w:val="16"/>
          <w:szCs w:val="16"/>
          <w:color w:val="auto"/>
        </w:rPr>
        <w:t>The Nominating Committee of the Board annually considers the size, composition and needs of the Board and, as appropriate, recommends the nominees for directors to the Board for approval. The Committee considers and evaluates suggestions from many sources regarding possible candidates for directors. Below are general criteria for the evaluation of current and proposed directors:</w:t>
      </w:r>
    </w:p>
    <w:p>
      <w:pPr>
        <w:spacing w:after="0" w:line="107" w:lineRule="exact"/>
        <w:rPr>
          <w:sz w:val="20"/>
          <w:szCs w:val="20"/>
          <w:color w:val="auto"/>
        </w:rPr>
      </w:pPr>
    </w:p>
    <w:p>
      <w:pPr>
        <w:ind w:left="440" w:hanging="216"/>
        <w:spacing w:after="0"/>
        <w:tabs>
          <w:tab w:leader="none" w:pos="440" w:val="left"/>
        </w:tabs>
        <w:numPr>
          <w:ilvl w:val="0"/>
          <w:numId w:val="19"/>
        </w:numPr>
        <w:rPr>
          <w:rFonts w:ascii="Arial" w:cs="Arial" w:eastAsia="Arial" w:hAnsi="Arial"/>
          <w:sz w:val="16"/>
          <w:szCs w:val="16"/>
          <w:color w:val="0071CE"/>
        </w:rPr>
      </w:pPr>
      <w:r>
        <w:rPr>
          <w:rFonts w:ascii="Arial" w:cs="Arial" w:eastAsia="Arial" w:hAnsi="Arial"/>
          <w:sz w:val="16"/>
          <w:szCs w:val="16"/>
          <w:color w:val="auto"/>
        </w:rPr>
        <w:t>The highest ethical character and shared values with our Code of Corporate Conduct</w:t>
      </w:r>
    </w:p>
    <w:p>
      <w:pPr>
        <w:spacing w:after="0" w:line="126" w:lineRule="exact"/>
        <w:rPr>
          <w:rFonts w:ascii="Arial" w:cs="Arial" w:eastAsia="Arial" w:hAnsi="Arial"/>
          <w:sz w:val="16"/>
          <w:szCs w:val="16"/>
          <w:color w:val="0071CE"/>
        </w:rPr>
      </w:pPr>
    </w:p>
    <w:p>
      <w:pPr>
        <w:ind w:left="440" w:hanging="216"/>
        <w:spacing w:after="0"/>
        <w:tabs>
          <w:tab w:leader="none" w:pos="440" w:val="left"/>
        </w:tabs>
        <w:numPr>
          <w:ilvl w:val="0"/>
          <w:numId w:val="19"/>
        </w:numPr>
        <w:rPr>
          <w:rFonts w:ascii="Arial" w:cs="Arial" w:eastAsia="Arial" w:hAnsi="Arial"/>
          <w:sz w:val="16"/>
          <w:szCs w:val="16"/>
          <w:color w:val="0071CE"/>
        </w:rPr>
      </w:pPr>
      <w:r>
        <w:rPr>
          <w:rFonts w:ascii="Arial" w:cs="Arial" w:eastAsia="Arial" w:hAnsi="Arial"/>
          <w:sz w:val="16"/>
          <w:szCs w:val="16"/>
          <w:color w:val="auto"/>
        </w:rPr>
        <w:t>Reputation, both personal and professional, consistent with our image and reputation</w:t>
      </w:r>
    </w:p>
    <w:p>
      <w:pPr>
        <w:spacing w:after="0" w:line="126" w:lineRule="exact"/>
        <w:rPr>
          <w:rFonts w:ascii="Arial" w:cs="Arial" w:eastAsia="Arial" w:hAnsi="Arial"/>
          <w:sz w:val="16"/>
          <w:szCs w:val="16"/>
          <w:color w:val="0071CE"/>
        </w:rPr>
      </w:pPr>
    </w:p>
    <w:p>
      <w:pPr>
        <w:ind w:left="440" w:hanging="216"/>
        <w:spacing w:after="0"/>
        <w:tabs>
          <w:tab w:leader="none" w:pos="440" w:val="left"/>
        </w:tabs>
        <w:numPr>
          <w:ilvl w:val="0"/>
          <w:numId w:val="19"/>
        </w:numPr>
        <w:rPr>
          <w:rFonts w:ascii="Arial" w:cs="Arial" w:eastAsia="Arial" w:hAnsi="Arial"/>
          <w:sz w:val="16"/>
          <w:szCs w:val="16"/>
          <w:color w:val="0071CE"/>
        </w:rPr>
      </w:pPr>
      <w:r>
        <w:rPr>
          <w:rFonts w:ascii="Arial" w:cs="Arial" w:eastAsia="Arial" w:hAnsi="Arial"/>
          <w:sz w:val="16"/>
          <w:szCs w:val="16"/>
          <w:color w:val="auto"/>
        </w:rPr>
        <w:t>Accomplishment within candidate’s field, with superior credentials and recognition</w:t>
      </w:r>
    </w:p>
    <w:p>
      <w:pPr>
        <w:spacing w:after="0" w:line="126" w:lineRule="exact"/>
        <w:rPr>
          <w:rFonts w:ascii="Arial" w:cs="Arial" w:eastAsia="Arial" w:hAnsi="Arial"/>
          <w:sz w:val="16"/>
          <w:szCs w:val="16"/>
          <w:color w:val="0071CE"/>
        </w:rPr>
      </w:pPr>
    </w:p>
    <w:p>
      <w:pPr>
        <w:ind w:left="440" w:right="820" w:hanging="216"/>
        <w:spacing w:after="0" w:line="260" w:lineRule="auto"/>
        <w:tabs>
          <w:tab w:leader="none" w:pos="440" w:val="left"/>
        </w:tabs>
        <w:numPr>
          <w:ilvl w:val="0"/>
          <w:numId w:val="19"/>
        </w:numPr>
        <w:rPr>
          <w:rFonts w:ascii="Arial" w:cs="Arial" w:eastAsia="Arial" w:hAnsi="Arial"/>
          <w:sz w:val="16"/>
          <w:szCs w:val="16"/>
          <w:color w:val="0071CE"/>
        </w:rPr>
      </w:pPr>
      <w:r>
        <w:rPr>
          <w:rFonts w:ascii="Arial" w:cs="Arial" w:eastAsia="Arial" w:hAnsi="Arial"/>
          <w:sz w:val="16"/>
          <w:szCs w:val="16"/>
          <w:color w:val="auto"/>
        </w:rPr>
        <w:t>Relevant expertise and experience and the ability to offer advice and guidance to the Chief Executive Officer based on such expertise and experience</w:t>
      </w:r>
    </w:p>
    <w:p>
      <w:pPr>
        <w:spacing w:after="0" w:line="100" w:lineRule="exact"/>
        <w:rPr>
          <w:rFonts w:ascii="Arial" w:cs="Arial" w:eastAsia="Arial" w:hAnsi="Arial"/>
          <w:sz w:val="16"/>
          <w:szCs w:val="16"/>
          <w:color w:val="0071CE"/>
        </w:rPr>
      </w:pPr>
    </w:p>
    <w:p>
      <w:pPr>
        <w:ind w:left="440" w:right="360" w:hanging="216"/>
        <w:spacing w:after="0" w:line="260" w:lineRule="auto"/>
        <w:tabs>
          <w:tab w:leader="none" w:pos="440" w:val="left"/>
        </w:tabs>
        <w:numPr>
          <w:ilvl w:val="0"/>
          <w:numId w:val="19"/>
        </w:numPr>
        <w:rPr>
          <w:rFonts w:ascii="Arial" w:cs="Arial" w:eastAsia="Arial" w:hAnsi="Arial"/>
          <w:sz w:val="16"/>
          <w:szCs w:val="16"/>
          <w:color w:val="0071CE"/>
        </w:rPr>
      </w:pPr>
      <w:r>
        <w:rPr>
          <w:rFonts w:ascii="Arial" w:cs="Arial" w:eastAsia="Arial" w:hAnsi="Arial"/>
          <w:sz w:val="16"/>
          <w:szCs w:val="16"/>
          <w:color w:val="auto"/>
        </w:rPr>
        <w:t>Independence, without the appearance of any conflict in serving as a Director, and independence of any particular constituency with the ability to represent all stockholders</w:t>
      </w:r>
    </w:p>
    <w:p>
      <w:pPr>
        <w:spacing w:after="0" w:line="100" w:lineRule="exact"/>
        <w:rPr>
          <w:rFonts w:ascii="Arial" w:cs="Arial" w:eastAsia="Arial" w:hAnsi="Arial"/>
          <w:sz w:val="16"/>
          <w:szCs w:val="16"/>
          <w:color w:val="0071CE"/>
        </w:rPr>
      </w:pPr>
    </w:p>
    <w:p>
      <w:pPr>
        <w:ind w:left="440" w:hanging="216"/>
        <w:spacing w:after="0"/>
        <w:tabs>
          <w:tab w:leader="none" w:pos="440" w:val="left"/>
        </w:tabs>
        <w:numPr>
          <w:ilvl w:val="0"/>
          <w:numId w:val="19"/>
        </w:numPr>
        <w:rPr>
          <w:rFonts w:ascii="Arial" w:cs="Arial" w:eastAsia="Arial" w:hAnsi="Arial"/>
          <w:sz w:val="16"/>
          <w:szCs w:val="16"/>
          <w:color w:val="0071CE"/>
        </w:rPr>
      </w:pPr>
      <w:r>
        <w:rPr>
          <w:rFonts w:ascii="Arial" w:cs="Arial" w:eastAsia="Arial" w:hAnsi="Arial"/>
          <w:sz w:val="16"/>
          <w:szCs w:val="16"/>
          <w:color w:val="auto"/>
        </w:rPr>
        <w:t>Ability to exercise sound business judgment</w:t>
      </w:r>
    </w:p>
    <w:p>
      <w:pPr>
        <w:spacing w:after="0" w:line="126" w:lineRule="exact"/>
        <w:rPr>
          <w:rFonts w:ascii="Arial" w:cs="Arial" w:eastAsia="Arial" w:hAnsi="Arial"/>
          <w:sz w:val="16"/>
          <w:szCs w:val="16"/>
          <w:color w:val="0071CE"/>
        </w:rPr>
      </w:pPr>
    </w:p>
    <w:p>
      <w:pPr>
        <w:ind w:left="440" w:right="60" w:hanging="216"/>
        <w:spacing w:after="0" w:line="260" w:lineRule="auto"/>
        <w:tabs>
          <w:tab w:leader="none" w:pos="440" w:val="left"/>
        </w:tabs>
        <w:numPr>
          <w:ilvl w:val="0"/>
          <w:numId w:val="19"/>
        </w:numPr>
        <w:rPr>
          <w:rFonts w:ascii="Arial" w:cs="Arial" w:eastAsia="Arial" w:hAnsi="Arial"/>
          <w:sz w:val="16"/>
          <w:szCs w:val="16"/>
          <w:color w:val="0071CE"/>
        </w:rPr>
      </w:pPr>
      <w:r>
        <w:rPr>
          <w:rFonts w:ascii="Arial" w:cs="Arial" w:eastAsia="Arial" w:hAnsi="Arial"/>
          <w:sz w:val="16"/>
          <w:szCs w:val="16"/>
          <w:color w:val="auto"/>
        </w:rPr>
        <w:t>Diversity, reflecting differences in skills, regional and industry experience, backgrounds, ages, and other unique characteristics, such as race, gender and ethnicity</w:t>
      </w:r>
    </w:p>
    <w:p>
      <w:pPr>
        <w:spacing w:after="0" w:line="195" w:lineRule="exact"/>
        <w:rPr>
          <w:sz w:val="20"/>
          <w:szCs w:val="20"/>
          <w:color w:val="auto"/>
        </w:rPr>
      </w:pPr>
    </w:p>
    <w:p>
      <w:pPr>
        <w:ind w:left="120" w:right="60"/>
        <w:spacing w:after="0" w:line="251" w:lineRule="auto"/>
        <w:rPr>
          <w:sz w:val="20"/>
          <w:szCs w:val="20"/>
          <w:color w:val="auto"/>
        </w:rPr>
      </w:pPr>
      <w:r>
        <w:rPr>
          <w:rFonts w:ascii="Arial" w:cs="Arial" w:eastAsia="Arial" w:hAnsi="Arial"/>
          <w:sz w:val="16"/>
          <w:szCs w:val="16"/>
          <w:color w:val="auto"/>
        </w:rPr>
        <w:t>The Committee believes that the Board should represent a diverse mix of skills, regional and industry experience, backgrounds, ages and other unique characteristics, such as race, gender and ethnicity. In furtherance of this goal, the Committee is committed to actively seeking out highly qualified diverse candidates (including women and minority candidates) to include in the pool from which Board nominees are chosen, referred to by some as the “Rooney Rule.”</w:t>
      </w:r>
    </w:p>
    <w:p>
      <w:pPr>
        <w:spacing w:after="0" w:line="202" w:lineRule="exact"/>
        <w:rPr>
          <w:sz w:val="20"/>
          <w:szCs w:val="20"/>
          <w:color w:val="auto"/>
        </w:rPr>
      </w:pPr>
    </w:p>
    <w:p>
      <w:pPr>
        <w:ind w:left="120" w:right="220"/>
        <w:spacing w:after="0" w:line="260" w:lineRule="auto"/>
        <w:rPr>
          <w:sz w:val="20"/>
          <w:szCs w:val="20"/>
          <w:color w:val="auto"/>
        </w:rPr>
      </w:pPr>
      <w:r>
        <w:rPr>
          <w:rFonts w:ascii="Arial" w:cs="Arial" w:eastAsia="Arial" w:hAnsi="Arial"/>
          <w:sz w:val="16"/>
          <w:szCs w:val="16"/>
          <w:color w:val="auto"/>
        </w:rPr>
        <w:t>Currently, one of the Company’s directors self-identifies as Black and one is a woman. These are the Board’s two most recent additions, demonstrating the Board’s commitment to diversify as it matures. Listed below is a board diversity matrix chart pursuant to the NASDAQ Board Diversity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139700</wp:posOffset>
            </wp:positionV>
            <wp:extent cx="7003415" cy="1968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03415" cy="196850"/>
                    </a:xfrm>
                    <a:prstGeom prst="rect">
                      <a:avLst/>
                    </a:prstGeom>
                    <a:noFill/>
                  </pic:spPr>
                </pic:pic>
              </a:graphicData>
            </a:graphic>
          </wp:anchor>
        </w:drawing>
      </w: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FFFFFF"/>
        </w:rPr>
        <w:t>Board Diversity Matrix (As of December 31, 2021)</w:t>
      </w:r>
    </w:p>
    <w:p>
      <w:pPr>
        <w:spacing w:after="0" w:line="82"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5340" w:type="dxa"/>
            <w:vAlign w:val="bottom"/>
            <w:shd w:val="clear" w:color="auto" w:fill="E5E5E5"/>
          </w:tcPr>
          <w:p>
            <w:pPr>
              <w:ind w:left="160"/>
              <w:spacing w:after="0"/>
              <w:rPr>
                <w:sz w:val="20"/>
                <w:szCs w:val="20"/>
                <w:color w:val="auto"/>
              </w:rPr>
            </w:pPr>
            <w:r>
              <w:rPr>
                <w:rFonts w:ascii="Arial" w:cs="Arial" w:eastAsia="Arial" w:hAnsi="Arial"/>
                <w:sz w:val="16"/>
                <w:szCs w:val="16"/>
                <w:color w:val="auto"/>
              </w:rPr>
              <w:t>Total Number of Directors</w:t>
            </w:r>
          </w:p>
        </w:tc>
        <w:tc>
          <w:tcPr>
            <w:tcW w:w="1360" w:type="dxa"/>
            <w:vAlign w:val="bottom"/>
            <w:shd w:val="clear" w:color="auto" w:fill="E5E5E5"/>
          </w:tcPr>
          <w:p>
            <w:pPr>
              <w:spacing w:after="0"/>
              <w:rPr>
                <w:sz w:val="23"/>
                <w:szCs w:val="23"/>
                <w:color w:val="auto"/>
              </w:rPr>
            </w:pPr>
          </w:p>
        </w:tc>
        <w:tc>
          <w:tcPr>
            <w:tcW w:w="1200" w:type="dxa"/>
            <w:vAlign w:val="bottom"/>
            <w:shd w:val="clear" w:color="auto" w:fill="E5E5E5"/>
          </w:tcPr>
          <w:p>
            <w:pPr>
              <w:spacing w:after="0"/>
              <w:rPr>
                <w:sz w:val="23"/>
                <w:szCs w:val="23"/>
                <w:color w:val="auto"/>
              </w:rPr>
            </w:pPr>
          </w:p>
        </w:tc>
        <w:tc>
          <w:tcPr>
            <w:tcW w:w="1740" w:type="dxa"/>
            <w:vAlign w:val="bottom"/>
            <w:shd w:val="clear" w:color="auto" w:fill="E5E5E5"/>
          </w:tcPr>
          <w:p>
            <w:pPr>
              <w:jc w:val="right"/>
              <w:ind w:right="1220"/>
              <w:spacing w:after="0"/>
              <w:rPr>
                <w:sz w:val="20"/>
                <w:szCs w:val="20"/>
                <w:color w:val="auto"/>
              </w:rPr>
            </w:pPr>
            <w:r>
              <w:rPr>
                <w:rFonts w:ascii="Arial" w:cs="Arial" w:eastAsia="Arial" w:hAnsi="Arial"/>
                <w:sz w:val="16"/>
                <w:szCs w:val="16"/>
                <w:color w:val="auto"/>
              </w:rPr>
              <w:t>#</w:t>
            </w:r>
          </w:p>
        </w:tc>
        <w:tc>
          <w:tcPr>
            <w:tcW w:w="1380" w:type="dxa"/>
            <w:vAlign w:val="bottom"/>
            <w:shd w:val="clear" w:color="auto" w:fill="E5E5E5"/>
          </w:tcPr>
          <w:p>
            <w:pPr>
              <w:spacing w:after="0"/>
              <w:rPr>
                <w:sz w:val="23"/>
                <w:szCs w:val="23"/>
                <w:color w:val="auto"/>
              </w:rPr>
            </w:pPr>
          </w:p>
        </w:tc>
      </w:tr>
      <w:tr>
        <w:trPr>
          <w:trHeight w:val="240"/>
        </w:trPr>
        <w:tc>
          <w:tcPr>
            <w:tcW w:w="5340" w:type="dxa"/>
            <w:vAlign w:val="bottom"/>
            <w:shd w:val="clear" w:color="auto" w:fill="0071CE"/>
          </w:tcPr>
          <w:p>
            <w:pPr>
              <w:spacing w:after="0"/>
              <w:rPr>
                <w:sz w:val="20"/>
                <w:szCs w:val="20"/>
                <w:color w:val="auto"/>
              </w:rPr>
            </w:pPr>
          </w:p>
        </w:tc>
        <w:tc>
          <w:tcPr>
            <w:tcW w:w="1360" w:type="dxa"/>
            <w:vAlign w:val="bottom"/>
            <w:shd w:val="clear" w:color="auto" w:fill="0071CE"/>
          </w:tcPr>
          <w:p>
            <w:pPr>
              <w:spacing w:after="0"/>
              <w:rPr>
                <w:sz w:val="20"/>
                <w:szCs w:val="20"/>
                <w:color w:val="auto"/>
              </w:rPr>
            </w:pPr>
          </w:p>
        </w:tc>
        <w:tc>
          <w:tcPr>
            <w:tcW w:w="1200" w:type="dxa"/>
            <w:vAlign w:val="bottom"/>
            <w:shd w:val="clear" w:color="auto" w:fill="0071CE"/>
          </w:tcPr>
          <w:p>
            <w:pPr>
              <w:spacing w:after="0"/>
              <w:rPr>
                <w:sz w:val="20"/>
                <w:szCs w:val="20"/>
                <w:color w:val="auto"/>
              </w:rPr>
            </w:pPr>
          </w:p>
        </w:tc>
        <w:tc>
          <w:tcPr>
            <w:tcW w:w="1740" w:type="dxa"/>
            <w:vAlign w:val="bottom"/>
            <w:shd w:val="clear" w:color="auto" w:fill="0071CE"/>
          </w:tcPr>
          <w:p>
            <w:pPr>
              <w:spacing w:after="0"/>
              <w:rPr>
                <w:sz w:val="20"/>
                <w:szCs w:val="20"/>
                <w:color w:val="auto"/>
              </w:rPr>
            </w:pPr>
          </w:p>
        </w:tc>
        <w:tc>
          <w:tcPr>
            <w:tcW w:w="1380" w:type="dxa"/>
            <w:vAlign w:val="bottom"/>
            <w:shd w:val="clear" w:color="auto" w:fill="0071CE"/>
          </w:tcPr>
          <w:p>
            <w:pPr>
              <w:jc w:val="center"/>
              <w:ind w:left="21"/>
              <w:spacing w:after="0"/>
              <w:rPr>
                <w:sz w:val="20"/>
                <w:szCs w:val="20"/>
                <w:color w:val="auto"/>
              </w:rPr>
            </w:pPr>
            <w:r>
              <w:rPr>
                <w:rFonts w:ascii="Arial" w:cs="Arial" w:eastAsia="Arial" w:hAnsi="Arial"/>
                <w:sz w:val="14"/>
                <w:szCs w:val="14"/>
                <w:b w:val="1"/>
                <w:bCs w:val="1"/>
                <w:color w:val="FFFFFF"/>
              </w:rPr>
              <w:t>Did Not</w:t>
            </w:r>
          </w:p>
        </w:tc>
      </w:tr>
      <w:tr>
        <w:trPr>
          <w:trHeight w:val="162"/>
        </w:trPr>
        <w:tc>
          <w:tcPr>
            <w:tcW w:w="5340" w:type="dxa"/>
            <w:vAlign w:val="bottom"/>
            <w:shd w:val="clear" w:color="auto" w:fill="0071CE"/>
          </w:tcPr>
          <w:p>
            <w:pPr>
              <w:spacing w:after="0"/>
              <w:rPr>
                <w:sz w:val="14"/>
                <w:szCs w:val="14"/>
                <w:color w:val="auto"/>
              </w:rPr>
            </w:pPr>
          </w:p>
        </w:tc>
        <w:tc>
          <w:tcPr>
            <w:tcW w:w="1360" w:type="dxa"/>
            <w:vAlign w:val="bottom"/>
            <w:shd w:val="clear" w:color="auto" w:fill="0071CE"/>
          </w:tcPr>
          <w:p>
            <w:pPr>
              <w:spacing w:after="0"/>
              <w:rPr>
                <w:sz w:val="14"/>
                <w:szCs w:val="14"/>
                <w:color w:val="auto"/>
              </w:rPr>
            </w:pPr>
          </w:p>
        </w:tc>
        <w:tc>
          <w:tcPr>
            <w:tcW w:w="1200" w:type="dxa"/>
            <w:vAlign w:val="bottom"/>
            <w:shd w:val="clear" w:color="auto" w:fill="0071CE"/>
          </w:tcPr>
          <w:p>
            <w:pPr>
              <w:spacing w:after="0"/>
              <w:rPr>
                <w:sz w:val="14"/>
                <w:szCs w:val="14"/>
                <w:color w:val="auto"/>
              </w:rPr>
            </w:pPr>
          </w:p>
        </w:tc>
        <w:tc>
          <w:tcPr>
            <w:tcW w:w="1740" w:type="dxa"/>
            <w:vAlign w:val="bottom"/>
            <w:shd w:val="clear" w:color="auto" w:fill="0071CE"/>
          </w:tcPr>
          <w:p>
            <w:pPr>
              <w:spacing w:after="0"/>
              <w:rPr>
                <w:sz w:val="14"/>
                <w:szCs w:val="14"/>
                <w:color w:val="auto"/>
              </w:rPr>
            </w:pPr>
          </w:p>
        </w:tc>
        <w:tc>
          <w:tcPr>
            <w:tcW w:w="1380" w:type="dxa"/>
            <w:vAlign w:val="bottom"/>
            <w:shd w:val="clear" w:color="auto" w:fill="0071CE"/>
          </w:tcPr>
          <w:p>
            <w:pPr>
              <w:jc w:val="center"/>
              <w:ind w:left="21"/>
              <w:spacing w:after="0"/>
              <w:rPr>
                <w:sz w:val="20"/>
                <w:szCs w:val="20"/>
                <w:color w:val="auto"/>
              </w:rPr>
            </w:pPr>
            <w:r>
              <w:rPr>
                <w:rFonts w:ascii="Arial" w:cs="Arial" w:eastAsia="Arial" w:hAnsi="Arial"/>
                <w:sz w:val="14"/>
                <w:szCs w:val="14"/>
                <w:b w:val="1"/>
                <w:bCs w:val="1"/>
                <w:color w:val="FFFFFF"/>
              </w:rPr>
              <w:t>Disclose</w:t>
            </w:r>
          </w:p>
        </w:tc>
      </w:tr>
      <w:tr>
        <w:trPr>
          <w:trHeight w:val="182"/>
        </w:trPr>
        <w:tc>
          <w:tcPr>
            <w:tcW w:w="5340" w:type="dxa"/>
            <w:vAlign w:val="bottom"/>
            <w:tcBorders>
              <w:bottom w:val="single" w:sz="8" w:color="0071CE"/>
            </w:tcBorders>
            <w:shd w:val="clear" w:color="auto" w:fill="0071CE"/>
          </w:tcPr>
          <w:p>
            <w:pPr>
              <w:spacing w:after="0"/>
              <w:rPr>
                <w:sz w:val="15"/>
                <w:szCs w:val="15"/>
                <w:color w:val="auto"/>
              </w:rPr>
            </w:pPr>
          </w:p>
        </w:tc>
        <w:tc>
          <w:tcPr>
            <w:tcW w:w="1360" w:type="dxa"/>
            <w:vAlign w:val="bottom"/>
            <w:tcBorders>
              <w:bottom w:val="single" w:sz="8" w:color="0071CE"/>
            </w:tcBorders>
            <w:shd w:val="clear" w:color="auto" w:fill="0071CE"/>
          </w:tcPr>
          <w:p>
            <w:pPr>
              <w:jc w:val="center"/>
              <w:ind w:left="100"/>
              <w:spacing w:after="0"/>
              <w:rPr>
                <w:sz w:val="20"/>
                <w:szCs w:val="20"/>
                <w:color w:val="auto"/>
              </w:rPr>
            </w:pPr>
            <w:r>
              <w:rPr>
                <w:rFonts w:ascii="Arial" w:cs="Arial" w:eastAsia="Arial" w:hAnsi="Arial"/>
                <w:sz w:val="14"/>
                <w:szCs w:val="14"/>
                <w:b w:val="1"/>
                <w:bCs w:val="1"/>
                <w:color w:val="FFFFFF"/>
              </w:rPr>
              <w:t>Female</w:t>
            </w:r>
          </w:p>
        </w:tc>
        <w:tc>
          <w:tcPr>
            <w:tcW w:w="1200" w:type="dxa"/>
            <w:vAlign w:val="bottom"/>
            <w:tcBorders>
              <w:bottom w:val="single" w:sz="8" w:color="0071CE"/>
            </w:tcBorders>
            <w:shd w:val="clear" w:color="auto" w:fill="0071CE"/>
          </w:tcPr>
          <w:p>
            <w:pPr>
              <w:jc w:val="center"/>
              <w:ind w:left="80"/>
              <w:spacing w:after="0"/>
              <w:rPr>
                <w:sz w:val="20"/>
                <w:szCs w:val="20"/>
                <w:color w:val="auto"/>
              </w:rPr>
            </w:pPr>
            <w:r>
              <w:rPr>
                <w:rFonts w:ascii="Arial" w:cs="Arial" w:eastAsia="Arial" w:hAnsi="Arial"/>
                <w:sz w:val="14"/>
                <w:szCs w:val="14"/>
                <w:b w:val="1"/>
                <w:bCs w:val="1"/>
                <w:color w:val="FFFFFF"/>
              </w:rPr>
              <w:t>Male</w:t>
            </w:r>
          </w:p>
        </w:tc>
        <w:tc>
          <w:tcPr>
            <w:tcW w:w="1740" w:type="dxa"/>
            <w:vAlign w:val="bottom"/>
            <w:tcBorders>
              <w:bottom w:val="single" w:sz="8" w:color="0071CE"/>
            </w:tcBorders>
            <w:shd w:val="clear" w:color="auto" w:fill="0071CE"/>
          </w:tcPr>
          <w:p>
            <w:pPr>
              <w:jc w:val="right"/>
              <w:ind w:right="360"/>
              <w:spacing w:after="0"/>
              <w:rPr>
                <w:sz w:val="20"/>
                <w:szCs w:val="20"/>
                <w:color w:val="auto"/>
              </w:rPr>
            </w:pPr>
            <w:r>
              <w:rPr>
                <w:rFonts w:ascii="Arial" w:cs="Arial" w:eastAsia="Arial" w:hAnsi="Arial"/>
                <w:sz w:val="14"/>
                <w:szCs w:val="14"/>
                <w:b w:val="1"/>
                <w:bCs w:val="1"/>
                <w:color w:val="FFFFFF"/>
              </w:rPr>
              <w:t>Non-Binary</w:t>
            </w:r>
          </w:p>
        </w:tc>
        <w:tc>
          <w:tcPr>
            <w:tcW w:w="1380" w:type="dxa"/>
            <w:vAlign w:val="bottom"/>
            <w:tcBorders>
              <w:bottom w:val="single" w:sz="8" w:color="0071CE"/>
            </w:tcBorders>
            <w:shd w:val="clear" w:color="auto" w:fill="0071CE"/>
          </w:tcPr>
          <w:p>
            <w:pPr>
              <w:jc w:val="center"/>
              <w:ind w:left="1"/>
              <w:spacing w:after="0"/>
              <w:rPr>
                <w:sz w:val="20"/>
                <w:szCs w:val="20"/>
                <w:color w:val="auto"/>
              </w:rPr>
            </w:pPr>
            <w:r>
              <w:rPr>
                <w:rFonts w:ascii="Arial" w:cs="Arial" w:eastAsia="Arial" w:hAnsi="Arial"/>
                <w:sz w:val="14"/>
                <w:szCs w:val="14"/>
                <w:b w:val="1"/>
                <w:bCs w:val="1"/>
                <w:color w:val="FFFFFF"/>
              </w:rPr>
              <w:t>Gender</w:t>
            </w:r>
          </w:p>
        </w:tc>
      </w:tr>
      <w:tr>
        <w:trPr>
          <w:trHeight w:val="270"/>
        </w:trPr>
        <w:tc>
          <w:tcPr>
            <w:tcW w:w="5340" w:type="dxa"/>
            <w:vAlign w:val="bottom"/>
            <w:shd w:val="clear" w:color="auto" w:fill="E5E5E5"/>
          </w:tcPr>
          <w:p>
            <w:pPr>
              <w:ind w:left="160"/>
              <w:spacing w:after="0"/>
              <w:rPr>
                <w:sz w:val="20"/>
                <w:szCs w:val="20"/>
                <w:color w:val="auto"/>
              </w:rPr>
            </w:pPr>
            <w:r>
              <w:rPr>
                <w:rFonts w:ascii="Arial" w:cs="Arial" w:eastAsia="Arial" w:hAnsi="Arial"/>
                <w:sz w:val="16"/>
                <w:szCs w:val="16"/>
                <w:b w:val="1"/>
                <w:bCs w:val="1"/>
                <w:color w:val="auto"/>
              </w:rPr>
              <w:t>Part I: Gender Identity</w:t>
            </w:r>
          </w:p>
        </w:tc>
        <w:tc>
          <w:tcPr>
            <w:tcW w:w="1360" w:type="dxa"/>
            <w:vAlign w:val="bottom"/>
            <w:shd w:val="clear" w:color="auto" w:fill="E5E5E5"/>
          </w:tcPr>
          <w:p>
            <w:pPr>
              <w:spacing w:after="0"/>
              <w:rPr>
                <w:sz w:val="23"/>
                <w:szCs w:val="23"/>
                <w:color w:val="auto"/>
              </w:rPr>
            </w:pPr>
          </w:p>
        </w:tc>
        <w:tc>
          <w:tcPr>
            <w:tcW w:w="1200" w:type="dxa"/>
            <w:vAlign w:val="bottom"/>
            <w:shd w:val="clear" w:color="auto" w:fill="E5E5E5"/>
          </w:tcPr>
          <w:p>
            <w:pPr>
              <w:spacing w:after="0"/>
              <w:rPr>
                <w:sz w:val="23"/>
                <w:szCs w:val="23"/>
                <w:color w:val="auto"/>
              </w:rPr>
            </w:pPr>
          </w:p>
        </w:tc>
        <w:tc>
          <w:tcPr>
            <w:tcW w:w="1740" w:type="dxa"/>
            <w:vAlign w:val="bottom"/>
            <w:shd w:val="clear" w:color="auto" w:fill="E5E5E5"/>
          </w:tcPr>
          <w:p>
            <w:pPr>
              <w:spacing w:after="0"/>
              <w:rPr>
                <w:sz w:val="23"/>
                <w:szCs w:val="23"/>
                <w:color w:val="auto"/>
              </w:rPr>
            </w:pPr>
          </w:p>
        </w:tc>
        <w:tc>
          <w:tcPr>
            <w:tcW w:w="1380" w:type="dxa"/>
            <w:vAlign w:val="bottom"/>
            <w:shd w:val="clear" w:color="auto" w:fill="E5E5E5"/>
          </w:tcPr>
          <w:p>
            <w:pPr>
              <w:spacing w:after="0"/>
              <w:rPr>
                <w:sz w:val="23"/>
                <w:szCs w:val="23"/>
                <w:color w:val="auto"/>
              </w:rPr>
            </w:pPr>
          </w:p>
        </w:tc>
      </w:tr>
      <w:tr>
        <w:trPr>
          <w:trHeight w:val="274"/>
        </w:trPr>
        <w:tc>
          <w:tcPr>
            <w:tcW w:w="5340" w:type="dxa"/>
            <w:vAlign w:val="bottom"/>
          </w:tcPr>
          <w:p>
            <w:pPr>
              <w:ind w:left="160"/>
              <w:spacing w:after="0"/>
              <w:rPr>
                <w:sz w:val="20"/>
                <w:szCs w:val="20"/>
                <w:color w:val="auto"/>
              </w:rPr>
            </w:pPr>
            <w:r>
              <w:rPr>
                <w:rFonts w:ascii="Arial" w:cs="Arial" w:eastAsia="Arial" w:hAnsi="Arial"/>
                <w:sz w:val="16"/>
                <w:szCs w:val="16"/>
                <w:color w:val="auto"/>
              </w:rPr>
              <w:t>Directors</w:t>
            </w:r>
          </w:p>
        </w:tc>
        <w:tc>
          <w:tcPr>
            <w:tcW w:w="1360" w:type="dxa"/>
            <w:vAlign w:val="bottom"/>
          </w:tcPr>
          <w:p>
            <w:pPr>
              <w:jc w:val="center"/>
              <w:ind w:left="160"/>
              <w:spacing w:after="0"/>
              <w:rPr>
                <w:sz w:val="20"/>
                <w:szCs w:val="20"/>
                <w:color w:val="auto"/>
              </w:rPr>
            </w:pPr>
            <w:r>
              <w:rPr>
                <w:rFonts w:ascii="Arial" w:cs="Arial" w:eastAsia="Arial" w:hAnsi="Arial"/>
                <w:sz w:val="16"/>
                <w:szCs w:val="16"/>
                <w:color w:val="auto"/>
                <w:w w:val="89"/>
              </w:rPr>
              <w:t>1</w:t>
            </w:r>
          </w:p>
        </w:tc>
        <w:tc>
          <w:tcPr>
            <w:tcW w:w="1200" w:type="dxa"/>
            <w:vAlign w:val="bottom"/>
          </w:tcPr>
          <w:p>
            <w:pPr>
              <w:jc w:val="center"/>
              <w:ind w:left="60"/>
              <w:spacing w:after="0"/>
              <w:rPr>
                <w:sz w:val="20"/>
                <w:szCs w:val="20"/>
                <w:color w:val="auto"/>
              </w:rPr>
            </w:pPr>
            <w:r>
              <w:rPr>
                <w:rFonts w:ascii="Arial" w:cs="Arial" w:eastAsia="Arial" w:hAnsi="Arial"/>
                <w:sz w:val="16"/>
                <w:szCs w:val="16"/>
                <w:color w:val="auto"/>
              </w:rPr>
              <w:t>6</w:t>
            </w:r>
          </w:p>
        </w:tc>
        <w:tc>
          <w:tcPr>
            <w:tcW w:w="1740" w:type="dxa"/>
            <w:vAlign w:val="bottom"/>
          </w:tcPr>
          <w:p>
            <w:pPr>
              <w:jc w:val="right"/>
              <w:ind w:right="620"/>
              <w:spacing w:after="0"/>
              <w:rPr>
                <w:sz w:val="20"/>
                <w:szCs w:val="20"/>
                <w:color w:val="auto"/>
              </w:rPr>
            </w:pPr>
            <w:r>
              <w:rPr>
                <w:rFonts w:ascii="Arial" w:cs="Arial" w:eastAsia="Arial" w:hAnsi="Arial"/>
                <w:sz w:val="16"/>
                <w:szCs w:val="16"/>
                <w:color w:val="auto"/>
              </w:rPr>
              <w:t>0</w:t>
            </w:r>
          </w:p>
        </w:tc>
        <w:tc>
          <w:tcPr>
            <w:tcW w:w="1380" w:type="dxa"/>
            <w:vAlign w:val="bottom"/>
          </w:tcPr>
          <w:p>
            <w:pPr>
              <w:jc w:val="right"/>
              <w:ind w:right="481"/>
              <w:spacing w:after="0"/>
              <w:rPr>
                <w:sz w:val="20"/>
                <w:szCs w:val="20"/>
                <w:color w:val="auto"/>
              </w:rPr>
            </w:pPr>
            <w:r>
              <w:rPr>
                <w:rFonts w:ascii="Arial" w:cs="Arial" w:eastAsia="Arial" w:hAnsi="Arial"/>
                <w:sz w:val="16"/>
                <w:szCs w:val="16"/>
                <w:color w:val="auto"/>
              </w:rPr>
              <w:t>0</w:t>
            </w:r>
          </w:p>
        </w:tc>
      </w:tr>
      <w:tr>
        <w:trPr>
          <w:trHeight w:val="293"/>
        </w:trPr>
        <w:tc>
          <w:tcPr>
            <w:tcW w:w="5340" w:type="dxa"/>
            <w:vAlign w:val="bottom"/>
            <w:shd w:val="clear" w:color="auto" w:fill="E5E5E5"/>
          </w:tcPr>
          <w:p>
            <w:pPr>
              <w:ind w:left="160"/>
              <w:spacing w:after="0"/>
              <w:rPr>
                <w:sz w:val="20"/>
                <w:szCs w:val="20"/>
                <w:color w:val="auto"/>
              </w:rPr>
            </w:pPr>
            <w:r>
              <w:rPr>
                <w:rFonts w:ascii="Arial" w:cs="Arial" w:eastAsia="Arial" w:hAnsi="Arial"/>
                <w:sz w:val="16"/>
                <w:szCs w:val="16"/>
                <w:b w:val="1"/>
                <w:bCs w:val="1"/>
                <w:color w:val="auto"/>
              </w:rPr>
              <w:t>Part II: Demographic Background</w:t>
            </w:r>
          </w:p>
        </w:tc>
        <w:tc>
          <w:tcPr>
            <w:tcW w:w="1360" w:type="dxa"/>
            <w:vAlign w:val="bottom"/>
            <w:shd w:val="clear" w:color="auto" w:fill="E5E5E5"/>
          </w:tcPr>
          <w:p>
            <w:pPr>
              <w:spacing w:after="0"/>
              <w:rPr>
                <w:sz w:val="24"/>
                <w:szCs w:val="24"/>
                <w:color w:val="auto"/>
              </w:rPr>
            </w:pPr>
          </w:p>
        </w:tc>
        <w:tc>
          <w:tcPr>
            <w:tcW w:w="1200" w:type="dxa"/>
            <w:vAlign w:val="bottom"/>
            <w:shd w:val="clear" w:color="auto" w:fill="E5E5E5"/>
          </w:tcPr>
          <w:p>
            <w:pPr>
              <w:spacing w:after="0"/>
              <w:rPr>
                <w:sz w:val="24"/>
                <w:szCs w:val="24"/>
                <w:color w:val="auto"/>
              </w:rPr>
            </w:pPr>
          </w:p>
        </w:tc>
        <w:tc>
          <w:tcPr>
            <w:tcW w:w="1740" w:type="dxa"/>
            <w:vAlign w:val="bottom"/>
            <w:shd w:val="clear" w:color="auto" w:fill="E5E5E5"/>
          </w:tcPr>
          <w:p>
            <w:pPr>
              <w:spacing w:after="0"/>
              <w:rPr>
                <w:sz w:val="24"/>
                <w:szCs w:val="24"/>
                <w:color w:val="auto"/>
              </w:rPr>
            </w:pPr>
          </w:p>
        </w:tc>
        <w:tc>
          <w:tcPr>
            <w:tcW w:w="1380" w:type="dxa"/>
            <w:vAlign w:val="bottom"/>
            <w:shd w:val="clear" w:color="auto" w:fill="E5E5E5"/>
          </w:tcPr>
          <w:p>
            <w:pPr>
              <w:spacing w:after="0"/>
              <w:rPr>
                <w:sz w:val="24"/>
                <w:szCs w:val="24"/>
                <w:color w:val="auto"/>
              </w:rPr>
            </w:pPr>
          </w:p>
        </w:tc>
      </w:tr>
      <w:tr>
        <w:trPr>
          <w:trHeight w:val="274"/>
        </w:trPr>
        <w:tc>
          <w:tcPr>
            <w:tcW w:w="5340" w:type="dxa"/>
            <w:vAlign w:val="bottom"/>
          </w:tcPr>
          <w:p>
            <w:pPr>
              <w:ind w:left="140"/>
              <w:spacing w:after="0"/>
              <w:rPr>
                <w:sz w:val="20"/>
                <w:szCs w:val="20"/>
                <w:color w:val="auto"/>
              </w:rPr>
            </w:pPr>
            <w:r>
              <w:rPr>
                <w:rFonts w:ascii="Arial" w:cs="Arial" w:eastAsia="Arial" w:hAnsi="Arial"/>
                <w:sz w:val="16"/>
                <w:szCs w:val="16"/>
                <w:color w:val="auto"/>
              </w:rPr>
              <w:t>African American or Black</w:t>
            </w:r>
          </w:p>
        </w:tc>
        <w:tc>
          <w:tcPr>
            <w:tcW w:w="1360" w:type="dxa"/>
            <w:vAlign w:val="bottom"/>
          </w:tcPr>
          <w:p>
            <w:pPr>
              <w:jc w:val="center"/>
              <w:ind w:left="160"/>
              <w:spacing w:after="0"/>
              <w:rPr>
                <w:sz w:val="20"/>
                <w:szCs w:val="20"/>
                <w:color w:val="auto"/>
              </w:rPr>
            </w:pPr>
            <w:r>
              <w:rPr>
                <w:rFonts w:ascii="Arial" w:cs="Arial" w:eastAsia="Arial" w:hAnsi="Arial"/>
                <w:sz w:val="16"/>
                <w:szCs w:val="16"/>
                <w:color w:val="auto"/>
                <w:w w:val="89"/>
              </w:rPr>
              <w:t>0</w:t>
            </w:r>
          </w:p>
        </w:tc>
        <w:tc>
          <w:tcPr>
            <w:tcW w:w="1200" w:type="dxa"/>
            <w:vAlign w:val="bottom"/>
          </w:tcPr>
          <w:p>
            <w:pPr>
              <w:jc w:val="center"/>
              <w:ind w:left="60"/>
              <w:spacing w:after="0"/>
              <w:rPr>
                <w:sz w:val="20"/>
                <w:szCs w:val="20"/>
                <w:color w:val="auto"/>
              </w:rPr>
            </w:pPr>
            <w:r>
              <w:rPr>
                <w:rFonts w:ascii="Arial" w:cs="Arial" w:eastAsia="Arial" w:hAnsi="Arial"/>
                <w:sz w:val="16"/>
                <w:szCs w:val="16"/>
                <w:color w:val="auto"/>
              </w:rPr>
              <w:t>1</w:t>
            </w:r>
          </w:p>
        </w:tc>
        <w:tc>
          <w:tcPr>
            <w:tcW w:w="1740" w:type="dxa"/>
            <w:vAlign w:val="bottom"/>
          </w:tcPr>
          <w:p>
            <w:pPr>
              <w:jc w:val="right"/>
              <w:ind w:right="620"/>
              <w:spacing w:after="0"/>
              <w:rPr>
                <w:sz w:val="20"/>
                <w:szCs w:val="20"/>
                <w:color w:val="auto"/>
              </w:rPr>
            </w:pPr>
            <w:r>
              <w:rPr>
                <w:rFonts w:ascii="Arial" w:cs="Arial" w:eastAsia="Arial" w:hAnsi="Arial"/>
                <w:sz w:val="16"/>
                <w:szCs w:val="16"/>
                <w:color w:val="auto"/>
              </w:rPr>
              <w:t>0</w:t>
            </w:r>
          </w:p>
        </w:tc>
        <w:tc>
          <w:tcPr>
            <w:tcW w:w="1380" w:type="dxa"/>
            <w:vAlign w:val="bottom"/>
          </w:tcPr>
          <w:p>
            <w:pPr>
              <w:jc w:val="right"/>
              <w:ind w:right="481"/>
              <w:spacing w:after="0"/>
              <w:rPr>
                <w:sz w:val="20"/>
                <w:szCs w:val="20"/>
                <w:color w:val="auto"/>
              </w:rPr>
            </w:pPr>
            <w:r>
              <w:rPr>
                <w:rFonts w:ascii="Arial" w:cs="Arial" w:eastAsia="Arial" w:hAnsi="Arial"/>
                <w:sz w:val="16"/>
                <w:szCs w:val="16"/>
                <w:color w:val="auto"/>
              </w:rPr>
              <w:t>0</w:t>
            </w:r>
          </w:p>
        </w:tc>
      </w:tr>
      <w:tr>
        <w:trPr>
          <w:trHeight w:val="293"/>
        </w:trPr>
        <w:tc>
          <w:tcPr>
            <w:tcW w:w="5340" w:type="dxa"/>
            <w:vAlign w:val="bottom"/>
            <w:shd w:val="clear" w:color="auto" w:fill="E5E5E5"/>
          </w:tcPr>
          <w:p>
            <w:pPr>
              <w:ind w:left="140"/>
              <w:spacing w:after="0"/>
              <w:rPr>
                <w:sz w:val="20"/>
                <w:szCs w:val="20"/>
                <w:color w:val="auto"/>
              </w:rPr>
            </w:pPr>
            <w:r>
              <w:rPr>
                <w:rFonts w:ascii="Arial" w:cs="Arial" w:eastAsia="Arial" w:hAnsi="Arial"/>
                <w:sz w:val="16"/>
                <w:szCs w:val="16"/>
                <w:color w:val="auto"/>
              </w:rPr>
              <w:t>Alaskan Native or Native American</w:t>
            </w:r>
          </w:p>
        </w:tc>
        <w:tc>
          <w:tcPr>
            <w:tcW w:w="1360" w:type="dxa"/>
            <w:vAlign w:val="bottom"/>
            <w:shd w:val="clear" w:color="auto" w:fill="E5E5E5"/>
          </w:tcPr>
          <w:p>
            <w:pPr>
              <w:jc w:val="center"/>
              <w:ind w:left="160"/>
              <w:spacing w:after="0"/>
              <w:rPr>
                <w:sz w:val="20"/>
                <w:szCs w:val="20"/>
                <w:color w:val="auto"/>
              </w:rPr>
            </w:pPr>
            <w:r>
              <w:rPr>
                <w:rFonts w:ascii="Arial" w:cs="Arial" w:eastAsia="Arial" w:hAnsi="Arial"/>
                <w:sz w:val="16"/>
                <w:szCs w:val="16"/>
                <w:color w:val="auto"/>
                <w:w w:val="89"/>
              </w:rPr>
              <w:t>0</w:t>
            </w:r>
          </w:p>
        </w:tc>
        <w:tc>
          <w:tcPr>
            <w:tcW w:w="1200" w:type="dxa"/>
            <w:vAlign w:val="bottom"/>
            <w:shd w:val="clear" w:color="auto" w:fill="E5E5E5"/>
          </w:tcPr>
          <w:p>
            <w:pPr>
              <w:jc w:val="center"/>
              <w:ind w:left="60"/>
              <w:spacing w:after="0"/>
              <w:rPr>
                <w:sz w:val="20"/>
                <w:szCs w:val="20"/>
                <w:color w:val="auto"/>
              </w:rPr>
            </w:pPr>
            <w:r>
              <w:rPr>
                <w:rFonts w:ascii="Arial" w:cs="Arial" w:eastAsia="Arial" w:hAnsi="Arial"/>
                <w:sz w:val="16"/>
                <w:szCs w:val="16"/>
                <w:color w:val="auto"/>
              </w:rPr>
              <w:t>0</w:t>
            </w:r>
          </w:p>
        </w:tc>
        <w:tc>
          <w:tcPr>
            <w:tcW w:w="1740" w:type="dxa"/>
            <w:vAlign w:val="bottom"/>
            <w:shd w:val="clear" w:color="auto" w:fill="E5E5E5"/>
          </w:tcPr>
          <w:p>
            <w:pPr>
              <w:jc w:val="right"/>
              <w:ind w:right="620"/>
              <w:spacing w:after="0"/>
              <w:rPr>
                <w:sz w:val="20"/>
                <w:szCs w:val="20"/>
                <w:color w:val="auto"/>
              </w:rPr>
            </w:pPr>
            <w:r>
              <w:rPr>
                <w:rFonts w:ascii="Arial" w:cs="Arial" w:eastAsia="Arial" w:hAnsi="Arial"/>
                <w:sz w:val="16"/>
                <w:szCs w:val="16"/>
                <w:color w:val="auto"/>
              </w:rPr>
              <w:t>0</w:t>
            </w:r>
          </w:p>
        </w:tc>
        <w:tc>
          <w:tcPr>
            <w:tcW w:w="1380" w:type="dxa"/>
            <w:vAlign w:val="bottom"/>
            <w:shd w:val="clear" w:color="auto" w:fill="E5E5E5"/>
          </w:tcPr>
          <w:p>
            <w:pPr>
              <w:jc w:val="right"/>
              <w:ind w:right="481"/>
              <w:spacing w:after="0"/>
              <w:rPr>
                <w:sz w:val="20"/>
                <w:szCs w:val="20"/>
                <w:color w:val="auto"/>
              </w:rPr>
            </w:pPr>
            <w:r>
              <w:rPr>
                <w:rFonts w:ascii="Arial" w:cs="Arial" w:eastAsia="Arial" w:hAnsi="Arial"/>
                <w:sz w:val="16"/>
                <w:szCs w:val="16"/>
                <w:color w:val="auto"/>
              </w:rPr>
              <w:t>0</w:t>
            </w:r>
          </w:p>
        </w:tc>
      </w:tr>
      <w:tr>
        <w:trPr>
          <w:trHeight w:val="274"/>
        </w:trPr>
        <w:tc>
          <w:tcPr>
            <w:tcW w:w="5340" w:type="dxa"/>
            <w:vAlign w:val="bottom"/>
          </w:tcPr>
          <w:p>
            <w:pPr>
              <w:ind w:left="140"/>
              <w:spacing w:after="0"/>
              <w:rPr>
                <w:sz w:val="20"/>
                <w:szCs w:val="20"/>
                <w:color w:val="auto"/>
              </w:rPr>
            </w:pPr>
            <w:r>
              <w:rPr>
                <w:rFonts w:ascii="Arial" w:cs="Arial" w:eastAsia="Arial" w:hAnsi="Arial"/>
                <w:sz w:val="16"/>
                <w:szCs w:val="16"/>
                <w:color w:val="auto"/>
              </w:rPr>
              <w:t>Asian</w:t>
            </w:r>
          </w:p>
        </w:tc>
        <w:tc>
          <w:tcPr>
            <w:tcW w:w="1360" w:type="dxa"/>
            <w:vAlign w:val="bottom"/>
          </w:tcPr>
          <w:p>
            <w:pPr>
              <w:jc w:val="center"/>
              <w:ind w:left="160"/>
              <w:spacing w:after="0"/>
              <w:rPr>
                <w:sz w:val="20"/>
                <w:szCs w:val="20"/>
                <w:color w:val="auto"/>
              </w:rPr>
            </w:pPr>
            <w:r>
              <w:rPr>
                <w:rFonts w:ascii="Arial" w:cs="Arial" w:eastAsia="Arial" w:hAnsi="Arial"/>
                <w:sz w:val="16"/>
                <w:szCs w:val="16"/>
                <w:color w:val="auto"/>
                <w:w w:val="89"/>
              </w:rPr>
              <w:t>0</w:t>
            </w:r>
          </w:p>
        </w:tc>
        <w:tc>
          <w:tcPr>
            <w:tcW w:w="1200" w:type="dxa"/>
            <w:vAlign w:val="bottom"/>
          </w:tcPr>
          <w:p>
            <w:pPr>
              <w:jc w:val="center"/>
              <w:ind w:left="60"/>
              <w:spacing w:after="0"/>
              <w:rPr>
                <w:sz w:val="20"/>
                <w:szCs w:val="20"/>
                <w:color w:val="auto"/>
              </w:rPr>
            </w:pPr>
            <w:r>
              <w:rPr>
                <w:rFonts w:ascii="Arial" w:cs="Arial" w:eastAsia="Arial" w:hAnsi="Arial"/>
                <w:sz w:val="16"/>
                <w:szCs w:val="16"/>
                <w:color w:val="auto"/>
              </w:rPr>
              <w:t>0</w:t>
            </w:r>
          </w:p>
        </w:tc>
        <w:tc>
          <w:tcPr>
            <w:tcW w:w="1740" w:type="dxa"/>
            <w:vAlign w:val="bottom"/>
          </w:tcPr>
          <w:p>
            <w:pPr>
              <w:jc w:val="right"/>
              <w:ind w:right="620"/>
              <w:spacing w:after="0"/>
              <w:rPr>
                <w:sz w:val="20"/>
                <w:szCs w:val="20"/>
                <w:color w:val="auto"/>
              </w:rPr>
            </w:pPr>
            <w:r>
              <w:rPr>
                <w:rFonts w:ascii="Arial" w:cs="Arial" w:eastAsia="Arial" w:hAnsi="Arial"/>
                <w:sz w:val="16"/>
                <w:szCs w:val="16"/>
                <w:color w:val="auto"/>
              </w:rPr>
              <w:t>0</w:t>
            </w:r>
          </w:p>
        </w:tc>
        <w:tc>
          <w:tcPr>
            <w:tcW w:w="1380" w:type="dxa"/>
            <w:vAlign w:val="bottom"/>
          </w:tcPr>
          <w:p>
            <w:pPr>
              <w:jc w:val="right"/>
              <w:ind w:right="481"/>
              <w:spacing w:after="0"/>
              <w:rPr>
                <w:sz w:val="20"/>
                <w:szCs w:val="20"/>
                <w:color w:val="auto"/>
              </w:rPr>
            </w:pPr>
            <w:r>
              <w:rPr>
                <w:rFonts w:ascii="Arial" w:cs="Arial" w:eastAsia="Arial" w:hAnsi="Arial"/>
                <w:sz w:val="16"/>
                <w:szCs w:val="16"/>
                <w:color w:val="auto"/>
              </w:rPr>
              <w:t>0</w:t>
            </w:r>
          </w:p>
        </w:tc>
      </w:tr>
      <w:tr>
        <w:trPr>
          <w:trHeight w:val="293"/>
        </w:trPr>
        <w:tc>
          <w:tcPr>
            <w:tcW w:w="5340" w:type="dxa"/>
            <w:vAlign w:val="bottom"/>
            <w:shd w:val="clear" w:color="auto" w:fill="E5E5E5"/>
          </w:tcPr>
          <w:p>
            <w:pPr>
              <w:ind w:left="160"/>
              <w:spacing w:after="0"/>
              <w:rPr>
                <w:sz w:val="20"/>
                <w:szCs w:val="20"/>
                <w:color w:val="auto"/>
              </w:rPr>
            </w:pPr>
            <w:r>
              <w:rPr>
                <w:rFonts w:ascii="Arial" w:cs="Arial" w:eastAsia="Arial" w:hAnsi="Arial"/>
                <w:sz w:val="16"/>
                <w:szCs w:val="16"/>
                <w:color w:val="auto"/>
              </w:rPr>
              <w:t>Hispanic or Latinx</w:t>
            </w:r>
          </w:p>
        </w:tc>
        <w:tc>
          <w:tcPr>
            <w:tcW w:w="1360" w:type="dxa"/>
            <w:vAlign w:val="bottom"/>
            <w:shd w:val="clear" w:color="auto" w:fill="E5E5E5"/>
          </w:tcPr>
          <w:p>
            <w:pPr>
              <w:jc w:val="center"/>
              <w:ind w:left="160"/>
              <w:spacing w:after="0"/>
              <w:rPr>
                <w:sz w:val="20"/>
                <w:szCs w:val="20"/>
                <w:color w:val="auto"/>
              </w:rPr>
            </w:pPr>
            <w:r>
              <w:rPr>
                <w:rFonts w:ascii="Arial" w:cs="Arial" w:eastAsia="Arial" w:hAnsi="Arial"/>
                <w:sz w:val="16"/>
                <w:szCs w:val="16"/>
                <w:color w:val="auto"/>
                <w:w w:val="89"/>
              </w:rPr>
              <w:t>0</w:t>
            </w:r>
          </w:p>
        </w:tc>
        <w:tc>
          <w:tcPr>
            <w:tcW w:w="1200" w:type="dxa"/>
            <w:vAlign w:val="bottom"/>
            <w:shd w:val="clear" w:color="auto" w:fill="E5E5E5"/>
          </w:tcPr>
          <w:p>
            <w:pPr>
              <w:jc w:val="center"/>
              <w:ind w:left="60"/>
              <w:spacing w:after="0"/>
              <w:rPr>
                <w:sz w:val="20"/>
                <w:szCs w:val="20"/>
                <w:color w:val="auto"/>
              </w:rPr>
            </w:pPr>
            <w:r>
              <w:rPr>
                <w:rFonts w:ascii="Arial" w:cs="Arial" w:eastAsia="Arial" w:hAnsi="Arial"/>
                <w:sz w:val="16"/>
                <w:szCs w:val="16"/>
                <w:color w:val="auto"/>
              </w:rPr>
              <w:t>0</w:t>
            </w:r>
          </w:p>
        </w:tc>
        <w:tc>
          <w:tcPr>
            <w:tcW w:w="1740" w:type="dxa"/>
            <w:vAlign w:val="bottom"/>
            <w:shd w:val="clear" w:color="auto" w:fill="E5E5E5"/>
          </w:tcPr>
          <w:p>
            <w:pPr>
              <w:jc w:val="right"/>
              <w:ind w:right="620"/>
              <w:spacing w:after="0"/>
              <w:rPr>
                <w:sz w:val="20"/>
                <w:szCs w:val="20"/>
                <w:color w:val="auto"/>
              </w:rPr>
            </w:pPr>
            <w:r>
              <w:rPr>
                <w:rFonts w:ascii="Arial" w:cs="Arial" w:eastAsia="Arial" w:hAnsi="Arial"/>
                <w:sz w:val="16"/>
                <w:szCs w:val="16"/>
                <w:color w:val="auto"/>
              </w:rPr>
              <w:t>0</w:t>
            </w:r>
          </w:p>
        </w:tc>
        <w:tc>
          <w:tcPr>
            <w:tcW w:w="1380" w:type="dxa"/>
            <w:vAlign w:val="bottom"/>
            <w:shd w:val="clear" w:color="auto" w:fill="E5E5E5"/>
          </w:tcPr>
          <w:p>
            <w:pPr>
              <w:jc w:val="right"/>
              <w:ind w:right="481"/>
              <w:spacing w:after="0"/>
              <w:rPr>
                <w:sz w:val="20"/>
                <w:szCs w:val="20"/>
                <w:color w:val="auto"/>
              </w:rPr>
            </w:pPr>
            <w:r>
              <w:rPr>
                <w:rFonts w:ascii="Arial" w:cs="Arial" w:eastAsia="Arial" w:hAnsi="Arial"/>
                <w:sz w:val="16"/>
                <w:szCs w:val="16"/>
                <w:color w:val="auto"/>
              </w:rPr>
              <w:t>0</w:t>
            </w:r>
          </w:p>
        </w:tc>
      </w:tr>
      <w:tr>
        <w:trPr>
          <w:trHeight w:val="274"/>
        </w:trPr>
        <w:tc>
          <w:tcPr>
            <w:tcW w:w="5340" w:type="dxa"/>
            <w:vAlign w:val="bottom"/>
          </w:tcPr>
          <w:p>
            <w:pPr>
              <w:ind w:left="160"/>
              <w:spacing w:after="0"/>
              <w:rPr>
                <w:sz w:val="20"/>
                <w:szCs w:val="20"/>
                <w:color w:val="auto"/>
              </w:rPr>
            </w:pPr>
            <w:r>
              <w:rPr>
                <w:rFonts w:ascii="Arial" w:cs="Arial" w:eastAsia="Arial" w:hAnsi="Arial"/>
                <w:sz w:val="16"/>
                <w:szCs w:val="16"/>
                <w:color w:val="auto"/>
              </w:rPr>
              <w:t>Native Hawaiian or Pacific Islander</w:t>
            </w:r>
          </w:p>
        </w:tc>
        <w:tc>
          <w:tcPr>
            <w:tcW w:w="1360" w:type="dxa"/>
            <w:vAlign w:val="bottom"/>
          </w:tcPr>
          <w:p>
            <w:pPr>
              <w:jc w:val="center"/>
              <w:ind w:left="160"/>
              <w:spacing w:after="0"/>
              <w:rPr>
                <w:sz w:val="20"/>
                <w:szCs w:val="20"/>
                <w:color w:val="auto"/>
              </w:rPr>
            </w:pPr>
            <w:r>
              <w:rPr>
                <w:rFonts w:ascii="Arial" w:cs="Arial" w:eastAsia="Arial" w:hAnsi="Arial"/>
                <w:sz w:val="16"/>
                <w:szCs w:val="16"/>
                <w:color w:val="auto"/>
                <w:w w:val="89"/>
              </w:rPr>
              <w:t>0</w:t>
            </w:r>
          </w:p>
        </w:tc>
        <w:tc>
          <w:tcPr>
            <w:tcW w:w="1200" w:type="dxa"/>
            <w:vAlign w:val="bottom"/>
          </w:tcPr>
          <w:p>
            <w:pPr>
              <w:jc w:val="center"/>
              <w:ind w:left="60"/>
              <w:spacing w:after="0"/>
              <w:rPr>
                <w:sz w:val="20"/>
                <w:szCs w:val="20"/>
                <w:color w:val="auto"/>
              </w:rPr>
            </w:pPr>
            <w:r>
              <w:rPr>
                <w:rFonts w:ascii="Arial" w:cs="Arial" w:eastAsia="Arial" w:hAnsi="Arial"/>
                <w:sz w:val="16"/>
                <w:szCs w:val="16"/>
                <w:color w:val="auto"/>
              </w:rPr>
              <w:t>0</w:t>
            </w:r>
          </w:p>
        </w:tc>
        <w:tc>
          <w:tcPr>
            <w:tcW w:w="1740" w:type="dxa"/>
            <w:vAlign w:val="bottom"/>
          </w:tcPr>
          <w:p>
            <w:pPr>
              <w:jc w:val="right"/>
              <w:ind w:right="620"/>
              <w:spacing w:after="0"/>
              <w:rPr>
                <w:sz w:val="20"/>
                <w:szCs w:val="20"/>
                <w:color w:val="auto"/>
              </w:rPr>
            </w:pPr>
            <w:r>
              <w:rPr>
                <w:rFonts w:ascii="Arial" w:cs="Arial" w:eastAsia="Arial" w:hAnsi="Arial"/>
                <w:sz w:val="16"/>
                <w:szCs w:val="16"/>
                <w:color w:val="auto"/>
              </w:rPr>
              <w:t>0</w:t>
            </w:r>
          </w:p>
        </w:tc>
        <w:tc>
          <w:tcPr>
            <w:tcW w:w="1380" w:type="dxa"/>
            <w:vAlign w:val="bottom"/>
          </w:tcPr>
          <w:p>
            <w:pPr>
              <w:jc w:val="right"/>
              <w:ind w:right="481"/>
              <w:spacing w:after="0"/>
              <w:rPr>
                <w:sz w:val="20"/>
                <w:szCs w:val="20"/>
                <w:color w:val="auto"/>
              </w:rPr>
            </w:pPr>
            <w:r>
              <w:rPr>
                <w:rFonts w:ascii="Arial" w:cs="Arial" w:eastAsia="Arial" w:hAnsi="Arial"/>
                <w:sz w:val="16"/>
                <w:szCs w:val="16"/>
                <w:color w:val="auto"/>
              </w:rPr>
              <w:t>0</w:t>
            </w:r>
          </w:p>
        </w:tc>
      </w:tr>
      <w:tr>
        <w:trPr>
          <w:trHeight w:val="293"/>
        </w:trPr>
        <w:tc>
          <w:tcPr>
            <w:tcW w:w="5340" w:type="dxa"/>
            <w:vAlign w:val="bottom"/>
            <w:shd w:val="clear" w:color="auto" w:fill="E5E5E5"/>
          </w:tcPr>
          <w:p>
            <w:pPr>
              <w:ind w:left="160"/>
              <w:spacing w:after="0"/>
              <w:rPr>
                <w:sz w:val="20"/>
                <w:szCs w:val="20"/>
                <w:color w:val="auto"/>
              </w:rPr>
            </w:pPr>
            <w:r>
              <w:rPr>
                <w:rFonts w:ascii="Arial" w:cs="Arial" w:eastAsia="Arial" w:hAnsi="Arial"/>
                <w:sz w:val="16"/>
                <w:szCs w:val="16"/>
                <w:color w:val="auto"/>
              </w:rPr>
              <w:t>White</w:t>
            </w:r>
          </w:p>
        </w:tc>
        <w:tc>
          <w:tcPr>
            <w:tcW w:w="1360" w:type="dxa"/>
            <w:vAlign w:val="bottom"/>
            <w:shd w:val="clear" w:color="auto" w:fill="E5E5E5"/>
          </w:tcPr>
          <w:p>
            <w:pPr>
              <w:jc w:val="center"/>
              <w:ind w:left="160"/>
              <w:spacing w:after="0"/>
              <w:rPr>
                <w:sz w:val="20"/>
                <w:szCs w:val="20"/>
                <w:color w:val="auto"/>
              </w:rPr>
            </w:pPr>
            <w:r>
              <w:rPr>
                <w:rFonts w:ascii="Arial" w:cs="Arial" w:eastAsia="Arial" w:hAnsi="Arial"/>
                <w:sz w:val="16"/>
                <w:szCs w:val="16"/>
                <w:color w:val="auto"/>
                <w:w w:val="89"/>
              </w:rPr>
              <w:t>1</w:t>
            </w:r>
          </w:p>
        </w:tc>
        <w:tc>
          <w:tcPr>
            <w:tcW w:w="1200" w:type="dxa"/>
            <w:vAlign w:val="bottom"/>
            <w:shd w:val="clear" w:color="auto" w:fill="E5E5E5"/>
          </w:tcPr>
          <w:p>
            <w:pPr>
              <w:jc w:val="center"/>
              <w:ind w:left="60"/>
              <w:spacing w:after="0"/>
              <w:rPr>
                <w:sz w:val="20"/>
                <w:szCs w:val="20"/>
                <w:color w:val="auto"/>
              </w:rPr>
            </w:pPr>
            <w:r>
              <w:rPr>
                <w:rFonts w:ascii="Arial" w:cs="Arial" w:eastAsia="Arial" w:hAnsi="Arial"/>
                <w:sz w:val="16"/>
                <w:szCs w:val="16"/>
                <w:color w:val="auto"/>
              </w:rPr>
              <w:t>5</w:t>
            </w:r>
          </w:p>
        </w:tc>
        <w:tc>
          <w:tcPr>
            <w:tcW w:w="1740" w:type="dxa"/>
            <w:vAlign w:val="bottom"/>
            <w:shd w:val="clear" w:color="auto" w:fill="E5E5E5"/>
          </w:tcPr>
          <w:p>
            <w:pPr>
              <w:jc w:val="right"/>
              <w:ind w:right="620"/>
              <w:spacing w:after="0"/>
              <w:rPr>
                <w:sz w:val="20"/>
                <w:szCs w:val="20"/>
                <w:color w:val="auto"/>
              </w:rPr>
            </w:pPr>
            <w:r>
              <w:rPr>
                <w:rFonts w:ascii="Arial" w:cs="Arial" w:eastAsia="Arial" w:hAnsi="Arial"/>
                <w:sz w:val="16"/>
                <w:szCs w:val="16"/>
                <w:color w:val="auto"/>
              </w:rPr>
              <w:t>0</w:t>
            </w:r>
          </w:p>
        </w:tc>
        <w:tc>
          <w:tcPr>
            <w:tcW w:w="1380" w:type="dxa"/>
            <w:vAlign w:val="bottom"/>
            <w:shd w:val="clear" w:color="auto" w:fill="E5E5E5"/>
          </w:tcPr>
          <w:p>
            <w:pPr>
              <w:jc w:val="right"/>
              <w:ind w:right="481"/>
              <w:spacing w:after="0"/>
              <w:rPr>
                <w:sz w:val="20"/>
                <w:szCs w:val="20"/>
                <w:color w:val="auto"/>
              </w:rPr>
            </w:pPr>
            <w:r>
              <w:rPr>
                <w:rFonts w:ascii="Arial" w:cs="Arial" w:eastAsia="Arial" w:hAnsi="Arial"/>
                <w:sz w:val="16"/>
                <w:szCs w:val="16"/>
                <w:color w:val="auto"/>
              </w:rPr>
              <w:t>0</w:t>
            </w:r>
          </w:p>
        </w:tc>
      </w:tr>
      <w:tr>
        <w:trPr>
          <w:trHeight w:val="274"/>
        </w:trPr>
        <w:tc>
          <w:tcPr>
            <w:tcW w:w="5340" w:type="dxa"/>
            <w:vAlign w:val="bottom"/>
          </w:tcPr>
          <w:p>
            <w:pPr>
              <w:ind w:left="160"/>
              <w:spacing w:after="0"/>
              <w:rPr>
                <w:sz w:val="20"/>
                <w:szCs w:val="20"/>
                <w:color w:val="auto"/>
              </w:rPr>
            </w:pPr>
            <w:r>
              <w:rPr>
                <w:rFonts w:ascii="Arial" w:cs="Arial" w:eastAsia="Arial" w:hAnsi="Arial"/>
                <w:sz w:val="16"/>
                <w:szCs w:val="16"/>
                <w:color w:val="auto"/>
              </w:rPr>
              <w:t>Two or More Races or Ethnicities</w:t>
            </w:r>
          </w:p>
        </w:tc>
        <w:tc>
          <w:tcPr>
            <w:tcW w:w="1360" w:type="dxa"/>
            <w:vAlign w:val="bottom"/>
          </w:tcPr>
          <w:p>
            <w:pPr>
              <w:jc w:val="center"/>
              <w:ind w:left="160"/>
              <w:spacing w:after="0"/>
              <w:rPr>
                <w:sz w:val="20"/>
                <w:szCs w:val="20"/>
                <w:color w:val="auto"/>
              </w:rPr>
            </w:pPr>
            <w:r>
              <w:rPr>
                <w:rFonts w:ascii="Arial" w:cs="Arial" w:eastAsia="Arial" w:hAnsi="Arial"/>
                <w:sz w:val="16"/>
                <w:szCs w:val="16"/>
                <w:color w:val="auto"/>
                <w:w w:val="89"/>
              </w:rPr>
              <w:t>0</w:t>
            </w:r>
          </w:p>
        </w:tc>
        <w:tc>
          <w:tcPr>
            <w:tcW w:w="1200" w:type="dxa"/>
            <w:vAlign w:val="bottom"/>
          </w:tcPr>
          <w:p>
            <w:pPr>
              <w:jc w:val="center"/>
              <w:ind w:left="60"/>
              <w:spacing w:after="0"/>
              <w:rPr>
                <w:sz w:val="20"/>
                <w:szCs w:val="20"/>
                <w:color w:val="auto"/>
              </w:rPr>
            </w:pPr>
            <w:r>
              <w:rPr>
                <w:rFonts w:ascii="Arial" w:cs="Arial" w:eastAsia="Arial" w:hAnsi="Arial"/>
                <w:sz w:val="16"/>
                <w:szCs w:val="16"/>
                <w:color w:val="auto"/>
              </w:rPr>
              <w:t>0</w:t>
            </w:r>
          </w:p>
        </w:tc>
        <w:tc>
          <w:tcPr>
            <w:tcW w:w="1740" w:type="dxa"/>
            <w:vAlign w:val="bottom"/>
          </w:tcPr>
          <w:p>
            <w:pPr>
              <w:jc w:val="right"/>
              <w:ind w:right="620"/>
              <w:spacing w:after="0"/>
              <w:rPr>
                <w:sz w:val="20"/>
                <w:szCs w:val="20"/>
                <w:color w:val="auto"/>
              </w:rPr>
            </w:pPr>
            <w:r>
              <w:rPr>
                <w:rFonts w:ascii="Arial" w:cs="Arial" w:eastAsia="Arial" w:hAnsi="Arial"/>
                <w:sz w:val="16"/>
                <w:szCs w:val="16"/>
                <w:color w:val="auto"/>
              </w:rPr>
              <w:t>0</w:t>
            </w:r>
          </w:p>
        </w:tc>
        <w:tc>
          <w:tcPr>
            <w:tcW w:w="1380" w:type="dxa"/>
            <w:vAlign w:val="bottom"/>
          </w:tcPr>
          <w:p>
            <w:pPr>
              <w:jc w:val="right"/>
              <w:ind w:right="481"/>
              <w:spacing w:after="0"/>
              <w:rPr>
                <w:sz w:val="20"/>
                <w:szCs w:val="20"/>
                <w:color w:val="auto"/>
              </w:rPr>
            </w:pPr>
            <w:r>
              <w:rPr>
                <w:rFonts w:ascii="Arial" w:cs="Arial" w:eastAsia="Arial" w:hAnsi="Arial"/>
                <w:sz w:val="16"/>
                <w:szCs w:val="16"/>
                <w:color w:val="auto"/>
              </w:rPr>
              <w:t>0</w:t>
            </w:r>
          </w:p>
        </w:tc>
      </w:tr>
      <w:tr>
        <w:trPr>
          <w:trHeight w:val="293"/>
        </w:trPr>
        <w:tc>
          <w:tcPr>
            <w:tcW w:w="5340" w:type="dxa"/>
            <w:vAlign w:val="bottom"/>
            <w:shd w:val="clear" w:color="auto" w:fill="E5E5E5"/>
          </w:tcPr>
          <w:p>
            <w:pPr>
              <w:ind w:left="160"/>
              <w:spacing w:after="0"/>
              <w:rPr>
                <w:sz w:val="20"/>
                <w:szCs w:val="20"/>
                <w:color w:val="auto"/>
              </w:rPr>
            </w:pPr>
            <w:r>
              <w:rPr>
                <w:rFonts w:ascii="Arial" w:cs="Arial" w:eastAsia="Arial" w:hAnsi="Arial"/>
                <w:sz w:val="16"/>
                <w:szCs w:val="16"/>
                <w:color w:val="auto"/>
              </w:rPr>
              <w:t>LGBTQ+</w:t>
            </w:r>
          </w:p>
        </w:tc>
        <w:tc>
          <w:tcPr>
            <w:tcW w:w="1360" w:type="dxa"/>
            <w:vAlign w:val="bottom"/>
            <w:shd w:val="clear" w:color="auto" w:fill="E5E5E5"/>
          </w:tcPr>
          <w:p>
            <w:pPr>
              <w:spacing w:after="0"/>
              <w:rPr>
                <w:sz w:val="24"/>
                <w:szCs w:val="24"/>
                <w:color w:val="auto"/>
              </w:rPr>
            </w:pPr>
          </w:p>
        </w:tc>
        <w:tc>
          <w:tcPr>
            <w:tcW w:w="1200" w:type="dxa"/>
            <w:vAlign w:val="bottom"/>
            <w:shd w:val="clear" w:color="auto" w:fill="E5E5E5"/>
          </w:tcPr>
          <w:p>
            <w:pPr>
              <w:spacing w:after="0"/>
              <w:rPr>
                <w:sz w:val="24"/>
                <w:szCs w:val="24"/>
                <w:color w:val="auto"/>
              </w:rPr>
            </w:pPr>
          </w:p>
        </w:tc>
        <w:tc>
          <w:tcPr>
            <w:tcW w:w="1740" w:type="dxa"/>
            <w:vAlign w:val="bottom"/>
            <w:shd w:val="clear" w:color="auto" w:fill="E5E5E5"/>
          </w:tcPr>
          <w:p>
            <w:pPr>
              <w:jc w:val="right"/>
              <w:ind w:right="1220"/>
              <w:spacing w:after="0"/>
              <w:rPr>
                <w:sz w:val="20"/>
                <w:szCs w:val="20"/>
                <w:color w:val="auto"/>
              </w:rPr>
            </w:pPr>
            <w:r>
              <w:rPr>
                <w:rFonts w:ascii="Arial" w:cs="Arial" w:eastAsia="Arial" w:hAnsi="Arial"/>
                <w:sz w:val="16"/>
                <w:szCs w:val="16"/>
                <w:color w:val="auto"/>
              </w:rPr>
              <w:t>0</w:t>
            </w:r>
          </w:p>
        </w:tc>
        <w:tc>
          <w:tcPr>
            <w:tcW w:w="1380" w:type="dxa"/>
            <w:vAlign w:val="bottom"/>
            <w:shd w:val="clear" w:color="auto" w:fill="E5E5E5"/>
          </w:tcPr>
          <w:p>
            <w:pPr>
              <w:spacing w:after="0"/>
              <w:rPr>
                <w:sz w:val="24"/>
                <w:szCs w:val="24"/>
                <w:color w:val="auto"/>
              </w:rPr>
            </w:pPr>
          </w:p>
        </w:tc>
      </w:tr>
      <w:tr>
        <w:trPr>
          <w:trHeight w:val="277"/>
        </w:trPr>
        <w:tc>
          <w:tcPr>
            <w:tcW w:w="5340" w:type="dxa"/>
            <w:vAlign w:val="bottom"/>
            <w:tcBorders>
              <w:bottom w:val="single" w:sz="8" w:color="0071CE"/>
            </w:tcBorders>
          </w:tcPr>
          <w:p>
            <w:pPr>
              <w:ind w:left="160"/>
              <w:spacing w:after="0"/>
              <w:rPr>
                <w:sz w:val="20"/>
                <w:szCs w:val="20"/>
                <w:color w:val="auto"/>
              </w:rPr>
            </w:pPr>
            <w:r>
              <w:rPr>
                <w:rFonts w:ascii="Arial" w:cs="Arial" w:eastAsia="Arial" w:hAnsi="Arial"/>
                <w:sz w:val="16"/>
                <w:szCs w:val="16"/>
                <w:color w:val="auto"/>
              </w:rPr>
              <w:t>Did Not Disclose Demographic Background</w:t>
            </w:r>
          </w:p>
        </w:tc>
        <w:tc>
          <w:tcPr>
            <w:tcW w:w="1360" w:type="dxa"/>
            <w:vAlign w:val="bottom"/>
            <w:tcBorders>
              <w:bottom w:val="single" w:sz="8" w:color="0071CE"/>
            </w:tcBorders>
          </w:tcPr>
          <w:p>
            <w:pPr>
              <w:spacing w:after="0"/>
              <w:rPr>
                <w:sz w:val="24"/>
                <w:szCs w:val="24"/>
                <w:color w:val="auto"/>
              </w:rPr>
            </w:pPr>
          </w:p>
        </w:tc>
        <w:tc>
          <w:tcPr>
            <w:tcW w:w="1200" w:type="dxa"/>
            <w:vAlign w:val="bottom"/>
            <w:tcBorders>
              <w:bottom w:val="single" w:sz="8" w:color="0071CE"/>
            </w:tcBorders>
          </w:tcPr>
          <w:p>
            <w:pPr>
              <w:spacing w:after="0"/>
              <w:rPr>
                <w:sz w:val="24"/>
                <w:szCs w:val="24"/>
                <w:color w:val="auto"/>
              </w:rPr>
            </w:pPr>
          </w:p>
        </w:tc>
        <w:tc>
          <w:tcPr>
            <w:tcW w:w="1740" w:type="dxa"/>
            <w:vAlign w:val="bottom"/>
            <w:tcBorders>
              <w:bottom w:val="single" w:sz="8" w:color="0071CE"/>
            </w:tcBorders>
          </w:tcPr>
          <w:p>
            <w:pPr>
              <w:jc w:val="right"/>
              <w:ind w:right="1220"/>
              <w:spacing w:after="0"/>
              <w:rPr>
                <w:sz w:val="20"/>
                <w:szCs w:val="20"/>
                <w:color w:val="auto"/>
              </w:rPr>
            </w:pPr>
            <w:r>
              <w:rPr>
                <w:rFonts w:ascii="Arial" w:cs="Arial" w:eastAsia="Arial" w:hAnsi="Arial"/>
                <w:sz w:val="16"/>
                <w:szCs w:val="16"/>
                <w:color w:val="auto"/>
              </w:rPr>
              <w:t>0</w:t>
            </w:r>
          </w:p>
        </w:tc>
        <w:tc>
          <w:tcPr>
            <w:tcW w:w="1380" w:type="dxa"/>
            <w:vAlign w:val="bottom"/>
            <w:tcBorders>
              <w:bottom w:val="single" w:sz="8" w:color="0071C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93980</wp:posOffset>
            </wp:positionV>
            <wp:extent cx="986155" cy="2057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1CE"/>
        </w:rPr>
        <w:t>8</w:t>
      </w:r>
    </w:p>
    <w:p>
      <w:pPr>
        <w:sectPr>
          <w:pgSz w:w="11900" w:h="16838" w:orient="portrait"/>
          <w:cols w:equalWidth="0" w:num="1">
            <w:col w:w="11140"/>
          </w:cols>
          <w:pgMar w:left="32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6640"/>
        <w:spacing w:after="0"/>
        <w:tabs>
          <w:tab w:leader="none" w:pos="8540" w:val="left"/>
        </w:tabs>
        <w:rPr>
          <w:sz w:val="20"/>
          <w:szCs w:val="20"/>
          <w:color w:val="auto"/>
        </w:rPr>
      </w:pPr>
      <w:r>
        <w:rPr>
          <w:rFonts w:ascii="Arial" w:cs="Arial" w:eastAsia="Arial" w:hAnsi="Arial"/>
          <w:sz w:val="14"/>
          <w:szCs w:val="14"/>
          <w:b w:val="1"/>
          <w:bCs w:val="1"/>
          <w:color w:val="0071CE"/>
        </w:rPr>
        <w:t>2022 PROXY STATEMENT</w:t>
      </w:r>
      <w:r>
        <w:rPr>
          <w:sz w:val="20"/>
          <w:szCs w:val="20"/>
          <w:color w:val="auto"/>
        </w:rPr>
        <w:tab/>
      </w:r>
      <w:r>
        <w:rPr>
          <w:rFonts w:ascii="Arial" w:cs="Arial" w:eastAsia="Arial" w:hAnsi="Arial"/>
          <w:sz w:val="14"/>
          <w:szCs w:val="14"/>
          <w:b w:val="1"/>
          <w:bCs w:val="1"/>
          <w:i w:val="1"/>
          <w:iCs w:val="1"/>
          <w:color w:val="3FAE2A"/>
        </w:rPr>
        <w:t>Proposal One — Election of Directors</w:t>
      </w:r>
    </w:p>
    <w:p>
      <w:pPr>
        <w:spacing w:after="0" w:line="165" w:lineRule="exact"/>
        <w:rPr>
          <w:sz w:val="20"/>
          <w:szCs w:val="20"/>
          <w:color w:val="auto"/>
        </w:rPr>
      </w:pPr>
    </w:p>
    <w:p>
      <w:pPr>
        <w:ind w:left="120" w:right="60"/>
        <w:spacing w:after="0" w:line="253" w:lineRule="auto"/>
        <w:rPr>
          <w:sz w:val="20"/>
          <w:szCs w:val="20"/>
          <w:color w:val="auto"/>
        </w:rPr>
      </w:pPr>
      <w:r>
        <w:rPr>
          <w:rFonts w:ascii="Arial" w:cs="Arial" w:eastAsia="Arial" w:hAnsi="Arial"/>
          <w:sz w:val="16"/>
          <w:szCs w:val="16"/>
          <w:color w:val="auto"/>
        </w:rPr>
        <w:t>Additionally, the Committee considers the mix of skills and experience among current and prospective directors with a goal of assembling a Board with complementary skills for the benefit of the Company. Listed below are selected key contributions of each current board member. The table is not intended to be an exhaustive summary of all the contributions of each board member.</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304"/>
        </w:trPr>
        <w:tc>
          <w:tcPr>
            <w:tcW w:w="2680" w:type="dxa"/>
            <w:vAlign w:val="bottom"/>
            <w:tcBorders>
              <w:bottom w:val="single" w:sz="8" w:color="0071CE"/>
            </w:tcBorders>
            <w:shd w:val="clear" w:color="auto" w:fill="0071CE"/>
          </w:tcPr>
          <w:p>
            <w:pPr>
              <w:ind w:left="80"/>
              <w:spacing w:after="0"/>
              <w:rPr>
                <w:sz w:val="20"/>
                <w:szCs w:val="20"/>
                <w:color w:val="auto"/>
              </w:rPr>
            </w:pPr>
            <w:r>
              <w:rPr>
                <w:rFonts w:ascii="Arial" w:cs="Arial" w:eastAsia="Arial" w:hAnsi="Arial"/>
                <w:sz w:val="14"/>
                <w:szCs w:val="14"/>
                <w:b w:val="1"/>
                <w:bCs w:val="1"/>
                <w:color w:val="FFFFFF"/>
              </w:rPr>
              <w:t>Expertise</w:t>
            </w:r>
          </w:p>
        </w:tc>
        <w:tc>
          <w:tcPr>
            <w:tcW w:w="58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rPr>
              <w:t>Given</w:t>
            </w:r>
          </w:p>
        </w:tc>
        <w:tc>
          <w:tcPr>
            <w:tcW w:w="48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rPr>
              <w:t>Perry</w:t>
            </w:r>
          </w:p>
        </w:tc>
        <w:tc>
          <w:tcPr>
            <w:tcW w:w="76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rPr>
              <w:t>Anzalone</w:t>
            </w:r>
          </w:p>
        </w:tc>
        <w:tc>
          <w:tcPr>
            <w:tcW w:w="82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rPr>
              <w:t>De Backer</w:t>
            </w:r>
          </w:p>
        </w:tc>
        <w:tc>
          <w:tcPr>
            <w:tcW w:w="56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w w:val="99"/>
              </w:rPr>
              <w:t>Ferrari</w:t>
            </w:r>
          </w:p>
        </w:tc>
        <w:tc>
          <w:tcPr>
            <w:tcW w:w="74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rPr>
              <w:t>Olukotun</w:t>
            </w:r>
          </w:p>
        </w:tc>
        <w:tc>
          <w:tcPr>
            <w:tcW w:w="62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rPr>
              <w:t>Waddill</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680" w:type="dxa"/>
            <w:vAlign w:val="bottom"/>
            <w:shd w:val="clear" w:color="auto" w:fill="E5E5E5"/>
          </w:tcPr>
          <w:p>
            <w:pPr>
              <w:ind w:left="60"/>
              <w:spacing w:after="0"/>
              <w:rPr>
                <w:sz w:val="20"/>
                <w:szCs w:val="20"/>
                <w:color w:val="auto"/>
              </w:rPr>
            </w:pPr>
            <w:r>
              <w:rPr>
                <w:rFonts w:ascii="Arial" w:cs="Arial" w:eastAsia="Arial" w:hAnsi="Arial"/>
                <w:sz w:val="15"/>
                <w:szCs w:val="15"/>
                <w:b w:val="1"/>
                <w:bCs w:val="1"/>
                <w:color w:val="auto"/>
              </w:rPr>
              <w:t>Biopharma Research</w:t>
            </w:r>
          </w:p>
        </w:tc>
        <w:tc>
          <w:tcPr>
            <w:tcW w:w="580" w:type="dxa"/>
            <w:vAlign w:val="bottom"/>
            <w:vMerge w:val="restart"/>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480" w:type="dxa"/>
            <w:vAlign w:val="bottom"/>
            <w:vMerge w:val="restart"/>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760" w:type="dxa"/>
            <w:vAlign w:val="bottom"/>
            <w:vMerge w:val="restart"/>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820" w:type="dxa"/>
            <w:vAlign w:val="bottom"/>
            <w:vMerge w:val="restart"/>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560" w:type="dxa"/>
            <w:vAlign w:val="bottom"/>
            <w:vMerge w:val="restart"/>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740" w:type="dxa"/>
            <w:vAlign w:val="bottom"/>
            <w:vMerge w:val="restart"/>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620" w:type="dxa"/>
            <w:vAlign w:val="bottom"/>
            <w:shd w:val="clear" w:color="auto" w:fill="E5E5E5"/>
          </w:tcPr>
          <w:p>
            <w:pPr>
              <w:spacing w:after="0"/>
              <w:rPr>
                <w:sz w:val="15"/>
                <w:szCs w:val="15"/>
                <w:color w:val="auto"/>
              </w:rPr>
            </w:pPr>
          </w:p>
        </w:tc>
        <w:tc>
          <w:tcPr>
            <w:tcW w:w="2740" w:type="dxa"/>
            <w:vAlign w:val="bottom"/>
          </w:tcPr>
          <w:p>
            <w:pPr>
              <w:ind w:left="1400"/>
              <w:spacing w:after="0" w:line="181" w:lineRule="exact"/>
              <w:rPr>
                <w:sz w:val="20"/>
                <w:szCs w:val="20"/>
                <w:color w:val="auto"/>
              </w:rPr>
            </w:pPr>
            <w:r>
              <w:rPr>
                <w:rFonts w:ascii="Arial" w:cs="Arial" w:eastAsia="Arial" w:hAnsi="Arial"/>
                <w:sz w:val="18"/>
                <w:szCs w:val="18"/>
                <w:b w:val="1"/>
                <w:bCs w:val="1"/>
                <w:color w:val="0071CE"/>
                <w:w w:val="98"/>
              </w:rPr>
              <w:t>Director Tenure</w:t>
            </w:r>
          </w:p>
        </w:tc>
        <w:tc>
          <w:tcPr>
            <w:tcW w:w="0" w:type="dxa"/>
            <w:vAlign w:val="bottom"/>
          </w:tcPr>
          <w:p>
            <w:pPr>
              <w:spacing w:after="0"/>
              <w:rPr>
                <w:sz w:val="1"/>
                <w:szCs w:val="1"/>
                <w:color w:val="auto"/>
              </w:rPr>
            </w:pPr>
          </w:p>
        </w:tc>
      </w:tr>
      <w:tr>
        <w:trPr>
          <w:trHeight w:val="121"/>
        </w:trPr>
        <w:tc>
          <w:tcPr>
            <w:tcW w:w="2680" w:type="dxa"/>
            <w:vAlign w:val="bottom"/>
            <w:vMerge w:val="restart"/>
            <w:shd w:val="clear" w:color="auto" w:fill="E5E5E5"/>
          </w:tcPr>
          <w:p>
            <w:pPr>
              <w:ind w:left="60"/>
              <w:spacing w:after="0"/>
              <w:rPr>
                <w:sz w:val="20"/>
                <w:szCs w:val="20"/>
                <w:color w:val="auto"/>
              </w:rPr>
            </w:pPr>
            <w:r>
              <w:rPr>
                <w:rFonts w:ascii="Arial" w:cs="Arial" w:eastAsia="Arial" w:hAnsi="Arial"/>
                <w:sz w:val="15"/>
                <w:szCs w:val="15"/>
                <w:b w:val="1"/>
                <w:bCs w:val="1"/>
                <w:color w:val="auto"/>
              </w:rPr>
              <w:t>&amp; Development</w:t>
            </w:r>
          </w:p>
        </w:tc>
        <w:tc>
          <w:tcPr>
            <w:tcW w:w="580" w:type="dxa"/>
            <w:vAlign w:val="bottom"/>
            <w:vMerge w:val="continue"/>
            <w:shd w:val="clear" w:color="auto" w:fill="E5E5E5"/>
          </w:tcPr>
          <w:p>
            <w:pPr>
              <w:spacing w:after="0"/>
              <w:rPr>
                <w:sz w:val="10"/>
                <w:szCs w:val="10"/>
                <w:color w:val="auto"/>
              </w:rPr>
            </w:pPr>
          </w:p>
        </w:tc>
        <w:tc>
          <w:tcPr>
            <w:tcW w:w="480" w:type="dxa"/>
            <w:vAlign w:val="bottom"/>
            <w:vMerge w:val="continue"/>
            <w:shd w:val="clear" w:color="auto" w:fill="E5E5E5"/>
          </w:tcPr>
          <w:p>
            <w:pPr>
              <w:spacing w:after="0"/>
              <w:rPr>
                <w:sz w:val="10"/>
                <w:szCs w:val="10"/>
                <w:color w:val="auto"/>
              </w:rPr>
            </w:pPr>
          </w:p>
        </w:tc>
        <w:tc>
          <w:tcPr>
            <w:tcW w:w="760" w:type="dxa"/>
            <w:vAlign w:val="bottom"/>
            <w:vMerge w:val="continue"/>
            <w:shd w:val="clear" w:color="auto" w:fill="E5E5E5"/>
          </w:tcPr>
          <w:p>
            <w:pPr>
              <w:spacing w:after="0"/>
              <w:rPr>
                <w:sz w:val="10"/>
                <w:szCs w:val="10"/>
                <w:color w:val="auto"/>
              </w:rPr>
            </w:pPr>
          </w:p>
        </w:tc>
        <w:tc>
          <w:tcPr>
            <w:tcW w:w="820" w:type="dxa"/>
            <w:vAlign w:val="bottom"/>
            <w:vMerge w:val="continue"/>
            <w:shd w:val="clear" w:color="auto" w:fill="E5E5E5"/>
          </w:tcPr>
          <w:p>
            <w:pPr>
              <w:spacing w:after="0"/>
              <w:rPr>
                <w:sz w:val="10"/>
                <w:szCs w:val="10"/>
                <w:color w:val="auto"/>
              </w:rPr>
            </w:pPr>
          </w:p>
        </w:tc>
        <w:tc>
          <w:tcPr>
            <w:tcW w:w="560" w:type="dxa"/>
            <w:vAlign w:val="bottom"/>
            <w:vMerge w:val="continue"/>
            <w:shd w:val="clear" w:color="auto" w:fill="E5E5E5"/>
          </w:tcPr>
          <w:p>
            <w:pPr>
              <w:spacing w:after="0"/>
              <w:rPr>
                <w:sz w:val="10"/>
                <w:szCs w:val="10"/>
                <w:color w:val="auto"/>
              </w:rPr>
            </w:pPr>
          </w:p>
        </w:tc>
        <w:tc>
          <w:tcPr>
            <w:tcW w:w="740" w:type="dxa"/>
            <w:vAlign w:val="bottom"/>
            <w:vMerge w:val="continue"/>
            <w:shd w:val="clear" w:color="auto" w:fill="E5E5E5"/>
          </w:tcPr>
          <w:p>
            <w:pPr>
              <w:spacing w:after="0"/>
              <w:rPr>
                <w:sz w:val="10"/>
                <w:szCs w:val="10"/>
                <w:color w:val="auto"/>
              </w:rPr>
            </w:pPr>
          </w:p>
        </w:tc>
        <w:tc>
          <w:tcPr>
            <w:tcW w:w="620" w:type="dxa"/>
            <w:vAlign w:val="bottom"/>
            <w:shd w:val="clear" w:color="auto" w:fill="E5E5E5"/>
          </w:tcPr>
          <w:p>
            <w:pPr>
              <w:spacing w:after="0"/>
              <w:rPr>
                <w:sz w:val="10"/>
                <w:szCs w:val="10"/>
                <w:color w:val="auto"/>
              </w:rPr>
            </w:pPr>
          </w:p>
        </w:tc>
        <w:tc>
          <w:tcPr>
            <w:tcW w:w="2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680" w:type="dxa"/>
            <w:vAlign w:val="bottom"/>
            <w:tcBorders>
              <w:bottom w:val="single" w:sz="8" w:color="E5E5E5"/>
            </w:tcBorders>
            <w:vMerge w:val="continue"/>
            <w:shd w:val="clear" w:color="auto" w:fill="E5E5E5"/>
          </w:tcPr>
          <w:p>
            <w:pPr>
              <w:spacing w:after="0"/>
              <w:rPr>
                <w:sz w:val="7"/>
                <w:szCs w:val="7"/>
                <w:color w:val="auto"/>
              </w:rPr>
            </w:pPr>
          </w:p>
        </w:tc>
        <w:tc>
          <w:tcPr>
            <w:tcW w:w="580" w:type="dxa"/>
            <w:vAlign w:val="bottom"/>
            <w:tcBorders>
              <w:bottom w:val="single" w:sz="8" w:color="E5E5E5"/>
            </w:tcBorders>
            <w:shd w:val="clear" w:color="auto" w:fill="E5E5E5"/>
          </w:tcPr>
          <w:p>
            <w:pPr>
              <w:spacing w:after="0"/>
              <w:rPr>
                <w:sz w:val="7"/>
                <w:szCs w:val="7"/>
                <w:color w:val="auto"/>
              </w:rPr>
            </w:pPr>
          </w:p>
        </w:tc>
        <w:tc>
          <w:tcPr>
            <w:tcW w:w="480" w:type="dxa"/>
            <w:vAlign w:val="bottom"/>
            <w:tcBorders>
              <w:bottom w:val="single" w:sz="8" w:color="E5E5E5"/>
            </w:tcBorders>
            <w:shd w:val="clear" w:color="auto" w:fill="E5E5E5"/>
          </w:tcPr>
          <w:p>
            <w:pPr>
              <w:spacing w:after="0"/>
              <w:rPr>
                <w:sz w:val="7"/>
                <w:szCs w:val="7"/>
                <w:color w:val="auto"/>
              </w:rPr>
            </w:pPr>
          </w:p>
        </w:tc>
        <w:tc>
          <w:tcPr>
            <w:tcW w:w="760" w:type="dxa"/>
            <w:vAlign w:val="bottom"/>
            <w:tcBorders>
              <w:bottom w:val="single" w:sz="8" w:color="E5E5E5"/>
            </w:tcBorders>
            <w:shd w:val="clear" w:color="auto" w:fill="E5E5E5"/>
          </w:tcPr>
          <w:p>
            <w:pPr>
              <w:spacing w:after="0"/>
              <w:rPr>
                <w:sz w:val="7"/>
                <w:szCs w:val="7"/>
                <w:color w:val="auto"/>
              </w:rPr>
            </w:pPr>
          </w:p>
        </w:tc>
        <w:tc>
          <w:tcPr>
            <w:tcW w:w="820" w:type="dxa"/>
            <w:vAlign w:val="bottom"/>
            <w:tcBorders>
              <w:bottom w:val="single" w:sz="8" w:color="E5E5E5"/>
            </w:tcBorders>
            <w:shd w:val="clear" w:color="auto" w:fill="E5E5E5"/>
          </w:tcPr>
          <w:p>
            <w:pPr>
              <w:spacing w:after="0"/>
              <w:rPr>
                <w:sz w:val="7"/>
                <w:szCs w:val="7"/>
                <w:color w:val="auto"/>
              </w:rPr>
            </w:pPr>
          </w:p>
        </w:tc>
        <w:tc>
          <w:tcPr>
            <w:tcW w:w="560" w:type="dxa"/>
            <w:vAlign w:val="bottom"/>
            <w:tcBorders>
              <w:bottom w:val="single" w:sz="8" w:color="E5E5E5"/>
            </w:tcBorders>
            <w:shd w:val="clear" w:color="auto" w:fill="E5E5E5"/>
          </w:tcPr>
          <w:p>
            <w:pPr>
              <w:spacing w:after="0"/>
              <w:rPr>
                <w:sz w:val="7"/>
                <w:szCs w:val="7"/>
                <w:color w:val="auto"/>
              </w:rPr>
            </w:pPr>
          </w:p>
        </w:tc>
        <w:tc>
          <w:tcPr>
            <w:tcW w:w="740" w:type="dxa"/>
            <w:vAlign w:val="bottom"/>
            <w:tcBorders>
              <w:bottom w:val="single" w:sz="8" w:color="E5E5E5"/>
            </w:tcBorders>
            <w:shd w:val="clear" w:color="auto" w:fill="E5E5E5"/>
          </w:tcPr>
          <w:p>
            <w:pPr>
              <w:spacing w:after="0"/>
              <w:rPr>
                <w:sz w:val="7"/>
                <w:szCs w:val="7"/>
                <w:color w:val="auto"/>
              </w:rPr>
            </w:pPr>
          </w:p>
        </w:tc>
        <w:tc>
          <w:tcPr>
            <w:tcW w:w="620" w:type="dxa"/>
            <w:vAlign w:val="bottom"/>
            <w:tcBorders>
              <w:bottom w:val="single" w:sz="8" w:color="E5E5E5"/>
            </w:tcBorders>
            <w:shd w:val="clear" w:color="auto" w:fill="E5E5E5"/>
          </w:tcPr>
          <w:p>
            <w:pPr>
              <w:spacing w:after="0"/>
              <w:rPr>
                <w:sz w:val="7"/>
                <w:szCs w:val="7"/>
                <w:color w:val="auto"/>
              </w:rPr>
            </w:pPr>
          </w:p>
        </w:tc>
        <w:tc>
          <w:tcPr>
            <w:tcW w:w="2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3"/>
        </w:trPr>
        <w:tc>
          <w:tcPr>
            <w:tcW w:w="2680" w:type="dxa"/>
            <w:vAlign w:val="bottom"/>
          </w:tcPr>
          <w:p>
            <w:pPr>
              <w:ind w:left="60"/>
              <w:spacing w:after="0"/>
              <w:rPr>
                <w:sz w:val="20"/>
                <w:szCs w:val="20"/>
                <w:color w:val="auto"/>
              </w:rPr>
            </w:pPr>
            <w:r>
              <w:rPr>
                <w:rFonts w:ascii="Arial" w:cs="Arial" w:eastAsia="Arial" w:hAnsi="Arial"/>
                <w:sz w:val="15"/>
                <w:szCs w:val="15"/>
                <w:b w:val="1"/>
                <w:bCs w:val="1"/>
                <w:color w:val="auto"/>
              </w:rPr>
              <w:t>Healthcare</w:t>
            </w:r>
          </w:p>
        </w:tc>
        <w:tc>
          <w:tcPr>
            <w:tcW w:w="58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48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76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56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74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6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3"/>
        </w:trPr>
        <w:tc>
          <w:tcPr>
            <w:tcW w:w="2680" w:type="dxa"/>
            <w:vAlign w:val="bottom"/>
            <w:shd w:val="clear" w:color="auto" w:fill="E5E5E5"/>
          </w:tcPr>
          <w:p>
            <w:pPr>
              <w:ind w:left="60"/>
              <w:spacing w:after="0"/>
              <w:rPr>
                <w:sz w:val="20"/>
                <w:szCs w:val="20"/>
                <w:color w:val="auto"/>
              </w:rPr>
            </w:pPr>
            <w:r>
              <w:rPr>
                <w:rFonts w:ascii="Arial" w:cs="Arial" w:eastAsia="Arial" w:hAnsi="Arial"/>
                <w:sz w:val="15"/>
                <w:szCs w:val="15"/>
                <w:b w:val="1"/>
                <w:bCs w:val="1"/>
                <w:color w:val="auto"/>
              </w:rPr>
              <w:t>Drug Development</w:t>
            </w:r>
          </w:p>
        </w:tc>
        <w:tc>
          <w:tcPr>
            <w:tcW w:w="58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48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76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82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56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74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620" w:type="dxa"/>
            <w:vAlign w:val="bottom"/>
            <w:shd w:val="clear" w:color="auto" w:fill="E5E5E5"/>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680" w:type="dxa"/>
            <w:vAlign w:val="bottom"/>
            <w:shd w:val="clear" w:color="auto" w:fill="E5E5E5"/>
          </w:tcPr>
          <w:p>
            <w:pPr>
              <w:spacing w:after="0"/>
              <w:rPr>
                <w:sz w:val="7"/>
                <w:szCs w:val="7"/>
                <w:color w:val="auto"/>
              </w:rPr>
            </w:pPr>
          </w:p>
        </w:tc>
        <w:tc>
          <w:tcPr>
            <w:tcW w:w="580" w:type="dxa"/>
            <w:vAlign w:val="bottom"/>
            <w:shd w:val="clear" w:color="auto" w:fill="E5E5E5"/>
          </w:tcPr>
          <w:p>
            <w:pPr>
              <w:spacing w:after="0"/>
              <w:rPr>
                <w:sz w:val="7"/>
                <w:szCs w:val="7"/>
                <w:color w:val="auto"/>
              </w:rPr>
            </w:pPr>
          </w:p>
        </w:tc>
        <w:tc>
          <w:tcPr>
            <w:tcW w:w="480" w:type="dxa"/>
            <w:vAlign w:val="bottom"/>
            <w:shd w:val="clear" w:color="auto" w:fill="E5E5E5"/>
          </w:tcPr>
          <w:p>
            <w:pPr>
              <w:spacing w:after="0"/>
              <w:rPr>
                <w:sz w:val="7"/>
                <w:szCs w:val="7"/>
                <w:color w:val="auto"/>
              </w:rPr>
            </w:pPr>
          </w:p>
        </w:tc>
        <w:tc>
          <w:tcPr>
            <w:tcW w:w="760" w:type="dxa"/>
            <w:vAlign w:val="bottom"/>
            <w:shd w:val="clear" w:color="auto" w:fill="E5E5E5"/>
          </w:tcPr>
          <w:p>
            <w:pPr>
              <w:spacing w:after="0"/>
              <w:rPr>
                <w:sz w:val="7"/>
                <w:szCs w:val="7"/>
                <w:color w:val="auto"/>
              </w:rPr>
            </w:pPr>
          </w:p>
        </w:tc>
        <w:tc>
          <w:tcPr>
            <w:tcW w:w="820" w:type="dxa"/>
            <w:vAlign w:val="bottom"/>
            <w:shd w:val="clear" w:color="auto" w:fill="E5E5E5"/>
          </w:tcPr>
          <w:p>
            <w:pPr>
              <w:spacing w:after="0"/>
              <w:rPr>
                <w:sz w:val="7"/>
                <w:szCs w:val="7"/>
                <w:color w:val="auto"/>
              </w:rPr>
            </w:pPr>
          </w:p>
        </w:tc>
        <w:tc>
          <w:tcPr>
            <w:tcW w:w="560" w:type="dxa"/>
            <w:vAlign w:val="bottom"/>
            <w:shd w:val="clear" w:color="auto" w:fill="E5E5E5"/>
          </w:tcPr>
          <w:p>
            <w:pPr>
              <w:spacing w:after="0"/>
              <w:rPr>
                <w:sz w:val="7"/>
                <w:szCs w:val="7"/>
                <w:color w:val="auto"/>
              </w:rPr>
            </w:pPr>
          </w:p>
        </w:tc>
        <w:tc>
          <w:tcPr>
            <w:tcW w:w="740" w:type="dxa"/>
            <w:vAlign w:val="bottom"/>
            <w:shd w:val="clear" w:color="auto" w:fill="E5E5E5"/>
          </w:tcPr>
          <w:p>
            <w:pPr>
              <w:spacing w:after="0"/>
              <w:rPr>
                <w:sz w:val="7"/>
                <w:szCs w:val="7"/>
                <w:color w:val="auto"/>
              </w:rPr>
            </w:pPr>
          </w:p>
        </w:tc>
        <w:tc>
          <w:tcPr>
            <w:tcW w:w="620" w:type="dxa"/>
            <w:vAlign w:val="bottom"/>
            <w:shd w:val="clear" w:color="auto" w:fill="E5E5E5"/>
          </w:tcPr>
          <w:p>
            <w:pPr>
              <w:spacing w:after="0"/>
              <w:rPr>
                <w:sz w:val="7"/>
                <w:szCs w:val="7"/>
                <w:color w:val="auto"/>
              </w:rPr>
            </w:pPr>
          </w:p>
        </w:tc>
        <w:tc>
          <w:tcPr>
            <w:tcW w:w="2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2"/>
        </w:trPr>
        <w:tc>
          <w:tcPr>
            <w:tcW w:w="2680" w:type="dxa"/>
            <w:vAlign w:val="bottom"/>
          </w:tcPr>
          <w:p>
            <w:pPr>
              <w:ind w:left="60"/>
              <w:spacing w:after="0"/>
              <w:rPr>
                <w:sz w:val="20"/>
                <w:szCs w:val="20"/>
                <w:color w:val="auto"/>
              </w:rPr>
            </w:pPr>
            <w:r>
              <w:rPr>
                <w:rFonts w:ascii="Arial" w:cs="Arial" w:eastAsia="Arial" w:hAnsi="Arial"/>
                <w:sz w:val="15"/>
                <w:szCs w:val="15"/>
                <w:b w:val="1"/>
                <w:bCs w:val="1"/>
                <w:color w:val="auto"/>
              </w:rPr>
              <w:t>Executive Leadership</w:t>
            </w:r>
          </w:p>
        </w:tc>
        <w:tc>
          <w:tcPr>
            <w:tcW w:w="58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48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76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82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56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74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3360" w:type="dxa"/>
            <w:vAlign w:val="bottom"/>
            <w:gridSpan w:val="2"/>
          </w:tcPr>
          <w:p>
            <w:pPr>
              <w:jc w:val="center"/>
              <w:ind w:right="2610"/>
              <w:spacing w:after="0"/>
              <w:rPr>
                <w:sz w:val="20"/>
                <w:szCs w:val="20"/>
                <w:color w:val="auto"/>
              </w:rPr>
            </w:pPr>
            <w:r>
              <w:rPr>
                <w:rFonts w:ascii="Arial" w:cs="Arial" w:eastAsia="Arial" w:hAnsi="Arial"/>
                <w:sz w:val="15"/>
                <w:szCs w:val="15"/>
                <w:b w:val="1"/>
                <w:bCs w:val="1"/>
                <w:color w:val="0071CE"/>
                <w:w w:val="99"/>
              </w:rPr>
              <w:t>X</w:t>
            </w:r>
          </w:p>
        </w:tc>
        <w:tc>
          <w:tcPr>
            <w:tcW w:w="0" w:type="dxa"/>
            <w:vAlign w:val="bottom"/>
          </w:tcPr>
          <w:p>
            <w:pPr>
              <w:spacing w:after="0"/>
              <w:rPr>
                <w:sz w:val="1"/>
                <w:szCs w:val="1"/>
                <w:color w:val="auto"/>
              </w:rPr>
            </w:pPr>
          </w:p>
        </w:tc>
      </w:tr>
      <w:tr>
        <w:trPr>
          <w:trHeight w:val="103"/>
        </w:trPr>
        <w:tc>
          <w:tcPr>
            <w:tcW w:w="2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36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2680" w:type="dxa"/>
            <w:vAlign w:val="bottom"/>
            <w:shd w:val="clear" w:color="auto" w:fill="E5E5E5"/>
          </w:tcPr>
          <w:p>
            <w:pPr>
              <w:ind w:left="60"/>
              <w:spacing w:after="0"/>
              <w:rPr>
                <w:sz w:val="20"/>
                <w:szCs w:val="20"/>
                <w:color w:val="auto"/>
              </w:rPr>
            </w:pPr>
            <w:r>
              <w:rPr>
                <w:rFonts w:ascii="Arial" w:cs="Arial" w:eastAsia="Arial" w:hAnsi="Arial"/>
                <w:sz w:val="15"/>
                <w:szCs w:val="15"/>
                <w:b w:val="1"/>
                <w:bCs w:val="1"/>
                <w:color w:val="auto"/>
              </w:rPr>
              <w:t>Public Company</w:t>
            </w:r>
          </w:p>
        </w:tc>
        <w:tc>
          <w:tcPr>
            <w:tcW w:w="58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48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76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82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560" w:type="dxa"/>
            <w:vAlign w:val="bottom"/>
            <w:shd w:val="clear" w:color="auto" w:fill="E5E5E5"/>
          </w:tcPr>
          <w:p>
            <w:pPr>
              <w:spacing w:after="0"/>
              <w:rPr>
                <w:sz w:val="22"/>
                <w:szCs w:val="22"/>
                <w:color w:val="auto"/>
              </w:rPr>
            </w:pPr>
          </w:p>
        </w:tc>
        <w:tc>
          <w:tcPr>
            <w:tcW w:w="74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62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2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680" w:type="dxa"/>
            <w:vAlign w:val="bottom"/>
            <w:shd w:val="clear" w:color="auto" w:fill="E5E5E5"/>
          </w:tcPr>
          <w:p>
            <w:pPr>
              <w:ind w:left="60"/>
              <w:spacing w:after="0"/>
              <w:rPr>
                <w:sz w:val="20"/>
                <w:szCs w:val="20"/>
                <w:color w:val="auto"/>
              </w:rPr>
            </w:pPr>
            <w:r>
              <w:rPr>
                <w:rFonts w:ascii="Arial" w:cs="Arial" w:eastAsia="Arial" w:hAnsi="Arial"/>
                <w:sz w:val="15"/>
                <w:szCs w:val="15"/>
                <w:b w:val="1"/>
                <w:bCs w:val="1"/>
                <w:color w:val="auto"/>
              </w:rPr>
              <w:t>Governance</w:t>
            </w:r>
          </w:p>
        </w:tc>
        <w:tc>
          <w:tcPr>
            <w:tcW w:w="58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56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2680" w:type="dxa"/>
            <w:vAlign w:val="bottom"/>
            <w:shd w:val="clear" w:color="auto" w:fill="E5E5E5"/>
          </w:tcPr>
          <w:p>
            <w:pPr>
              <w:spacing w:after="0"/>
              <w:rPr>
                <w:sz w:val="8"/>
                <w:szCs w:val="8"/>
                <w:color w:val="auto"/>
              </w:rPr>
            </w:pPr>
          </w:p>
        </w:tc>
        <w:tc>
          <w:tcPr>
            <w:tcW w:w="580" w:type="dxa"/>
            <w:vAlign w:val="bottom"/>
            <w:shd w:val="clear" w:color="auto" w:fill="E5E5E5"/>
          </w:tcPr>
          <w:p>
            <w:pPr>
              <w:spacing w:after="0"/>
              <w:rPr>
                <w:sz w:val="8"/>
                <w:szCs w:val="8"/>
                <w:color w:val="auto"/>
              </w:rPr>
            </w:pPr>
          </w:p>
        </w:tc>
        <w:tc>
          <w:tcPr>
            <w:tcW w:w="480" w:type="dxa"/>
            <w:vAlign w:val="bottom"/>
            <w:shd w:val="clear" w:color="auto" w:fill="E5E5E5"/>
          </w:tcPr>
          <w:p>
            <w:pPr>
              <w:spacing w:after="0"/>
              <w:rPr>
                <w:sz w:val="8"/>
                <w:szCs w:val="8"/>
                <w:color w:val="auto"/>
              </w:rPr>
            </w:pPr>
          </w:p>
        </w:tc>
        <w:tc>
          <w:tcPr>
            <w:tcW w:w="760" w:type="dxa"/>
            <w:vAlign w:val="bottom"/>
            <w:shd w:val="clear" w:color="auto" w:fill="E5E5E5"/>
          </w:tcPr>
          <w:p>
            <w:pPr>
              <w:spacing w:after="0"/>
              <w:rPr>
                <w:sz w:val="8"/>
                <w:szCs w:val="8"/>
                <w:color w:val="auto"/>
              </w:rPr>
            </w:pPr>
          </w:p>
        </w:tc>
        <w:tc>
          <w:tcPr>
            <w:tcW w:w="820" w:type="dxa"/>
            <w:vAlign w:val="bottom"/>
            <w:shd w:val="clear" w:color="auto" w:fill="E5E5E5"/>
          </w:tcPr>
          <w:p>
            <w:pPr>
              <w:spacing w:after="0"/>
              <w:rPr>
                <w:sz w:val="8"/>
                <w:szCs w:val="8"/>
                <w:color w:val="auto"/>
              </w:rPr>
            </w:pPr>
          </w:p>
        </w:tc>
        <w:tc>
          <w:tcPr>
            <w:tcW w:w="560" w:type="dxa"/>
            <w:vAlign w:val="bottom"/>
            <w:shd w:val="clear" w:color="auto" w:fill="E5E5E5"/>
          </w:tcPr>
          <w:p>
            <w:pPr>
              <w:spacing w:after="0"/>
              <w:rPr>
                <w:sz w:val="8"/>
                <w:szCs w:val="8"/>
                <w:color w:val="auto"/>
              </w:rPr>
            </w:pPr>
          </w:p>
        </w:tc>
        <w:tc>
          <w:tcPr>
            <w:tcW w:w="740" w:type="dxa"/>
            <w:vAlign w:val="bottom"/>
            <w:shd w:val="clear" w:color="auto" w:fill="E5E5E5"/>
          </w:tcPr>
          <w:p>
            <w:pPr>
              <w:spacing w:after="0"/>
              <w:rPr>
                <w:sz w:val="8"/>
                <w:szCs w:val="8"/>
                <w:color w:val="auto"/>
              </w:rPr>
            </w:pPr>
          </w:p>
        </w:tc>
        <w:tc>
          <w:tcPr>
            <w:tcW w:w="620" w:type="dxa"/>
            <w:vAlign w:val="bottom"/>
            <w:shd w:val="clear" w:color="auto" w:fill="E5E5E5"/>
          </w:tcPr>
          <w:p>
            <w:pPr>
              <w:spacing w:after="0"/>
              <w:rPr>
                <w:sz w:val="8"/>
                <w:szCs w:val="8"/>
                <w:color w:val="auto"/>
              </w:rPr>
            </w:pPr>
          </w:p>
        </w:tc>
        <w:tc>
          <w:tcPr>
            <w:tcW w:w="2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3"/>
        </w:trPr>
        <w:tc>
          <w:tcPr>
            <w:tcW w:w="2680" w:type="dxa"/>
            <w:vAlign w:val="bottom"/>
          </w:tcPr>
          <w:p>
            <w:pPr>
              <w:ind w:left="60"/>
              <w:spacing w:after="0"/>
              <w:rPr>
                <w:sz w:val="20"/>
                <w:szCs w:val="20"/>
                <w:color w:val="auto"/>
              </w:rPr>
            </w:pPr>
            <w:r>
              <w:rPr>
                <w:rFonts w:ascii="Arial" w:cs="Arial" w:eastAsia="Arial" w:hAnsi="Arial"/>
                <w:sz w:val="15"/>
                <w:szCs w:val="15"/>
                <w:b w:val="1"/>
                <w:bCs w:val="1"/>
                <w:color w:val="auto"/>
              </w:rPr>
              <w:t>Accounting/Audit</w:t>
            </w: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360" w:type="dxa"/>
            <w:vAlign w:val="bottom"/>
            <w:gridSpan w:val="2"/>
          </w:tcPr>
          <w:p>
            <w:pPr>
              <w:jc w:val="center"/>
              <w:ind w:right="2610"/>
              <w:spacing w:after="0"/>
              <w:rPr>
                <w:sz w:val="20"/>
                <w:szCs w:val="20"/>
                <w:color w:val="auto"/>
              </w:rPr>
            </w:pPr>
            <w:r>
              <w:rPr>
                <w:rFonts w:ascii="Arial" w:cs="Arial" w:eastAsia="Arial" w:hAnsi="Arial"/>
                <w:sz w:val="15"/>
                <w:szCs w:val="15"/>
                <w:b w:val="1"/>
                <w:bCs w:val="1"/>
                <w:color w:val="0071CE"/>
                <w:w w:val="99"/>
              </w:rPr>
              <w:t>X</w:t>
            </w:r>
          </w:p>
        </w:tc>
        <w:tc>
          <w:tcPr>
            <w:tcW w:w="0" w:type="dxa"/>
            <w:vAlign w:val="bottom"/>
          </w:tcPr>
          <w:p>
            <w:pPr>
              <w:spacing w:after="0"/>
              <w:rPr>
                <w:sz w:val="1"/>
                <w:szCs w:val="1"/>
                <w:color w:val="auto"/>
              </w:rPr>
            </w:pPr>
          </w:p>
        </w:tc>
      </w:tr>
      <w:tr>
        <w:trPr>
          <w:trHeight w:val="89"/>
        </w:trPr>
        <w:tc>
          <w:tcPr>
            <w:tcW w:w="2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36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303"/>
        </w:trPr>
        <w:tc>
          <w:tcPr>
            <w:tcW w:w="2680" w:type="dxa"/>
            <w:vAlign w:val="bottom"/>
            <w:shd w:val="clear" w:color="auto" w:fill="E5E5E5"/>
          </w:tcPr>
          <w:p>
            <w:pPr>
              <w:ind w:left="60"/>
              <w:spacing w:after="0"/>
              <w:rPr>
                <w:sz w:val="20"/>
                <w:szCs w:val="20"/>
                <w:color w:val="auto"/>
              </w:rPr>
            </w:pPr>
            <w:r>
              <w:rPr>
                <w:rFonts w:ascii="Arial" w:cs="Arial" w:eastAsia="Arial" w:hAnsi="Arial"/>
                <w:sz w:val="15"/>
                <w:szCs w:val="15"/>
                <w:b w:val="1"/>
                <w:bCs w:val="1"/>
                <w:color w:val="auto"/>
              </w:rPr>
              <w:t>Capital Markets</w:t>
            </w:r>
          </w:p>
        </w:tc>
        <w:tc>
          <w:tcPr>
            <w:tcW w:w="58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48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76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82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560" w:type="dxa"/>
            <w:vAlign w:val="bottom"/>
            <w:shd w:val="clear" w:color="auto" w:fill="E5E5E5"/>
          </w:tcPr>
          <w:p>
            <w:pPr>
              <w:spacing w:after="0"/>
              <w:rPr>
                <w:sz w:val="24"/>
                <w:szCs w:val="24"/>
                <w:color w:val="auto"/>
              </w:rPr>
            </w:pPr>
          </w:p>
        </w:tc>
        <w:tc>
          <w:tcPr>
            <w:tcW w:w="740" w:type="dxa"/>
            <w:vAlign w:val="bottom"/>
            <w:shd w:val="clear" w:color="auto" w:fill="E5E5E5"/>
          </w:tcPr>
          <w:p>
            <w:pPr>
              <w:spacing w:after="0"/>
              <w:rPr>
                <w:sz w:val="24"/>
                <w:szCs w:val="24"/>
                <w:color w:val="auto"/>
              </w:rPr>
            </w:pPr>
          </w:p>
        </w:tc>
        <w:tc>
          <w:tcPr>
            <w:tcW w:w="62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680" w:type="dxa"/>
            <w:vAlign w:val="bottom"/>
            <w:shd w:val="clear" w:color="auto" w:fill="E5E5E5"/>
          </w:tcPr>
          <w:p>
            <w:pPr>
              <w:spacing w:after="0"/>
              <w:rPr>
                <w:sz w:val="7"/>
                <w:szCs w:val="7"/>
                <w:color w:val="auto"/>
              </w:rPr>
            </w:pPr>
          </w:p>
        </w:tc>
        <w:tc>
          <w:tcPr>
            <w:tcW w:w="580" w:type="dxa"/>
            <w:vAlign w:val="bottom"/>
            <w:shd w:val="clear" w:color="auto" w:fill="E5E5E5"/>
          </w:tcPr>
          <w:p>
            <w:pPr>
              <w:spacing w:after="0"/>
              <w:rPr>
                <w:sz w:val="7"/>
                <w:szCs w:val="7"/>
                <w:color w:val="auto"/>
              </w:rPr>
            </w:pPr>
          </w:p>
        </w:tc>
        <w:tc>
          <w:tcPr>
            <w:tcW w:w="480" w:type="dxa"/>
            <w:vAlign w:val="bottom"/>
            <w:shd w:val="clear" w:color="auto" w:fill="E5E5E5"/>
          </w:tcPr>
          <w:p>
            <w:pPr>
              <w:spacing w:after="0"/>
              <w:rPr>
                <w:sz w:val="7"/>
                <w:szCs w:val="7"/>
                <w:color w:val="auto"/>
              </w:rPr>
            </w:pPr>
          </w:p>
        </w:tc>
        <w:tc>
          <w:tcPr>
            <w:tcW w:w="760" w:type="dxa"/>
            <w:vAlign w:val="bottom"/>
            <w:shd w:val="clear" w:color="auto" w:fill="E5E5E5"/>
          </w:tcPr>
          <w:p>
            <w:pPr>
              <w:spacing w:after="0"/>
              <w:rPr>
                <w:sz w:val="7"/>
                <w:szCs w:val="7"/>
                <w:color w:val="auto"/>
              </w:rPr>
            </w:pPr>
          </w:p>
        </w:tc>
        <w:tc>
          <w:tcPr>
            <w:tcW w:w="820" w:type="dxa"/>
            <w:vAlign w:val="bottom"/>
            <w:shd w:val="clear" w:color="auto" w:fill="E5E5E5"/>
          </w:tcPr>
          <w:p>
            <w:pPr>
              <w:spacing w:after="0"/>
              <w:rPr>
                <w:sz w:val="7"/>
                <w:szCs w:val="7"/>
                <w:color w:val="auto"/>
              </w:rPr>
            </w:pPr>
          </w:p>
        </w:tc>
        <w:tc>
          <w:tcPr>
            <w:tcW w:w="560" w:type="dxa"/>
            <w:vAlign w:val="bottom"/>
            <w:shd w:val="clear" w:color="auto" w:fill="E5E5E5"/>
          </w:tcPr>
          <w:p>
            <w:pPr>
              <w:spacing w:after="0"/>
              <w:rPr>
                <w:sz w:val="7"/>
                <w:szCs w:val="7"/>
                <w:color w:val="auto"/>
              </w:rPr>
            </w:pPr>
          </w:p>
        </w:tc>
        <w:tc>
          <w:tcPr>
            <w:tcW w:w="740" w:type="dxa"/>
            <w:vAlign w:val="bottom"/>
            <w:shd w:val="clear" w:color="auto" w:fill="E5E5E5"/>
          </w:tcPr>
          <w:p>
            <w:pPr>
              <w:spacing w:after="0"/>
              <w:rPr>
                <w:sz w:val="7"/>
                <w:szCs w:val="7"/>
                <w:color w:val="auto"/>
              </w:rPr>
            </w:pPr>
          </w:p>
        </w:tc>
        <w:tc>
          <w:tcPr>
            <w:tcW w:w="620" w:type="dxa"/>
            <w:vAlign w:val="bottom"/>
            <w:shd w:val="clear" w:color="auto" w:fill="E5E5E5"/>
          </w:tcPr>
          <w:p>
            <w:pPr>
              <w:spacing w:after="0"/>
              <w:rPr>
                <w:sz w:val="7"/>
                <w:szCs w:val="7"/>
                <w:color w:val="auto"/>
              </w:rPr>
            </w:pPr>
          </w:p>
        </w:tc>
        <w:tc>
          <w:tcPr>
            <w:tcW w:w="2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2"/>
        </w:trPr>
        <w:tc>
          <w:tcPr>
            <w:tcW w:w="2680" w:type="dxa"/>
            <w:vAlign w:val="bottom"/>
          </w:tcPr>
          <w:p>
            <w:pPr>
              <w:ind w:left="60"/>
              <w:spacing w:after="0"/>
              <w:rPr>
                <w:sz w:val="20"/>
                <w:szCs w:val="20"/>
                <w:color w:val="auto"/>
              </w:rPr>
            </w:pPr>
            <w:r>
              <w:rPr>
                <w:rFonts w:ascii="Arial" w:cs="Arial" w:eastAsia="Arial" w:hAnsi="Arial"/>
                <w:sz w:val="15"/>
                <w:szCs w:val="15"/>
                <w:b w:val="1"/>
                <w:bCs w:val="1"/>
                <w:color w:val="auto"/>
              </w:rPr>
              <w:t>Commercial</w:t>
            </w:r>
          </w:p>
        </w:tc>
        <w:tc>
          <w:tcPr>
            <w:tcW w:w="58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48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76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5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3360" w:type="dxa"/>
            <w:vAlign w:val="bottom"/>
            <w:gridSpan w:val="2"/>
          </w:tcPr>
          <w:p>
            <w:pPr>
              <w:jc w:val="center"/>
              <w:ind w:right="2610"/>
              <w:spacing w:after="0"/>
              <w:rPr>
                <w:sz w:val="20"/>
                <w:szCs w:val="20"/>
                <w:color w:val="auto"/>
              </w:rPr>
            </w:pPr>
            <w:r>
              <w:rPr>
                <w:rFonts w:ascii="Arial" w:cs="Arial" w:eastAsia="Arial" w:hAnsi="Arial"/>
                <w:sz w:val="15"/>
                <w:szCs w:val="15"/>
                <w:b w:val="1"/>
                <w:bCs w:val="1"/>
                <w:color w:val="0071CE"/>
                <w:w w:val="99"/>
              </w:rPr>
              <w:t>X</w:t>
            </w:r>
          </w:p>
        </w:tc>
        <w:tc>
          <w:tcPr>
            <w:tcW w:w="0" w:type="dxa"/>
            <w:vAlign w:val="bottom"/>
          </w:tcPr>
          <w:p>
            <w:pPr>
              <w:spacing w:after="0"/>
              <w:rPr>
                <w:sz w:val="1"/>
                <w:szCs w:val="1"/>
                <w:color w:val="auto"/>
              </w:rPr>
            </w:pPr>
          </w:p>
        </w:tc>
      </w:tr>
      <w:tr>
        <w:trPr>
          <w:trHeight w:val="103"/>
        </w:trPr>
        <w:tc>
          <w:tcPr>
            <w:tcW w:w="2680" w:type="dxa"/>
            <w:vAlign w:val="bottom"/>
            <w:tcBorders>
              <w:bottom w:val="single" w:sz="8" w:color="0071CE"/>
            </w:tcBorders>
          </w:tcPr>
          <w:p>
            <w:pPr>
              <w:spacing w:after="0"/>
              <w:rPr>
                <w:sz w:val="8"/>
                <w:szCs w:val="8"/>
                <w:color w:val="auto"/>
              </w:rPr>
            </w:pPr>
          </w:p>
        </w:tc>
        <w:tc>
          <w:tcPr>
            <w:tcW w:w="580" w:type="dxa"/>
            <w:vAlign w:val="bottom"/>
            <w:tcBorders>
              <w:bottom w:val="single" w:sz="8" w:color="0071CE"/>
            </w:tcBorders>
          </w:tcPr>
          <w:p>
            <w:pPr>
              <w:spacing w:after="0"/>
              <w:rPr>
                <w:sz w:val="8"/>
                <w:szCs w:val="8"/>
                <w:color w:val="auto"/>
              </w:rPr>
            </w:pPr>
          </w:p>
        </w:tc>
        <w:tc>
          <w:tcPr>
            <w:tcW w:w="480" w:type="dxa"/>
            <w:vAlign w:val="bottom"/>
            <w:tcBorders>
              <w:bottom w:val="single" w:sz="8" w:color="0071CE"/>
            </w:tcBorders>
          </w:tcPr>
          <w:p>
            <w:pPr>
              <w:spacing w:after="0"/>
              <w:rPr>
                <w:sz w:val="8"/>
                <w:szCs w:val="8"/>
                <w:color w:val="auto"/>
              </w:rPr>
            </w:pPr>
          </w:p>
        </w:tc>
        <w:tc>
          <w:tcPr>
            <w:tcW w:w="760" w:type="dxa"/>
            <w:vAlign w:val="bottom"/>
            <w:tcBorders>
              <w:bottom w:val="single" w:sz="8" w:color="0071CE"/>
            </w:tcBorders>
          </w:tcPr>
          <w:p>
            <w:pPr>
              <w:spacing w:after="0"/>
              <w:rPr>
                <w:sz w:val="8"/>
                <w:szCs w:val="8"/>
                <w:color w:val="auto"/>
              </w:rPr>
            </w:pPr>
          </w:p>
        </w:tc>
        <w:tc>
          <w:tcPr>
            <w:tcW w:w="820" w:type="dxa"/>
            <w:vAlign w:val="bottom"/>
            <w:tcBorders>
              <w:bottom w:val="single" w:sz="8" w:color="0071CE"/>
            </w:tcBorders>
          </w:tcPr>
          <w:p>
            <w:pPr>
              <w:spacing w:after="0"/>
              <w:rPr>
                <w:sz w:val="8"/>
                <w:szCs w:val="8"/>
                <w:color w:val="auto"/>
              </w:rPr>
            </w:pPr>
          </w:p>
        </w:tc>
        <w:tc>
          <w:tcPr>
            <w:tcW w:w="560" w:type="dxa"/>
            <w:vAlign w:val="bottom"/>
            <w:tcBorders>
              <w:bottom w:val="single" w:sz="8" w:color="0071CE"/>
            </w:tcBorders>
          </w:tcPr>
          <w:p>
            <w:pPr>
              <w:spacing w:after="0"/>
              <w:rPr>
                <w:sz w:val="8"/>
                <w:szCs w:val="8"/>
                <w:color w:val="auto"/>
              </w:rPr>
            </w:pPr>
          </w:p>
        </w:tc>
        <w:tc>
          <w:tcPr>
            <w:tcW w:w="740" w:type="dxa"/>
            <w:vAlign w:val="bottom"/>
            <w:tcBorders>
              <w:bottom w:val="single" w:sz="8" w:color="0071CE"/>
            </w:tcBorders>
          </w:tcPr>
          <w:p>
            <w:pPr>
              <w:spacing w:after="0"/>
              <w:rPr>
                <w:sz w:val="8"/>
                <w:szCs w:val="8"/>
                <w:color w:val="auto"/>
              </w:rPr>
            </w:pPr>
          </w:p>
        </w:tc>
        <w:tc>
          <w:tcPr>
            <w:tcW w:w="620" w:type="dxa"/>
            <w:vAlign w:val="bottom"/>
            <w:tcBorders>
              <w:bottom w:val="single" w:sz="8" w:color="0071CE"/>
            </w:tcBorders>
          </w:tcPr>
          <w:p>
            <w:pPr>
              <w:spacing w:after="0"/>
              <w:rPr>
                <w:sz w:val="8"/>
                <w:szCs w:val="8"/>
                <w:color w:val="auto"/>
              </w:rPr>
            </w:pPr>
          </w:p>
        </w:tc>
        <w:tc>
          <w:tcPr>
            <w:tcW w:w="27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-1774190</wp:posOffset>
            </wp:positionV>
            <wp:extent cx="1783080" cy="17570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83080" cy="1757045"/>
                    </a:xfrm>
                    <a:prstGeom prst="rect">
                      <a:avLst/>
                    </a:prstGeom>
                    <a:noFill/>
                  </pic:spPr>
                </pic:pic>
              </a:graphicData>
            </a:graphic>
          </wp:anchor>
        </w:drawing>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C4C4C"/>
        </w:rPr>
        <w:t>Corporate Governance, Environmental and Social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57150</wp:posOffset>
            </wp:positionV>
            <wp:extent cx="699516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is a summary of our corporate governance, environmental, and social commitment policies and practices:</w:t>
      </w:r>
    </w:p>
    <w:p>
      <w:pPr>
        <w:spacing w:after="0" w:line="107" w:lineRule="exact"/>
        <w:rPr>
          <w:sz w:val="20"/>
          <w:szCs w:val="20"/>
          <w:color w:val="auto"/>
        </w:rPr>
      </w:pPr>
    </w:p>
    <w:p>
      <w:pPr>
        <w:ind w:left="440" w:right="40" w:hanging="216"/>
        <w:spacing w:after="0" w:line="256" w:lineRule="auto"/>
        <w:tabs>
          <w:tab w:leader="none" w:pos="440" w:val="left"/>
        </w:tabs>
        <w:numPr>
          <w:ilvl w:val="0"/>
          <w:numId w:val="20"/>
        </w:numPr>
        <w:rPr>
          <w:rFonts w:ascii="Arial" w:cs="Arial" w:eastAsia="Arial" w:hAnsi="Arial"/>
          <w:sz w:val="16"/>
          <w:szCs w:val="16"/>
          <w:color w:val="0071CE"/>
        </w:rPr>
      </w:pPr>
      <w:r>
        <w:rPr>
          <w:rFonts w:ascii="Arial" w:cs="Arial" w:eastAsia="Arial" w:hAnsi="Arial"/>
          <w:sz w:val="16"/>
          <w:szCs w:val="16"/>
          <w:b w:val="1"/>
          <w:bCs w:val="1"/>
          <w:color w:val="auto"/>
        </w:rPr>
        <w:t xml:space="preserve">Separate Chair and CEO: </w:t>
      </w:r>
      <w:r>
        <w:rPr>
          <w:rFonts w:ascii="Arial" w:cs="Arial" w:eastAsia="Arial" w:hAnsi="Arial"/>
          <w:sz w:val="16"/>
          <w:szCs w:val="16"/>
          <w:color w:val="auto"/>
        </w:rPr>
        <w:t>The positions of Board Chair and Chief Executive Officer are separated, which allows our Chief Executive Officer to focus</w:t>
      </w:r>
      <w:r>
        <w:rPr>
          <w:rFonts w:ascii="Arial" w:cs="Arial" w:eastAsia="Arial" w:hAnsi="Arial"/>
          <w:sz w:val="16"/>
          <w:szCs w:val="16"/>
          <w:b w:val="1"/>
          <w:bCs w:val="1"/>
          <w:color w:val="auto"/>
        </w:rPr>
        <w:t xml:space="preserve"> </w:t>
      </w:r>
      <w:r>
        <w:rPr>
          <w:rFonts w:ascii="Arial" w:cs="Arial" w:eastAsia="Arial" w:hAnsi="Arial"/>
          <w:sz w:val="16"/>
          <w:szCs w:val="16"/>
          <w:color w:val="auto"/>
        </w:rPr>
        <w:t>on strategic planning and execution as well as our day-to-day business operations, while allowing the Board Chair to lead the Board in its fundamental role of providing advice to and oversight of management. While our Bylaws do not require that our Board Chair and Chief Executive Officer positions be separate, our Board believes that having separate positions is the appropriate leadership structure for us at this time and demonstrates our commitment to good corporate governance.</w:t>
      </w:r>
    </w:p>
    <w:p>
      <w:pPr>
        <w:spacing w:after="0" w:line="85" w:lineRule="exact"/>
        <w:rPr>
          <w:rFonts w:ascii="Arial" w:cs="Arial" w:eastAsia="Arial" w:hAnsi="Arial"/>
          <w:sz w:val="16"/>
          <w:szCs w:val="16"/>
          <w:color w:val="0071CE"/>
        </w:rPr>
      </w:pPr>
    </w:p>
    <w:p>
      <w:pPr>
        <w:ind w:left="440" w:right="200" w:hanging="216"/>
        <w:spacing w:after="0" w:line="259" w:lineRule="auto"/>
        <w:tabs>
          <w:tab w:leader="none" w:pos="440" w:val="left"/>
        </w:tabs>
        <w:numPr>
          <w:ilvl w:val="0"/>
          <w:numId w:val="20"/>
        </w:numPr>
        <w:rPr>
          <w:rFonts w:ascii="Arial" w:cs="Arial" w:eastAsia="Arial" w:hAnsi="Arial"/>
          <w:sz w:val="16"/>
          <w:szCs w:val="16"/>
          <w:color w:val="0071CE"/>
        </w:rPr>
      </w:pPr>
      <w:r>
        <w:rPr>
          <w:rFonts w:ascii="Arial" w:cs="Arial" w:eastAsia="Arial" w:hAnsi="Arial"/>
          <w:sz w:val="16"/>
          <w:szCs w:val="16"/>
          <w:b w:val="1"/>
          <w:bCs w:val="1"/>
          <w:color w:val="auto"/>
        </w:rPr>
        <w:t xml:space="preserve">Majority Independent Board: </w:t>
      </w:r>
      <w:r>
        <w:rPr>
          <w:rFonts w:ascii="Arial" w:cs="Arial" w:eastAsia="Arial" w:hAnsi="Arial"/>
          <w:sz w:val="16"/>
          <w:szCs w:val="16"/>
          <w:color w:val="auto"/>
        </w:rPr>
        <w:t>A majority of the members of the Board are independent directors, as defined by Nasdaq Marketplace Rules.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has determined that all of the Company’s directors are independent, except Dr. Anzalone, due to his employment relationship with the Company, and Dr. Given, who is the brother of Bruce Given, the Company’s former Chief Operating Officer. Non-employee directors do not receive consulting or other fees from the Company, other than Board and Committee compensation.</w:t>
      </w:r>
    </w:p>
    <w:p>
      <w:pPr>
        <w:spacing w:after="0" w:line="83" w:lineRule="exact"/>
        <w:rPr>
          <w:rFonts w:ascii="Arial" w:cs="Arial" w:eastAsia="Arial" w:hAnsi="Arial"/>
          <w:sz w:val="16"/>
          <w:szCs w:val="16"/>
          <w:color w:val="0071CE"/>
        </w:rPr>
      </w:pPr>
    </w:p>
    <w:p>
      <w:pPr>
        <w:ind w:left="440" w:right="440" w:hanging="216"/>
        <w:spacing w:after="0" w:line="286" w:lineRule="auto"/>
        <w:tabs>
          <w:tab w:leader="none" w:pos="440" w:val="left"/>
        </w:tabs>
        <w:numPr>
          <w:ilvl w:val="0"/>
          <w:numId w:val="20"/>
        </w:numPr>
        <w:rPr>
          <w:rFonts w:ascii="Arial" w:cs="Arial" w:eastAsia="Arial" w:hAnsi="Arial"/>
          <w:sz w:val="16"/>
          <w:szCs w:val="16"/>
          <w:color w:val="0071CE"/>
        </w:rPr>
      </w:pPr>
      <w:r>
        <w:rPr>
          <w:rFonts w:ascii="Arial" w:cs="Arial" w:eastAsia="Arial" w:hAnsi="Arial"/>
          <w:sz w:val="16"/>
          <w:szCs w:val="16"/>
          <w:b w:val="1"/>
          <w:bCs w:val="1"/>
          <w:color w:val="auto"/>
        </w:rPr>
        <w:t xml:space="preserve">Independent Lead Director: </w:t>
      </w:r>
      <w:r>
        <w:rPr>
          <w:rFonts w:ascii="Arial" w:cs="Arial" w:eastAsia="Arial" w:hAnsi="Arial"/>
          <w:sz w:val="16"/>
          <w:szCs w:val="16"/>
          <w:color w:val="auto"/>
        </w:rPr>
        <w:t>The Board has appointed an independent Lead Director. The Lead Director is tasked with assuring that the Board</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committees and other relevant issues have independent leadership.</w:t>
      </w:r>
    </w:p>
    <w:p>
      <w:pPr>
        <w:spacing w:after="0" w:line="61" w:lineRule="exact"/>
        <w:rPr>
          <w:rFonts w:ascii="Arial" w:cs="Arial" w:eastAsia="Arial" w:hAnsi="Arial"/>
          <w:sz w:val="16"/>
          <w:szCs w:val="16"/>
          <w:color w:val="0071CE"/>
        </w:rPr>
      </w:pPr>
    </w:p>
    <w:p>
      <w:pPr>
        <w:ind w:left="440" w:right="160" w:hanging="216"/>
        <w:spacing w:after="0" w:line="254" w:lineRule="auto"/>
        <w:tabs>
          <w:tab w:leader="none" w:pos="440" w:val="left"/>
        </w:tabs>
        <w:numPr>
          <w:ilvl w:val="0"/>
          <w:numId w:val="20"/>
        </w:numPr>
        <w:rPr>
          <w:rFonts w:ascii="Arial" w:cs="Arial" w:eastAsia="Arial" w:hAnsi="Arial"/>
          <w:sz w:val="16"/>
          <w:szCs w:val="16"/>
          <w:color w:val="0071CE"/>
        </w:rPr>
      </w:pPr>
      <w:r>
        <w:rPr>
          <w:rFonts w:ascii="Arial" w:cs="Arial" w:eastAsia="Arial" w:hAnsi="Arial"/>
          <w:sz w:val="16"/>
          <w:szCs w:val="16"/>
          <w:b w:val="1"/>
          <w:bCs w:val="1"/>
          <w:color w:val="auto"/>
        </w:rPr>
        <w:t xml:space="preserve">Board Oversight of Risk: </w:t>
      </w:r>
      <w:r>
        <w:rPr>
          <w:rFonts w:ascii="Arial" w:cs="Arial" w:eastAsia="Arial" w:hAnsi="Arial"/>
          <w:sz w:val="16"/>
          <w:szCs w:val="16"/>
          <w:color w:val="auto"/>
        </w:rPr>
        <w:t>The Board has overall responsibility for the oversight of the Company’s risk management process, which is designed to</w:t>
      </w:r>
      <w:r>
        <w:rPr>
          <w:rFonts w:ascii="Arial" w:cs="Arial" w:eastAsia="Arial" w:hAnsi="Arial"/>
          <w:sz w:val="16"/>
          <w:szCs w:val="16"/>
          <w:b w:val="1"/>
          <w:bCs w:val="1"/>
          <w:color w:val="auto"/>
        </w:rPr>
        <w:t xml:space="preserve"> </w:t>
      </w:r>
      <w:r>
        <w:rPr>
          <w:rFonts w:ascii="Arial" w:cs="Arial" w:eastAsia="Arial" w:hAnsi="Arial"/>
          <w:sz w:val="16"/>
          <w:szCs w:val="16"/>
          <w:color w:val="auto"/>
        </w:rPr>
        <w:t>support the achievement of organizational objectives, including strategic objectives, to improve long-term organizational performance and enhance stockholder value. Risk management includes not only understanding company-specific risks and the steps management implements to manage those risks, but also what level of risk is acceptable and appropriate for the Company. Management is responsible for establishing our business strategy, identifying and assessing the related risks and implementing appropriate risk management practices. The Board regularly reviews our business strategy and management’s assessment of the related risk and discusses with management the appropriate level of risk for the Company.</w:t>
      </w:r>
    </w:p>
    <w:p>
      <w:pPr>
        <w:spacing w:after="0" w:line="87" w:lineRule="exact"/>
        <w:rPr>
          <w:rFonts w:ascii="Arial" w:cs="Arial" w:eastAsia="Arial" w:hAnsi="Arial"/>
          <w:sz w:val="16"/>
          <w:szCs w:val="16"/>
          <w:color w:val="0071CE"/>
        </w:rPr>
      </w:pPr>
    </w:p>
    <w:p>
      <w:pPr>
        <w:ind w:left="440" w:right="160" w:hanging="216"/>
        <w:spacing w:after="0" w:line="266" w:lineRule="auto"/>
        <w:tabs>
          <w:tab w:leader="none" w:pos="440" w:val="left"/>
        </w:tabs>
        <w:numPr>
          <w:ilvl w:val="0"/>
          <w:numId w:val="20"/>
        </w:numPr>
        <w:rPr>
          <w:rFonts w:ascii="Arial" w:cs="Arial" w:eastAsia="Arial" w:hAnsi="Arial"/>
          <w:sz w:val="16"/>
          <w:szCs w:val="16"/>
          <w:color w:val="0071CE"/>
        </w:rPr>
      </w:pPr>
      <w:r>
        <w:rPr>
          <w:rFonts w:ascii="Arial" w:cs="Arial" w:eastAsia="Arial" w:hAnsi="Arial"/>
          <w:sz w:val="16"/>
          <w:szCs w:val="16"/>
          <w:b w:val="1"/>
          <w:bCs w:val="1"/>
          <w:color w:val="auto"/>
        </w:rPr>
        <w:t xml:space="preserve">Code of Conduct: </w:t>
      </w:r>
      <w:r>
        <w:rPr>
          <w:rFonts w:ascii="Arial" w:cs="Arial" w:eastAsia="Arial" w:hAnsi="Arial"/>
          <w:sz w:val="16"/>
          <w:szCs w:val="16"/>
          <w:color w:val="auto"/>
        </w:rPr>
        <w:t>All the Company’s employees, officers and directors are subject to the Company’s Code of Business Conduct and Ethics Policy,</w:t>
      </w:r>
      <w:r>
        <w:rPr>
          <w:rFonts w:ascii="Arial" w:cs="Arial" w:eastAsia="Arial" w:hAnsi="Arial"/>
          <w:sz w:val="16"/>
          <w:szCs w:val="16"/>
          <w:b w:val="1"/>
          <w:bCs w:val="1"/>
          <w:color w:val="auto"/>
        </w:rPr>
        <w:t xml:space="preserve"> </w:t>
      </w:r>
      <w:r>
        <w:rPr>
          <w:rFonts w:ascii="Arial" w:cs="Arial" w:eastAsia="Arial" w:hAnsi="Arial"/>
          <w:sz w:val="16"/>
          <w:szCs w:val="16"/>
          <w:color w:val="auto"/>
        </w:rPr>
        <w:t>which is available on the Company’s website at www.arrowheadpharma.com. The ethics policy meets the requirements of Nasdaq Marketplace Rules, as well as the code of ethics requirements of the SEC.</w:t>
      </w:r>
    </w:p>
    <w:p>
      <w:pPr>
        <w:spacing w:after="0" w:line="76" w:lineRule="exact"/>
        <w:rPr>
          <w:rFonts w:ascii="Arial" w:cs="Arial" w:eastAsia="Arial" w:hAnsi="Arial"/>
          <w:sz w:val="16"/>
          <w:szCs w:val="16"/>
          <w:color w:val="0071CE"/>
        </w:rPr>
      </w:pPr>
    </w:p>
    <w:p>
      <w:pPr>
        <w:ind w:left="440" w:hanging="216"/>
        <w:spacing w:after="0"/>
        <w:tabs>
          <w:tab w:leader="none" w:pos="440" w:val="left"/>
        </w:tabs>
        <w:numPr>
          <w:ilvl w:val="0"/>
          <w:numId w:val="20"/>
        </w:numPr>
        <w:rPr>
          <w:rFonts w:ascii="Arial" w:cs="Arial" w:eastAsia="Arial" w:hAnsi="Arial"/>
          <w:sz w:val="16"/>
          <w:szCs w:val="16"/>
          <w:color w:val="0071CE"/>
        </w:rPr>
      </w:pPr>
      <w:r>
        <w:rPr>
          <w:rFonts w:ascii="Arial" w:cs="Arial" w:eastAsia="Arial" w:hAnsi="Arial"/>
          <w:sz w:val="16"/>
          <w:szCs w:val="16"/>
          <w:b w:val="1"/>
          <w:bCs w:val="1"/>
          <w:color w:val="auto"/>
        </w:rPr>
        <w:t xml:space="preserve">Independent Committees: </w:t>
      </w:r>
      <w:r>
        <w:rPr>
          <w:rFonts w:ascii="Arial" w:cs="Arial" w:eastAsia="Arial" w:hAnsi="Arial"/>
          <w:sz w:val="16"/>
          <w:szCs w:val="16"/>
          <w:color w:val="auto"/>
        </w:rPr>
        <w:t>The Audit and Compensation Committees consist entirely of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109220</wp:posOffset>
            </wp:positionV>
            <wp:extent cx="986155" cy="2057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83" w:lineRule="exact"/>
        <w:rPr>
          <w:sz w:val="20"/>
          <w:szCs w:val="20"/>
          <w:color w:val="auto"/>
        </w:rPr>
      </w:pPr>
    </w:p>
    <w:p>
      <w:pPr>
        <w:ind w:left="10980"/>
        <w:spacing w:after="0"/>
        <w:rPr>
          <w:sz w:val="20"/>
          <w:szCs w:val="20"/>
          <w:color w:val="auto"/>
        </w:rPr>
      </w:pPr>
      <w:r>
        <w:rPr>
          <w:rFonts w:ascii="Arial" w:cs="Arial" w:eastAsia="Arial" w:hAnsi="Arial"/>
          <w:sz w:val="18"/>
          <w:szCs w:val="18"/>
          <w:b w:val="1"/>
          <w:bCs w:val="1"/>
          <w:color w:val="0071CE"/>
        </w:rPr>
        <w:t>9</w:t>
      </w:r>
    </w:p>
    <w:p>
      <w:pPr>
        <w:sectPr>
          <w:pgSz w:w="11900" w:h="16838" w:orient="portrait"/>
          <w:cols w:equalWidth="0" w:num="1">
            <w:col w:w="11140"/>
          </w:cols>
          <w:pgMar w:left="32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20"/>
        <w:spacing w:after="0"/>
        <w:tabs>
          <w:tab w:leader="none" w:pos="2020" w:val="left"/>
        </w:tabs>
        <w:rPr>
          <w:sz w:val="20"/>
          <w:szCs w:val="20"/>
          <w:color w:val="auto"/>
        </w:rPr>
      </w:pPr>
      <w:r>
        <w:rPr>
          <w:rFonts w:ascii="Arial" w:cs="Arial" w:eastAsia="Arial" w:hAnsi="Arial"/>
          <w:sz w:val="14"/>
          <w:szCs w:val="14"/>
          <w:b w:val="1"/>
          <w:bCs w:val="1"/>
          <w:color w:val="0071CE"/>
        </w:rPr>
        <w:t>2022 PROXY STATEMENT</w:t>
      </w:r>
      <w:r>
        <w:rPr>
          <w:sz w:val="20"/>
          <w:szCs w:val="20"/>
          <w:color w:val="auto"/>
        </w:rPr>
        <w:tab/>
      </w:r>
      <w:r>
        <w:rPr>
          <w:rFonts w:ascii="Arial" w:cs="Arial" w:eastAsia="Arial" w:hAnsi="Arial"/>
          <w:sz w:val="14"/>
          <w:szCs w:val="14"/>
          <w:b w:val="1"/>
          <w:bCs w:val="1"/>
          <w:i w:val="1"/>
          <w:iCs w:val="1"/>
          <w:color w:val="3FAE2A"/>
        </w:rPr>
        <w:t>Proposal One — Election of Directors</w:t>
      </w:r>
    </w:p>
    <w:p>
      <w:pPr>
        <w:spacing w:after="0" w:line="145" w:lineRule="exact"/>
        <w:rPr>
          <w:sz w:val="20"/>
          <w:szCs w:val="20"/>
          <w:color w:val="auto"/>
        </w:rPr>
      </w:pPr>
    </w:p>
    <w:p>
      <w:pPr>
        <w:ind w:left="440" w:right="60" w:hanging="216"/>
        <w:spacing w:after="0" w:line="286" w:lineRule="auto"/>
        <w:tabs>
          <w:tab w:leader="none" w:pos="440" w:val="left"/>
        </w:tabs>
        <w:numPr>
          <w:ilvl w:val="0"/>
          <w:numId w:val="21"/>
        </w:numPr>
        <w:rPr>
          <w:rFonts w:ascii="Arial" w:cs="Arial" w:eastAsia="Arial" w:hAnsi="Arial"/>
          <w:sz w:val="16"/>
          <w:szCs w:val="16"/>
          <w:color w:val="0071CE"/>
        </w:rPr>
      </w:pPr>
      <w:r>
        <w:rPr>
          <w:rFonts w:ascii="Arial" w:cs="Arial" w:eastAsia="Arial" w:hAnsi="Arial"/>
          <w:sz w:val="16"/>
          <w:szCs w:val="16"/>
          <w:b w:val="1"/>
          <w:bCs w:val="1"/>
          <w:color w:val="auto"/>
        </w:rPr>
        <w:t xml:space="preserve">Regularly Held Executive Sessions: </w:t>
      </w:r>
      <w:r>
        <w:rPr>
          <w:rFonts w:ascii="Arial" w:cs="Arial" w:eastAsia="Arial" w:hAnsi="Arial"/>
          <w:sz w:val="16"/>
          <w:szCs w:val="16"/>
          <w:color w:val="auto"/>
        </w:rPr>
        <w:t>The independent directors meet separately in executive session on a regular basis to discuss matters relating</w:t>
      </w:r>
      <w:r>
        <w:rPr>
          <w:rFonts w:ascii="Arial" w:cs="Arial" w:eastAsia="Arial" w:hAnsi="Arial"/>
          <w:sz w:val="16"/>
          <w:szCs w:val="16"/>
          <w:b w:val="1"/>
          <w:bCs w:val="1"/>
          <w:color w:val="auto"/>
        </w:rPr>
        <w:t xml:space="preserve"> </w:t>
      </w:r>
      <w:r>
        <w:rPr>
          <w:rFonts w:ascii="Arial" w:cs="Arial" w:eastAsia="Arial" w:hAnsi="Arial"/>
          <w:sz w:val="16"/>
          <w:szCs w:val="16"/>
          <w:color w:val="auto"/>
        </w:rPr>
        <w:t>to the Company and the Board, without members of the management team present.</w:t>
      </w:r>
    </w:p>
    <w:p>
      <w:pPr>
        <w:spacing w:after="0" w:line="61" w:lineRule="exact"/>
        <w:rPr>
          <w:rFonts w:ascii="Arial" w:cs="Arial" w:eastAsia="Arial" w:hAnsi="Arial"/>
          <w:sz w:val="16"/>
          <w:szCs w:val="16"/>
          <w:color w:val="0071CE"/>
        </w:rPr>
      </w:pPr>
    </w:p>
    <w:p>
      <w:pPr>
        <w:ind w:left="440" w:hanging="216"/>
        <w:spacing w:after="0"/>
        <w:tabs>
          <w:tab w:leader="none" w:pos="440" w:val="left"/>
        </w:tabs>
        <w:numPr>
          <w:ilvl w:val="0"/>
          <w:numId w:val="21"/>
        </w:numPr>
        <w:rPr>
          <w:rFonts w:ascii="Arial" w:cs="Arial" w:eastAsia="Arial" w:hAnsi="Arial"/>
          <w:sz w:val="16"/>
          <w:szCs w:val="16"/>
          <w:color w:val="0071CE"/>
        </w:rPr>
      </w:pPr>
      <w:r>
        <w:rPr>
          <w:rFonts w:ascii="Arial" w:cs="Arial" w:eastAsia="Arial" w:hAnsi="Arial"/>
          <w:sz w:val="16"/>
          <w:szCs w:val="16"/>
          <w:b w:val="1"/>
          <w:bCs w:val="1"/>
          <w:color w:val="auto"/>
        </w:rPr>
        <w:t xml:space="preserve">Board Oversight of Strategy: </w:t>
      </w:r>
      <w:r>
        <w:rPr>
          <w:rFonts w:ascii="Arial" w:cs="Arial" w:eastAsia="Arial" w:hAnsi="Arial"/>
          <w:sz w:val="16"/>
          <w:szCs w:val="16"/>
          <w:color w:val="auto"/>
        </w:rPr>
        <w:t>The Board reviews at least annually the Company’s business initiatives, capital projects and budget matters.</w:t>
      </w:r>
    </w:p>
    <w:p>
      <w:pPr>
        <w:spacing w:after="0" w:line="126" w:lineRule="exact"/>
        <w:rPr>
          <w:rFonts w:ascii="Arial" w:cs="Arial" w:eastAsia="Arial" w:hAnsi="Arial"/>
          <w:sz w:val="16"/>
          <w:szCs w:val="16"/>
          <w:color w:val="0071CE"/>
        </w:rPr>
      </w:pPr>
    </w:p>
    <w:p>
      <w:pPr>
        <w:ind w:left="440" w:right="460" w:hanging="216"/>
        <w:spacing w:after="0" w:line="286" w:lineRule="auto"/>
        <w:tabs>
          <w:tab w:leader="none" w:pos="440" w:val="left"/>
        </w:tabs>
        <w:numPr>
          <w:ilvl w:val="0"/>
          <w:numId w:val="21"/>
        </w:numPr>
        <w:rPr>
          <w:rFonts w:ascii="Arial" w:cs="Arial" w:eastAsia="Arial" w:hAnsi="Arial"/>
          <w:sz w:val="16"/>
          <w:szCs w:val="16"/>
          <w:color w:val="0071CE"/>
        </w:rPr>
      </w:pPr>
      <w:r>
        <w:rPr>
          <w:rFonts w:ascii="Arial" w:cs="Arial" w:eastAsia="Arial" w:hAnsi="Arial"/>
          <w:sz w:val="16"/>
          <w:szCs w:val="16"/>
          <w:b w:val="1"/>
          <w:bCs w:val="1"/>
          <w:color w:val="auto"/>
        </w:rPr>
        <w:t xml:space="preserve">Related Party Transaction Oversight: </w:t>
      </w:r>
      <w:r>
        <w:rPr>
          <w:rFonts w:ascii="Arial" w:cs="Arial" w:eastAsia="Arial" w:hAnsi="Arial"/>
          <w:sz w:val="16"/>
          <w:szCs w:val="16"/>
          <w:color w:val="auto"/>
        </w:rPr>
        <w:t>The Audit Committee reviews and approves all disclosable related-party transactions or, if the size and</w:t>
      </w:r>
      <w:r>
        <w:rPr>
          <w:rFonts w:ascii="Arial" w:cs="Arial" w:eastAsia="Arial" w:hAnsi="Arial"/>
          <w:sz w:val="16"/>
          <w:szCs w:val="16"/>
          <w:b w:val="1"/>
          <w:bCs w:val="1"/>
          <w:color w:val="auto"/>
        </w:rPr>
        <w:t xml:space="preserve"> </w:t>
      </w:r>
      <w:r>
        <w:rPr>
          <w:rFonts w:ascii="Arial" w:cs="Arial" w:eastAsia="Arial" w:hAnsi="Arial"/>
          <w:sz w:val="16"/>
          <w:szCs w:val="16"/>
          <w:color w:val="auto"/>
        </w:rPr>
        <w:t>nature of the transaction warrants, a special committee of non-related Board members is formed to negotiate and approve the transaction.</w:t>
      </w:r>
    </w:p>
    <w:p>
      <w:pPr>
        <w:spacing w:after="0" w:line="61" w:lineRule="exact"/>
        <w:rPr>
          <w:rFonts w:ascii="Arial" w:cs="Arial" w:eastAsia="Arial" w:hAnsi="Arial"/>
          <w:sz w:val="16"/>
          <w:szCs w:val="16"/>
          <w:color w:val="0071CE"/>
        </w:rPr>
      </w:pPr>
    </w:p>
    <w:p>
      <w:pPr>
        <w:ind w:left="440" w:right="200" w:hanging="216"/>
        <w:spacing w:after="0" w:line="256" w:lineRule="auto"/>
        <w:tabs>
          <w:tab w:leader="none" w:pos="440" w:val="left"/>
        </w:tabs>
        <w:numPr>
          <w:ilvl w:val="0"/>
          <w:numId w:val="21"/>
        </w:numPr>
        <w:rPr>
          <w:rFonts w:ascii="Arial" w:cs="Arial" w:eastAsia="Arial" w:hAnsi="Arial"/>
          <w:sz w:val="16"/>
          <w:szCs w:val="16"/>
          <w:color w:val="0071CE"/>
        </w:rPr>
      </w:pPr>
      <w:r>
        <w:rPr>
          <w:rFonts w:ascii="Arial" w:cs="Arial" w:eastAsia="Arial" w:hAnsi="Arial"/>
          <w:sz w:val="16"/>
          <w:szCs w:val="16"/>
          <w:b w:val="1"/>
          <w:bCs w:val="1"/>
          <w:color w:val="auto"/>
        </w:rPr>
        <w:t xml:space="preserve">Sustainability: </w:t>
      </w:r>
      <w:r>
        <w:rPr>
          <w:rFonts w:ascii="Arial" w:cs="Arial" w:eastAsia="Arial" w:hAnsi="Arial"/>
          <w:sz w:val="16"/>
          <w:szCs w:val="16"/>
          <w:color w:val="auto"/>
        </w:rPr>
        <w:t>The Company is embarking on an analysis of its environmental impact and ways in which it can operate more responsibly and</w:t>
      </w:r>
      <w:r>
        <w:rPr>
          <w:rFonts w:ascii="Arial" w:cs="Arial" w:eastAsia="Arial" w:hAnsi="Arial"/>
          <w:sz w:val="16"/>
          <w:szCs w:val="16"/>
          <w:b w:val="1"/>
          <w:bCs w:val="1"/>
          <w:color w:val="auto"/>
        </w:rPr>
        <w:t xml:space="preserve"> </w:t>
      </w:r>
      <w:r>
        <w:rPr>
          <w:rFonts w:ascii="Arial" w:cs="Arial" w:eastAsia="Arial" w:hAnsi="Arial"/>
          <w:sz w:val="16"/>
          <w:szCs w:val="16"/>
          <w:color w:val="auto"/>
        </w:rPr>
        <w:t>sustainably. The Company is in the process of building out two research and development facilities, one in Verona, Wisconsin and the other in San Diego, California, and intends both of these facilities to be LEED certified. Additionally, the Company intends to obtain a meaningful percentage of energy used to power these facilities from solar arrays installed on the premises. The Company has been methodically minimizing its use of paper records in favor of electronic records and has a robust recycling program for paper, batteries and electronic equipment.</w:t>
      </w:r>
    </w:p>
    <w:p>
      <w:pPr>
        <w:spacing w:after="0" w:line="85" w:lineRule="exact"/>
        <w:rPr>
          <w:rFonts w:ascii="Arial" w:cs="Arial" w:eastAsia="Arial" w:hAnsi="Arial"/>
          <w:sz w:val="16"/>
          <w:szCs w:val="16"/>
          <w:color w:val="0071CE"/>
        </w:rPr>
      </w:pPr>
    </w:p>
    <w:p>
      <w:pPr>
        <w:ind w:left="440" w:right="80" w:hanging="216"/>
        <w:spacing w:after="0" w:line="254" w:lineRule="auto"/>
        <w:tabs>
          <w:tab w:leader="none" w:pos="440" w:val="left"/>
        </w:tabs>
        <w:numPr>
          <w:ilvl w:val="0"/>
          <w:numId w:val="21"/>
        </w:numPr>
        <w:rPr>
          <w:rFonts w:ascii="Arial" w:cs="Arial" w:eastAsia="Arial" w:hAnsi="Arial"/>
          <w:sz w:val="16"/>
          <w:szCs w:val="16"/>
          <w:color w:val="0071CE"/>
        </w:rPr>
      </w:pPr>
      <w:r>
        <w:rPr>
          <w:rFonts w:ascii="Arial" w:cs="Arial" w:eastAsia="Arial" w:hAnsi="Arial"/>
          <w:sz w:val="16"/>
          <w:szCs w:val="16"/>
          <w:b w:val="1"/>
          <w:bCs w:val="1"/>
          <w:color w:val="auto"/>
        </w:rPr>
        <w:t xml:space="preserve">Human Capital Management: </w:t>
      </w:r>
      <w:r>
        <w:rPr>
          <w:rFonts w:ascii="Arial" w:cs="Arial" w:eastAsia="Arial" w:hAnsi="Arial"/>
          <w:sz w:val="16"/>
          <w:szCs w:val="16"/>
          <w:color w:val="auto"/>
        </w:rPr>
        <w:t>Arrowhead has a vibrant and growing culture and we are committed to the health and welfare of our employees. Our</w:t>
      </w:r>
      <w:r>
        <w:rPr>
          <w:rFonts w:ascii="Arial" w:cs="Arial" w:eastAsia="Arial" w:hAnsi="Arial"/>
          <w:sz w:val="16"/>
          <w:szCs w:val="16"/>
          <w:b w:val="1"/>
          <w:bCs w:val="1"/>
          <w:color w:val="auto"/>
        </w:rPr>
        <w:t xml:space="preserve"> </w:t>
      </w:r>
      <w:r>
        <w:rPr>
          <w:rFonts w:ascii="Arial" w:cs="Arial" w:eastAsia="Arial" w:hAnsi="Arial"/>
          <w:sz w:val="16"/>
          <w:szCs w:val="16"/>
          <w:color w:val="auto"/>
        </w:rPr>
        <w:t>important work developing advanced drugs for patients requires a specialized and dedicated workforce. Arrowhead supports the development of our employees with a generous compensation and benefits package, internal advancement, and individualized development opportunities. We are committed to training young scientists and businesspeople and offer multiple internships and entry level positions each year. Arrowhead was voted one of the “Best Places to Work” among our small pharma peers by BioSpace, a life sciences industry hub for news and careers. Our annual voluntary turnover rate has been less than 8% for the last 3 fiscal years and our annual internal promotion rate has ranged from 10-15% annually.</w:t>
      </w:r>
    </w:p>
    <w:p>
      <w:pPr>
        <w:spacing w:after="0" w:line="87" w:lineRule="exact"/>
        <w:rPr>
          <w:rFonts w:ascii="Arial" w:cs="Arial" w:eastAsia="Arial" w:hAnsi="Arial"/>
          <w:sz w:val="16"/>
          <w:szCs w:val="16"/>
          <w:color w:val="0071CE"/>
        </w:rPr>
      </w:pPr>
    </w:p>
    <w:p>
      <w:pPr>
        <w:jc w:val="both"/>
        <w:ind w:left="440" w:right="100" w:hanging="216"/>
        <w:spacing w:after="0" w:line="266" w:lineRule="auto"/>
        <w:tabs>
          <w:tab w:leader="none" w:pos="440" w:val="left"/>
        </w:tabs>
        <w:numPr>
          <w:ilvl w:val="0"/>
          <w:numId w:val="21"/>
        </w:numPr>
        <w:rPr>
          <w:rFonts w:ascii="Arial" w:cs="Arial" w:eastAsia="Arial" w:hAnsi="Arial"/>
          <w:sz w:val="16"/>
          <w:szCs w:val="16"/>
          <w:color w:val="0071CE"/>
        </w:rPr>
      </w:pPr>
      <w:r>
        <w:rPr>
          <w:rFonts w:ascii="Arial" w:cs="Arial" w:eastAsia="Arial" w:hAnsi="Arial"/>
          <w:sz w:val="16"/>
          <w:szCs w:val="16"/>
          <w:b w:val="1"/>
          <w:bCs w:val="1"/>
          <w:color w:val="auto"/>
        </w:rPr>
        <w:t xml:space="preserve">Workforce Diversity: </w:t>
      </w:r>
      <w:r>
        <w:rPr>
          <w:rFonts w:ascii="Arial" w:cs="Arial" w:eastAsia="Arial" w:hAnsi="Arial"/>
          <w:sz w:val="16"/>
          <w:szCs w:val="16"/>
          <w:color w:val="auto"/>
        </w:rPr>
        <w:t>As of December 31, 2021, women comprise 45% of our employee workforce and 34% of our employee leaders at the level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or above. People self-identifying as racial and ethnic minorities comprise 33% of our employee workforce and 34% of our employee leaders at the level of director or above. One of our executive officers is a member of the LGBTQ+ community.</w:t>
      </w:r>
    </w:p>
    <w:p>
      <w:pPr>
        <w:spacing w:after="0" w:line="76" w:lineRule="exact"/>
        <w:rPr>
          <w:rFonts w:ascii="Arial" w:cs="Arial" w:eastAsia="Arial" w:hAnsi="Arial"/>
          <w:sz w:val="16"/>
          <w:szCs w:val="16"/>
          <w:color w:val="0071CE"/>
        </w:rPr>
      </w:pPr>
    </w:p>
    <w:p>
      <w:pPr>
        <w:jc w:val="both"/>
        <w:ind w:left="440" w:right="180" w:hanging="216"/>
        <w:spacing w:after="0" w:line="266" w:lineRule="auto"/>
        <w:tabs>
          <w:tab w:leader="none" w:pos="440" w:val="left"/>
        </w:tabs>
        <w:numPr>
          <w:ilvl w:val="0"/>
          <w:numId w:val="21"/>
        </w:numPr>
        <w:rPr>
          <w:rFonts w:ascii="Arial" w:cs="Arial" w:eastAsia="Arial" w:hAnsi="Arial"/>
          <w:sz w:val="16"/>
          <w:szCs w:val="16"/>
          <w:color w:val="0071CE"/>
        </w:rPr>
      </w:pPr>
      <w:r>
        <w:rPr>
          <w:rFonts w:ascii="Arial" w:cs="Arial" w:eastAsia="Arial" w:hAnsi="Arial"/>
          <w:sz w:val="16"/>
          <w:szCs w:val="16"/>
          <w:b w:val="1"/>
          <w:bCs w:val="1"/>
          <w:color w:val="auto"/>
        </w:rPr>
        <w:t xml:space="preserve">Corporate Responsibility: </w:t>
      </w:r>
      <w:r>
        <w:rPr>
          <w:rFonts w:ascii="Arial" w:cs="Arial" w:eastAsia="Arial" w:hAnsi="Arial"/>
          <w:sz w:val="16"/>
          <w:szCs w:val="16"/>
          <w:color w:val="auto"/>
        </w:rPr>
        <w:t>Arrowhead is also committed to the communities in which we operate. The Company and our employees participate in</w:t>
      </w:r>
      <w:r>
        <w:rPr>
          <w:rFonts w:ascii="Arial" w:cs="Arial" w:eastAsia="Arial" w:hAnsi="Arial"/>
          <w:sz w:val="16"/>
          <w:szCs w:val="16"/>
          <w:b w:val="1"/>
          <w:bCs w:val="1"/>
          <w:color w:val="auto"/>
        </w:rPr>
        <w:t xml:space="preserve"> </w:t>
      </w:r>
      <w:r>
        <w:rPr>
          <w:rFonts w:ascii="Arial" w:cs="Arial" w:eastAsia="Arial" w:hAnsi="Arial"/>
          <w:sz w:val="16"/>
          <w:szCs w:val="16"/>
          <w:color w:val="auto"/>
        </w:rPr>
        <w:t>multiple charitable outreach events each year, and in 2022 expect to establish a scholarship fund intended to foster scientific education for minority students.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C4C4C"/>
        </w:rPr>
        <w:t>Stockholder Communications with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57150</wp:posOffset>
            </wp:positionV>
            <wp:extent cx="69951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6" w:lineRule="exact"/>
        <w:rPr>
          <w:sz w:val="20"/>
          <w:szCs w:val="20"/>
          <w:color w:val="auto"/>
        </w:rPr>
      </w:pPr>
    </w:p>
    <w:p>
      <w:pPr>
        <w:ind w:left="120" w:right="140"/>
        <w:spacing w:after="0" w:line="253" w:lineRule="auto"/>
        <w:rPr>
          <w:sz w:val="20"/>
          <w:szCs w:val="20"/>
          <w:color w:val="auto"/>
        </w:rPr>
      </w:pPr>
      <w:r>
        <w:rPr>
          <w:rFonts w:ascii="Arial" w:cs="Arial" w:eastAsia="Arial" w:hAnsi="Arial"/>
          <w:sz w:val="16"/>
          <w:szCs w:val="16"/>
          <w:color w:val="auto"/>
        </w:rPr>
        <w:t>Stockholders who wish to communicate with the Board or any individual director can write to: Patrick O’Brien, Corporate Secretary, Arrowhead Pharmaceuticals, Inc., 177 E. Colorado, Suite 700, Pasadena, CA 91105. Your letter should indicate that you are an Arrowhead stockholder. Depending on the subject matter, management will:</w:t>
      </w:r>
    </w:p>
    <w:p>
      <w:pPr>
        <w:spacing w:after="0" w:line="107" w:lineRule="exact"/>
        <w:rPr>
          <w:sz w:val="20"/>
          <w:szCs w:val="20"/>
          <w:color w:val="auto"/>
        </w:rPr>
      </w:pPr>
    </w:p>
    <w:p>
      <w:pPr>
        <w:ind w:left="440" w:hanging="216"/>
        <w:spacing w:after="0"/>
        <w:tabs>
          <w:tab w:leader="none" w:pos="440" w:val="left"/>
        </w:tabs>
        <w:numPr>
          <w:ilvl w:val="0"/>
          <w:numId w:val="22"/>
        </w:numPr>
        <w:rPr>
          <w:rFonts w:ascii="Arial" w:cs="Arial" w:eastAsia="Arial" w:hAnsi="Arial"/>
          <w:sz w:val="16"/>
          <w:szCs w:val="16"/>
          <w:color w:val="0071CE"/>
        </w:rPr>
      </w:pPr>
      <w:r>
        <w:rPr>
          <w:rFonts w:ascii="Arial" w:cs="Arial" w:eastAsia="Arial" w:hAnsi="Arial"/>
          <w:sz w:val="16"/>
          <w:szCs w:val="16"/>
          <w:color w:val="auto"/>
        </w:rPr>
        <w:t>Forward the communication to the director or directors to whom it is addressed;</w:t>
      </w:r>
    </w:p>
    <w:p>
      <w:pPr>
        <w:spacing w:after="0" w:line="126" w:lineRule="exact"/>
        <w:rPr>
          <w:rFonts w:ascii="Arial" w:cs="Arial" w:eastAsia="Arial" w:hAnsi="Arial"/>
          <w:sz w:val="16"/>
          <w:szCs w:val="16"/>
          <w:color w:val="0071CE"/>
        </w:rPr>
      </w:pPr>
    </w:p>
    <w:p>
      <w:pPr>
        <w:ind w:left="440" w:hanging="216"/>
        <w:spacing w:after="0"/>
        <w:tabs>
          <w:tab w:leader="none" w:pos="440" w:val="left"/>
        </w:tabs>
        <w:numPr>
          <w:ilvl w:val="0"/>
          <w:numId w:val="22"/>
        </w:numPr>
        <w:rPr>
          <w:rFonts w:ascii="Arial" w:cs="Arial" w:eastAsia="Arial" w:hAnsi="Arial"/>
          <w:sz w:val="16"/>
          <w:szCs w:val="16"/>
          <w:color w:val="0071CE"/>
        </w:rPr>
      </w:pPr>
      <w:r>
        <w:rPr>
          <w:rFonts w:ascii="Arial" w:cs="Arial" w:eastAsia="Arial" w:hAnsi="Arial"/>
          <w:sz w:val="16"/>
          <w:szCs w:val="16"/>
          <w:color w:val="auto"/>
        </w:rPr>
        <w:t>Forward the communication to the Board Chair, if addressed to the board of directors; or</w:t>
      </w:r>
    </w:p>
    <w:p>
      <w:pPr>
        <w:spacing w:after="0" w:line="126" w:lineRule="exact"/>
        <w:rPr>
          <w:rFonts w:ascii="Arial" w:cs="Arial" w:eastAsia="Arial" w:hAnsi="Arial"/>
          <w:sz w:val="16"/>
          <w:szCs w:val="16"/>
          <w:color w:val="0071CE"/>
        </w:rPr>
      </w:pPr>
    </w:p>
    <w:p>
      <w:pPr>
        <w:ind w:left="440" w:right="60" w:hanging="216"/>
        <w:spacing w:after="0" w:line="260" w:lineRule="auto"/>
        <w:tabs>
          <w:tab w:leader="none" w:pos="440" w:val="left"/>
        </w:tabs>
        <w:numPr>
          <w:ilvl w:val="0"/>
          <w:numId w:val="22"/>
        </w:numPr>
        <w:rPr>
          <w:rFonts w:ascii="Arial" w:cs="Arial" w:eastAsia="Arial" w:hAnsi="Arial"/>
          <w:sz w:val="16"/>
          <w:szCs w:val="16"/>
          <w:color w:val="0071CE"/>
        </w:rPr>
      </w:pPr>
      <w:r>
        <w:rPr>
          <w:rFonts w:ascii="Arial" w:cs="Arial" w:eastAsia="Arial" w:hAnsi="Arial"/>
          <w:sz w:val="16"/>
          <w:szCs w:val="16"/>
          <w:color w:val="auto"/>
        </w:rPr>
        <w:t>If not addressed to, or otherwise appropriate for, any director or directors, attempt to handle the inquiry directly (for example, requests for information or stock-related matters).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C4C4C"/>
        </w:rPr>
        <w:t>Board Meetings and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57150</wp:posOffset>
            </wp:positionV>
            <wp:extent cx="69951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53" w:lineRule="exact"/>
        <w:rPr>
          <w:sz w:val="20"/>
          <w:szCs w:val="20"/>
          <w:color w:val="auto"/>
        </w:rPr>
      </w:pPr>
    </w:p>
    <w:p>
      <w:pPr>
        <w:ind w:left="120" w:right="300"/>
        <w:spacing w:after="0" w:line="260" w:lineRule="auto"/>
        <w:rPr>
          <w:sz w:val="20"/>
          <w:szCs w:val="20"/>
          <w:color w:val="auto"/>
        </w:rPr>
      </w:pPr>
      <w:r>
        <w:rPr>
          <w:rFonts w:ascii="Arial" w:cs="Arial" w:eastAsia="Arial" w:hAnsi="Arial"/>
          <w:sz w:val="16"/>
          <w:szCs w:val="16"/>
          <w:color w:val="auto"/>
        </w:rPr>
        <w:t>The Board held a total of six meetings during the fiscal year ended September 30, 2021. The Board has three standing committees: Audit Committee, Compensation Committee and Nominating Committee.</w:t>
      </w:r>
    </w:p>
    <w:p>
      <w:pPr>
        <w:spacing w:after="0" w:line="195"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auto"/>
        </w:rPr>
        <w:t>The functions of the Audit Committee are to select and oversee the independent registered public accounting firm, to review the scope and results of the year-end audit with management and the independent auditors, to review the Company’s accounting principles and its system of internal accounting controls, to review the Company’s annual and quarterly reports before filing with the SEC and to review any related-party transactions. The Audit Committee met four times during fiscal 2021. The current members of the Audit Committee are William Waddill, Committee Chair, Marianne De Backer, Mauro Ferrari, Adeoye Olukotun, and Michael S. Perry. The Board has determined that all members of the Audit Committee who served during 2021 were independent directors under the rules of the SEC and the listing standards of Nasdaq Marketplace Rules and are financially literate. The Board has determined that Mr. Waddill is an “audit committee financial expert” in accordance with the applicable regulations, based on his experience as noted above. The Audit Committee Charter is available on the Company’s website at www.arrowheadpharma.com.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87630</wp:posOffset>
            </wp:positionV>
            <wp:extent cx="986155" cy="2057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1CE"/>
        </w:rPr>
        <w:t>10</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6640"/>
        <w:spacing w:after="0"/>
        <w:tabs>
          <w:tab w:leader="none" w:pos="8540" w:val="left"/>
        </w:tabs>
        <w:rPr>
          <w:sz w:val="20"/>
          <w:szCs w:val="20"/>
          <w:color w:val="auto"/>
        </w:rPr>
      </w:pPr>
      <w:r>
        <w:rPr>
          <w:rFonts w:ascii="Arial" w:cs="Arial" w:eastAsia="Arial" w:hAnsi="Arial"/>
          <w:sz w:val="14"/>
          <w:szCs w:val="14"/>
          <w:b w:val="1"/>
          <w:bCs w:val="1"/>
          <w:color w:val="0071CE"/>
        </w:rPr>
        <w:t>2022 PROXY STATEMENT</w:t>
      </w:r>
      <w:r>
        <w:rPr>
          <w:sz w:val="20"/>
          <w:szCs w:val="20"/>
          <w:color w:val="auto"/>
        </w:rPr>
        <w:tab/>
      </w:r>
      <w:r>
        <w:rPr>
          <w:rFonts w:ascii="Arial" w:cs="Arial" w:eastAsia="Arial" w:hAnsi="Arial"/>
          <w:sz w:val="14"/>
          <w:szCs w:val="14"/>
          <w:b w:val="1"/>
          <w:bCs w:val="1"/>
          <w:i w:val="1"/>
          <w:iCs w:val="1"/>
          <w:color w:val="3FAE2A"/>
        </w:rPr>
        <w:t>Proposal One — Election of Directors</w:t>
      </w:r>
    </w:p>
    <w:p>
      <w:pPr>
        <w:spacing w:after="0" w:line="165" w:lineRule="exact"/>
        <w:rPr>
          <w:sz w:val="20"/>
          <w:szCs w:val="20"/>
          <w:color w:val="auto"/>
        </w:rPr>
      </w:pPr>
    </w:p>
    <w:p>
      <w:pPr>
        <w:ind w:left="120" w:right="40"/>
        <w:spacing w:after="0" w:line="247" w:lineRule="auto"/>
        <w:rPr>
          <w:sz w:val="20"/>
          <w:szCs w:val="20"/>
          <w:color w:val="auto"/>
        </w:rPr>
      </w:pPr>
      <w:r>
        <w:rPr>
          <w:rFonts w:ascii="Arial" w:cs="Arial" w:eastAsia="Arial" w:hAnsi="Arial"/>
          <w:sz w:val="16"/>
          <w:szCs w:val="16"/>
          <w:color w:val="auto"/>
        </w:rPr>
        <w:t>The functions of the Compensation Committee are to review the goals and achievements of the Company and the Chief Executive Officer for the prior year and approve the goals of the Company and the Chief Executive Officer for the next year, to review and approve salaries, bonuses, equity awards and other benefits payable to the Company’s executive officers and to administer the Company’s equity incentive compensation plans. The Compensation Committee is specifically responsible for determining the compensation of the Chief Executive Officer and the other executive officers. The Compensation Committee reviews compensation recommendations made by the Chief Executive Officer for other senior executives of the Company and the compensation of the Chief Executive Officer at least annually; the Chief Executive Officer is not present during discussions or deliberations regarding his compensation. In fiscal 2021, the Compensation Committee engaged Compensia, Inc., a compensation consulting firm, to provide advice and guidance with regard to compensation for our NEOs. The decision to engage the consultant was not made or recommended by management and the Compensation Committee has the sole discretion to engage or change the consultant. The Compensation Committee met three times during fiscal 2021. The current members of the Compensation Committee are William Waddill, Committee Chair, Marianne De Backer, Mauro Ferrari, Adeoye Olukotun, and Michael Perry. The Board has determined that all members of the Compensation Committee are independent directors under the listing rules of Nasdaq Marketplace Rules. The Compensation Committee’s charter is available on the Company’s website at www.arrowheadpharma.com. The Compensation Committee has not delegated any of its responsibilities or authorities granted under its charter.</w:t>
      </w:r>
    </w:p>
    <w:p>
      <w:pPr>
        <w:spacing w:after="0" w:line="211" w:lineRule="exact"/>
        <w:rPr>
          <w:sz w:val="20"/>
          <w:szCs w:val="20"/>
          <w:color w:val="auto"/>
        </w:rPr>
      </w:pPr>
    </w:p>
    <w:p>
      <w:pPr>
        <w:ind w:left="120" w:right="200"/>
        <w:spacing w:after="0" w:line="248" w:lineRule="auto"/>
        <w:rPr>
          <w:sz w:val="20"/>
          <w:szCs w:val="20"/>
          <w:color w:val="auto"/>
        </w:rPr>
      </w:pPr>
      <w:r>
        <w:rPr>
          <w:rFonts w:ascii="Arial" w:cs="Arial" w:eastAsia="Arial" w:hAnsi="Arial"/>
          <w:sz w:val="16"/>
          <w:szCs w:val="16"/>
          <w:color w:val="auto"/>
        </w:rPr>
        <w:t>The Nominating Committee is responsible for proposing a slate of directors for election by the stockholders at each annual meeting and for proposing candidates to fill any vacancies. The Nominating Committee met three times during fiscal 2021. The current members of the Nominating Committee are Marianne De Backer, Committee Chair, Mauro Ferrari, Douglass Given, Adeoye Olukotun, Michael Perry and William Waddill. For as long as Dr. Given does not meet independence criteria nominations are made by a majority of the independent directors without the participation of Dr. Given. The Nominating Committee’s charter is available on the Company’s website at www.arrowheadpharma.com. The Nominating Committee manages the process for evaluating current Board members at the time they are considered for re-nomination. After considering the appropriate skills and characteristics required on the Board, the current makeup of the Board, the results of the evaluations and the wishes of the Board members to be re-nominated, the Nominating Committee recommends to the Board whether those individuals should be re-nominated.</w:t>
      </w:r>
    </w:p>
    <w:p>
      <w:pPr>
        <w:spacing w:after="0" w:line="207" w:lineRule="exact"/>
        <w:rPr>
          <w:sz w:val="20"/>
          <w:szCs w:val="20"/>
          <w:color w:val="auto"/>
        </w:rPr>
      </w:pPr>
    </w:p>
    <w:p>
      <w:pPr>
        <w:ind w:left="120" w:right="60"/>
        <w:spacing w:after="0" w:line="248" w:lineRule="auto"/>
        <w:rPr>
          <w:sz w:val="20"/>
          <w:szCs w:val="20"/>
          <w:color w:val="auto"/>
        </w:rPr>
      </w:pPr>
      <w:r>
        <w:rPr>
          <w:rFonts w:ascii="Arial" w:cs="Arial" w:eastAsia="Arial" w:hAnsi="Arial"/>
          <w:sz w:val="16"/>
          <w:szCs w:val="16"/>
          <w:color w:val="auto"/>
        </w:rPr>
        <w:t>On at least an annual basis, the Nominating Committee reviews with the Board whether it believes the Board would benefit from adding new members and, if so, the appropriate skills and characteristics required for any new members. If the Board determines that a new member would be beneficial, the Nominating Committee solicits and receives recommendations for candidates and manages the process for evaluating candidates. All potential candidates, regardless of their source, are reviewed under the same process. The Nominating Committee (or the Committee Chair) screens the available information about the potential candidate(s). Based on the results of the initial screening, interviews with candidates are scheduled with Nominating Committee members, other members of the Board and senior members of management. Upon completion of these interviews and other due diligence, the Nominating Committee may nominate a candidate to the Board for election.</w:t>
      </w:r>
    </w:p>
    <w:p>
      <w:pPr>
        <w:spacing w:after="0" w:line="208" w:lineRule="exact"/>
        <w:rPr>
          <w:sz w:val="20"/>
          <w:szCs w:val="20"/>
          <w:color w:val="auto"/>
        </w:rPr>
      </w:pPr>
    </w:p>
    <w:p>
      <w:pPr>
        <w:jc w:val="both"/>
        <w:ind w:left="120" w:right="40"/>
        <w:spacing w:after="0" w:line="250" w:lineRule="auto"/>
        <w:rPr>
          <w:sz w:val="20"/>
          <w:szCs w:val="20"/>
          <w:color w:val="auto"/>
        </w:rPr>
      </w:pPr>
      <w:r>
        <w:rPr>
          <w:rFonts w:ascii="Arial" w:cs="Arial" w:eastAsia="Arial" w:hAnsi="Arial"/>
          <w:sz w:val="16"/>
          <w:szCs w:val="16"/>
          <w:color w:val="auto"/>
        </w:rPr>
        <w:t>Candidates for independent Board member positions are identified through recommendations from directors or others associated with the Company, as well as through a formal search process managed by a third-party search firm. Arrowhead stockholders may also recommend candidates by sending the candidate’s name and resume to the Nominating Committee pursuant to the procedures, set forth above, for communication with the Board. As described above, our Bylaws also provide for separate notice procedures to recommend a person for nomination as a director to be considered by stockholders at a meeting, including requirements as to the timing, form and content of a stockholder’s notice.</w:t>
      </w:r>
    </w:p>
    <w:p>
      <w:pPr>
        <w:spacing w:after="0" w:line="203" w:lineRule="exact"/>
        <w:rPr>
          <w:sz w:val="20"/>
          <w:szCs w:val="20"/>
          <w:color w:val="auto"/>
        </w:rPr>
      </w:pPr>
    </w:p>
    <w:p>
      <w:pPr>
        <w:ind w:left="120" w:right="60"/>
        <w:spacing w:after="0" w:line="249" w:lineRule="auto"/>
        <w:rPr>
          <w:sz w:val="20"/>
          <w:szCs w:val="20"/>
          <w:color w:val="auto"/>
        </w:rPr>
      </w:pPr>
      <w:r>
        <w:rPr>
          <w:rFonts w:ascii="Arial" w:cs="Arial" w:eastAsia="Arial" w:hAnsi="Arial"/>
          <w:sz w:val="16"/>
          <w:szCs w:val="16"/>
          <w:color w:val="auto"/>
        </w:rPr>
        <w:t>The Nominating Committee has no predefined minimum criteria for selecting Board nominees, although it believes that all directors should share qualities such as governance and business experience at the corporate level, relevant non-competitive experience and strong communication and analytical skills. Independent directors must meet the criteria for independence set forth by Nasdaq and, as applicable, the SEC. In any given search, the Nominating Committee may also define particular characteristics for candidates to balance the overall mix of skills, backgrounds and characteristics of the Board and the needs of the Company. During any search, the Nominating Committee reserves the right to modify its stated search criteria for exceptional candidates.</w:t>
      </w:r>
    </w:p>
    <w:p>
      <w:pPr>
        <w:spacing w:after="0" w:line="396" w:lineRule="exact"/>
        <w:rPr>
          <w:sz w:val="20"/>
          <w:szCs w:val="20"/>
          <w:color w:val="auto"/>
        </w:rPr>
      </w:pPr>
    </w:p>
    <w:p>
      <w:pPr>
        <w:ind w:left="120" w:right="920"/>
        <w:spacing w:after="0" w:line="260" w:lineRule="auto"/>
        <w:rPr>
          <w:sz w:val="20"/>
          <w:szCs w:val="20"/>
          <w:color w:val="auto"/>
        </w:rPr>
      </w:pPr>
      <w:r>
        <w:rPr>
          <w:rFonts w:ascii="Arial" w:cs="Arial" w:eastAsia="Arial" w:hAnsi="Arial"/>
          <w:sz w:val="16"/>
          <w:szCs w:val="16"/>
          <w:color w:val="auto"/>
        </w:rPr>
        <w:t>The Nominating Committee assesses its effectiveness in achieving its goal of building a diverse board as part of its annual assessment of the composition of the Board.</w:t>
      </w:r>
    </w:p>
    <w:p>
      <w:pPr>
        <w:spacing w:after="0" w:line="195" w:lineRule="exact"/>
        <w:rPr>
          <w:sz w:val="20"/>
          <w:szCs w:val="20"/>
          <w:color w:val="auto"/>
        </w:rPr>
      </w:pPr>
    </w:p>
    <w:p>
      <w:pPr>
        <w:ind w:left="120" w:right="420"/>
        <w:spacing w:after="0" w:line="260" w:lineRule="auto"/>
        <w:rPr>
          <w:sz w:val="20"/>
          <w:szCs w:val="20"/>
          <w:color w:val="auto"/>
        </w:rPr>
      </w:pPr>
      <w:r>
        <w:rPr>
          <w:rFonts w:ascii="Arial" w:cs="Arial" w:eastAsia="Arial" w:hAnsi="Arial"/>
          <w:sz w:val="16"/>
          <w:szCs w:val="16"/>
          <w:color w:val="auto"/>
        </w:rPr>
        <w:t>In 2018, the Board established a Science Committee to review and advise on science topics of interest to the Company. The current members of the committee are Mauro Ferrari, Committee Co-Chair, Adeoye Olukotun, Committee Co-Chair, Douglass Given, and Marianne De Backer.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80010</wp:posOffset>
            </wp:positionV>
            <wp:extent cx="986155" cy="2057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37" w:lineRule="exact"/>
        <w:rPr>
          <w:sz w:val="20"/>
          <w:szCs w:val="20"/>
          <w:color w:val="auto"/>
        </w:rPr>
      </w:pPr>
    </w:p>
    <w:p>
      <w:pPr>
        <w:ind w:left="10880"/>
        <w:spacing w:after="0"/>
        <w:rPr>
          <w:sz w:val="20"/>
          <w:szCs w:val="20"/>
          <w:color w:val="auto"/>
        </w:rPr>
      </w:pPr>
      <w:r>
        <w:rPr>
          <w:rFonts w:ascii="Arial" w:cs="Arial" w:eastAsia="Arial" w:hAnsi="Arial"/>
          <w:sz w:val="18"/>
          <w:szCs w:val="18"/>
          <w:b w:val="1"/>
          <w:bCs w:val="1"/>
          <w:color w:val="0071CE"/>
        </w:rPr>
        <w:t>11</w:t>
      </w:r>
    </w:p>
    <w:p>
      <w:pPr>
        <w:sectPr>
          <w:pgSz w:w="11900" w:h="16838" w:orient="portrait"/>
          <w:cols w:equalWidth="0" w:num="1">
            <w:col w:w="11140"/>
          </w:cols>
          <w:pgMar w:left="32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20"/>
        <w:spacing w:after="0"/>
        <w:tabs>
          <w:tab w:leader="none" w:pos="2020" w:val="left"/>
        </w:tabs>
        <w:rPr>
          <w:sz w:val="20"/>
          <w:szCs w:val="20"/>
          <w:color w:val="auto"/>
        </w:rPr>
      </w:pPr>
      <w:r>
        <w:rPr>
          <w:rFonts w:ascii="Arial" w:cs="Arial" w:eastAsia="Arial" w:hAnsi="Arial"/>
          <w:sz w:val="14"/>
          <w:szCs w:val="14"/>
          <w:b w:val="1"/>
          <w:bCs w:val="1"/>
          <w:color w:val="0071CE"/>
        </w:rPr>
        <w:t>2022 PROXY STATEMENT</w:t>
      </w:r>
      <w:r>
        <w:rPr>
          <w:sz w:val="20"/>
          <w:szCs w:val="20"/>
          <w:color w:val="auto"/>
        </w:rPr>
        <w:tab/>
      </w:r>
      <w:r>
        <w:rPr>
          <w:rFonts w:ascii="Arial" w:cs="Arial" w:eastAsia="Arial" w:hAnsi="Arial"/>
          <w:sz w:val="14"/>
          <w:szCs w:val="14"/>
          <w:b w:val="1"/>
          <w:bCs w:val="1"/>
          <w:i w:val="1"/>
          <w:iCs w:val="1"/>
          <w:color w:val="3FAE2A"/>
        </w:rPr>
        <w:t>Proposal One — Election of Directors</w:t>
      </w:r>
    </w:p>
    <w:p>
      <w:pPr>
        <w:spacing w:after="0" w:line="165" w:lineRule="exact"/>
        <w:rPr>
          <w:sz w:val="20"/>
          <w:szCs w:val="20"/>
          <w:color w:val="auto"/>
        </w:rPr>
      </w:pPr>
    </w:p>
    <w:p>
      <w:pPr>
        <w:ind w:left="120"/>
        <w:spacing w:after="0" w:line="253" w:lineRule="auto"/>
        <w:rPr>
          <w:sz w:val="20"/>
          <w:szCs w:val="20"/>
          <w:color w:val="auto"/>
        </w:rPr>
      </w:pPr>
      <w:r>
        <w:rPr>
          <w:rFonts w:ascii="Arial" w:cs="Arial" w:eastAsia="Arial" w:hAnsi="Arial"/>
          <w:sz w:val="16"/>
          <w:szCs w:val="16"/>
          <w:color w:val="auto"/>
        </w:rPr>
        <w:t>No incumbent director attended fewer than 75% of the aggregate of (i) the total number of meetings of the Board held during fiscal 2021, and (ii) the total number of meetings held by all committees of the Board during fiscal 2021 on which such person served, in each case during the period in which such person served on the Board or committee.</w:t>
      </w:r>
    </w:p>
    <w:p>
      <w:pPr>
        <w:spacing w:after="0" w:line="201" w:lineRule="exact"/>
        <w:rPr>
          <w:sz w:val="20"/>
          <w:szCs w:val="20"/>
          <w:color w:val="auto"/>
        </w:rPr>
      </w:pPr>
    </w:p>
    <w:p>
      <w:pPr>
        <w:ind w:left="120" w:right="640"/>
        <w:spacing w:after="0" w:line="260" w:lineRule="auto"/>
        <w:rPr>
          <w:sz w:val="20"/>
          <w:szCs w:val="20"/>
          <w:color w:val="auto"/>
        </w:rPr>
      </w:pPr>
      <w:r>
        <w:rPr>
          <w:rFonts w:ascii="Arial" w:cs="Arial" w:eastAsia="Arial" w:hAnsi="Arial"/>
          <w:sz w:val="16"/>
          <w:szCs w:val="16"/>
          <w:color w:val="auto"/>
        </w:rPr>
        <w:t>In addition, all of the directors then serving on the Board attended the virtual 2021 Annual Meeting of Stockholders. It is the Company’s policy to encourage, but not require, that all directors attend our annual stockholder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80010</wp:posOffset>
            </wp:positionV>
            <wp:extent cx="986155" cy="2057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1CE"/>
        </w:rPr>
        <w:t>12</w:t>
      </w:r>
    </w:p>
    <w:p>
      <w:pPr>
        <w:sectPr>
          <w:pgSz w:w="11900" w:h="16838" w:orient="portrait"/>
          <w:cols w:equalWidth="0" w:num="1">
            <w:col w:w="11040"/>
          </w:cols>
          <w:pgMar w:left="320" w:top="459" w:right="5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spacing w:after="0"/>
        <w:tabs>
          <w:tab w:leader="none" w:pos="1580" w:val="left"/>
        </w:tabs>
        <w:rPr>
          <w:sz w:val="20"/>
          <w:szCs w:val="20"/>
          <w:color w:val="auto"/>
        </w:rPr>
      </w:pPr>
      <w:r>
        <w:rPr>
          <w:rFonts w:ascii="Arial" w:cs="Arial" w:eastAsia="Arial" w:hAnsi="Arial"/>
          <w:sz w:val="14"/>
          <w:szCs w:val="14"/>
          <w:b w:val="1"/>
          <w:bCs w:val="1"/>
          <w:color w:val="0071CE"/>
        </w:rPr>
        <w:t>2022 PROXY STATEMENT</w:t>
      </w:r>
      <w:r>
        <w:rPr>
          <w:sz w:val="20"/>
          <w:szCs w:val="20"/>
          <w:color w:val="auto"/>
        </w:rPr>
        <w:tab/>
      </w:r>
      <w:r>
        <w:rPr>
          <w:rFonts w:ascii="Arial" w:cs="Arial" w:eastAsia="Arial" w:hAnsi="Arial"/>
          <w:sz w:val="14"/>
          <w:szCs w:val="14"/>
          <w:b w:val="1"/>
          <w:bCs w:val="1"/>
          <w:i w:val="1"/>
          <w:iCs w:val="1"/>
          <w:color w:val="3FAE2A"/>
        </w:rPr>
        <w:t>Director Compensation</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1CE"/>
        </w:rPr>
        <w:t>Director Compensation</w:t>
      </w:r>
    </w:p>
    <w:p>
      <w:pPr>
        <w:spacing w:after="0" w:line="372" w:lineRule="exact"/>
        <w:rPr>
          <w:sz w:val="20"/>
          <w:szCs w:val="20"/>
          <w:color w:val="auto"/>
        </w:rPr>
      </w:pPr>
    </w:p>
    <w:p>
      <w:pPr>
        <w:ind w:left="120" w:right="80"/>
        <w:spacing w:after="0" w:line="250" w:lineRule="auto"/>
        <w:rPr>
          <w:sz w:val="20"/>
          <w:szCs w:val="20"/>
          <w:color w:val="auto"/>
        </w:rPr>
      </w:pPr>
      <w:r>
        <w:rPr>
          <w:rFonts w:ascii="Arial" w:cs="Arial" w:eastAsia="Arial" w:hAnsi="Arial"/>
          <w:sz w:val="16"/>
          <w:szCs w:val="16"/>
          <w:color w:val="auto"/>
        </w:rPr>
        <w:t>Directors who are also employees of the Company receive no separate compensation from the Company for their service as members of the Board. For 2021, the Company maintained the structure of director compensation it adopted in 2019 to provide a base retainer for each director with higher base retainers for service by the Board Chair and the Lead Independent Director. The Company provides additional retainers for committee service with higher retainers for committee leadership. The Compensation Committee believes the structure aligns compensation according to specific leadership and committee service contributions by each director.</w:t>
      </w:r>
    </w:p>
    <w:p>
      <w:pPr>
        <w:spacing w:after="0" w:line="203" w:lineRule="exact"/>
        <w:rPr>
          <w:sz w:val="20"/>
          <w:szCs w:val="20"/>
          <w:color w:val="auto"/>
        </w:rPr>
      </w:pPr>
    </w:p>
    <w:p>
      <w:pPr>
        <w:ind w:left="120" w:right="340"/>
        <w:spacing w:after="0" w:line="260" w:lineRule="auto"/>
        <w:rPr>
          <w:sz w:val="20"/>
          <w:szCs w:val="20"/>
          <w:color w:val="auto"/>
        </w:rPr>
      </w:pPr>
      <w:r>
        <w:rPr>
          <w:rFonts w:ascii="Arial" w:cs="Arial" w:eastAsia="Arial" w:hAnsi="Arial"/>
          <w:sz w:val="16"/>
          <w:szCs w:val="16"/>
          <w:color w:val="auto"/>
        </w:rPr>
        <w:t>The following table sets forth the total compensation paid to our non-employee directors in fiscal 2021. Dr. Anzalone’s compensation is set forth in the discussion of Executive Compensation and in the Summary Compensation Table.</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7020" w:type="dxa"/>
            <w:vAlign w:val="bottom"/>
            <w:shd w:val="clear" w:color="auto" w:fill="0071CE"/>
          </w:tcPr>
          <w:p>
            <w:pPr>
              <w:spacing w:after="0"/>
              <w:rPr>
                <w:sz w:val="19"/>
                <w:szCs w:val="19"/>
                <w:color w:val="auto"/>
              </w:rPr>
            </w:pPr>
          </w:p>
        </w:tc>
        <w:tc>
          <w:tcPr>
            <w:tcW w:w="1860" w:type="dxa"/>
            <w:vAlign w:val="bottom"/>
            <w:gridSpan w:val="2"/>
            <w:shd w:val="clear" w:color="auto" w:fill="0071CE"/>
          </w:tcPr>
          <w:p>
            <w:pPr>
              <w:jc w:val="center"/>
              <w:ind w:left="241"/>
              <w:spacing w:after="0"/>
              <w:rPr>
                <w:sz w:val="20"/>
                <w:szCs w:val="20"/>
                <w:color w:val="auto"/>
              </w:rPr>
            </w:pPr>
            <w:r>
              <w:rPr>
                <w:rFonts w:ascii="Arial" w:cs="Arial" w:eastAsia="Arial" w:hAnsi="Arial"/>
                <w:sz w:val="14"/>
                <w:szCs w:val="14"/>
                <w:b w:val="1"/>
                <w:bCs w:val="1"/>
                <w:color w:val="FFFFFF"/>
              </w:rPr>
              <w:t>Fee Earned</w:t>
            </w:r>
          </w:p>
        </w:tc>
        <w:tc>
          <w:tcPr>
            <w:tcW w:w="1220" w:type="dxa"/>
            <w:vAlign w:val="bottom"/>
            <w:shd w:val="clear" w:color="auto" w:fill="0071CE"/>
          </w:tcPr>
          <w:p>
            <w:pPr>
              <w:spacing w:after="0"/>
              <w:rPr>
                <w:sz w:val="19"/>
                <w:szCs w:val="19"/>
                <w:color w:val="auto"/>
              </w:rPr>
            </w:pPr>
          </w:p>
        </w:tc>
        <w:tc>
          <w:tcPr>
            <w:tcW w:w="920" w:type="dxa"/>
            <w:vAlign w:val="bottom"/>
            <w:shd w:val="clear" w:color="auto" w:fill="0071CE"/>
          </w:tcPr>
          <w:p>
            <w:pPr>
              <w:spacing w:after="0"/>
              <w:rPr>
                <w:sz w:val="19"/>
                <w:szCs w:val="19"/>
                <w:color w:val="auto"/>
              </w:rPr>
            </w:pPr>
          </w:p>
        </w:tc>
      </w:tr>
      <w:tr>
        <w:trPr>
          <w:trHeight w:val="162"/>
        </w:trPr>
        <w:tc>
          <w:tcPr>
            <w:tcW w:w="7020" w:type="dxa"/>
            <w:vAlign w:val="bottom"/>
            <w:shd w:val="clear" w:color="auto" w:fill="0071CE"/>
          </w:tcPr>
          <w:p>
            <w:pPr>
              <w:spacing w:after="0"/>
              <w:rPr>
                <w:sz w:val="14"/>
                <w:szCs w:val="14"/>
                <w:color w:val="auto"/>
              </w:rPr>
            </w:pPr>
          </w:p>
        </w:tc>
        <w:tc>
          <w:tcPr>
            <w:tcW w:w="840" w:type="dxa"/>
            <w:vAlign w:val="bottom"/>
            <w:shd w:val="clear" w:color="auto" w:fill="0071CE"/>
          </w:tcPr>
          <w:p>
            <w:pPr>
              <w:spacing w:after="0"/>
              <w:rPr>
                <w:sz w:val="14"/>
                <w:szCs w:val="14"/>
                <w:color w:val="auto"/>
              </w:rPr>
            </w:pPr>
          </w:p>
        </w:tc>
        <w:tc>
          <w:tcPr>
            <w:tcW w:w="1020" w:type="dxa"/>
            <w:vAlign w:val="bottom"/>
            <w:shd w:val="clear" w:color="auto" w:fill="0071CE"/>
          </w:tcPr>
          <w:p>
            <w:pPr>
              <w:jc w:val="center"/>
              <w:ind w:right="441"/>
              <w:spacing w:after="0"/>
              <w:rPr>
                <w:sz w:val="20"/>
                <w:szCs w:val="20"/>
                <w:color w:val="auto"/>
              </w:rPr>
            </w:pPr>
            <w:r>
              <w:rPr>
                <w:rFonts w:ascii="Arial" w:cs="Arial" w:eastAsia="Arial" w:hAnsi="Arial"/>
                <w:sz w:val="14"/>
                <w:szCs w:val="14"/>
                <w:b w:val="1"/>
                <w:bCs w:val="1"/>
                <w:color w:val="FFFFFF"/>
                <w:w w:val="99"/>
              </w:rPr>
              <w:t>or</w:t>
            </w:r>
          </w:p>
        </w:tc>
        <w:tc>
          <w:tcPr>
            <w:tcW w:w="1220" w:type="dxa"/>
            <w:vAlign w:val="bottom"/>
            <w:shd w:val="clear" w:color="auto" w:fill="0071CE"/>
          </w:tcPr>
          <w:p>
            <w:pPr>
              <w:jc w:val="right"/>
              <w:ind w:right="282"/>
              <w:spacing w:after="0"/>
              <w:rPr>
                <w:sz w:val="20"/>
                <w:szCs w:val="20"/>
                <w:color w:val="auto"/>
              </w:rPr>
            </w:pPr>
            <w:r>
              <w:rPr>
                <w:rFonts w:ascii="Arial" w:cs="Arial" w:eastAsia="Arial" w:hAnsi="Arial"/>
                <w:sz w:val="14"/>
                <w:szCs w:val="14"/>
                <w:b w:val="1"/>
                <w:bCs w:val="1"/>
                <w:color w:val="FFFFFF"/>
              </w:rPr>
              <w:t>Stock</w:t>
            </w:r>
          </w:p>
        </w:tc>
        <w:tc>
          <w:tcPr>
            <w:tcW w:w="920" w:type="dxa"/>
            <w:vAlign w:val="bottom"/>
            <w:shd w:val="clear" w:color="auto" w:fill="0071CE"/>
          </w:tcPr>
          <w:p>
            <w:pPr>
              <w:spacing w:after="0"/>
              <w:rPr>
                <w:sz w:val="14"/>
                <w:szCs w:val="14"/>
                <w:color w:val="auto"/>
              </w:rPr>
            </w:pPr>
          </w:p>
        </w:tc>
      </w:tr>
      <w:tr>
        <w:trPr>
          <w:trHeight w:val="162"/>
        </w:trPr>
        <w:tc>
          <w:tcPr>
            <w:tcW w:w="7020" w:type="dxa"/>
            <w:vAlign w:val="bottom"/>
            <w:shd w:val="clear" w:color="auto" w:fill="0071CE"/>
          </w:tcPr>
          <w:p>
            <w:pPr>
              <w:spacing w:after="0"/>
              <w:rPr>
                <w:sz w:val="14"/>
                <w:szCs w:val="14"/>
                <w:color w:val="auto"/>
              </w:rPr>
            </w:pPr>
          </w:p>
        </w:tc>
        <w:tc>
          <w:tcPr>
            <w:tcW w:w="1860" w:type="dxa"/>
            <w:vAlign w:val="bottom"/>
            <w:gridSpan w:val="2"/>
            <w:shd w:val="clear" w:color="auto" w:fill="0071CE"/>
          </w:tcPr>
          <w:p>
            <w:pPr>
              <w:jc w:val="center"/>
              <w:ind w:left="241"/>
              <w:spacing w:after="0"/>
              <w:rPr>
                <w:sz w:val="20"/>
                <w:szCs w:val="20"/>
                <w:color w:val="auto"/>
              </w:rPr>
            </w:pPr>
            <w:r>
              <w:rPr>
                <w:rFonts w:ascii="Arial" w:cs="Arial" w:eastAsia="Arial" w:hAnsi="Arial"/>
                <w:sz w:val="14"/>
                <w:szCs w:val="14"/>
                <w:b w:val="1"/>
                <w:bCs w:val="1"/>
                <w:color w:val="FFFFFF"/>
              </w:rPr>
              <w:t>Paid in Cash</w:t>
            </w:r>
          </w:p>
        </w:tc>
        <w:tc>
          <w:tcPr>
            <w:tcW w:w="1220" w:type="dxa"/>
            <w:vAlign w:val="bottom"/>
            <w:shd w:val="clear" w:color="auto" w:fill="0071CE"/>
          </w:tcPr>
          <w:p>
            <w:pPr>
              <w:jc w:val="right"/>
              <w:ind w:right="102"/>
              <w:spacing w:after="0"/>
              <w:rPr>
                <w:sz w:val="20"/>
                <w:szCs w:val="20"/>
                <w:color w:val="auto"/>
              </w:rPr>
            </w:pPr>
            <w:r>
              <w:rPr>
                <w:rFonts w:ascii="Arial" w:cs="Arial" w:eastAsia="Arial" w:hAnsi="Arial"/>
                <w:sz w:val="14"/>
                <w:szCs w:val="14"/>
                <w:b w:val="1"/>
                <w:bCs w:val="1"/>
                <w:color w:val="FFFFFF"/>
              </w:rPr>
              <w:t>Awards ($)</w:t>
            </w:r>
          </w:p>
        </w:tc>
        <w:tc>
          <w:tcPr>
            <w:tcW w:w="920" w:type="dxa"/>
            <w:vAlign w:val="bottom"/>
            <w:shd w:val="clear" w:color="auto" w:fill="0071CE"/>
          </w:tcPr>
          <w:p>
            <w:pPr>
              <w:spacing w:after="0"/>
              <w:rPr>
                <w:sz w:val="14"/>
                <w:szCs w:val="14"/>
                <w:color w:val="auto"/>
              </w:rPr>
            </w:pPr>
          </w:p>
        </w:tc>
      </w:tr>
      <w:tr>
        <w:trPr>
          <w:trHeight w:val="196"/>
        </w:trPr>
        <w:tc>
          <w:tcPr>
            <w:tcW w:w="7020" w:type="dxa"/>
            <w:vAlign w:val="bottom"/>
            <w:tcBorders>
              <w:bottom w:val="single" w:sz="8" w:color="0071CE"/>
            </w:tcBorders>
            <w:shd w:val="clear" w:color="auto" w:fill="0071CE"/>
          </w:tcPr>
          <w:p>
            <w:pPr>
              <w:ind w:left="160"/>
              <w:spacing w:after="0"/>
              <w:rPr>
                <w:sz w:val="20"/>
                <w:szCs w:val="20"/>
                <w:color w:val="auto"/>
              </w:rPr>
            </w:pPr>
            <w:r>
              <w:rPr>
                <w:rFonts w:ascii="Arial" w:cs="Arial" w:eastAsia="Arial" w:hAnsi="Arial"/>
                <w:sz w:val="14"/>
                <w:szCs w:val="14"/>
                <w:b w:val="1"/>
                <w:bCs w:val="1"/>
                <w:color w:val="FFFFFF"/>
              </w:rPr>
              <w:t>Name</w:t>
            </w:r>
          </w:p>
        </w:tc>
        <w:tc>
          <w:tcPr>
            <w:tcW w:w="840" w:type="dxa"/>
            <w:vAlign w:val="bottom"/>
            <w:tcBorders>
              <w:bottom w:val="single" w:sz="8" w:color="0071CE"/>
            </w:tcBorders>
            <w:shd w:val="clear" w:color="auto" w:fill="0071CE"/>
          </w:tcPr>
          <w:p>
            <w:pPr>
              <w:spacing w:after="0"/>
              <w:rPr>
                <w:sz w:val="17"/>
                <w:szCs w:val="17"/>
                <w:color w:val="auto"/>
              </w:rPr>
            </w:pPr>
          </w:p>
        </w:tc>
        <w:tc>
          <w:tcPr>
            <w:tcW w:w="1020" w:type="dxa"/>
            <w:vAlign w:val="bottom"/>
            <w:tcBorders>
              <w:bottom w:val="single" w:sz="8" w:color="0071CE"/>
            </w:tcBorders>
            <w:shd w:val="clear" w:color="auto" w:fill="0071CE"/>
          </w:tcPr>
          <w:p>
            <w:pPr>
              <w:jc w:val="center"/>
              <w:ind w:right="441"/>
              <w:spacing w:after="0"/>
              <w:rPr>
                <w:sz w:val="20"/>
                <w:szCs w:val="20"/>
                <w:color w:val="auto"/>
              </w:rPr>
            </w:pPr>
            <w:r>
              <w:rPr>
                <w:rFonts w:ascii="Arial" w:cs="Arial" w:eastAsia="Arial" w:hAnsi="Arial"/>
                <w:sz w:val="14"/>
                <w:szCs w:val="14"/>
                <w:b w:val="1"/>
                <w:bCs w:val="1"/>
                <w:color w:val="FFFFFF"/>
              </w:rPr>
              <w:t>($)</w:t>
            </w:r>
          </w:p>
        </w:tc>
        <w:tc>
          <w:tcPr>
            <w:tcW w:w="1220" w:type="dxa"/>
            <w:vAlign w:val="bottom"/>
            <w:tcBorders>
              <w:bottom w:val="single" w:sz="8" w:color="0071CE"/>
            </w:tcBorders>
            <w:shd w:val="clear" w:color="auto" w:fill="0071CE"/>
          </w:tcPr>
          <w:p>
            <w:pPr>
              <w:jc w:val="right"/>
              <w:ind w:right="282"/>
              <w:spacing w:after="0"/>
              <w:rPr>
                <w:sz w:val="20"/>
                <w:szCs w:val="20"/>
                <w:color w:val="auto"/>
              </w:rPr>
            </w:pPr>
            <w:r>
              <w:rPr>
                <w:rFonts w:ascii="Arial" w:cs="Arial" w:eastAsia="Arial" w:hAnsi="Arial"/>
                <w:sz w:val="14"/>
                <w:szCs w:val="14"/>
                <w:b w:val="1"/>
                <w:bCs w:val="1"/>
                <w:color w:val="FFFFFF"/>
              </w:rPr>
              <w:t>(1) (2)</w:t>
            </w:r>
          </w:p>
        </w:tc>
        <w:tc>
          <w:tcPr>
            <w:tcW w:w="920" w:type="dxa"/>
            <w:vAlign w:val="bottom"/>
            <w:tcBorders>
              <w:bottom w:val="single" w:sz="8" w:color="0071CE"/>
            </w:tcBorders>
            <w:shd w:val="clear" w:color="auto" w:fill="0071CE"/>
          </w:tcPr>
          <w:p>
            <w:pPr>
              <w:jc w:val="right"/>
              <w:ind w:right="100"/>
              <w:spacing w:after="0"/>
              <w:rPr>
                <w:sz w:val="20"/>
                <w:szCs w:val="20"/>
                <w:color w:val="auto"/>
              </w:rPr>
            </w:pPr>
            <w:r>
              <w:rPr>
                <w:rFonts w:ascii="Arial" w:cs="Arial" w:eastAsia="Arial" w:hAnsi="Arial"/>
                <w:sz w:val="14"/>
                <w:szCs w:val="14"/>
                <w:b w:val="1"/>
                <w:bCs w:val="1"/>
                <w:color w:val="FFFFFF"/>
              </w:rPr>
              <w:t>Total ($)</w:t>
            </w:r>
          </w:p>
        </w:tc>
      </w:tr>
      <w:tr>
        <w:trPr>
          <w:trHeight w:val="270"/>
        </w:trPr>
        <w:tc>
          <w:tcPr>
            <w:tcW w:w="7020" w:type="dxa"/>
            <w:vAlign w:val="bottom"/>
            <w:shd w:val="clear" w:color="auto" w:fill="E5E5E5"/>
          </w:tcPr>
          <w:p>
            <w:pPr>
              <w:ind w:left="160"/>
              <w:spacing w:after="0"/>
              <w:rPr>
                <w:sz w:val="20"/>
                <w:szCs w:val="20"/>
                <w:color w:val="auto"/>
              </w:rPr>
            </w:pPr>
            <w:r>
              <w:rPr>
                <w:rFonts w:ascii="Arial" w:cs="Arial" w:eastAsia="Arial" w:hAnsi="Arial"/>
                <w:sz w:val="16"/>
                <w:szCs w:val="16"/>
                <w:color w:val="auto"/>
              </w:rPr>
              <w:t>Douglass Given (3)</w:t>
            </w: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right"/>
              <w:ind w:right="361"/>
              <w:spacing w:after="0"/>
              <w:rPr>
                <w:sz w:val="20"/>
                <w:szCs w:val="20"/>
                <w:color w:val="auto"/>
              </w:rPr>
            </w:pPr>
            <w:r>
              <w:rPr>
                <w:rFonts w:ascii="Arial" w:cs="Arial" w:eastAsia="Arial" w:hAnsi="Arial"/>
                <w:sz w:val="16"/>
                <w:szCs w:val="16"/>
                <w:color w:val="auto"/>
                <w:w w:val="96"/>
              </w:rPr>
              <w:t>185,000</w:t>
            </w:r>
          </w:p>
        </w:tc>
        <w:tc>
          <w:tcPr>
            <w:tcW w:w="1220" w:type="dxa"/>
            <w:vAlign w:val="bottom"/>
            <w:shd w:val="clear" w:color="auto" w:fill="E5E5E5"/>
          </w:tcPr>
          <w:p>
            <w:pPr>
              <w:jc w:val="right"/>
              <w:ind w:right="102"/>
              <w:spacing w:after="0"/>
              <w:rPr>
                <w:sz w:val="20"/>
                <w:szCs w:val="20"/>
                <w:color w:val="auto"/>
              </w:rPr>
            </w:pPr>
            <w:r>
              <w:rPr>
                <w:rFonts w:ascii="Arial" w:cs="Arial" w:eastAsia="Arial" w:hAnsi="Arial"/>
                <w:sz w:val="16"/>
                <w:szCs w:val="16"/>
                <w:color w:val="auto"/>
              </w:rPr>
              <w:t>$728,935</w:t>
            </w:r>
          </w:p>
        </w:tc>
        <w:tc>
          <w:tcPr>
            <w:tcW w:w="9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$913,935</w:t>
            </w:r>
          </w:p>
        </w:tc>
      </w:tr>
      <w:tr>
        <w:trPr>
          <w:trHeight w:val="274"/>
        </w:trPr>
        <w:tc>
          <w:tcPr>
            <w:tcW w:w="7020" w:type="dxa"/>
            <w:vAlign w:val="bottom"/>
          </w:tcPr>
          <w:p>
            <w:pPr>
              <w:ind w:left="160"/>
              <w:spacing w:after="0"/>
              <w:rPr>
                <w:sz w:val="20"/>
                <w:szCs w:val="20"/>
                <w:color w:val="auto"/>
              </w:rPr>
            </w:pPr>
            <w:r>
              <w:rPr>
                <w:rFonts w:ascii="Arial" w:cs="Arial" w:eastAsia="Arial" w:hAnsi="Arial"/>
                <w:sz w:val="16"/>
                <w:szCs w:val="16"/>
                <w:color w:val="auto"/>
              </w:rPr>
              <w:t>Michael S. Perry</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61"/>
              <w:spacing w:after="0"/>
              <w:rPr>
                <w:sz w:val="20"/>
                <w:szCs w:val="20"/>
                <w:color w:val="auto"/>
              </w:rPr>
            </w:pPr>
            <w:r>
              <w:rPr>
                <w:rFonts w:ascii="Arial" w:cs="Arial" w:eastAsia="Arial" w:hAnsi="Arial"/>
                <w:sz w:val="16"/>
                <w:szCs w:val="16"/>
                <w:color w:val="auto"/>
              </w:rPr>
              <w:t>80,000</w:t>
            </w:r>
          </w:p>
        </w:tc>
        <w:tc>
          <w:tcPr>
            <w:tcW w:w="1220" w:type="dxa"/>
            <w:vAlign w:val="bottom"/>
          </w:tcPr>
          <w:p>
            <w:pPr>
              <w:jc w:val="right"/>
              <w:ind w:right="102"/>
              <w:spacing w:after="0"/>
              <w:rPr>
                <w:sz w:val="20"/>
                <w:szCs w:val="20"/>
                <w:color w:val="auto"/>
              </w:rPr>
            </w:pPr>
            <w:r>
              <w:rPr>
                <w:rFonts w:ascii="Arial" w:cs="Arial" w:eastAsia="Arial" w:hAnsi="Arial"/>
                <w:sz w:val="16"/>
                <w:szCs w:val="16"/>
                <w:color w:val="auto"/>
              </w:rPr>
              <w:t>$690,570</w:t>
            </w:r>
          </w:p>
        </w:tc>
        <w:tc>
          <w:tcPr>
            <w:tcW w:w="920" w:type="dxa"/>
            <w:vAlign w:val="bottom"/>
          </w:tcPr>
          <w:p>
            <w:pPr>
              <w:jc w:val="right"/>
              <w:spacing w:after="0"/>
              <w:rPr>
                <w:sz w:val="20"/>
                <w:szCs w:val="20"/>
                <w:color w:val="auto"/>
              </w:rPr>
            </w:pPr>
            <w:r>
              <w:rPr>
                <w:rFonts w:ascii="Arial" w:cs="Arial" w:eastAsia="Arial" w:hAnsi="Arial"/>
                <w:sz w:val="16"/>
                <w:szCs w:val="16"/>
                <w:color w:val="auto"/>
              </w:rPr>
              <w:t>$770,570</w:t>
            </w:r>
          </w:p>
        </w:tc>
      </w:tr>
      <w:tr>
        <w:trPr>
          <w:trHeight w:val="293"/>
        </w:trPr>
        <w:tc>
          <w:tcPr>
            <w:tcW w:w="7020" w:type="dxa"/>
            <w:vAlign w:val="bottom"/>
            <w:shd w:val="clear" w:color="auto" w:fill="E5E5E5"/>
          </w:tcPr>
          <w:p>
            <w:pPr>
              <w:ind w:left="160"/>
              <w:spacing w:after="0"/>
              <w:rPr>
                <w:sz w:val="20"/>
                <w:szCs w:val="20"/>
                <w:color w:val="auto"/>
              </w:rPr>
            </w:pPr>
            <w:r>
              <w:rPr>
                <w:rFonts w:ascii="Arial" w:cs="Arial" w:eastAsia="Arial" w:hAnsi="Arial"/>
                <w:sz w:val="16"/>
                <w:szCs w:val="16"/>
                <w:color w:val="auto"/>
              </w:rPr>
              <w:t>Mauro Ferrari</w:t>
            </w: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right"/>
              <w:ind w:right="361"/>
              <w:spacing w:after="0"/>
              <w:rPr>
                <w:sz w:val="20"/>
                <w:szCs w:val="20"/>
                <w:color w:val="auto"/>
              </w:rPr>
            </w:pPr>
            <w:r>
              <w:rPr>
                <w:rFonts w:ascii="Arial" w:cs="Arial" w:eastAsia="Arial" w:hAnsi="Arial"/>
                <w:sz w:val="16"/>
                <w:szCs w:val="16"/>
                <w:color w:val="auto"/>
              </w:rPr>
              <w:t>73,750</w:t>
            </w:r>
          </w:p>
        </w:tc>
        <w:tc>
          <w:tcPr>
            <w:tcW w:w="1220" w:type="dxa"/>
            <w:vAlign w:val="bottom"/>
            <w:shd w:val="clear" w:color="auto" w:fill="E5E5E5"/>
          </w:tcPr>
          <w:p>
            <w:pPr>
              <w:jc w:val="right"/>
              <w:ind w:right="102"/>
              <w:spacing w:after="0"/>
              <w:rPr>
                <w:sz w:val="20"/>
                <w:szCs w:val="20"/>
                <w:color w:val="auto"/>
              </w:rPr>
            </w:pPr>
            <w:r>
              <w:rPr>
                <w:rFonts w:ascii="Arial" w:cs="Arial" w:eastAsia="Arial" w:hAnsi="Arial"/>
                <w:sz w:val="16"/>
                <w:szCs w:val="16"/>
                <w:color w:val="auto"/>
              </w:rPr>
              <w:t>$690,570</w:t>
            </w:r>
          </w:p>
        </w:tc>
        <w:tc>
          <w:tcPr>
            <w:tcW w:w="9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$764,320</w:t>
            </w:r>
          </w:p>
        </w:tc>
      </w:tr>
      <w:tr>
        <w:trPr>
          <w:trHeight w:val="274"/>
        </w:trPr>
        <w:tc>
          <w:tcPr>
            <w:tcW w:w="7020" w:type="dxa"/>
            <w:vAlign w:val="bottom"/>
          </w:tcPr>
          <w:p>
            <w:pPr>
              <w:ind w:left="160"/>
              <w:spacing w:after="0"/>
              <w:rPr>
                <w:sz w:val="20"/>
                <w:szCs w:val="20"/>
                <w:color w:val="auto"/>
              </w:rPr>
            </w:pPr>
            <w:r>
              <w:rPr>
                <w:rFonts w:ascii="Arial" w:cs="Arial" w:eastAsia="Arial" w:hAnsi="Arial"/>
                <w:sz w:val="16"/>
                <w:szCs w:val="16"/>
                <w:color w:val="auto"/>
              </w:rPr>
              <w:t>William Waddill</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61"/>
              <w:spacing w:after="0"/>
              <w:rPr>
                <w:sz w:val="20"/>
                <w:szCs w:val="20"/>
                <w:color w:val="auto"/>
              </w:rPr>
            </w:pPr>
            <w:r>
              <w:rPr>
                <w:rFonts w:ascii="Arial" w:cs="Arial" w:eastAsia="Arial" w:hAnsi="Arial"/>
                <w:sz w:val="16"/>
                <w:szCs w:val="16"/>
                <w:color w:val="auto"/>
              </w:rPr>
              <w:t>78,750</w:t>
            </w:r>
          </w:p>
        </w:tc>
        <w:tc>
          <w:tcPr>
            <w:tcW w:w="1220" w:type="dxa"/>
            <w:vAlign w:val="bottom"/>
          </w:tcPr>
          <w:p>
            <w:pPr>
              <w:jc w:val="right"/>
              <w:ind w:right="102"/>
              <w:spacing w:after="0"/>
              <w:rPr>
                <w:sz w:val="20"/>
                <w:szCs w:val="20"/>
                <w:color w:val="auto"/>
              </w:rPr>
            </w:pPr>
            <w:r>
              <w:rPr>
                <w:rFonts w:ascii="Arial" w:cs="Arial" w:eastAsia="Arial" w:hAnsi="Arial"/>
                <w:sz w:val="16"/>
                <w:szCs w:val="16"/>
                <w:color w:val="auto"/>
              </w:rPr>
              <w:t>$690,570</w:t>
            </w:r>
          </w:p>
        </w:tc>
        <w:tc>
          <w:tcPr>
            <w:tcW w:w="920" w:type="dxa"/>
            <w:vAlign w:val="bottom"/>
          </w:tcPr>
          <w:p>
            <w:pPr>
              <w:jc w:val="right"/>
              <w:spacing w:after="0"/>
              <w:rPr>
                <w:sz w:val="20"/>
                <w:szCs w:val="20"/>
                <w:color w:val="auto"/>
              </w:rPr>
            </w:pPr>
            <w:r>
              <w:rPr>
                <w:rFonts w:ascii="Arial" w:cs="Arial" w:eastAsia="Arial" w:hAnsi="Arial"/>
                <w:sz w:val="16"/>
                <w:szCs w:val="16"/>
                <w:color w:val="auto"/>
              </w:rPr>
              <w:t>$769,320</w:t>
            </w:r>
          </w:p>
        </w:tc>
      </w:tr>
      <w:tr>
        <w:trPr>
          <w:trHeight w:val="293"/>
        </w:trPr>
        <w:tc>
          <w:tcPr>
            <w:tcW w:w="7020" w:type="dxa"/>
            <w:vAlign w:val="bottom"/>
            <w:shd w:val="clear" w:color="auto" w:fill="E5E5E5"/>
          </w:tcPr>
          <w:p>
            <w:pPr>
              <w:ind w:left="160"/>
              <w:spacing w:after="0"/>
              <w:rPr>
                <w:sz w:val="20"/>
                <w:szCs w:val="20"/>
                <w:color w:val="auto"/>
              </w:rPr>
            </w:pPr>
            <w:r>
              <w:rPr>
                <w:rFonts w:ascii="Arial" w:cs="Arial" w:eastAsia="Arial" w:hAnsi="Arial"/>
                <w:sz w:val="16"/>
                <w:szCs w:val="16"/>
                <w:color w:val="auto"/>
              </w:rPr>
              <w:t>Marianne De Backer</w:t>
            </w: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right"/>
              <w:ind w:right="361"/>
              <w:spacing w:after="0"/>
              <w:rPr>
                <w:sz w:val="20"/>
                <w:szCs w:val="20"/>
                <w:color w:val="auto"/>
              </w:rPr>
            </w:pPr>
            <w:r>
              <w:rPr>
                <w:rFonts w:ascii="Arial" w:cs="Arial" w:eastAsia="Arial" w:hAnsi="Arial"/>
                <w:sz w:val="16"/>
                <w:szCs w:val="16"/>
                <w:color w:val="auto"/>
              </w:rPr>
              <w:t>73,750</w:t>
            </w:r>
          </w:p>
        </w:tc>
        <w:tc>
          <w:tcPr>
            <w:tcW w:w="1220" w:type="dxa"/>
            <w:vAlign w:val="bottom"/>
            <w:shd w:val="clear" w:color="auto" w:fill="E5E5E5"/>
          </w:tcPr>
          <w:p>
            <w:pPr>
              <w:jc w:val="right"/>
              <w:ind w:right="102"/>
              <w:spacing w:after="0"/>
              <w:rPr>
                <w:sz w:val="20"/>
                <w:szCs w:val="20"/>
                <w:color w:val="auto"/>
              </w:rPr>
            </w:pPr>
            <w:r>
              <w:rPr>
                <w:rFonts w:ascii="Arial" w:cs="Arial" w:eastAsia="Arial" w:hAnsi="Arial"/>
                <w:sz w:val="16"/>
                <w:szCs w:val="16"/>
                <w:color w:val="auto"/>
              </w:rPr>
              <w:t>$690,570</w:t>
            </w:r>
          </w:p>
        </w:tc>
        <w:tc>
          <w:tcPr>
            <w:tcW w:w="9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$764,320</w:t>
            </w:r>
          </w:p>
        </w:tc>
      </w:tr>
      <w:tr>
        <w:trPr>
          <w:trHeight w:val="277"/>
        </w:trPr>
        <w:tc>
          <w:tcPr>
            <w:tcW w:w="7020" w:type="dxa"/>
            <w:vAlign w:val="bottom"/>
            <w:tcBorders>
              <w:bottom w:val="single" w:sz="8" w:color="0071CE"/>
            </w:tcBorders>
          </w:tcPr>
          <w:p>
            <w:pPr>
              <w:ind w:left="140"/>
              <w:spacing w:after="0"/>
              <w:rPr>
                <w:sz w:val="20"/>
                <w:szCs w:val="20"/>
                <w:color w:val="auto"/>
              </w:rPr>
            </w:pPr>
            <w:r>
              <w:rPr>
                <w:rFonts w:ascii="Arial" w:cs="Arial" w:eastAsia="Arial" w:hAnsi="Arial"/>
                <w:sz w:val="16"/>
                <w:szCs w:val="16"/>
                <w:color w:val="auto"/>
              </w:rPr>
              <w:t>Adeoye Olukotun</w:t>
            </w:r>
          </w:p>
        </w:tc>
        <w:tc>
          <w:tcPr>
            <w:tcW w:w="840" w:type="dxa"/>
            <w:vAlign w:val="bottom"/>
            <w:tcBorders>
              <w:bottom w:val="single" w:sz="8" w:color="0071CE"/>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0071CE"/>
            </w:tcBorders>
          </w:tcPr>
          <w:p>
            <w:pPr>
              <w:jc w:val="right"/>
              <w:ind w:right="361"/>
              <w:spacing w:after="0"/>
              <w:rPr>
                <w:sz w:val="20"/>
                <w:szCs w:val="20"/>
                <w:color w:val="auto"/>
              </w:rPr>
            </w:pPr>
            <w:r>
              <w:rPr>
                <w:rFonts w:ascii="Arial" w:cs="Arial" w:eastAsia="Arial" w:hAnsi="Arial"/>
                <w:sz w:val="16"/>
                <w:szCs w:val="16"/>
                <w:color w:val="auto"/>
              </w:rPr>
              <w:t>75,000</w:t>
            </w:r>
          </w:p>
        </w:tc>
        <w:tc>
          <w:tcPr>
            <w:tcW w:w="1220" w:type="dxa"/>
            <w:vAlign w:val="bottom"/>
            <w:tcBorders>
              <w:bottom w:val="single" w:sz="8" w:color="0071CE"/>
            </w:tcBorders>
          </w:tcPr>
          <w:p>
            <w:pPr>
              <w:jc w:val="right"/>
              <w:ind w:right="102"/>
              <w:spacing w:after="0"/>
              <w:rPr>
                <w:sz w:val="20"/>
                <w:szCs w:val="20"/>
                <w:color w:val="auto"/>
              </w:rPr>
            </w:pPr>
            <w:r>
              <w:rPr>
                <w:rFonts w:ascii="Arial" w:cs="Arial" w:eastAsia="Arial" w:hAnsi="Arial"/>
                <w:sz w:val="16"/>
                <w:szCs w:val="16"/>
                <w:color w:val="auto"/>
              </w:rPr>
              <w:t>$690,570</w:t>
            </w:r>
          </w:p>
        </w:tc>
        <w:tc>
          <w:tcPr>
            <w:tcW w:w="920" w:type="dxa"/>
            <w:vAlign w:val="bottom"/>
            <w:tcBorders>
              <w:bottom w:val="single" w:sz="8" w:color="0071CE"/>
            </w:tcBorders>
          </w:tcPr>
          <w:p>
            <w:pPr>
              <w:jc w:val="right"/>
              <w:spacing w:after="0"/>
              <w:rPr>
                <w:sz w:val="20"/>
                <w:szCs w:val="20"/>
                <w:color w:val="auto"/>
              </w:rPr>
            </w:pPr>
            <w:r>
              <w:rPr>
                <w:rFonts w:ascii="Arial" w:cs="Arial" w:eastAsia="Arial" w:hAnsi="Arial"/>
                <w:sz w:val="16"/>
                <w:szCs w:val="16"/>
                <w:color w:val="auto"/>
              </w:rPr>
              <w:t>$765,570</w:t>
            </w:r>
          </w:p>
        </w:tc>
      </w:tr>
    </w:tbl>
    <w:p>
      <w:pPr>
        <w:spacing w:after="0" w:line="86" w:lineRule="exact"/>
        <w:rPr>
          <w:sz w:val="20"/>
          <w:szCs w:val="20"/>
          <w:color w:val="auto"/>
        </w:rPr>
      </w:pPr>
    </w:p>
    <w:p>
      <w:pPr>
        <w:ind w:left="540" w:right="540" w:hanging="424"/>
        <w:spacing w:after="0" w:line="258" w:lineRule="auto"/>
        <w:tabs>
          <w:tab w:leader="none" w:pos="5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This column represents the total grant date fair value, computed in accordance with ASC 718, of restricted stock units granted during fiscal year 2021 for each director.</w:t>
      </w:r>
    </w:p>
    <w:p>
      <w:pPr>
        <w:spacing w:after="0" w:line="58" w:lineRule="exact"/>
        <w:rPr>
          <w:rFonts w:ascii="Arial" w:cs="Arial" w:eastAsia="Arial" w:hAnsi="Arial"/>
          <w:sz w:val="14"/>
          <w:szCs w:val="14"/>
          <w:color w:val="auto"/>
        </w:rPr>
      </w:pPr>
    </w:p>
    <w:p>
      <w:pPr>
        <w:ind w:left="540" w:hanging="424"/>
        <w:spacing w:after="0"/>
        <w:tabs>
          <w:tab w:leader="none" w:pos="5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RSUs granted to non-employee directors vest one year from the date of grant.</w:t>
      </w:r>
    </w:p>
    <w:p>
      <w:pPr>
        <w:spacing w:after="0" w:line="82" w:lineRule="exact"/>
        <w:rPr>
          <w:rFonts w:ascii="Arial" w:cs="Arial" w:eastAsia="Arial" w:hAnsi="Arial"/>
          <w:sz w:val="14"/>
          <w:szCs w:val="14"/>
          <w:color w:val="auto"/>
        </w:rPr>
      </w:pPr>
    </w:p>
    <w:p>
      <w:pPr>
        <w:ind w:left="540" w:hanging="424"/>
        <w:spacing w:after="0"/>
        <w:tabs>
          <w:tab w:leader="none" w:pos="5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Dr. Given’s fees earned in cash include his annual fees of $85,000 and cash compensation relating to a special board project of $100,000.</w:t>
      </w:r>
    </w:p>
    <w:p>
      <w:pPr>
        <w:spacing w:after="0" w:line="214" w:lineRule="exact"/>
        <w:rPr>
          <w:sz w:val="20"/>
          <w:szCs w:val="20"/>
          <w:color w:val="auto"/>
        </w:rPr>
      </w:pPr>
    </w:p>
    <w:p>
      <w:pPr>
        <w:jc w:val="both"/>
        <w:ind w:left="120" w:right="220"/>
        <w:spacing w:after="0" w:line="253" w:lineRule="auto"/>
        <w:rPr>
          <w:sz w:val="20"/>
          <w:szCs w:val="20"/>
          <w:color w:val="auto"/>
        </w:rPr>
      </w:pPr>
      <w:r>
        <w:rPr>
          <w:rFonts w:ascii="Arial" w:cs="Arial" w:eastAsia="Arial" w:hAnsi="Arial"/>
          <w:sz w:val="16"/>
          <w:szCs w:val="16"/>
          <w:color w:val="auto"/>
        </w:rPr>
        <w:t>As of the last day of fiscal year 2021, the directors held the following outstanding restricted stock unit grants in the aggregate: Douglass Given — 9,500 restricted stock units; Michael S. Perry — 9,000 restricted stock units; Mauro Ferrari — 9,000 restricted stock units; William Waddill — 9,000 restricted stock units; Marianne De Backer — 9,000 restricted stock units; and Adeoye Olukoton — 9,000 restricted stock units.</w:t>
      </w:r>
    </w:p>
    <w:p>
      <w:pPr>
        <w:spacing w:after="0" w:line="17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Vote Required; Recommendation of the Board</w:t>
      </w:r>
    </w:p>
    <w:p>
      <w:pPr>
        <w:spacing w:after="0" w:line="236" w:lineRule="exact"/>
        <w:rPr>
          <w:sz w:val="20"/>
          <w:szCs w:val="20"/>
          <w:color w:val="auto"/>
        </w:rPr>
      </w:pPr>
    </w:p>
    <w:p>
      <w:pPr>
        <w:ind w:left="120" w:right="140"/>
        <w:spacing w:after="0" w:line="253" w:lineRule="auto"/>
        <w:rPr>
          <w:sz w:val="20"/>
          <w:szCs w:val="20"/>
          <w:color w:val="auto"/>
        </w:rPr>
      </w:pPr>
      <w:r>
        <w:rPr>
          <w:rFonts w:ascii="Arial" w:cs="Arial" w:eastAsia="Arial" w:hAnsi="Arial"/>
          <w:sz w:val="16"/>
          <w:szCs w:val="16"/>
          <w:color w:val="auto"/>
        </w:rPr>
        <w:t>The nominees listed above receiving more “FOR” votes than “AGAINST” votes, assuming a quorum is present, will be elected tas directors to serve until their terms expire or until their successors have been duly elected and qualified. Because directors are elected by a majority of votes cast, abstentions from voting and broker non-votes will be excluded from the vote and will have no effect on its outcome.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143510</wp:posOffset>
            </wp:positionV>
            <wp:extent cx="3505835" cy="5397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505835" cy="539750"/>
                    </a:xfrm>
                    <a:prstGeom prst="rect">
                      <a:avLst/>
                    </a:prstGeom>
                    <a:noFill/>
                  </pic:spPr>
                </pic:pic>
              </a:graphicData>
            </a:graphic>
          </wp:anchor>
        </w:drawing>
      </w:r>
    </w:p>
    <w:p>
      <w:pPr>
        <w:spacing w:after="0" w:line="283" w:lineRule="exact"/>
        <w:rPr>
          <w:sz w:val="20"/>
          <w:szCs w:val="20"/>
          <w:color w:val="auto"/>
        </w:rPr>
      </w:pPr>
    </w:p>
    <w:p>
      <w:pPr>
        <w:ind w:left="4020" w:right="2920"/>
        <w:spacing w:after="0" w:line="254" w:lineRule="auto"/>
        <w:rPr>
          <w:sz w:val="20"/>
          <w:szCs w:val="20"/>
          <w:color w:val="auto"/>
        </w:rPr>
      </w:pPr>
      <w:r>
        <w:rPr>
          <w:rFonts w:ascii="Arial" w:cs="Arial" w:eastAsia="Arial" w:hAnsi="Arial"/>
          <w:sz w:val="16"/>
          <w:szCs w:val="16"/>
          <w:b w:val="1"/>
          <w:bCs w:val="1"/>
          <w:color w:val="auto"/>
        </w:rPr>
        <w:t xml:space="preserve">THE BOARD UNANIMOUSLY RECOMMENDS A VOTE </w:t>
      </w:r>
      <w:r>
        <w:rPr>
          <w:rFonts w:ascii="Arial" w:cs="Arial" w:eastAsia="Arial" w:hAnsi="Arial"/>
          <w:sz w:val="21"/>
          <w:szCs w:val="21"/>
          <w:b w:val="1"/>
          <w:bCs w:val="1"/>
          <w:color w:val="0071CE"/>
        </w:rPr>
        <w:t xml:space="preserve">“FOR” </w:t>
      </w:r>
      <w:r>
        <w:rPr>
          <w:rFonts w:ascii="Arial" w:cs="Arial" w:eastAsia="Arial" w:hAnsi="Arial"/>
          <w:sz w:val="16"/>
          <w:szCs w:val="16"/>
          <w:b w:val="1"/>
          <w:bCs w:val="1"/>
          <w:color w:val="000000"/>
        </w:rPr>
        <w:t>EACH OF THE NOMINEES FOR DIRECTOR IN</w:t>
      </w:r>
    </w:p>
    <w:p>
      <w:pPr>
        <w:spacing w:after="0" w:line="2" w:lineRule="exact"/>
        <w:rPr>
          <w:sz w:val="20"/>
          <w:szCs w:val="20"/>
          <w:color w:val="auto"/>
        </w:rPr>
      </w:pPr>
    </w:p>
    <w:p>
      <w:pPr>
        <w:ind w:left="4020"/>
        <w:spacing w:after="0"/>
        <w:rPr>
          <w:sz w:val="20"/>
          <w:szCs w:val="20"/>
          <w:color w:val="auto"/>
        </w:rPr>
      </w:pPr>
      <w:r>
        <w:rPr>
          <w:rFonts w:ascii="Arial" w:cs="Arial" w:eastAsia="Arial" w:hAnsi="Arial"/>
          <w:sz w:val="16"/>
          <w:szCs w:val="16"/>
          <w:b w:val="1"/>
          <w:bCs w:val="1"/>
          <w:color w:val="auto"/>
        </w:rPr>
        <w:t>PROPOSAL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182245</wp:posOffset>
            </wp:positionV>
            <wp:extent cx="986155" cy="2057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98" w:lineRule="exact"/>
        <w:rPr>
          <w:sz w:val="20"/>
          <w:szCs w:val="20"/>
          <w:color w:val="auto"/>
        </w:rPr>
      </w:pPr>
    </w:p>
    <w:p>
      <w:pPr>
        <w:ind w:left="10880"/>
        <w:spacing w:after="0"/>
        <w:rPr>
          <w:sz w:val="20"/>
          <w:szCs w:val="20"/>
          <w:color w:val="auto"/>
        </w:rPr>
      </w:pPr>
      <w:r>
        <w:rPr>
          <w:rFonts w:ascii="Arial" w:cs="Arial" w:eastAsia="Arial" w:hAnsi="Arial"/>
          <w:sz w:val="18"/>
          <w:szCs w:val="18"/>
          <w:b w:val="1"/>
          <w:bCs w:val="1"/>
          <w:color w:val="0071CE"/>
        </w:rPr>
        <w:t>13</w:t>
      </w:r>
    </w:p>
    <w:p>
      <w:pPr>
        <w:sectPr>
          <w:pgSz w:w="11900" w:h="16838" w:orient="portrait"/>
          <w:cols w:equalWidth="0" w:num="1">
            <w:col w:w="11140"/>
          </w:cols>
          <w:pgMar w:left="32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20"/>
        <w:spacing w:after="0"/>
        <w:tabs>
          <w:tab w:leader="none" w:pos="2020" w:val="left"/>
        </w:tabs>
        <w:rPr>
          <w:sz w:val="20"/>
          <w:szCs w:val="20"/>
          <w:color w:val="auto"/>
        </w:rPr>
      </w:pPr>
      <w:r>
        <w:rPr>
          <w:rFonts w:ascii="Arial" w:cs="Arial" w:eastAsia="Arial" w:hAnsi="Arial"/>
          <w:sz w:val="14"/>
          <w:szCs w:val="14"/>
          <w:b w:val="1"/>
          <w:bCs w:val="1"/>
          <w:color w:val="0071CE"/>
        </w:rPr>
        <w:t>2022 PROXY STATEMENT</w:t>
      </w:r>
      <w:r>
        <w:rPr>
          <w:sz w:val="20"/>
          <w:szCs w:val="20"/>
          <w:color w:val="auto"/>
        </w:rPr>
        <w:tab/>
      </w:r>
      <w:r>
        <w:rPr>
          <w:rFonts w:ascii="Arial" w:cs="Arial" w:eastAsia="Arial" w:hAnsi="Arial"/>
          <w:sz w:val="14"/>
          <w:szCs w:val="14"/>
          <w:b w:val="1"/>
          <w:bCs w:val="1"/>
          <w:i w:val="1"/>
          <w:iCs w:val="1"/>
          <w:color w:val="3FAE2A"/>
        </w:rPr>
        <w:t>Proposal Two — Advisory Vote to Approve Executive Compensation</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1CE"/>
        </w:rPr>
        <w:t>Proposal Two — Advisory Vote to Approve Executive Compensation</w:t>
      </w:r>
    </w:p>
    <w:p>
      <w:pPr>
        <w:spacing w:after="0" w:line="352" w:lineRule="exact"/>
        <w:rPr>
          <w:sz w:val="20"/>
          <w:szCs w:val="20"/>
          <w:color w:val="auto"/>
        </w:rPr>
      </w:pPr>
    </w:p>
    <w:p>
      <w:pPr>
        <w:ind w:left="120" w:right="200"/>
        <w:spacing w:after="0" w:line="286" w:lineRule="auto"/>
        <w:rPr>
          <w:sz w:val="20"/>
          <w:szCs w:val="20"/>
          <w:color w:val="auto"/>
        </w:rPr>
      </w:pPr>
      <w:r>
        <w:rPr>
          <w:rFonts w:ascii="Arial" w:cs="Arial" w:eastAsia="Arial" w:hAnsi="Arial"/>
          <w:sz w:val="16"/>
          <w:szCs w:val="16"/>
          <w:color w:val="auto"/>
        </w:rPr>
        <w:t>The compensation paid to our Named Executive Officers (“</w:t>
      </w:r>
      <w:r>
        <w:rPr>
          <w:rFonts w:ascii="Arial" w:cs="Arial" w:eastAsia="Arial" w:hAnsi="Arial"/>
          <w:sz w:val="16"/>
          <w:szCs w:val="16"/>
          <w:b w:val="1"/>
          <w:bCs w:val="1"/>
          <w:color w:val="auto"/>
        </w:rPr>
        <w:t>NEOs</w:t>
      </w:r>
      <w:r>
        <w:rPr>
          <w:rFonts w:ascii="Arial" w:cs="Arial" w:eastAsia="Arial" w:hAnsi="Arial"/>
          <w:sz w:val="16"/>
          <w:szCs w:val="16"/>
          <w:color w:val="auto"/>
        </w:rPr>
        <w:t>”) is described below in the Compensation Discussion and Analysis of this proxy statement for the year ended September 30, 2021. The Board is asking stockholders to cast a non-binding, advisory vote FOR the following resolution:</w:t>
      </w:r>
    </w:p>
    <w:p>
      <w:pPr>
        <w:spacing w:after="0" w:line="68" w:lineRule="exact"/>
        <w:rPr>
          <w:sz w:val="20"/>
          <w:szCs w:val="20"/>
          <w:color w:val="auto"/>
        </w:rPr>
      </w:pPr>
    </w:p>
    <w:p>
      <w:pPr>
        <w:ind w:left="560" w:right="100"/>
        <w:spacing w:after="0" w:line="260" w:lineRule="auto"/>
        <w:rPr>
          <w:sz w:val="20"/>
          <w:szCs w:val="20"/>
          <w:color w:val="auto"/>
        </w:rPr>
      </w:pPr>
      <w:r>
        <w:rPr>
          <w:rFonts w:ascii="Arial" w:cs="Arial" w:eastAsia="Arial" w:hAnsi="Arial"/>
          <w:sz w:val="16"/>
          <w:szCs w:val="16"/>
          <w:color w:val="auto"/>
        </w:rPr>
        <w:t>“RESOLVED, that the compensation paid to the Company’s named executive officers, as disclosed pursuant to Item 402 of Regulation S-K, as set forth in the compensation tables and narrative discussion, is hereby APPROVED.”</w:t>
      </w:r>
    </w:p>
    <w:p>
      <w:pPr>
        <w:spacing w:after="0" w:line="195" w:lineRule="exact"/>
        <w:rPr>
          <w:sz w:val="20"/>
          <w:szCs w:val="20"/>
          <w:color w:val="auto"/>
        </w:rPr>
      </w:pPr>
    </w:p>
    <w:p>
      <w:pPr>
        <w:ind w:left="120" w:right="340"/>
        <w:spacing w:after="0" w:line="260" w:lineRule="auto"/>
        <w:rPr>
          <w:sz w:val="20"/>
          <w:szCs w:val="20"/>
          <w:color w:val="auto"/>
        </w:rPr>
      </w:pPr>
      <w:r>
        <w:rPr>
          <w:rFonts w:ascii="Arial" w:cs="Arial" w:eastAsia="Arial" w:hAnsi="Arial"/>
          <w:sz w:val="16"/>
          <w:szCs w:val="16"/>
          <w:color w:val="auto"/>
        </w:rPr>
        <w:t>Although the vote we are asking you to cast is non-binding, the Compensation Committee and the Board value the views of our stockholders and will consider the outcome of the vote when determining future compensation arrangements for our NEOs.</w:t>
      </w:r>
    </w:p>
    <w:p>
      <w:pPr>
        <w:spacing w:after="0" w:line="195" w:lineRule="exact"/>
        <w:rPr>
          <w:sz w:val="20"/>
          <w:szCs w:val="20"/>
          <w:color w:val="auto"/>
        </w:rPr>
      </w:pPr>
    </w:p>
    <w:p>
      <w:pPr>
        <w:ind w:left="120" w:right="420"/>
        <w:spacing w:after="0" w:line="260" w:lineRule="auto"/>
        <w:rPr>
          <w:sz w:val="20"/>
          <w:szCs w:val="20"/>
          <w:color w:val="auto"/>
        </w:rPr>
      </w:pPr>
      <w:r>
        <w:rPr>
          <w:rFonts w:ascii="Arial" w:cs="Arial" w:eastAsia="Arial" w:hAnsi="Arial"/>
          <w:sz w:val="16"/>
          <w:szCs w:val="16"/>
          <w:color w:val="auto"/>
        </w:rPr>
        <w:t>The Board has adopted a policy providing for annual advisory votes to approve executive compensation. Unless the Board modifies its policy on the frequency of holding advisory votes to approve executive compensation, the next such advisory vote will occur in 2023.</w:t>
      </w:r>
    </w:p>
    <w:p>
      <w:pPr>
        <w:spacing w:after="0" w:line="17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Vote Required; Recommendation of the Board</w:t>
      </w:r>
    </w:p>
    <w:p>
      <w:pPr>
        <w:spacing w:after="0" w:line="236" w:lineRule="exact"/>
        <w:rPr>
          <w:sz w:val="20"/>
          <w:szCs w:val="20"/>
          <w:color w:val="auto"/>
        </w:rPr>
      </w:pPr>
    </w:p>
    <w:p>
      <w:pPr>
        <w:ind w:left="120"/>
        <w:spacing w:after="0" w:line="260" w:lineRule="auto"/>
        <w:rPr>
          <w:sz w:val="20"/>
          <w:szCs w:val="20"/>
          <w:color w:val="auto"/>
        </w:rPr>
      </w:pPr>
      <w:r>
        <w:rPr>
          <w:rFonts w:ascii="Arial" w:cs="Arial" w:eastAsia="Arial" w:hAnsi="Arial"/>
          <w:sz w:val="16"/>
          <w:szCs w:val="16"/>
          <w:color w:val="auto"/>
        </w:rPr>
        <w:t>Proposal Two must be approved by the Required Vote, assuming a quorum is present. For this purpose, abstentions will be counted as a vote against the proposal, while broker non-votes will have no effect on the outcome of the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139700</wp:posOffset>
            </wp:positionV>
            <wp:extent cx="3505835" cy="5397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505835" cy="539750"/>
                    </a:xfrm>
                    <a:prstGeom prst="rect">
                      <a:avLst/>
                    </a:prstGeom>
                    <a:noFill/>
                  </pic:spPr>
                </pic:pic>
              </a:graphicData>
            </a:graphic>
          </wp:anchor>
        </w:drawing>
      </w:r>
    </w:p>
    <w:p>
      <w:pPr>
        <w:spacing w:after="0" w:line="277" w:lineRule="exact"/>
        <w:rPr>
          <w:sz w:val="20"/>
          <w:szCs w:val="20"/>
          <w:color w:val="auto"/>
        </w:rPr>
      </w:pPr>
    </w:p>
    <w:p>
      <w:pPr>
        <w:ind w:left="4020" w:right="3000"/>
        <w:spacing w:after="0" w:line="274" w:lineRule="auto"/>
        <w:rPr>
          <w:sz w:val="20"/>
          <w:szCs w:val="20"/>
          <w:color w:val="auto"/>
        </w:rPr>
      </w:pPr>
      <w:r>
        <w:rPr>
          <w:rFonts w:ascii="Arial" w:cs="Arial" w:eastAsia="Arial" w:hAnsi="Arial"/>
          <w:sz w:val="16"/>
          <w:szCs w:val="16"/>
          <w:b w:val="1"/>
          <w:bCs w:val="1"/>
          <w:color w:val="auto"/>
        </w:rPr>
        <w:t xml:space="preserve">THE BOARD UNANIMOUSLY RECOMMENDS A VOTE </w:t>
      </w:r>
      <w:r>
        <w:rPr>
          <w:rFonts w:ascii="Arial" w:cs="Arial" w:eastAsia="Arial" w:hAnsi="Arial"/>
          <w:sz w:val="21"/>
          <w:szCs w:val="21"/>
          <w:b w:val="1"/>
          <w:bCs w:val="1"/>
          <w:color w:val="0071CE"/>
        </w:rPr>
        <w:t xml:space="preserve">“FOR” </w:t>
      </w:r>
      <w:r>
        <w:rPr>
          <w:rFonts w:ascii="Arial" w:cs="Arial" w:eastAsia="Arial" w:hAnsi="Arial"/>
          <w:sz w:val="16"/>
          <w:szCs w:val="16"/>
          <w:b w:val="1"/>
          <w:bCs w:val="1"/>
          <w:color w:val="000000"/>
        </w:rPr>
        <w:t>PROPOSAL TWO.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277495</wp:posOffset>
            </wp:positionV>
            <wp:extent cx="986155" cy="2057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1CE"/>
        </w:rPr>
        <w:t>14</w:t>
      </w:r>
    </w:p>
    <w:p>
      <w:pPr>
        <w:sectPr>
          <w:pgSz w:w="11900" w:h="16838" w:orient="portrait"/>
          <w:cols w:equalWidth="0" w:num="1">
            <w:col w:w="11100"/>
          </w:cols>
          <w:pgMar w:left="32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560"/>
        <w:spacing w:after="0"/>
        <w:tabs>
          <w:tab w:leader="none" w:pos="3460" w:val="left"/>
        </w:tabs>
        <w:rPr>
          <w:sz w:val="20"/>
          <w:szCs w:val="20"/>
          <w:color w:val="auto"/>
        </w:rPr>
      </w:pPr>
      <w:r>
        <w:rPr>
          <w:rFonts w:ascii="Arial" w:cs="Arial" w:eastAsia="Arial" w:hAnsi="Arial"/>
          <w:sz w:val="14"/>
          <w:szCs w:val="14"/>
          <w:b w:val="1"/>
          <w:bCs w:val="1"/>
          <w:color w:val="0071CE"/>
        </w:rPr>
        <w:t>2022 PROXY STATEMENT</w:t>
      </w:r>
      <w:r>
        <w:rPr>
          <w:sz w:val="20"/>
          <w:szCs w:val="20"/>
          <w:color w:val="auto"/>
        </w:rPr>
        <w:tab/>
      </w:r>
      <w:r>
        <w:rPr>
          <w:rFonts w:ascii="Arial" w:cs="Arial" w:eastAsia="Arial" w:hAnsi="Arial"/>
          <w:sz w:val="14"/>
          <w:szCs w:val="14"/>
          <w:b w:val="1"/>
          <w:bCs w:val="1"/>
          <w:i w:val="1"/>
          <w:iCs w:val="1"/>
          <w:color w:val="3FAE2A"/>
        </w:rPr>
        <w:t>Proposal Three — Approval of the Arrowhead Pharmaceuticals, Inc. Non-Employee Director Compensation Plan</w:t>
      </w:r>
    </w:p>
    <w:p>
      <w:pPr>
        <w:spacing w:after="0" w:line="127" w:lineRule="exact"/>
        <w:rPr>
          <w:sz w:val="20"/>
          <w:szCs w:val="20"/>
          <w:color w:val="auto"/>
        </w:rPr>
      </w:pPr>
    </w:p>
    <w:p>
      <w:pPr>
        <w:ind w:left="120" w:right="600"/>
        <w:spacing w:after="0" w:line="286" w:lineRule="auto"/>
        <w:rPr>
          <w:sz w:val="20"/>
          <w:szCs w:val="20"/>
          <w:color w:val="auto"/>
        </w:rPr>
      </w:pPr>
      <w:r>
        <w:rPr>
          <w:rFonts w:ascii="Arial" w:cs="Arial" w:eastAsia="Arial" w:hAnsi="Arial"/>
          <w:sz w:val="32"/>
          <w:szCs w:val="32"/>
          <w:b w:val="1"/>
          <w:bCs w:val="1"/>
          <w:color w:val="0071CE"/>
        </w:rPr>
        <w:t>Proposal Three — Approval of the Arrowhead Pharmaceuticals, Inc. Non-Employee Director Compensation Plan</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C4C4C"/>
        </w:rPr>
        <w:t>Background Regarding Requested Stockholder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57150</wp:posOffset>
            </wp:positionV>
            <wp:extent cx="69951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6" w:lineRule="exact"/>
        <w:rPr>
          <w:sz w:val="20"/>
          <w:szCs w:val="20"/>
          <w:color w:val="auto"/>
        </w:rPr>
      </w:pPr>
    </w:p>
    <w:p>
      <w:pPr>
        <w:jc w:val="both"/>
        <w:ind w:left="120" w:right="120"/>
        <w:spacing w:after="0" w:line="253" w:lineRule="auto"/>
        <w:rPr>
          <w:sz w:val="20"/>
          <w:szCs w:val="20"/>
          <w:color w:val="auto"/>
        </w:rPr>
      </w:pPr>
      <w:r>
        <w:rPr>
          <w:rFonts w:ascii="Arial" w:cs="Arial" w:eastAsia="Arial" w:hAnsi="Arial"/>
          <w:sz w:val="16"/>
          <w:szCs w:val="16"/>
          <w:color w:val="auto"/>
        </w:rPr>
        <w:t>In February 2021, a derivative action was brought in the Court of Chancery in Delaware, suing our directors, purportedly on behalf of us, for damages as a result of their alleged breaches of their fiduciary duties by granting and accepting allegedly excessive and unfair compensation in each of 2019, 2020, and 2021.</w:t>
      </w:r>
    </w:p>
    <w:p>
      <w:pPr>
        <w:spacing w:after="0" w:line="201" w:lineRule="exact"/>
        <w:rPr>
          <w:sz w:val="20"/>
          <w:szCs w:val="20"/>
          <w:color w:val="auto"/>
        </w:rPr>
      </w:pPr>
    </w:p>
    <w:p>
      <w:pPr>
        <w:ind w:left="120" w:right="320"/>
        <w:spacing w:after="0" w:line="211" w:lineRule="auto"/>
        <w:rPr>
          <w:sz w:val="20"/>
          <w:szCs w:val="20"/>
          <w:color w:val="auto"/>
        </w:rPr>
      </w:pPr>
      <w:r>
        <w:rPr>
          <w:rFonts w:ascii="Arial" w:cs="Arial" w:eastAsia="Arial" w:hAnsi="Arial"/>
          <w:sz w:val="16"/>
          <w:szCs w:val="16"/>
          <w:color w:val="auto"/>
        </w:rPr>
        <w:t>In late 2021, the plaintiffs and the director defendants negotiated the terms of a settlement that requires us, among other things, to limit non-employee director compensation for a five year period to the 60</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 of the mean per-director compensation package paid by our peer companies. In this Proposal Three, we are seeking stockholder approval of our non-employee director compensation plan in a manner consistent with the terms of the settlement.</w:t>
      </w:r>
    </w:p>
    <w:p>
      <w:pPr>
        <w:spacing w:after="0" w:line="214" w:lineRule="exact"/>
        <w:rPr>
          <w:sz w:val="20"/>
          <w:szCs w:val="20"/>
          <w:color w:val="auto"/>
        </w:rPr>
      </w:pPr>
    </w:p>
    <w:p>
      <w:pPr>
        <w:ind w:left="120" w:right="40"/>
        <w:spacing w:after="0" w:line="250" w:lineRule="auto"/>
        <w:rPr>
          <w:sz w:val="20"/>
          <w:szCs w:val="20"/>
          <w:color w:val="auto"/>
        </w:rPr>
      </w:pPr>
      <w:r>
        <w:rPr>
          <w:rFonts w:ascii="Arial" w:cs="Arial" w:eastAsia="Arial" w:hAnsi="Arial"/>
          <w:sz w:val="16"/>
          <w:szCs w:val="16"/>
          <w:color w:val="auto"/>
        </w:rPr>
        <w:t>The director defendants have vigorously denied, and continue to vigorously deny, all allegations of wrongdoing, fault, liability or cognizable damage to the Company, and believe that they acted properly at all times. The director defendants agreed to the settlement solely because they deemed it desirable that the claims against them in the action be settled and dismissed with prejudice in order to, among other things, (i) avoid the substantial expense, inconvenience and distraction of continued litigation, and (ii) avoid any possibility of a finding of liability, however remote, and finally put to rest the claims asserted against them.</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C4C4C"/>
        </w:rPr>
        <w:t>Requested Stockholder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57150</wp:posOffset>
            </wp:positionV>
            <wp:extent cx="69951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3" w:lineRule="exact"/>
        <w:rPr>
          <w:sz w:val="20"/>
          <w:szCs w:val="20"/>
          <w:color w:val="auto"/>
        </w:rPr>
      </w:pPr>
    </w:p>
    <w:p>
      <w:pPr>
        <w:ind w:left="120" w:right="20"/>
        <w:spacing w:after="0" w:line="248" w:lineRule="auto"/>
        <w:rPr>
          <w:sz w:val="20"/>
          <w:szCs w:val="20"/>
          <w:color w:val="auto"/>
        </w:rPr>
      </w:pPr>
      <w:r>
        <w:rPr>
          <w:rFonts w:ascii="Arial" w:cs="Arial" w:eastAsia="Arial" w:hAnsi="Arial"/>
          <w:sz w:val="16"/>
          <w:szCs w:val="16"/>
          <w:color w:val="auto"/>
        </w:rPr>
        <w:t>The Board believes that stockholder approval of the non-employee director compensation plan included as Exhibit A to this proxy statement (the “Plan”) is in the best interests of the Company and our stockholders because it allows us to attract and retain highly qualified non-employee directors, which we believe is critical to our long-term success. We believe that the compensation proposed to be paid to non-employee directors pursuant to the Plan is reasonable and appropriate and in line with market practice, appropriately compensates our non-employee directors for services as non-employee directors, and aligns the interests of non-employee directors with those of the Company and our stockholders. We are asking our stockholders to approve the Plan which, if approved, shall continue to apply until otherwise modified by our Board. If the Plan is not approved by our stockholders, we will not provide our non-employee directors with compensation under the Plan until such time, if any, as stockholder approval of a subsequent similar proposal is obtained, and instead will compensate our non-employee directors in the manner outlined in the settlement and described above. We believe this will have an adverse effect on our ability to attract and retain qualified directors to our board of directors.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Summary of the Plan</w:t>
      </w:r>
    </w:p>
    <w:p>
      <w:pPr>
        <w:spacing w:after="0" w:line="128" w:lineRule="exact"/>
        <w:rPr>
          <w:sz w:val="20"/>
          <w:szCs w:val="20"/>
          <w:color w:val="auto"/>
        </w:rPr>
      </w:pPr>
    </w:p>
    <w:p>
      <w:pPr>
        <w:ind w:left="120" w:right="460"/>
        <w:spacing w:after="0" w:line="260" w:lineRule="auto"/>
        <w:rPr>
          <w:sz w:val="20"/>
          <w:szCs w:val="20"/>
          <w:color w:val="auto"/>
        </w:rPr>
      </w:pPr>
      <w:r>
        <w:rPr>
          <w:rFonts w:ascii="Arial" w:cs="Arial" w:eastAsia="Arial" w:hAnsi="Arial"/>
          <w:sz w:val="16"/>
          <w:szCs w:val="16"/>
          <w:color w:val="auto"/>
        </w:rPr>
        <w:t>The purpose of the Plan is to provide a compensation package that enables the Company to attract and retain high-caliber directors and aligns their interests with the interests of the Company’s stockholders.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Eligibility</w:t>
      </w:r>
    </w:p>
    <w:p>
      <w:pPr>
        <w:spacing w:after="0" w:line="128" w:lineRule="exact"/>
        <w:rPr>
          <w:sz w:val="20"/>
          <w:szCs w:val="20"/>
          <w:color w:val="auto"/>
        </w:rPr>
      </w:pPr>
    </w:p>
    <w:p>
      <w:pPr>
        <w:ind w:left="120" w:right="80"/>
        <w:spacing w:after="0" w:line="260" w:lineRule="auto"/>
        <w:rPr>
          <w:sz w:val="20"/>
          <w:szCs w:val="20"/>
          <w:color w:val="auto"/>
        </w:rPr>
      </w:pPr>
      <w:r>
        <w:rPr>
          <w:rFonts w:ascii="Arial" w:cs="Arial" w:eastAsia="Arial" w:hAnsi="Arial"/>
          <w:sz w:val="16"/>
          <w:szCs w:val="16"/>
          <w:color w:val="auto"/>
        </w:rPr>
        <w:t>The Plan apples to all members of the Board who are not employees or officers of the Company. All six of our current non-employee directors are eligible to receive compensation under the Plan.</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Director Pay Limit</w:t>
      </w:r>
    </w:p>
    <w:p>
      <w:pPr>
        <w:spacing w:after="0" w:line="128" w:lineRule="exact"/>
        <w:rPr>
          <w:sz w:val="20"/>
          <w:szCs w:val="20"/>
          <w:color w:val="auto"/>
        </w:rPr>
      </w:pPr>
    </w:p>
    <w:p>
      <w:pPr>
        <w:ind w:left="120" w:right="140"/>
        <w:spacing w:after="0" w:line="221" w:lineRule="auto"/>
        <w:rPr>
          <w:sz w:val="20"/>
          <w:szCs w:val="20"/>
          <w:color w:val="auto"/>
        </w:rPr>
      </w:pPr>
      <w:r>
        <w:rPr>
          <w:rFonts w:ascii="Arial" w:cs="Arial" w:eastAsia="Arial" w:hAnsi="Arial"/>
          <w:sz w:val="16"/>
          <w:szCs w:val="16"/>
          <w:color w:val="auto"/>
        </w:rPr>
        <w:t>Under the Plan, on an annual basis, the Compensation Committee’s independent compensation consultant will conduct an analysis on non-employee director compensation practices at a group of peer companies, including an assessment of the mean per-director annual compensation package paid by each peer company. The list of peer companies will be approved annually and will include at least fifteen companies that are appropriate peers for the Company’s size (e.g., market capitalization, revenue, employee count) and competitive environment for directors. In general, the value of the mean per-director compensation paid under the Plan each year cannot exceed the mean per-director compensation package paid by the peer company representing the 60</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 provided, however, that if a majority of stockholders approve this Proposal Three, then if, in any year, the Company’s</w:t>
      </w:r>
    </w:p>
    <w:p>
      <w:pPr>
        <w:spacing w:after="0" w:line="1" w:lineRule="exact"/>
        <w:rPr>
          <w:sz w:val="20"/>
          <w:szCs w:val="20"/>
          <w:color w:val="auto"/>
        </w:rPr>
      </w:pPr>
    </w:p>
    <w:p>
      <w:pPr>
        <w:ind w:left="120" w:right="140"/>
        <w:spacing w:after="0" w:line="269" w:lineRule="auto"/>
        <w:rPr>
          <w:sz w:val="20"/>
          <w:szCs w:val="20"/>
          <w:color w:val="auto"/>
        </w:rPr>
      </w:pPr>
      <w:r>
        <w:rPr>
          <w:rFonts w:ascii="Arial" w:cs="Arial" w:eastAsia="Arial" w:hAnsi="Arial"/>
          <w:sz w:val="16"/>
          <w:szCs w:val="16"/>
          <w:color w:val="auto"/>
        </w:rPr>
        <w:t>3-year total stockholder return (TSR) as calculated by the Compensation Committee’s independent compensation consultant exceeds the 3-year TSR of the peer company representing the 60</w:t>
      </w:r>
      <w:r>
        <w:rPr>
          <w:rFonts w:ascii="Arial" w:cs="Arial" w:eastAsia="Arial" w:hAnsi="Arial"/>
          <w:sz w:val="27"/>
          <w:szCs w:val="27"/>
          <w:color w:val="auto"/>
          <w:vertAlign w:val="superscript"/>
        </w:rPr>
        <w:t>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-18415</wp:posOffset>
            </wp:positionV>
            <wp:extent cx="986155" cy="2057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ind w:left="10880"/>
        <w:spacing w:after="0"/>
        <w:rPr>
          <w:sz w:val="20"/>
          <w:szCs w:val="20"/>
          <w:color w:val="auto"/>
        </w:rPr>
      </w:pPr>
      <w:r>
        <w:rPr>
          <w:rFonts w:ascii="Arial" w:cs="Arial" w:eastAsia="Arial" w:hAnsi="Arial"/>
          <w:sz w:val="18"/>
          <w:szCs w:val="18"/>
          <w:b w:val="1"/>
          <w:bCs w:val="1"/>
          <w:color w:val="0071CE"/>
        </w:rPr>
        <w:t>15</w:t>
      </w:r>
    </w:p>
    <w:p>
      <w:pPr>
        <w:sectPr>
          <w:pgSz w:w="11900" w:h="16838" w:orient="portrait"/>
          <w:cols w:equalWidth="0" w:num="1">
            <w:col w:w="11140"/>
          </w:cols>
          <w:pgMar w:left="32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20"/>
        <w:spacing w:after="0"/>
        <w:tabs>
          <w:tab w:leader="none" w:pos="2020" w:val="left"/>
        </w:tabs>
        <w:rPr>
          <w:sz w:val="20"/>
          <w:szCs w:val="20"/>
          <w:color w:val="auto"/>
        </w:rPr>
      </w:pPr>
      <w:r>
        <w:rPr>
          <w:rFonts w:ascii="Arial" w:cs="Arial" w:eastAsia="Arial" w:hAnsi="Arial"/>
          <w:sz w:val="14"/>
          <w:szCs w:val="14"/>
          <w:b w:val="1"/>
          <w:bCs w:val="1"/>
          <w:color w:val="0071CE"/>
        </w:rPr>
        <w:t>2022 PROXY STATEMENT</w:t>
      </w:r>
      <w:r>
        <w:rPr>
          <w:sz w:val="20"/>
          <w:szCs w:val="20"/>
          <w:color w:val="auto"/>
        </w:rPr>
        <w:tab/>
      </w:r>
      <w:r>
        <w:rPr>
          <w:rFonts w:ascii="Arial" w:cs="Arial" w:eastAsia="Arial" w:hAnsi="Arial"/>
          <w:sz w:val="14"/>
          <w:szCs w:val="14"/>
          <w:b w:val="1"/>
          <w:bCs w:val="1"/>
          <w:i w:val="1"/>
          <w:iCs w:val="1"/>
          <w:color w:val="3FAE2A"/>
        </w:rPr>
        <w:t>Proposal Three — Approval of the Arrowhead Pharmaceuticals, Inc. Non-Employee Director Compensation Plan</w:t>
      </w:r>
    </w:p>
    <w:p>
      <w:pPr>
        <w:spacing w:after="0" w:line="165" w:lineRule="exact"/>
        <w:rPr>
          <w:sz w:val="20"/>
          <w:szCs w:val="20"/>
          <w:color w:val="auto"/>
        </w:rPr>
      </w:pPr>
    </w:p>
    <w:p>
      <w:pPr>
        <w:ind w:left="120"/>
        <w:spacing w:after="0" w:line="250" w:lineRule="auto"/>
        <w:rPr>
          <w:sz w:val="20"/>
          <w:szCs w:val="20"/>
          <w:color w:val="auto"/>
        </w:rPr>
      </w:pPr>
      <w:r>
        <w:rPr>
          <w:rFonts w:ascii="Arial" w:cs="Arial" w:eastAsia="Arial" w:hAnsi="Arial"/>
          <w:sz w:val="16"/>
          <w:szCs w:val="16"/>
          <w:color w:val="auto"/>
        </w:rPr>
        <w:t>percentile when ranked by 3-year TSR, the non-employee director pay limit described in this paragraph for the next following year will be increased to correspond to the mean per-director compensation package paid by the peer company representing the percentile of the mean per-director compensation package paid by each of the peer companies that is equivalent to the percentile rank of the Company relative to the peer companies when ranked by 3-year TSR for such prior year. For fiscal year 2022, because the Company’s 3-year TSR for fiscal year 2021 ranks at the 95th percentile of the Company’s 2021 peer group the mean per-director compensation paid under the Plan, if approved will not exceed $782,956.</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Cash and Equity Retainers</w:t>
      </w:r>
    </w:p>
    <w:p>
      <w:pPr>
        <w:spacing w:after="0" w:line="128" w:lineRule="exact"/>
        <w:rPr>
          <w:sz w:val="20"/>
          <w:szCs w:val="20"/>
          <w:color w:val="auto"/>
        </w:rPr>
      </w:pPr>
    </w:p>
    <w:p>
      <w:pPr>
        <w:ind w:left="120" w:right="20"/>
        <w:spacing w:after="0" w:line="249" w:lineRule="auto"/>
        <w:rPr>
          <w:sz w:val="20"/>
          <w:szCs w:val="20"/>
          <w:color w:val="auto"/>
        </w:rPr>
      </w:pPr>
      <w:r>
        <w:rPr>
          <w:rFonts w:ascii="Arial" w:cs="Arial" w:eastAsia="Arial" w:hAnsi="Arial"/>
          <w:sz w:val="16"/>
          <w:szCs w:val="16"/>
          <w:color w:val="auto"/>
        </w:rPr>
        <w:t xml:space="preserve">On an annual basis, the Board, with the assistance of the Compensation Committee, will determine the value of cash and equity retainers paid to the non-employee members of the Board, which need not be the same for every director and which may take into account service as non-executive chair or lead independent director and/or service as chair or as a member on one or more committees of the Board; provided that the mean per-director compensation shall not exceed the limit on such compensation as determined in accordance with the procedures described above under the section titled </w:t>
      </w:r>
      <w:r>
        <w:rPr>
          <w:rFonts w:ascii="Arial" w:cs="Arial" w:eastAsia="Arial" w:hAnsi="Arial"/>
          <w:sz w:val="16"/>
          <w:szCs w:val="16"/>
          <w:i w:val="1"/>
          <w:iCs w:val="1"/>
          <w:color w:val="auto"/>
        </w:rPr>
        <w:t>Director Pay Limit</w:t>
      </w:r>
      <w:r>
        <w:rPr>
          <w:rFonts w:ascii="Arial" w:cs="Arial" w:eastAsia="Arial" w:hAnsi="Arial"/>
          <w:sz w:val="16"/>
          <w:szCs w:val="16"/>
          <w:color w:val="auto"/>
        </w:rPr>
        <w:t>. For fiscal year 2022, the cash and equity retainers consist of $475,700 in average value per non-executive director unless the Plan is</w:t>
      </w:r>
      <w:r>
        <w:rPr>
          <w:rFonts w:ascii="Arial" w:cs="Arial" w:eastAsia="Arial" w:hAnsi="Arial"/>
          <w:sz w:val="16"/>
          <w:szCs w:val="16"/>
          <w:i w:val="1"/>
          <w:iCs w:val="1"/>
          <w:color w:val="auto"/>
        </w:rPr>
        <w:t xml:space="preserve"> </w:t>
      </w:r>
      <w:r>
        <w:rPr>
          <w:rFonts w:ascii="Arial" w:cs="Arial" w:eastAsia="Arial" w:hAnsi="Arial"/>
          <w:sz w:val="16"/>
          <w:szCs w:val="16"/>
          <w:color w:val="auto"/>
        </w:rPr>
        <w:t>approved.</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C4C4C"/>
        </w:rPr>
        <w:t>Non-Employee Director Compensation Plan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57150</wp:posOffset>
            </wp:positionV>
            <wp:extent cx="699516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6" w:lineRule="exact"/>
        <w:rPr>
          <w:sz w:val="20"/>
          <w:szCs w:val="20"/>
          <w:color w:val="auto"/>
        </w:rPr>
      </w:pPr>
    </w:p>
    <w:p>
      <w:pPr>
        <w:ind w:left="120" w:right="40"/>
        <w:spacing w:after="0" w:line="251" w:lineRule="auto"/>
        <w:rPr>
          <w:sz w:val="20"/>
          <w:szCs w:val="20"/>
          <w:color w:val="auto"/>
        </w:rPr>
      </w:pPr>
      <w:r>
        <w:rPr>
          <w:rFonts w:ascii="Arial" w:cs="Arial" w:eastAsia="Arial" w:hAnsi="Arial"/>
          <w:sz w:val="16"/>
          <w:szCs w:val="16"/>
          <w:color w:val="auto"/>
        </w:rPr>
        <w:t>Except for our non-employee directors, no other person is eligible to participate in the Plan. While the compensation to be paid under the Plan will be made in accordance with the terms described above, the specific amounts that will be received by our non-employee directors under the Plan will depend on a number of factors, including the annual determination of the non-employee director compensation limit, and, with respect to the equity component, the market price of our common stock.</w:t>
      </w:r>
    </w:p>
    <w:p>
      <w:pPr>
        <w:spacing w:after="0" w:line="202" w:lineRule="exact"/>
        <w:rPr>
          <w:sz w:val="20"/>
          <w:szCs w:val="20"/>
          <w:color w:val="auto"/>
        </w:rPr>
      </w:pPr>
    </w:p>
    <w:p>
      <w:pPr>
        <w:ind w:left="120" w:right="620"/>
        <w:spacing w:after="0" w:line="260" w:lineRule="auto"/>
        <w:rPr>
          <w:sz w:val="20"/>
          <w:szCs w:val="20"/>
          <w:color w:val="auto"/>
        </w:rPr>
      </w:pPr>
      <w:r>
        <w:rPr>
          <w:rFonts w:ascii="Arial" w:cs="Arial" w:eastAsia="Arial" w:hAnsi="Arial"/>
          <w:sz w:val="16"/>
          <w:szCs w:val="16"/>
          <w:color w:val="auto"/>
        </w:rPr>
        <w:t>The average cash and equity compensation that will be paid to our current non-employee directors for their period of service in 2022 if the Plan is approved, to the extent ascertainable, is $782,956.</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C4C4C"/>
        </w:rPr>
        <w:t>Certain Interests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57150</wp:posOffset>
            </wp:positionV>
            <wp:extent cx="699516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53" w:lineRule="exact"/>
        <w:rPr>
          <w:sz w:val="20"/>
          <w:szCs w:val="20"/>
          <w:color w:val="auto"/>
        </w:rPr>
      </w:pPr>
    </w:p>
    <w:p>
      <w:pPr>
        <w:ind w:left="120" w:right="400"/>
        <w:spacing w:after="0" w:line="260" w:lineRule="auto"/>
        <w:rPr>
          <w:sz w:val="20"/>
          <w:szCs w:val="20"/>
          <w:color w:val="auto"/>
        </w:rPr>
      </w:pPr>
      <w:r>
        <w:rPr>
          <w:rFonts w:ascii="Arial" w:cs="Arial" w:eastAsia="Arial" w:hAnsi="Arial"/>
          <w:sz w:val="16"/>
          <w:szCs w:val="16"/>
          <w:color w:val="auto"/>
        </w:rPr>
        <w:t>In considering the recommendation of the Board with respect to this Proposal Three, stockholders should be aware that certain of our non-employee directors have certain interests, which may present them with conflicts of interest in connection with this proposal.</w:t>
      </w:r>
    </w:p>
    <w:p>
      <w:pPr>
        <w:spacing w:after="0" w:line="17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Vote Required; Recommendation of the Board</w:t>
      </w:r>
    </w:p>
    <w:p>
      <w:pPr>
        <w:spacing w:after="0" w:line="236" w:lineRule="exact"/>
        <w:rPr>
          <w:sz w:val="20"/>
          <w:szCs w:val="20"/>
          <w:color w:val="auto"/>
        </w:rPr>
      </w:pPr>
    </w:p>
    <w:p>
      <w:pPr>
        <w:ind w:left="120" w:right="180"/>
        <w:spacing w:after="0" w:line="260" w:lineRule="auto"/>
        <w:rPr>
          <w:sz w:val="20"/>
          <w:szCs w:val="20"/>
          <w:color w:val="auto"/>
        </w:rPr>
      </w:pPr>
      <w:r>
        <w:rPr>
          <w:rFonts w:ascii="Arial" w:cs="Arial" w:eastAsia="Arial" w:hAnsi="Arial"/>
          <w:sz w:val="16"/>
          <w:szCs w:val="16"/>
          <w:color w:val="auto"/>
        </w:rPr>
        <w:t>Proposal Three must be approved by the Required Vote, assuming a quorum is present. For this purpose, abstentions will be counted as a vote against the proposal, while broker non-votes will have no effect on the outcome of the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139700</wp:posOffset>
            </wp:positionV>
            <wp:extent cx="3505835" cy="5918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505835" cy="59182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4020" w:right="3020"/>
        <w:spacing w:after="0" w:line="274" w:lineRule="auto"/>
        <w:rPr>
          <w:sz w:val="20"/>
          <w:szCs w:val="20"/>
          <w:color w:val="auto"/>
        </w:rPr>
      </w:pPr>
      <w:r>
        <w:rPr>
          <w:rFonts w:ascii="Arial" w:cs="Arial" w:eastAsia="Arial" w:hAnsi="Arial"/>
          <w:sz w:val="16"/>
          <w:szCs w:val="16"/>
          <w:b w:val="1"/>
          <w:bCs w:val="1"/>
          <w:color w:val="auto"/>
        </w:rPr>
        <w:t xml:space="preserve">THE BOARD UNANIMOUSLY RECOMMENDS A VOTE </w:t>
      </w:r>
      <w:r>
        <w:rPr>
          <w:rFonts w:ascii="Arial" w:cs="Arial" w:eastAsia="Arial" w:hAnsi="Arial"/>
          <w:sz w:val="21"/>
          <w:szCs w:val="21"/>
          <w:b w:val="1"/>
          <w:bCs w:val="1"/>
          <w:color w:val="0071CE"/>
        </w:rPr>
        <w:t xml:space="preserve">“FOR” </w:t>
      </w:r>
      <w:r>
        <w:rPr>
          <w:rFonts w:ascii="Arial" w:cs="Arial" w:eastAsia="Arial" w:hAnsi="Arial"/>
          <w:sz w:val="16"/>
          <w:szCs w:val="16"/>
          <w:b w:val="1"/>
          <w:bCs w:val="1"/>
          <w:color w:val="000000"/>
        </w:rPr>
        <w:t>PROPOSAL THREE.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208915</wp:posOffset>
            </wp:positionV>
            <wp:extent cx="986155" cy="2057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3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1CE"/>
        </w:rPr>
        <w:t>16</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2022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1CE"/>
        </w:rPr>
        <w:t>Executive Compensation</w:t>
      </w:r>
    </w:p>
    <w:p>
      <w:pPr>
        <w:spacing w:after="0" w:line="33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C4C4C"/>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57150</wp:posOffset>
            </wp:positionV>
            <wp:extent cx="69951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0" w:lineRule="exact"/>
        <w:rPr>
          <w:sz w:val="20"/>
          <w:szCs w:val="20"/>
          <w:color w:val="auto"/>
        </w:rPr>
      </w:pPr>
    </w:p>
    <w:p>
      <w:pPr>
        <w:ind w:left="120" w:right="40"/>
        <w:spacing w:after="0" w:line="258" w:lineRule="auto"/>
        <w:rPr>
          <w:sz w:val="20"/>
          <w:szCs w:val="20"/>
          <w:color w:val="auto"/>
        </w:rPr>
      </w:pPr>
      <w:r>
        <w:rPr>
          <w:rFonts w:ascii="Arial" w:cs="Arial" w:eastAsia="Arial" w:hAnsi="Arial"/>
          <w:sz w:val="16"/>
          <w:szCs w:val="16"/>
          <w:i w:val="1"/>
          <w:iCs w:val="1"/>
          <w:color w:val="auto"/>
        </w:rPr>
        <w:t>The following compensation discussion and analysis contains statements regarding future individual and Company performance targets and goals. These targets and goals are disclosed in the limited context of Arrowhead’s executive compensation program and should not be understood to be statements of management’s expectations or guidance. Arrowhead cautions investors not to apply these statements to other contexts. Fiscal years are denoted as fiscal years, all other year references refer to calendar years.</w:t>
      </w:r>
    </w:p>
    <w:p>
      <w:pPr>
        <w:spacing w:after="0" w:line="197" w:lineRule="exact"/>
        <w:rPr>
          <w:sz w:val="20"/>
          <w:szCs w:val="20"/>
          <w:color w:val="auto"/>
        </w:rPr>
      </w:pPr>
    </w:p>
    <w:p>
      <w:pPr>
        <w:ind w:left="120" w:right="300"/>
        <w:spacing w:after="0" w:line="260" w:lineRule="auto"/>
        <w:rPr>
          <w:sz w:val="20"/>
          <w:szCs w:val="20"/>
          <w:color w:val="auto"/>
        </w:rPr>
      </w:pPr>
      <w:r>
        <w:rPr>
          <w:rFonts w:ascii="Arial" w:cs="Arial" w:eastAsia="Arial" w:hAnsi="Arial"/>
          <w:sz w:val="16"/>
          <w:szCs w:val="16"/>
          <w:color w:val="auto"/>
        </w:rPr>
        <w:t>This Compensation Discussion and Analysis describes the compensation program for our Named Executive Officers (our “NEOs”). During fiscal 2021, these individuals were:</w:t>
      </w:r>
    </w:p>
    <w:p>
      <w:pPr>
        <w:spacing w:after="0" w:line="81" w:lineRule="exact"/>
        <w:rPr>
          <w:sz w:val="20"/>
          <w:szCs w:val="20"/>
          <w:color w:val="auto"/>
        </w:rPr>
      </w:pPr>
    </w:p>
    <w:p>
      <w:pPr>
        <w:ind w:left="440" w:hanging="216"/>
        <w:spacing w:after="0"/>
        <w:tabs>
          <w:tab w:leader="none" w:pos="440" w:val="left"/>
        </w:tabs>
        <w:numPr>
          <w:ilvl w:val="0"/>
          <w:numId w:val="24"/>
        </w:numPr>
        <w:rPr>
          <w:rFonts w:ascii="Arial" w:cs="Arial" w:eastAsia="Arial" w:hAnsi="Arial"/>
          <w:sz w:val="16"/>
          <w:szCs w:val="16"/>
          <w:color w:val="0071CE"/>
        </w:rPr>
      </w:pPr>
      <w:r>
        <w:rPr>
          <w:rFonts w:ascii="Arial" w:cs="Arial" w:eastAsia="Arial" w:hAnsi="Arial"/>
          <w:sz w:val="16"/>
          <w:szCs w:val="16"/>
          <w:color w:val="auto"/>
        </w:rPr>
        <w:t>Christopher Anzalone, our President and Chief Executive Officer (our “</w:t>
      </w:r>
      <w:r>
        <w:rPr>
          <w:rFonts w:ascii="Arial" w:cs="Arial" w:eastAsia="Arial" w:hAnsi="Arial"/>
          <w:sz w:val="16"/>
          <w:szCs w:val="16"/>
          <w:b w:val="1"/>
          <w:bCs w:val="1"/>
          <w:color w:val="auto"/>
        </w:rPr>
        <w:t>CEO</w:t>
      </w:r>
      <w:r>
        <w:rPr>
          <w:rFonts w:ascii="Arial" w:cs="Arial" w:eastAsia="Arial" w:hAnsi="Arial"/>
          <w:sz w:val="16"/>
          <w:szCs w:val="16"/>
          <w:color w:val="auto"/>
        </w:rPr>
        <w:t>”);</w:t>
      </w:r>
    </w:p>
    <w:p>
      <w:pPr>
        <w:spacing w:after="0" w:line="126" w:lineRule="exact"/>
        <w:rPr>
          <w:rFonts w:ascii="Arial" w:cs="Arial" w:eastAsia="Arial" w:hAnsi="Arial"/>
          <w:sz w:val="16"/>
          <w:szCs w:val="16"/>
          <w:color w:val="0071CE"/>
        </w:rPr>
      </w:pPr>
    </w:p>
    <w:p>
      <w:pPr>
        <w:ind w:left="440" w:hanging="216"/>
        <w:spacing w:after="0"/>
        <w:tabs>
          <w:tab w:leader="none" w:pos="440" w:val="left"/>
        </w:tabs>
        <w:numPr>
          <w:ilvl w:val="0"/>
          <w:numId w:val="24"/>
        </w:numPr>
        <w:rPr>
          <w:rFonts w:ascii="Arial" w:cs="Arial" w:eastAsia="Arial" w:hAnsi="Arial"/>
          <w:sz w:val="16"/>
          <w:szCs w:val="16"/>
          <w:color w:val="0071CE"/>
        </w:rPr>
      </w:pPr>
      <w:r>
        <w:rPr>
          <w:rFonts w:ascii="Arial" w:cs="Arial" w:eastAsia="Arial" w:hAnsi="Arial"/>
          <w:sz w:val="16"/>
          <w:szCs w:val="16"/>
          <w:color w:val="auto"/>
        </w:rPr>
        <w:t>Kenneth Myszkowski, our Chief Financial Officer (our “</w:t>
      </w:r>
      <w:r>
        <w:rPr>
          <w:rFonts w:ascii="Arial" w:cs="Arial" w:eastAsia="Arial" w:hAnsi="Arial"/>
          <w:sz w:val="16"/>
          <w:szCs w:val="16"/>
          <w:b w:val="1"/>
          <w:bCs w:val="1"/>
          <w:color w:val="auto"/>
        </w:rPr>
        <w:t>CFO</w:t>
      </w:r>
      <w:r>
        <w:rPr>
          <w:rFonts w:ascii="Arial" w:cs="Arial" w:eastAsia="Arial" w:hAnsi="Arial"/>
          <w:sz w:val="16"/>
          <w:szCs w:val="16"/>
          <w:color w:val="auto"/>
        </w:rPr>
        <w:t>”);</w:t>
      </w:r>
    </w:p>
    <w:p>
      <w:pPr>
        <w:spacing w:after="0" w:line="126" w:lineRule="exact"/>
        <w:rPr>
          <w:rFonts w:ascii="Arial" w:cs="Arial" w:eastAsia="Arial" w:hAnsi="Arial"/>
          <w:sz w:val="16"/>
          <w:szCs w:val="16"/>
          <w:color w:val="0071CE"/>
        </w:rPr>
      </w:pPr>
    </w:p>
    <w:p>
      <w:pPr>
        <w:ind w:left="440" w:hanging="216"/>
        <w:spacing w:after="0"/>
        <w:tabs>
          <w:tab w:leader="none" w:pos="440" w:val="left"/>
        </w:tabs>
        <w:numPr>
          <w:ilvl w:val="0"/>
          <w:numId w:val="24"/>
        </w:numPr>
        <w:rPr>
          <w:rFonts w:ascii="Arial" w:cs="Arial" w:eastAsia="Arial" w:hAnsi="Arial"/>
          <w:sz w:val="16"/>
          <w:szCs w:val="16"/>
          <w:color w:val="0071CE"/>
        </w:rPr>
      </w:pPr>
      <w:r>
        <w:rPr>
          <w:rFonts w:ascii="Arial" w:cs="Arial" w:eastAsia="Arial" w:hAnsi="Arial"/>
          <w:sz w:val="16"/>
          <w:szCs w:val="16"/>
          <w:color w:val="auto"/>
        </w:rPr>
        <w:t>Patrick O’Brien, our General Counsel, Corporate Secretary, and Chief Compliance Officer (our “</w:t>
      </w:r>
      <w:r>
        <w:rPr>
          <w:rFonts w:ascii="Arial" w:cs="Arial" w:eastAsia="Arial" w:hAnsi="Arial"/>
          <w:sz w:val="16"/>
          <w:szCs w:val="16"/>
          <w:b w:val="1"/>
          <w:bCs w:val="1"/>
          <w:color w:val="auto"/>
        </w:rPr>
        <w:t>GC</w:t>
      </w:r>
      <w:r>
        <w:rPr>
          <w:rFonts w:ascii="Arial" w:cs="Arial" w:eastAsia="Arial" w:hAnsi="Arial"/>
          <w:sz w:val="16"/>
          <w:szCs w:val="16"/>
          <w:color w:val="auto"/>
        </w:rPr>
        <w:t>”);</w:t>
      </w:r>
    </w:p>
    <w:p>
      <w:pPr>
        <w:spacing w:after="0" w:line="126" w:lineRule="exact"/>
        <w:rPr>
          <w:rFonts w:ascii="Arial" w:cs="Arial" w:eastAsia="Arial" w:hAnsi="Arial"/>
          <w:sz w:val="16"/>
          <w:szCs w:val="16"/>
          <w:color w:val="0071CE"/>
        </w:rPr>
      </w:pPr>
    </w:p>
    <w:p>
      <w:pPr>
        <w:ind w:left="440" w:hanging="216"/>
        <w:spacing w:after="0"/>
        <w:tabs>
          <w:tab w:leader="none" w:pos="440" w:val="left"/>
        </w:tabs>
        <w:numPr>
          <w:ilvl w:val="0"/>
          <w:numId w:val="24"/>
        </w:numPr>
        <w:rPr>
          <w:rFonts w:ascii="Arial" w:cs="Arial" w:eastAsia="Arial" w:hAnsi="Arial"/>
          <w:sz w:val="16"/>
          <w:szCs w:val="16"/>
          <w:color w:val="0071CE"/>
        </w:rPr>
      </w:pPr>
      <w:r>
        <w:rPr>
          <w:rFonts w:ascii="Arial" w:cs="Arial" w:eastAsia="Arial" w:hAnsi="Arial"/>
          <w:sz w:val="16"/>
          <w:szCs w:val="16"/>
          <w:color w:val="auto"/>
        </w:rPr>
        <w:t>Javier San Martin, our Chief Medical Officer (our “</w:t>
      </w:r>
      <w:r>
        <w:rPr>
          <w:rFonts w:ascii="Arial" w:cs="Arial" w:eastAsia="Arial" w:hAnsi="Arial"/>
          <w:sz w:val="16"/>
          <w:szCs w:val="16"/>
          <w:b w:val="1"/>
          <w:bCs w:val="1"/>
          <w:color w:val="auto"/>
        </w:rPr>
        <w:t>CMO</w:t>
      </w:r>
      <w:r>
        <w:rPr>
          <w:rFonts w:ascii="Arial" w:cs="Arial" w:eastAsia="Arial" w:hAnsi="Arial"/>
          <w:sz w:val="16"/>
          <w:szCs w:val="16"/>
          <w:color w:val="auto"/>
        </w:rPr>
        <w:t>”);</w:t>
      </w:r>
    </w:p>
    <w:p>
      <w:pPr>
        <w:spacing w:after="0" w:line="146" w:lineRule="exact"/>
        <w:rPr>
          <w:rFonts w:ascii="Arial" w:cs="Arial" w:eastAsia="Arial" w:hAnsi="Arial"/>
          <w:sz w:val="16"/>
          <w:szCs w:val="16"/>
          <w:color w:val="0071CE"/>
        </w:rPr>
      </w:pPr>
    </w:p>
    <w:p>
      <w:pPr>
        <w:ind w:left="440" w:hanging="216"/>
        <w:spacing w:after="0"/>
        <w:tabs>
          <w:tab w:leader="none" w:pos="440" w:val="left"/>
        </w:tabs>
        <w:numPr>
          <w:ilvl w:val="0"/>
          <w:numId w:val="24"/>
        </w:numPr>
        <w:rPr>
          <w:rFonts w:ascii="Arial" w:cs="Arial" w:eastAsia="Arial" w:hAnsi="Arial"/>
          <w:sz w:val="16"/>
          <w:szCs w:val="16"/>
          <w:color w:val="0071CE"/>
        </w:rPr>
      </w:pPr>
      <w:r>
        <w:rPr>
          <w:rFonts w:ascii="Arial" w:cs="Arial" w:eastAsia="Arial" w:hAnsi="Arial"/>
          <w:sz w:val="16"/>
          <w:szCs w:val="16"/>
          <w:color w:val="auto"/>
        </w:rPr>
        <w:t>James Hamilton, our Senior Vice-President, Discovery and Translational Medicine; and</w:t>
      </w:r>
    </w:p>
    <w:p>
      <w:pPr>
        <w:spacing w:after="0" w:line="106" w:lineRule="exact"/>
        <w:rPr>
          <w:rFonts w:ascii="Arial" w:cs="Arial" w:eastAsia="Arial" w:hAnsi="Arial"/>
          <w:sz w:val="16"/>
          <w:szCs w:val="16"/>
          <w:color w:val="0071CE"/>
        </w:rPr>
      </w:pPr>
    </w:p>
    <w:p>
      <w:pPr>
        <w:ind w:left="440" w:hanging="216"/>
        <w:spacing w:after="0"/>
        <w:tabs>
          <w:tab w:leader="none" w:pos="440" w:val="left"/>
        </w:tabs>
        <w:numPr>
          <w:ilvl w:val="0"/>
          <w:numId w:val="24"/>
        </w:numPr>
        <w:rPr>
          <w:rFonts w:ascii="Arial" w:cs="Arial" w:eastAsia="Arial" w:hAnsi="Arial"/>
          <w:sz w:val="16"/>
          <w:szCs w:val="16"/>
          <w:color w:val="0071CE"/>
        </w:rPr>
      </w:pPr>
      <w:r>
        <w:rPr>
          <w:rFonts w:ascii="Arial" w:cs="Arial" w:eastAsia="Arial" w:hAnsi="Arial"/>
          <w:sz w:val="16"/>
          <w:szCs w:val="16"/>
          <w:color w:val="auto"/>
        </w:rPr>
        <w:t>James Hassard, our former Chief Commercial Officer (our “</w:t>
      </w:r>
      <w:r>
        <w:rPr>
          <w:rFonts w:ascii="Arial" w:cs="Arial" w:eastAsia="Arial" w:hAnsi="Arial"/>
          <w:sz w:val="16"/>
          <w:szCs w:val="16"/>
          <w:b w:val="1"/>
          <w:bCs w:val="1"/>
          <w:color w:val="auto"/>
        </w:rPr>
        <w:t>CCO</w:t>
      </w:r>
      <w:r>
        <w:rPr>
          <w:rFonts w:ascii="Arial" w:cs="Arial" w:eastAsia="Arial" w:hAnsi="Arial"/>
          <w:sz w:val="16"/>
          <w:szCs w:val="16"/>
          <w:color w:val="auto"/>
        </w:rPr>
        <w:t>”).</w:t>
      </w:r>
    </w:p>
    <w:p>
      <w:pPr>
        <w:spacing w:after="0" w:line="241" w:lineRule="exact"/>
        <w:rPr>
          <w:sz w:val="20"/>
          <w:szCs w:val="20"/>
          <w:color w:val="auto"/>
        </w:rPr>
      </w:pPr>
    </w:p>
    <w:p>
      <w:pPr>
        <w:ind w:left="120" w:right="120"/>
        <w:spacing w:after="0" w:line="250" w:lineRule="auto"/>
        <w:rPr>
          <w:sz w:val="20"/>
          <w:szCs w:val="20"/>
          <w:color w:val="auto"/>
        </w:rPr>
      </w:pPr>
      <w:r>
        <w:rPr>
          <w:rFonts w:ascii="Arial" w:cs="Arial" w:eastAsia="Arial" w:hAnsi="Arial"/>
          <w:sz w:val="16"/>
          <w:szCs w:val="16"/>
          <w:color w:val="auto"/>
        </w:rPr>
        <w:t>This Compensation Discussion and Analysis describes the material elements of our executive compensation program during fiscal 2021. It also provides an overview of our executive compensation philosophy and objectives and summarizes our executive compensation policies and practices. Finally, it analyzes how and why the Compensation Committee of our Board of Directors (the “Compensation Committee”) arrived at the specific compensation decisions for our executive officers, including our NEOs, for fiscal 2021 including the key factors that the Compensation Committee considered in determining their compensation.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4C4C4C"/>
        </w:rPr>
        <w:t>Our Company</w:t>
      </w:r>
    </w:p>
    <w:p>
      <w:pPr>
        <w:spacing w:after="0" w:line="128" w:lineRule="exact"/>
        <w:rPr>
          <w:sz w:val="20"/>
          <w:szCs w:val="20"/>
          <w:color w:val="auto"/>
        </w:rPr>
      </w:pPr>
    </w:p>
    <w:p>
      <w:pPr>
        <w:ind w:left="120" w:right="240"/>
        <w:spacing w:after="0" w:line="251" w:lineRule="auto"/>
        <w:rPr>
          <w:sz w:val="20"/>
          <w:szCs w:val="20"/>
          <w:color w:val="auto"/>
        </w:rPr>
      </w:pPr>
      <w:r>
        <w:rPr>
          <w:rFonts w:ascii="Arial" w:cs="Arial" w:eastAsia="Arial" w:hAnsi="Arial"/>
          <w:sz w:val="16"/>
          <w:szCs w:val="16"/>
          <w:color w:val="auto"/>
        </w:rPr>
        <w:t>We develop medicines that treat intractable diseases by silencing the genes that cause them. Using a broad portfolio of RNA chemistries and efficient modes of delivery, our therapies trigger the RNA interference mechanism to induce rapid, deep and durable knockdown of target genes. RNA interference, or RNAi, is a mechanism present in living cells that inhibits the expression of a specific gene, thereby affecting the production of a specific protein. Arrowhead’s RNAi-based therapeutics leverage this natural pathway of gene silencing.</w:t>
      </w:r>
    </w:p>
    <w:p>
      <w:pPr>
        <w:spacing w:after="0" w:line="202" w:lineRule="exact"/>
        <w:rPr>
          <w:sz w:val="20"/>
          <w:szCs w:val="20"/>
          <w:color w:val="auto"/>
        </w:rPr>
      </w:pPr>
    </w:p>
    <w:p>
      <w:pPr>
        <w:jc w:val="both"/>
        <w:ind w:left="120" w:right="420"/>
        <w:spacing w:after="0" w:line="253" w:lineRule="auto"/>
        <w:rPr>
          <w:sz w:val="20"/>
          <w:szCs w:val="20"/>
          <w:color w:val="auto"/>
        </w:rPr>
      </w:pPr>
      <w:r>
        <w:rPr>
          <w:rFonts w:ascii="Arial" w:cs="Arial" w:eastAsia="Arial" w:hAnsi="Arial"/>
          <w:sz w:val="16"/>
          <w:szCs w:val="16"/>
          <w:color w:val="auto"/>
        </w:rPr>
        <w:t>Arrowhead is focused on developing innovative drugs for diseases with a genetic basis, typically characterized by the overproduction of one or more proteins. The depth and versatility of our RNAi technologies enable us to potentially address conditions in virtually any therapeutic area and pursue disease targets that are not otherwise addressable by small molecules and biologics.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2021 Business Highlights</w:t>
      </w:r>
    </w:p>
    <w:p>
      <w:pPr>
        <w:spacing w:after="0" w:line="122" w:lineRule="exact"/>
        <w:rPr>
          <w:sz w:val="20"/>
          <w:szCs w:val="20"/>
          <w:color w:val="auto"/>
        </w:rPr>
      </w:pPr>
    </w:p>
    <w:p>
      <w:pPr>
        <w:ind w:left="440" w:right="60" w:hanging="216"/>
        <w:spacing w:after="0" w:line="262" w:lineRule="auto"/>
        <w:tabs>
          <w:tab w:leader="none" w:pos="440" w:val="left"/>
        </w:tabs>
        <w:numPr>
          <w:ilvl w:val="0"/>
          <w:numId w:val="25"/>
        </w:numPr>
        <w:rPr>
          <w:rFonts w:ascii="Arial" w:cs="Arial" w:eastAsia="Arial" w:hAnsi="Arial"/>
          <w:sz w:val="16"/>
          <w:szCs w:val="16"/>
          <w:color w:val="0071CE"/>
        </w:rPr>
      </w:pPr>
      <w:r>
        <w:rPr>
          <w:rFonts w:ascii="Arial" w:cs="Arial" w:eastAsia="Arial" w:hAnsi="Arial"/>
          <w:sz w:val="16"/>
          <w:szCs w:val="16"/>
          <w:color w:val="auto"/>
        </w:rPr>
        <w:t>Executed an agreement with GlaxoSmithKline (“</w:t>
      </w:r>
      <w:r>
        <w:rPr>
          <w:rFonts w:ascii="Arial" w:cs="Arial" w:eastAsia="Arial" w:hAnsi="Arial"/>
          <w:sz w:val="16"/>
          <w:szCs w:val="16"/>
          <w:b w:val="1"/>
          <w:bCs w:val="1"/>
          <w:color w:val="auto"/>
        </w:rPr>
        <w:t>GSK</w:t>
      </w:r>
      <w:r>
        <w:rPr>
          <w:rFonts w:ascii="Arial" w:cs="Arial" w:eastAsia="Arial" w:hAnsi="Arial"/>
          <w:sz w:val="16"/>
          <w:szCs w:val="16"/>
          <w:color w:val="auto"/>
        </w:rPr>
        <w:t>”) under which GSK will develop and commercialize ARO-HSD, being developed as a treatment for patients with alcohol-related and non-alcohol related liver diseases, such as nonalcoholic steatohepatitis, which includes a $120 million upfront payment, $320 million in potential development milestones, $590 million in potential sales-related milestones and tiered royalties on net product sales.</w:t>
      </w:r>
    </w:p>
    <w:p>
      <w:pPr>
        <w:spacing w:after="0" w:line="274" w:lineRule="exact"/>
        <w:rPr>
          <w:rFonts w:ascii="Arial" w:cs="Arial" w:eastAsia="Arial" w:hAnsi="Arial"/>
          <w:sz w:val="16"/>
          <w:szCs w:val="16"/>
          <w:color w:val="0071CE"/>
        </w:rPr>
      </w:pPr>
    </w:p>
    <w:p>
      <w:pPr>
        <w:ind w:left="440" w:right="520" w:hanging="216"/>
        <w:spacing w:after="0" w:line="266" w:lineRule="auto"/>
        <w:tabs>
          <w:tab w:leader="none" w:pos="440" w:val="left"/>
        </w:tabs>
        <w:numPr>
          <w:ilvl w:val="0"/>
          <w:numId w:val="25"/>
        </w:numPr>
        <w:rPr>
          <w:rFonts w:ascii="Arial" w:cs="Arial" w:eastAsia="Arial" w:hAnsi="Arial"/>
          <w:sz w:val="16"/>
          <w:szCs w:val="16"/>
          <w:color w:val="0071CE"/>
        </w:rPr>
      </w:pPr>
      <w:r>
        <w:rPr>
          <w:rFonts w:ascii="Arial" w:cs="Arial" w:eastAsia="Arial" w:hAnsi="Arial"/>
          <w:sz w:val="16"/>
          <w:szCs w:val="16"/>
          <w:color w:val="auto"/>
        </w:rPr>
        <w:t>Executed and closed an agreement with Horizon Therapeutics (“</w:t>
      </w:r>
      <w:r>
        <w:rPr>
          <w:rFonts w:ascii="Arial" w:cs="Arial" w:eastAsia="Arial" w:hAnsi="Arial"/>
          <w:sz w:val="16"/>
          <w:szCs w:val="16"/>
          <w:b w:val="1"/>
          <w:bCs w:val="1"/>
          <w:color w:val="auto"/>
        </w:rPr>
        <w:t>Horizon</w:t>
      </w:r>
      <w:r>
        <w:rPr>
          <w:rFonts w:ascii="Arial" w:cs="Arial" w:eastAsia="Arial" w:hAnsi="Arial"/>
          <w:sz w:val="16"/>
          <w:szCs w:val="16"/>
          <w:color w:val="auto"/>
        </w:rPr>
        <w:t>”) under which Arrowhead and Horizon will collaborate to develop ARO-XDH, being developed as a treatment for patients with uncontrolled gout, which included a $40 million upfront payment, $660 in potential development, regulatory and commercial milestones and royalties in the low-to-mid-teens on net product sales.</w:t>
      </w:r>
    </w:p>
    <w:p>
      <w:pPr>
        <w:spacing w:after="0" w:line="76" w:lineRule="exact"/>
        <w:rPr>
          <w:rFonts w:ascii="Arial" w:cs="Arial" w:eastAsia="Arial" w:hAnsi="Arial"/>
          <w:sz w:val="16"/>
          <w:szCs w:val="16"/>
          <w:color w:val="0071CE"/>
        </w:rPr>
      </w:pPr>
    </w:p>
    <w:p>
      <w:pPr>
        <w:ind w:left="440" w:right="180" w:hanging="216"/>
        <w:spacing w:after="0" w:line="256" w:lineRule="auto"/>
        <w:tabs>
          <w:tab w:leader="none" w:pos="440" w:val="left"/>
        </w:tabs>
        <w:numPr>
          <w:ilvl w:val="0"/>
          <w:numId w:val="25"/>
        </w:numPr>
        <w:rPr>
          <w:rFonts w:ascii="Arial" w:cs="Arial" w:eastAsia="Arial" w:hAnsi="Arial"/>
          <w:sz w:val="16"/>
          <w:szCs w:val="16"/>
          <w:color w:val="0071CE"/>
        </w:rPr>
      </w:pPr>
      <w:r>
        <w:rPr>
          <w:rFonts w:ascii="Arial" w:cs="Arial" w:eastAsia="Arial" w:hAnsi="Arial"/>
          <w:sz w:val="16"/>
          <w:szCs w:val="16"/>
          <w:color w:val="auto"/>
        </w:rPr>
        <w:t>Janssen Pharmaceuticals, Inc. (“</w:t>
      </w:r>
      <w:r>
        <w:rPr>
          <w:rFonts w:ascii="Arial" w:cs="Arial" w:eastAsia="Arial" w:hAnsi="Arial"/>
          <w:sz w:val="16"/>
          <w:szCs w:val="16"/>
          <w:b w:val="1"/>
          <w:bCs w:val="1"/>
          <w:color w:val="auto"/>
        </w:rPr>
        <w:t>Janssen</w:t>
      </w:r>
      <w:r>
        <w:rPr>
          <w:rFonts w:ascii="Arial" w:cs="Arial" w:eastAsia="Arial" w:hAnsi="Arial"/>
          <w:sz w:val="16"/>
          <w:szCs w:val="16"/>
          <w:color w:val="auto"/>
        </w:rPr>
        <w:t>”) disclosed that it is collaborating with Arrowhead on JNJ-75220795, being developed to reduce expression in the liver of patatin like phospholipase domain containing 3 (PNPLA3) as a potential treatment for patients with non-alcoholic steatohepatitis (“</w:t>
      </w:r>
      <w:r>
        <w:rPr>
          <w:rFonts w:ascii="Arial" w:cs="Arial" w:eastAsia="Arial" w:hAnsi="Arial"/>
          <w:sz w:val="16"/>
          <w:szCs w:val="16"/>
          <w:b w:val="1"/>
          <w:bCs w:val="1"/>
          <w:color w:val="auto"/>
        </w:rPr>
        <w:t>NASH</w:t>
      </w:r>
      <w:r>
        <w:rPr>
          <w:rFonts w:ascii="Arial" w:cs="Arial" w:eastAsia="Arial" w:hAnsi="Arial"/>
          <w:sz w:val="16"/>
          <w:szCs w:val="16"/>
          <w:color w:val="auto"/>
        </w:rPr>
        <w:t>”). Earned a $10 million option exercise fee from Janssen in connection with Janssen’s option to develop and commercialize JNJ-75220795, and a further $10 million milestone payment from Janssen after Janssen dosed the fifth patient in a Phase 1 clinical study of JNJ-75220795.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82550</wp:posOffset>
            </wp:positionV>
            <wp:extent cx="986155" cy="2057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41" w:lineRule="exact"/>
        <w:rPr>
          <w:sz w:val="20"/>
          <w:szCs w:val="20"/>
          <w:color w:val="auto"/>
        </w:rPr>
      </w:pPr>
    </w:p>
    <w:p>
      <w:pPr>
        <w:ind w:left="10880"/>
        <w:spacing w:after="0"/>
        <w:rPr>
          <w:sz w:val="20"/>
          <w:szCs w:val="20"/>
          <w:color w:val="auto"/>
        </w:rPr>
      </w:pPr>
      <w:r>
        <w:rPr>
          <w:rFonts w:ascii="Arial" w:cs="Arial" w:eastAsia="Arial" w:hAnsi="Arial"/>
          <w:sz w:val="18"/>
          <w:szCs w:val="18"/>
          <w:b w:val="1"/>
          <w:bCs w:val="1"/>
          <w:color w:val="0071CE"/>
        </w:rPr>
        <w:t>17</w:t>
      </w:r>
    </w:p>
    <w:p>
      <w:pPr>
        <w:sectPr>
          <w:pgSz w:w="11900" w:h="16838" w:orient="portrait"/>
          <w:cols w:equalWidth="0" w:num="1">
            <w:col w:w="11140"/>
          </w:cols>
          <w:pgMar w:left="32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20"/>
        <w:spacing w:after="0"/>
        <w:tabs>
          <w:tab w:leader="none" w:pos="2020" w:val="left"/>
        </w:tabs>
        <w:rPr>
          <w:sz w:val="20"/>
          <w:szCs w:val="20"/>
          <w:color w:val="auto"/>
        </w:rPr>
      </w:pPr>
      <w:r>
        <w:rPr>
          <w:rFonts w:ascii="Arial" w:cs="Arial" w:eastAsia="Arial" w:hAnsi="Arial"/>
          <w:sz w:val="14"/>
          <w:szCs w:val="14"/>
          <w:b w:val="1"/>
          <w:bCs w:val="1"/>
          <w:color w:val="0071CE"/>
        </w:rPr>
        <w:t>2022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65" w:lineRule="exact"/>
        <w:rPr>
          <w:sz w:val="20"/>
          <w:szCs w:val="20"/>
          <w:color w:val="auto"/>
        </w:rPr>
      </w:pPr>
    </w:p>
    <w:p>
      <w:pPr>
        <w:ind w:left="440" w:right="580" w:hanging="216"/>
        <w:spacing w:after="0" w:line="260" w:lineRule="auto"/>
        <w:tabs>
          <w:tab w:leader="none" w:pos="440" w:val="left"/>
        </w:tabs>
        <w:numPr>
          <w:ilvl w:val="0"/>
          <w:numId w:val="26"/>
        </w:numPr>
        <w:rPr>
          <w:rFonts w:ascii="Arial" w:cs="Arial" w:eastAsia="Arial" w:hAnsi="Arial"/>
          <w:sz w:val="16"/>
          <w:szCs w:val="16"/>
          <w:color w:val="0071CE"/>
        </w:rPr>
      </w:pPr>
      <w:r>
        <w:rPr>
          <w:rFonts w:ascii="Arial" w:cs="Arial" w:eastAsia="Arial" w:hAnsi="Arial"/>
          <w:sz w:val="16"/>
          <w:szCs w:val="16"/>
          <w:color w:val="auto"/>
        </w:rPr>
        <w:t>Was granted Breakthrough Therapy Designation by the FDA for ARO-AAT, being developed for the treatment of the rare genetic liver disease associated with alpha-1 antitrypsin deficiency.</w:t>
      </w:r>
    </w:p>
    <w:p>
      <w:pPr>
        <w:spacing w:after="0" w:line="100" w:lineRule="exact"/>
        <w:rPr>
          <w:rFonts w:ascii="Arial" w:cs="Arial" w:eastAsia="Arial" w:hAnsi="Arial"/>
          <w:sz w:val="16"/>
          <w:szCs w:val="16"/>
          <w:color w:val="0071CE"/>
        </w:rPr>
      </w:pPr>
    </w:p>
    <w:p>
      <w:pPr>
        <w:ind w:left="440" w:right="120" w:hanging="216"/>
        <w:spacing w:after="0" w:line="253" w:lineRule="auto"/>
        <w:tabs>
          <w:tab w:leader="none" w:pos="440" w:val="left"/>
        </w:tabs>
        <w:numPr>
          <w:ilvl w:val="0"/>
          <w:numId w:val="26"/>
        </w:numPr>
        <w:rPr>
          <w:rFonts w:ascii="Arial" w:cs="Arial" w:eastAsia="Arial" w:hAnsi="Arial"/>
          <w:sz w:val="16"/>
          <w:szCs w:val="16"/>
          <w:color w:val="0071CE"/>
        </w:rPr>
      </w:pPr>
      <w:r>
        <w:rPr>
          <w:rFonts w:ascii="Arial" w:cs="Arial" w:eastAsia="Arial" w:hAnsi="Arial"/>
          <w:sz w:val="16"/>
          <w:szCs w:val="16"/>
          <w:color w:val="auto"/>
        </w:rPr>
        <w:t>Reported interim results on ARO-AAT, ARO-APOC3, being developed for the treatment of patients with hypertriglyceridemia, severe hypertriglyceridemia and familial chylomicronemia syndrome, ARO-HSD, and ARO-HIF2, being developed as a treatment for patients with clear cell renal cell carcinoma.</w:t>
      </w:r>
    </w:p>
    <w:p>
      <w:pPr>
        <w:spacing w:after="0" w:line="106" w:lineRule="exact"/>
        <w:rPr>
          <w:rFonts w:ascii="Arial" w:cs="Arial" w:eastAsia="Arial" w:hAnsi="Arial"/>
          <w:sz w:val="16"/>
          <w:szCs w:val="16"/>
          <w:color w:val="0071CE"/>
        </w:rPr>
      </w:pPr>
    </w:p>
    <w:p>
      <w:pPr>
        <w:ind w:left="440" w:hanging="216"/>
        <w:spacing w:after="0" w:line="253" w:lineRule="auto"/>
        <w:tabs>
          <w:tab w:leader="none" w:pos="440" w:val="left"/>
        </w:tabs>
        <w:numPr>
          <w:ilvl w:val="0"/>
          <w:numId w:val="26"/>
        </w:numPr>
        <w:rPr>
          <w:rFonts w:ascii="Arial" w:cs="Arial" w:eastAsia="Arial" w:hAnsi="Arial"/>
          <w:sz w:val="16"/>
          <w:szCs w:val="16"/>
          <w:color w:val="0071CE"/>
        </w:rPr>
      </w:pPr>
      <w:r>
        <w:rPr>
          <w:rFonts w:ascii="Arial" w:cs="Arial" w:eastAsia="Arial" w:hAnsi="Arial"/>
          <w:sz w:val="16"/>
          <w:szCs w:val="16"/>
          <w:color w:val="auto"/>
        </w:rPr>
        <w:t>Presented pre-clinical data on ARO-DUX4, Arrowhead’s first muscle-targeted investigational RNAi therapeutic candidate which is being developed as a treatment for facioscapulohumeral muscular dystrophy, which data suggests that ARO-DUX4 achieved good target engagement which led to a downstream beneficial physiological change, and which may support advancement into clinical studies.</w:t>
      </w:r>
    </w:p>
    <w:p>
      <w:pPr>
        <w:spacing w:after="0" w:line="106" w:lineRule="exact"/>
        <w:rPr>
          <w:rFonts w:ascii="Arial" w:cs="Arial" w:eastAsia="Arial" w:hAnsi="Arial"/>
          <w:sz w:val="16"/>
          <w:szCs w:val="16"/>
          <w:color w:val="0071CE"/>
        </w:rPr>
      </w:pPr>
    </w:p>
    <w:p>
      <w:pPr>
        <w:ind w:left="440" w:right="40" w:hanging="216"/>
        <w:spacing w:after="0" w:line="260" w:lineRule="auto"/>
        <w:tabs>
          <w:tab w:leader="none" w:pos="440" w:val="left"/>
        </w:tabs>
        <w:numPr>
          <w:ilvl w:val="0"/>
          <w:numId w:val="26"/>
        </w:numPr>
        <w:rPr>
          <w:rFonts w:ascii="Arial" w:cs="Arial" w:eastAsia="Arial" w:hAnsi="Arial"/>
          <w:sz w:val="16"/>
          <w:szCs w:val="16"/>
          <w:color w:val="0071CE"/>
        </w:rPr>
      </w:pPr>
      <w:r>
        <w:rPr>
          <w:rFonts w:ascii="Arial" w:cs="Arial" w:eastAsia="Arial" w:hAnsi="Arial"/>
          <w:sz w:val="16"/>
          <w:szCs w:val="16"/>
          <w:color w:val="auto"/>
        </w:rPr>
        <w:t>Dosed the first patient in AROAPOC3-2001, a Phase 2b clinical study of ARO-APOC3 in adults with severe hypertriglyceridemia, and the first patient in AROAPOC3-2002, a Phase 2b clinical study of ARO-APOC3 in adults with mixed dyslipidemia.</w:t>
      </w:r>
    </w:p>
    <w:p>
      <w:pPr>
        <w:spacing w:after="0" w:line="100" w:lineRule="exact"/>
        <w:rPr>
          <w:rFonts w:ascii="Arial" w:cs="Arial" w:eastAsia="Arial" w:hAnsi="Arial"/>
          <w:sz w:val="16"/>
          <w:szCs w:val="16"/>
          <w:color w:val="0071CE"/>
        </w:rPr>
      </w:pPr>
    </w:p>
    <w:p>
      <w:pPr>
        <w:ind w:left="440" w:right="720" w:hanging="216"/>
        <w:spacing w:after="0" w:line="260" w:lineRule="auto"/>
        <w:tabs>
          <w:tab w:leader="none" w:pos="440" w:val="left"/>
        </w:tabs>
        <w:numPr>
          <w:ilvl w:val="0"/>
          <w:numId w:val="26"/>
        </w:numPr>
        <w:rPr>
          <w:rFonts w:ascii="Arial" w:cs="Arial" w:eastAsia="Arial" w:hAnsi="Arial"/>
          <w:sz w:val="16"/>
          <w:szCs w:val="16"/>
          <w:color w:val="0071CE"/>
        </w:rPr>
      </w:pPr>
      <w:r>
        <w:rPr>
          <w:rFonts w:ascii="Arial" w:cs="Arial" w:eastAsia="Arial" w:hAnsi="Arial"/>
          <w:sz w:val="16"/>
          <w:szCs w:val="16"/>
          <w:color w:val="auto"/>
        </w:rPr>
        <w:t>Dosed the first patient in AROANG3-2001, a Phase 2b clinical study of ARO-ANG3, being developed as a treatment for patients with mixed dyslipidemia.</w:t>
      </w:r>
    </w:p>
    <w:p>
      <w:pPr>
        <w:spacing w:after="0" w:line="100" w:lineRule="exact"/>
        <w:rPr>
          <w:rFonts w:ascii="Arial" w:cs="Arial" w:eastAsia="Arial" w:hAnsi="Arial"/>
          <w:sz w:val="16"/>
          <w:szCs w:val="16"/>
          <w:color w:val="0071CE"/>
        </w:rPr>
      </w:pPr>
    </w:p>
    <w:p>
      <w:pPr>
        <w:ind w:left="440" w:hanging="216"/>
        <w:spacing w:after="0"/>
        <w:tabs>
          <w:tab w:leader="none" w:pos="440" w:val="left"/>
        </w:tabs>
        <w:numPr>
          <w:ilvl w:val="0"/>
          <w:numId w:val="26"/>
        </w:numPr>
        <w:rPr>
          <w:rFonts w:ascii="Arial" w:cs="Arial" w:eastAsia="Arial" w:hAnsi="Arial"/>
          <w:sz w:val="16"/>
          <w:szCs w:val="16"/>
          <w:color w:val="0071CE"/>
        </w:rPr>
      </w:pPr>
      <w:r>
        <w:rPr>
          <w:rFonts w:ascii="Arial" w:cs="Arial" w:eastAsia="Arial" w:hAnsi="Arial"/>
          <w:sz w:val="16"/>
          <w:szCs w:val="16"/>
          <w:color w:val="auto"/>
        </w:rPr>
        <w:t>Filed an application for clearance to begin Phase 1/2a clinical trials of ARO-C3.</w:t>
      </w:r>
    </w:p>
    <w:p>
      <w:pPr>
        <w:spacing w:after="0" w:line="126" w:lineRule="exact"/>
        <w:rPr>
          <w:rFonts w:ascii="Arial" w:cs="Arial" w:eastAsia="Arial" w:hAnsi="Arial"/>
          <w:sz w:val="16"/>
          <w:szCs w:val="16"/>
          <w:color w:val="0071CE"/>
        </w:rPr>
      </w:pPr>
    </w:p>
    <w:p>
      <w:pPr>
        <w:ind w:left="440" w:right="120" w:hanging="216"/>
        <w:spacing w:after="0" w:line="260" w:lineRule="auto"/>
        <w:tabs>
          <w:tab w:leader="none" w:pos="440" w:val="left"/>
        </w:tabs>
        <w:numPr>
          <w:ilvl w:val="0"/>
          <w:numId w:val="26"/>
        </w:numPr>
        <w:rPr>
          <w:rFonts w:ascii="Arial" w:cs="Arial" w:eastAsia="Arial" w:hAnsi="Arial"/>
          <w:sz w:val="16"/>
          <w:szCs w:val="16"/>
          <w:color w:val="0071CE"/>
        </w:rPr>
      </w:pPr>
      <w:r>
        <w:rPr>
          <w:rFonts w:ascii="Arial" w:cs="Arial" w:eastAsia="Arial" w:hAnsi="Arial"/>
          <w:sz w:val="16"/>
          <w:szCs w:val="16"/>
          <w:color w:val="auto"/>
        </w:rPr>
        <w:t>Executed and closed on the acquisition of 13.06 acres of land in Verona, Wisconsin which we intend to use to construct a manufacturing facility and related process development and analytical laboratories.</w:t>
      </w:r>
    </w:p>
    <w:p>
      <w:pPr>
        <w:spacing w:after="0" w:line="100" w:lineRule="exact"/>
        <w:rPr>
          <w:rFonts w:ascii="Arial" w:cs="Arial" w:eastAsia="Arial" w:hAnsi="Arial"/>
          <w:sz w:val="16"/>
          <w:szCs w:val="16"/>
          <w:color w:val="0071CE"/>
        </w:rPr>
      </w:pPr>
    </w:p>
    <w:p>
      <w:pPr>
        <w:ind w:left="440" w:hanging="216"/>
        <w:spacing w:after="0"/>
        <w:tabs>
          <w:tab w:leader="none" w:pos="440" w:val="left"/>
        </w:tabs>
        <w:numPr>
          <w:ilvl w:val="0"/>
          <w:numId w:val="26"/>
        </w:numPr>
        <w:rPr>
          <w:rFonts w:ascii="Arial" w:cs="Arial" w:eastAsia="Arial" w:hAnsi="Arial"/>
          <w:sz w:val="16"/>
          <w:szCs w:val="16"/>
          <w:color w:val="0071CE"/>
        </w:rPr>
      </w:pPr>
      <w:r>
        <w:rPr>
          <w:rFonts w:ascii="Arial" w:cs="Arial" w:eastAsia="Arial" w:hAnsi="Arial"/>
          <w:sz w:val="16"/>
          <w:szCs w:val="16"/>
          <w:color w:val="auto"/>
        </w:rPr>
        <w:t>Ended fiscal 2021 with $613 million in cash and investments; and</w:t>
      </w:r>
    </w:p>
    <w:p>
      <w:pPr>
        <w:spacing w:after="0" w:line="106" w:lineRule="exact"/>
        <w:rPr>
          <w:rFonts w:ascii="Arial" w:cs="Arial" w:eastAsia="Arial" w:hAnsi="Arial"/>
          <w:sz w:val="16"/>
          <w:szCs w:val="16"/>
          <w:color w:val="0071CE"/>
        </w:rPr>
      </w:pPr>
    </w:p>
    <w:p>
      <w:pPr>
        <w:ind w:left="440" w:hanging="216"/>
        <w:spacing w:after="0"/>
        <w:tabs>
          <w:tab w:leader="none" w:pos="440" w:val="left"/>
        </w:tabs>
        <w:numPr>
          <w:ilvl w:val="0"/>
          <w:numId w:val="26"/>
        </w:numPr>
        <w:rPr>
          <w:rFonts w:ascii="Arial" w:cs="Arial" w:eastAsia="Arial" w:hAnsi="Arial"/>
          <w:sz w:val="16"/>
          <w:szCs w:val="16"/>
          <w:color w:val="0071CE"/>
        </w:rPr>
      </w:pPr>
      <w:r>
        <w:rPr>
          <w:rFonts w:ascii="Arial" w:cs="Arial" w:eastAsia="Arial" w:hAnsi="Arial"/>
          <w:sz w:val="16"/>
          <w:szCs w:val="16"/>
          <w:color w:val="auto"/>
        </w:rPr>
        <w:t>Achieved a three-year total stockholder return (“</w:t>
      </w:r>
      <w:r>
        <w:rPr>
          <w:rFonts w:ascii="Arial" w:cs="Arial" w:eastAsia="Arial" w:hAnsi="Arial"/>
          <w:sz w:val="16"/>
          <w:szCs w:val="16"/>
          <w:b w:val="1"/>
          <w:bCs w:val="1"/>
          <w:color w:val="auto"/>
        </w:rPr>
        <w:t>TSR</w:t>
      </w:r>
      <w:r>
        <w:rPr>
          <w:rFonts w:ascii="Arial" w:cs="Arial" w:eastAsia="Arial" w:hAnsi="Arial"/>
          <w:sz w:val="16"/>
          <w:szCs w:val="16"/>
          <w:color w:val="auto"/>
        </w:rPr>
        <w:t>”) at the 100</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 of our peer group as measured in November 2020.</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4C4C4C"/>
        </w:rPr>
        <w:t>Business Development</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GlaxoSmithKline</w:t>
      </w:r>
    </w:p>
    <w:p>
      <w:pPr>
        <w:spacing w:after="0" w:line="124" w:lineRule="exact"/>
        <w:rPr>
          <w:sz w:val="20"/>
          <w:szCs w:val="20"/>
          <w:color w:val="auto"/>
        </w:rPr>
      </w:pPr>
    </w:p>
    <w:p>
      <w:pPr>
        <w:ind w:left="120"/>
        <w:spacing w:after="0" w:line="260" w:lineRule="auto"/>
        <w:rPr>
          <w:sz w:val="20"/>
          <w:szCs w:val="20"/>
          <w:color w:val="auto"/>
        </w:rPr>
      </w:pPr>
      <w:r>
        <w:rPr>
          <w:rFonts w:ascii="Arial" w:cs="Arial" w:eastAsia="Arial" w:hAnsi="Arial"/>
          <w:sz w:val="16"/>
          <w:szCs w:val="16"/>
          <w:color w:val="auto"/>
        </w:rPr>
        <w:t>In November 2021, Arrowhead entered into an exclusive license agreement with GSK to develop and commercialize ARO-HSD, a Phase 2 investigational therapy in development to treat NASH.</w:t>
      </w:r>
    </w:p>
    <w:p>
      <w:pPr>
        <w:spacing w:after="0" w:line="195" w:lineRule="exact"/>
        <w:rPr>
          <w:sz w:val="20"/>
          <w:szCs w:val="20"/>
          <w:color w:val="auto"/>
        </w:rPr>
      </w:pPr>
    </w:p>
    <w:p>
      <w:pPr>
        <w:ind w:left="120" w:right="20"/>
        <w:spacing w:after="0" w:line="253" w:lineRule="auto"/>
        <w:rPr>
          <w:sz w:val="20"/>
          <w:szCs w:val="20"/>
          <w:color w:val="auto"/>
        </w:rPr>
      </w:pPr>
      <w:r>
        <w:rPr>
          <w:rFonts w:ascii="Arial" w:cs="Arial" w:eastAsia="Arial" w:hAnsi="Arial"/>
          <w:sz w:val="16"/>
          <w:szCs w:val="16"/>
          <w:color w:val="auto"/>
        </w:rPr>
        <w:t>Under the terms of the agreement, GSK has the exclusive right to develop, obtain regulatory approval for and commercialize ARO-HSD. Arrowhead is eligible to receive a $120 million upfront payment, $320 million in potential development milestones, $590 million in potential sales-related milestones and tiered royalties on net product sales.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Horizon</w:t>
      </w:r>
    </w:p>
    <w:p>
      <w:pPr>
        <w:spacing w:after="0" w:line="124" w:lineRule="exact"/>
        <w:rPr>
          <w:sz w:val="20"/>
          <w:szCs w:val="20"/>
          <w:color w:val="auto"/>
        </w:rPr>
      </w:pPr>
    </w:p>
    <w:p>
      <w:pPr>
        <w:ind w:left="120" w:right="160"/>
        <w:spacing w:after="0" w:line="260" w:lineRule="auto"/>
        <w:rPr>
          <w:sz w:val="20"/>
          <w:szCs w:val="20"/>
          <w:color w:val="auto"/>
        </w:rPr>
      </w:pPr>
      <w:r>
        <w:rPr>
          <w:rFonts w:ascii="Arial" w:cs="Arial" w:eastAsia="Arial" w:hAnsi="Arial"/>
          <w:sz w:val="16"/>
          <w:szCs w:val="16"/>
          <w:color w:val="auto"/>
        </w:rPr>
        <w:t>In June 2021, Arrowhead entered into a global collaboration and license agreement with Horizon to develop and commercialize ARO-XDH, a discovery-stage therapy in development to treat uncontrolled gout.</w:t>
      </w:r>
    </w:p>
    <w:p>
      <w:pPr>
        <w:spacing w:after="0" w:line="195"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auto"/>
        </w:rPr>
        <w:t>Under the terms of the agreement, Arrowhead will conduct all activities through preclinical stages of development of the therapeutic. Horizon will receive a worldwide exclusive license to the therapeutic and will be wholly responsible for clinical development and commercialization. Arrowhead has received $40 million as an upfront payment from Horizon and is eligible to receive up to $660 million in potential development, regulatory and commercial milestones, and is further eligible to receive royalties in the low- to mid-teens range on net product sales.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4C4C4C"/>
        </w:rPr>
        <w:t>Platform</w:t>
      </w:r>
    </w:p>
    <w:p>
      <w:pPr>
        <w:spacing w:after="0" w:line="108" w:lineRule="exact"/>
        <w:rPr>
          <w:sz w:val="20"/>
          <w:szCs w:val="20"/>
          <w:color w:val="auto"/>
        </w:rPr>
      </w:pPr>
    </w:p>
    <w:p>
      <w:pPr>
        <w:jc w:val="both"/>
        <w:ind w:left="120" w:right="280"/>
        <w:spacing w:after="0" w:line="182" w:lineRule="auto"/>
        <w:rPr>
          <w:sz w:val="20"/>
          <w:szCs w:val="20"/>
          <w:color w:val="auto"/>
        </w:rPr>
      </w:pPr>
      <w:r>
        <w:rPr>
          <w:rFonts w:ascii="Arial" w:cs="Arial" w:eastAsia="Arial" w:hAnsi="Arial"/>
          <w:sz w:val="16"/>
          <w:szCs w:val="16"/>
          <w:color w:val="auto"/>
        </w:rPr>
        <w:t>In fiscal 2021, Arrowhead continued to develop and deploy our Targeted RNAi Molecule platform (“</w:t>
      </w:r>
      <w:r>
        <w:rPr>
          <w:rFonts w:ascii="Arial" w:cs="Arial" w:eastAsia="Arial" w:hAnsi="Arial"/>
          <w:sz w:val="16"/>
          <w:szCs w:val="16"/>
          <w:b w:val="1"/>
          <w:bCs w:val="1"/>
          <w:color w:val="auto"/>
        </w:rPr>
        <w:t>TRiM</w:t>
      </w:r>
      <w:r>
        <w:rPr>
          <w:rFonts w:ascii="Arial" w:cs="Arial" w:eastAsia="Arial" w:hAnsi="Arial"/>
          <w:sz w:val="27"/>
          <w:szCs w:val="27"/>
          <w:color w:val="auto"/>
          <w:vertAlign w:val="superscript"/>
        </w:rPr>
        <w:t>™</w:t>
      </w:r>
      <w:r>
        <w:rPr>
          <w:rFonts w:ascii="Arial" w:cs="Arial" w:eastAsia="Arial" w:hAnsi="Arial"/>
          <w:sz w:val="16"/>
          <w:szCs w:val="16"/>
          <w:color w:val="auto"/>
        </w:rPr>
        <w:t>) to identify and develop new therapeutics, including ARO-DUX4. TRiM</w:t>
      </w:r>
      <w:r>
        <w:rPr>
          <w:rFonts w:ascii="Arial" w:cs="Arial" w:eastAsia="Arial" w:hAnsi="Arial"/>
          <w:sz w:val="27"/>
          <w:szCs w:val="27"/>
          <w:color w:val="auto"/>
          <w:vertAlign w:val="superscript"/>
        </w:rPr>
        <w:t>™</w:t>
      </w:r>
      <w:r>
        <w:rPr>
          <w:rFonts w:ascii="Arial" w:cs="Arial" w:eastAsia="Arial" w:hAnsi="Arial"/>
          <w:sz w:val="16"/>
          <w:szCs w:val="16"/>
          <w:color w:val="auto"/>
        </w:rPr>
        <w:t xml:space="preserve"> utilizes ligand-mediated delivery and is designed to enable tissue-specific targeting, while being structurally simple. The TRiM</w:t>
      </w:r>
      <w:r>
        <w:rPr>
          <w:rFonts w:ascii="Arial" w:cs="Arial" w:eastAsia="Arial" w:hAnsi="Arial"/>
          <w:sz w:val="27"/>
          <w:szCs w:val="27"/>
          <w:color w:val="auto"/>
          <w:vertAlign w:val="superscript"/>
        </w:rPr>
        <w:t>™</w:t>
      </w:r>
      <w:r>
        <w:rPr>
          <w:rFonts w:ascii="Arial" w:cs="Arial" w:eastAsia="Arial" w:hAnsi="Arial"/>
          <w:sz w:val="16"/>
          <w:szCs w:val="16"/>
          <w:color w:val="auto"/>
        </w:rPr>
        <w:t xml:space="preserve"> platform is designed to offer several potential competitive advantages including:</w:t>
      </w:r>
    </w:p>
    <w:p>
      <w:pPr>
        <w:spacing w:after="0" w:line="2" w:lineRule="exact"/>
        <w:rPr>
          <w:sz w:val="20"/>
          <w:szCs w:val="20"/>
          <w:color w:val="auto"/>
        </w:rPr>
      </w:pPr>
    </w:p>
    <w:p>
      <w:pPr>
        <w:ind w:left="440" w:right="200" w:hanging="216"/>
        <w:spacing w:after="0" w:line="260" w:lineRule="auto"/>
        <w:tabs>
          <w:tab w:leader="none" w:pos="440" w:val="left"/>
        </w:tabs>
        <w:numPr>
          <w:ilvl w:val="0"/>
          <w:numId w:val="27"/>
        </w:numPr>
        <w:rPr>
          <w:rFonts w:ascii="Arial" w:cs="Arial" w:eastAsia="Arial" w:hAnsi="Arial"/>
          <w:sz w:val="16"/>
          <w:szCs w:val="16"/>
          <w:color w:val="0071CE"/>
        </w:rPr>
      </w:pPr>
      <w:r>
        <w:rPr>
          <w:rFonts w:ascii="Arial" w:cs="Arial" w:eastAsia="Arial" w:hAnsi="Arial"/>
          <w:sz w:val="16"/>
          <w:szCs w:val="16"/>
          <w:color w:val="auto"/>
        </w:rPr>
        <w:t>A more sophisticated RNAi trigger selection and screening process that identifies potent sequences rapidly in locations that RNAi competitors may miss;</w:t>
      </w:r>
    </w:p>
    <w:p>
      <w:pPr>
        <w:spacing w:after="0" w:line="100" w:lineRule="exact"/>
        <w:rPr>
          <w:rFonts w:ascii="Arial" w:cs="Arial" w:eastAsia="Arial" w:hAnsi="Arial"/>
          <w:sz w:val="16"/>
          <w:szCs w:val="16"/>
          <w:color w:val="0071CE"/>
        </w:rPr>
      </w:pPr>
    </w:p>
    <w:p>
      <w:pPr>
        <w:ind w:left="440" w:hanging="216"/>
        <w:spacing w:after="0"/>
        <w:tabs>
          <w:tab w:leader="none" w:pos="440" w:val="left"/>
        </w:tabs>
        <w:numPr>
          <w:ilvl w:val="0"/>
          <w:numId w:val="27"/>
        </w:numPr>
        <w:rPr>
          <w:rFonts w:ascii="Arial" w:cs="Arial" w:eastAsia="Arial" w:hAnsi="Arial"/>
          <w:sz w:val="16"/>
          <w:szCs w:val="16"/>
          <w:color w:val="0071CE"/>
        </w:rPr>
      </w:pPr>
      <w:r>
        <w:rPr>
          <w:rFonts w:ascii="Arial" w:cs="Arial" w:eastAsia="Arial" w:hAnsi="Arial"/>
          <w:sz w:val="16"/>
          <w:szCs w:val="16"/>
          <w:color w:val="auto"/>
        </w:rPr>
        <w:t>Multiple routes of administration including subcutaneous, intravenous and inhaled;</w:t>
      </w:r>
    </w:p>
    <w:p>
      <w:pPr>
        <w:spacing w:after="0" w:line="126" w:lineRule="exact"/>
        <w:rPr>
          <w:rFonts w:ascii="Arial" w:cs="Arial" w:eastAsia="Arial" w:hAnsi="Arial"/>
          <w:sz w:val="16"/>
          <w:szCs w:val="16"/>
          <w:color w:val="0071CE"/>
        </w:rPr>
      </w:pPr>
    </w:p>
    <w:p>
      <w:pPr>
        <w:ind w:left="440" w:hanging="216"/>
        <w:spacing w:after="0"/>
        <w:tabs>
          <w:tab w:leader="none" w:pos="440" w:val="left"/>
        </w:tabs>
        <w:numPr>
          <w:ilvl w:val="0"/>
          <w:numId w:val="27"/>
        </w:numPr>
        <w:rPr>
          <w:rFonts w:ascii="Arial" w:cs="Arial" w:eastAsia="Arial" w:hAnsi="Arial"/>
          <w:sz w:val="16"/>
          <w:szCs w:val="16"/>
          <w:color w:val="0071CE"/>
        </w:rPr>
      </w:pPr>
      <w:r>
        <w:rPr>
          <w:rFonts w:ascii="Arial" w:cs="Arial" w:eastAsia="Arial" w:hAnsi="Arial"/>
          <w:sz w:val="16"/>
          <w:szCs w:val="16"/>
          <w:color w:val="auto"/>
        </w:rPr>
        <w:t>Faster time to clinical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96520</wp:posOffset>
            </wp:positionV>
            <wp:extent cx="986155" cy="2057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1CE"/>
        </w:rPr>
        <w:t>18</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2022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65" w:lineRule="exact"/>
        <w:rPr>
          <w:sz w:val="20"/>
          <w:szCs w:val="20"/>
          <w:color w:val="auto"/>
        </w:rPr>
      </w:pPr>
    </w:p>
    <w:p>
      <w:pPr>
        <w:ind w:left="440" w:hanging="216"/>
        <w:spacing w:after="0"/>
        <w:tabs>
          <w:tab w:leader="none" w:pos="440" w:val="left"/>
        </w:tabs>
        <w:numPr>
          <w:ilvl w:val="0"/>
          <w:numId w:val="28"/>
        </w:numPr>
        <w:rPr>
          <w:rFonts w:ascii="Arial" w:cs="Arial" w:eastAsia="Arial" w:hAnsi="Arial"/>
          <w:sz w:val="16"/>
          <w:szCs w:val="16"/>
          <w:color w:val="0071CE"/>
        </w:rPr>
      </w:pPr>
      <w:r>
        <w:rPr>
          <w:rFonts w:ascii="Arial" w:cs="Arial" w:eastAsia="Arial" w:hAnsi="Arial"/>
          <w:sz w:val="16"/>
          <w:szCs w:val="16"/>
          <w:color w:val="auto"/>
        </w:rPr>
        <w:t>Optimal pharmacologic activity and long duration-of-effect;</w:t>
      </w:r>
    </w:p>
    <w:p>
      <w:pPr>
        <w:spacing w:after="0" w:line="126" w:lineRule="exact"/>
        <w:rPr>
          <w:rFonts w:ascii="Arial" w:cs="Arial" w:eastAsia="Arial" w:hAnsi="Arial"/>
          <w:sz w:val="16"/>
          <w:szCs w:val="16"/>
          <w:color w:val="0071CE"/>
        </w:rPr>
      </w:pPr>
    </w:p>
    <w:p>
      <w:pPr>
        <w:ind w:left="440" w:hanging="216"/>
        <w:spacing w:after="0"/>
        <w:tabs>
          <w:tab w:leader="none" w:pos="440" w:val="left"/>
        </w:tabs>
        <w:numPr>
          <w:ilvl w:val="0"/>
          <w:numId w:val="28"/>
        </w:numPr>
        <w:rPr>
          <w:rFonts w:ascii="Arial" w:cs="Arial" w:eastAsia="Arial" w:hAnsi="Arial"/>
          <w:sz w:val="16"/>
          <w:szCs w:val="16"/>
          <w:color w:val="0071CE"/>
        </w:rPr>
      </w:pPr>
      <w:r>
        <w:rPr>
          <w:rFonts w:ascii="Arial" w:cs="Arial" w:eastAsia="Arial" w:hAnsi="Arial"/>
          <w:sz w:val="16"/>
          <w:szCs w:val="16"/>
          <w:color w:val="auto"/>
        </w:rPr>
        <w:t>Potentially wide safety margins;</w:t>
      </w:r>
    </w:p>
    <w:p>
      <w:pPr>
        <w:spacing w:after="0" w:line="126" w:lineRule="exact"/>
        <w:rPr>
          <w:rFonts w:ascii="Arial" w:cs="Arial" w:eastAsia="Arial" w:hAnsi="Arial"/>
          <w:sz w:val="16"/>
          <w:szCs w:val="16"/>
          <w:color w:val="0071CE"/>
        </w:rPr>
      </w:pPr>
    </w:p>
    <w:p>
      <w:pPr>
        <w:ind w:left="440" w:hanging="216"/>
        <w:spacing w:after="0"/>
        <w:tabs>
          <w:tab w:leader="none" w:pos="440" w:val="left"/>
        </w:tabs>
        <w:numPr>
          <w:ilvl w:val="0"/>
          <w:numId w:val="28"/>
        </w:numPr>
        <w:rPr>
          <w:rFonts w:ascii="Arial" w:cs="Arial" w:eastAsia="Arial" w:hAnsi="Arial"/>
          <w:sz w:val="16"/>
          <w:szCs w:val="16"/>
          <w:color w:val="0071CE"/>
        </w:rPr>
      </w:pPr>
      <w:r>
        <w:rPr>
          <w:rFonts w:ascii="Arial" w:cs="Arial" w:eastAsia="Arial" w:hAnsi="Arial"/>
          <w:sz w:val="16"/>
          <w:szCs w:val="16"/>
          <w:color w:val="auto"/>
        </w:rPr>
        <w:t>Simplified manufacturing at reduced cost; and</w:t>
      </w:r>
    </w:p>
    <w:p>
      <w:pPr>
        <w:spacing w:after="0" w:line="126" w:lineRule="exact"/>
        <w:rPr>
          <w:rFonts w:ascii="Arial" w:cs="Arial" w:eastAsia="Arial" w:hAnsi="Arial"/>
          <w:sz w:val="16"/>
          <w:szCs w:val="16"/>
          <w:color w:val="0071CE"/>
        </w:rPr>
      </w:pPr>
    </w:p>
    <w:p>
      <w:pPr>
        <w:ind w:left="440" w:hanging="216"/>
        <w:spacing w:after="0"/>
        <w:tabs>
          <w:tab w:leader="none" w:pos="440" w:val="left"/>
        </w:tabs>
        <w:numPr>
          <w:ilvl w:val="0"/>
          <w:numId w:val="28"/>
        </w:numPr>
        <w:rPr>
          <w:rFonts w:ascii="Arial" w:cs="Arial" w:eastAsia="Arial" w:hAnsi="Arial"/>
          <w:sz w:val="16"/>
          <w:szCs w:val="16"/>
          <w:color w:val="0071CE"/>
        </w:rPr>
      </w:pPr>
      <w:r>
        <w:rPr>
          <w:rFonts w:ascii="Arial" w:cs="Arial" w:eastAsia="Arial" w:hAnsi="Arial"/>
          <w:sz w:val="16"/>
          <w:szCs w:val="16"/>
          <w:color w:val="auto"/>
        </w:rPr>
        <w:t>The promise of taking RNAi to tissues beyond the liver.</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4C4C4C"/>
        </w:rPr>
        <w:t>Pipeline</w:t>
      </w:r>
    </w:p>
    <w:p>
      <w:pPr>
        <w:spacing w:after="0" w:line="128" w:lineRule="exact"/>
        <w:rPr>
          <w:sz w:val="20"/>
          <w:szCs w:val="20"/>
          <w:color w:val="auto"/>
        </w:rPr>
      </w:pPr>
    </w:p>
    <w:p>
      <w:pPr>
        <w:jc w:val="both"/>
        <w:ind w:left="120" w:right="180"/>
        <w:spacing w:after="0" w:line="253" w:lineRule="auto"/>
        <w:rPr>
          <w:sz w:val="20"/>
          <w:szCs w:val="20"/>
          <w:color w:val="auto"/>
        </w:rPr>
      </w:pPr>
      <w:r>
        <w:rPr>
          <w:rFonts w:ascii="Arial" w:cs="Arial" w:eastAsia="Arial" w:hAnsi="Arial"/>
          <w:sz w:val="16"/>
          <w:szCs w:val="16"/>
          <w:color w:val="auto"/>
        </w:rPr>
        <w:t>We are focused on developing innovative drugs for diseases with a genetic basis, typically characterized by the overproduction of one or more proteins. The depth and versatility of our RNAi technologies enable us to address conditions in virtually any therapeutic area and pursue disease targets that are not otherwise addressable by small molecules and biologics.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The timing of our planned and already filed clinical trial applications (“</w:t>
      </w:r>
      <w:r>
        <w:rPr>
          <w:rFonts w:ascii="Arial" w:cs="Arial" w:eastAsia="Arial" w:hAnsi="Arial"/>
          <w:sz w:val="16"/>
          <w:szCs w:val="16"/>
          <w:b w:val="1"/>
          <w:bCs w:val="1"/>
          <w:i w:val="1"/>
          <w:iCs w:val="1"/>
          <w:color w:val="auto"/>
        </w:rPr>
        <w:t>CTA</w:t>
      </w:r>
      <w:r>
        <w:rPr>
          <w:rFonts w:ascii="Arial" w:cs="Arial" w:eastAsia="Arial" w:hAnsi="Arial"/>
          <w:sz w:val="16"/>
          <w:szCs w:val="16"/>
          <w:i w:val="1"/>
          <w:iCs w:val="1"/>
          <w:color w:val="auto"/>
        </w:rPr>
        <w:t>”) discussed below are based on calendar years, not fiscal years.</w:t>
      </w:r>
    </w:p>
    <w:p>
      <w:pPr>
        <w:spacing w:after="0" w:line="324"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Clinical Stage Candidates</w:t>
      </w:r>
    </w:p>
    <w:p>
      <w:pPr>
        <w:spacing w:after="0" w:line="108" w:lineRule="exact"/>
        <w:rPr>
          <w:sz w:val="20"/>
          <w:szCs w:val="20"/>
          <w:color w:val="auto"/>
        </w:rPr>
      </w:pPr>
    </w:p>
    <w:p>
      <w:pPr>
        <w:ind w:left="120" w:right="60"/>
        <w:spacing w:after="0" w:line="266" w:lineRule="auto"/>
        <w:rPr>
          <w:sz w:val="20"/>
          <w:szCs w:val="20"/>
          <w:color w:val="auto"/>
        </w:rPr>
      </w:pPr>
      <w:r>
        <w:rPr>
          <w:rFonts w:ascii="Arial" w:cs="Arial" w:eastAsia="Arial" w:hAnsi="Arial"/>
          <w:sz w:val="16"/>
          <w:szCs w:val="16"/>
          <w:b w:val="1"/>
          <w:bCs w:val="1"/>
          <w:color w:val="auto"/>
        </w:rPr>
        <w:t xml:space="preserve">ARO-ANG3 </w:t>
      </w:r>
      <w:r>
        <w:rPr>
          <w:rFonts w:ascii="Arial" w:cs="Arial" w:eastAsia="Arial" w:hAnsi="Arial"/>
          <w:sz w:val="16"/>
          <w:szCs w:val="16"/>
          <w:color w:val="auto"/>
        </w:rPr>
        <w:t>is designed to reduce production of angiopoietin-like protein 3 (“</w:t>
      </w:r>
      <w:r>
        <w:rPr>
          <w:rFonts w:ascii="Arial" w:cs="Arial" w:eastAsia="Arial" w:hAnsi="Arial"/>
          <w:sz w:val="16"/>
          <w:szCs w:val="16"/>
          <w:b w:val="1"/>
          <w:bCs w:val="1"/>
          <w:color w:val="auto"/>
        </w:rPr>
        <w:t xml:space="preserve"> ANGPTL3</w:t>
      </w:r>
      <w:r>
        <w:rPr>
          <w:rFonts w:ascii="Arial" w:cs="Arial" w:eastAsia="Arial" w:hAnsi="Arial"/>
          <w:sz w:val="16"/>
          <w:szCs w:val="16"/>
          <w:color w:val="auto"/>
        </w:rPr>
        <w:t>”), a liver synthesized inhibitor of lipoprotein lipase and endothelial</w:t>
      </w:r>
      <w:r>
        <w:rPr>
          <w:rFonts w:ascii="Arial" w:cs="Arial" w:eastAsia="Arial" w:hAnsi="Arial"/>
          <w:sz w:val="16"/>
          <w:szCs w:val="16"/>
          <w:b w:val="1"/>
          <w:bCs w:val="1"/>
          <w:color w:val="auto"/>
        </w:rPr>
        <w:t xml:space="preserve"> </w:t>
      </w:r>
      <w:r>
        <w:rPr>
          <w:rFonts w:ascii="Arial" w:cs="Arial" w:eastAsia="Arial" w:hAnsi="Arial"/>
          <w:sz w:val="16"/>
          <w:szCs w:val="16"/>
          <w:color w:val="auto"/>
        </w:rPr>
        <w:t>lipase. ANGPTL3 inhibition has been shown to lower serum LDL, serum and liver triglyceride and has genetic validation as a novel target for cardiovascular disease.</w:t>
      </w:r>
    </w:p>
    <w:p>
      <w:pPr>
        <w:spacing w:after="0" w:line="97" w:lineRule="exact"/>
        <w:rPr>
          <w:sz w:val="20"/>
          <w:szCs w:val="20"/>
          <w:color w:val="auto"/>
        </w:rPr>
      </w:pPr>
    </w:p>
    <w:p>
      <w:pPr>
        <w:ind w:left="440" w:hanging="216"/>
        <w:spacing w:after="0"/>
        <w:tabs>
          <w:tab w:leader="none" w:pos="440" w:val="left"/>
        </w:tabs>
        <w:numPr>
          <w:ilvl w:val="0"/>
          <w:numId w:val="29"/>
        </w:numPr>
        <w:rPr>
          <w:rFonts w:ascii="Arial" w:cs="Arial" w:eastAsia="Arial" w:hAnsi="Arial"/>
          <w:sz w:val="16"/>
          <w:szCs w:val="16"/>
          <w:color w:val="0071CE"/>
        </w:rPr>
      </w:pPr>
      <w:r>
        <w:rPr>
          <w:rFonts w:ascii="Arial" w:cs="Arial" w:eastAsia="Arial" w:hAnsi="Arial"/>
          <w:sz w:val="16"/>
          <w:szCs w:val="16"/>
          <w:color w:val="auto"/>
        </w:rPr>
        <w:t>2017: Target identified.</w:t>
      </w:r>
    </w:p>
    <w:p>
      <w:pPr>
        <w:spacing w:after="0" w:line="126" w:lineRule="exact"/>
        <w:rPr>
          <w:rFonts w:ascii="Arial" w:cs="Arial" w:eastAsia="Arial" w:hAnsi="Arial"/>
          <w:sz w:val="16"/>
          <w:szCs w:val="16"/>
          <w:color w:val="0071CE"/>
        </w:rPr>
      </w:pPr>
    </w:p>
    <w:p>
      <w:pPr>
        <w:ind w:left="440" w:hanging="216"/>
        <w:spacing w:after="0"/>
        <w:tabs>
          <w:tab w:leader="none" w:pos="440" w:val="left"/>
        </w:tabs>
        <w:numPr>
          <w:ilvl w:val="0"/>
          <w:numId w:val="29"/>
        </w:numPr>
        <w:rPr>
          <w:rFonts w:ascii="Arial" w:cs="Arial" w:eastAsia="Arial" w:hAnsi="Arial"/>
          <w:sz w:val="16"/>
          <w:szCs w:val="16"/>
          <w:color w:val="0071CE"/>
        </w:rPr>
      </w:pPr>
      <w:r>
        <w:rPr>
          <w:rFonts w:ascii="Arial" w:cs="Arial" w:eastAsia="Arial" w:hAnsi="Arial"/>
          <w:sz w:val="16"/>
          <w:szCs w:val="16"/>
          <w:color w:val="auto"/>
        </w:rPr>
        <w:t>2018: Filed for regulatory clearance to begin a Phase 1 study.</w:t>
      </w:r>
    </w:p>
    <w:p>
      <w:pPr>
        <w:spacing w:after="0" w:line="126" w:lineRule="exact"/>
        <w:rPr>
          <w:rFonts w:ascii="Arial" w:cs="Arial" w:eastAsia="Arial" w:hAnsi="Arial"/>
          <w:sz w:val="16"/>
          <w:szCs w:val="16"/>
          <w:color w:val="0071CE"/>
        </w:rPr>
      </w:pPr>
    </w:p>
    <w:p>
      <w:pPr>
        <w:ind w:left="440" w:right="200" w:hanging="216"/>
        <w:spacing w:after="0" w:line="260" w:lineRule="auto"/>
        <w:tabs>
          <w:tab w:leader="none" w:pos="440" w:val="left"/>
        </w:tabs>
        <w:numPr>
          <w:ilvl w:val="0"/>
          <w:numId w:val="29"/>
        </w:numPr>
        <w:rPr>
          <w:rFonts w:ascii="Arial" w:cs="Arial" w:eastAsia="Arial" w:hAnsi="Arial"/>
          <w:sz w:val="16"/>
          <w:szCs w:val="16"/>
          <w:color w:val="0071CE"/>
        </w:rPr>
      </w:pPr>
      <w:r>
        <w:rPr>
          <w:rFonts w:ascii="Arial" w:cs="Arial" w:eastAsia="Arial" w:hAnsi="Arial"/>
          <w:sz w:val="16"/>
          <w:szCs w:val="16"/>
          <w:color w:val="auto"/>
        </w:rPr>
        <w:t>2019: Clinical trial commenced. Initial results from AROANG1001 presented at the 2019 Global Summit on Cardiology and Heart Diseases and the November 2019 American Heart Association meeting. Key data include:</w:t>
      </w:r>
    </w:p>
    <w:p>
      <w:pPr>
        <w:spacing w:after="0" w:line="100" w:lineRule="exact"/>
        <w:rPr>
          <w:rFonts w:ascii="Arial" w:cs="Arial" w:eastAsia="Arial" w:hAnsi="Arial"/>
          <w:sz w:val="16"/>
          <w:szCs w:val="16"/>
          <w:color w:val="0071CE"/>
        </w:rPr>
      </w:pPr>
    </w:p>
    <w:p>
      <w:pPr>
        <w:ind w:left="660" w:right="160" w:hanging="220"/>
        <w:spacing w:after="0" w:line="260" w:lineRule="auto"/>
        <w:tabs>
          <w:tab w:leader="none" w:pos="660" w:val="left"/>
        </w:tabs>
        <w:numPr>
          <w:ilvl w:val="1"/>
          <w:numId w:val="29"/>
        </w:numPr>
        <w:rPr>
          <w:rFonts w:ascii="Arial" w:cs="Arial" w:eastAsia="Arial" w:hAnsi="Arial"/>
          <w:sz w:val="16"/>
          <w:szCs w:val="16"/>
          <w:color w:val="0071CE"/>
        </w:rPr>
      </w:pPr>
      <w:r>
        <w:rPr>
          <w:rFonts w:ascii="Arial" w:cs="Arial" w:eastAsia="Arial" w:hAnsi="Arial"/>
          <w:sz w:val="16"/>
          <w:szCs w:val="16"/>
          <w:color w:val="auto"/>
        </w:rPr>
        <w:t>Dose dependent reductions in serum ANGPTL3 (mean maximum reduction ranging from 55% in the 35 mg cohort to 83% in the 300 mg cohort), which were maintained through the end of the study.</w:t>
      </w:r>
    </w:p>
    <w:p>
      <w:pPr>
        <w:spacing w:after="0" w:line="100" w:lineRule="exact"/>
        <w:rPr>
          <w:rFonts w:ascii="Arial" w:cs="Arial" w:eastAsia="Arial" w:hAnsi="Arial"/>
          <w:sz w:val="16"/>
          <w:szCs w:val="16"/>
          <w:color w:val="0071CE"/>
        </w:rPr>
      </w:pPr>
    </w:p>
    <w:p>
      <w:pPr>
        <w:ind w:left="660" w:right="100" w:hanging="220"/>
        <w:spacing w:after="0" w:line="253" w:lineRule="auto"/>
        <w:tabs>
          <w:tab w:leader="none" w:pos="660" w:val="left"/>
        </w:tabs>
        <w:numPr>
          <w:ilvl w:val="1"/>
          <w:numId w:val="29"/>
        </w:numPr>
        <w:rPr>
          <w:rFonts w:ascii="Arial" w:cs="Arial" w:eastAsia="Arial" w:hAnsi="Arial"/>
          <w:sz w:val="16"/>
          <w:szCs w:val="16"/>
          <w:color w:val="0071CE"/>
        </w:rPr>
      </w:pPr>
      <w:r>
        <w:rPr>
          <w:rFonts w:ascii="Arial" w:cs="Arial" w:eastAsia="Arial" w:hAnsi="Arial"/>
          <w:sz w:val="16"/>
          <w:szCs w:val="16"/>
          <w:color w:val="auto"/>
        </w:rPr>
        <w:t>Dose dependent reduction in triglycerides and VLDL-C (mean maximum triglyceride reduction ranging from 31% in the 35 mg cohort and 66% in the 200 mg cohort and mean maximum VLDL-C ranging from 30% in the 35 mg cohort to 65% in the 200 mg cohort). Reductions in trig2lycerides and VLDL-C in the 200 mg and 300 mg cohorts were maintained through end of study.</w:t>
      </w:r>
    </w:p>
    <w:p>
      <w:pPr>
        <w:spacing w:after="0" w:line="106" w:lineRule="exact"/>
        <w:rPr>
          <w:rFonts w:ascii="Arial" w:cs="Arial" w:eastAsia="Arial" w:hAnsi="Arial"/>
          <w:sz w:val="16"/>
          <w:szCs w:val="16"/>
          <w:color w:val="0071CE"/>
        </w:rPr>
      </w:pPr>
    </w:p>
    <w:p>
      <w:pPr>
        <w:ind w:left="440" w:hanging="216"/>
        <w:spacing w:after="0"/>
        <w:tabs>
          <w:tab w:leader="none" w:pos="440" w:val="left"/>
        </w:tabs>
        <w:numPr>
          <w:ilvl w:val="0"/>
          <w:numId w:val="29"/>
        </w:numPr>
        <w:rPr>
          <w:rFonts w:ascii="Arial" w:cs="Arial" w:eastAsia="Arial" w:hAnsi="Arial"/>
          <w:sz w:val="16"/>
          <w:szCs w:val="16"/>
          <w:color w:val="0071CE"/>
        </w:rPr>
      </w:pPr>
      <w:r>
        <w:rPr>
          <w:rFonts w:ascii="Arial" w:cs="Arial" w:eastAsia="Arial" w:hAnsi="Arial"/>
          <w:sz w:val="16"/>
          <w:szCs w:val="16"/>
          <w:color w:val="auto"/>
        </w:rPr>
        <w:t>2020: Completed planned enrollment in AROANG1001 and published additional preliminary data.</w:t>
      </w:r>
    </w:p>
    <w:p>
      <w:pPr>
        <w:spacing w:after="0" w:line="126" w:lineRule="exact"/>
        <w:rPr>
          <w:rFonts w:ascii="Arial" w:cs="Arial" w:eastAsia="Arial" w:hAnsi="Arial"/>
          <w:sz w:val="16"/>
          <w:szCs w:val="16"/>
          <w:color w:val="0071CE"/>
        </w:rPr>
      </w:pPr>
    </w:p>
    <w:p>
      <w:pPr>
        <w:ind w:left="440" w:hanging="216"/>
        <w:spacing w:after="0"/>
        <w:tabs>
          <w:tab w:leader="none" w:pos="440" w:val="left"/>
        </w:tabs>
        <w:numPr>
          <w:ilvl w:val="0"/>
          <w:numId w:val="29"/>
        </w:numPr>
        <w:rPr>
          <w:rFonts w:ascii="Arial" w:cs="Arial" w:eastAsia="Arial" w:hAnsi="Arial"/>
          <w:sz w:val="16"/>
          <w:szCs w:val="16"/>
          <w:color w:val="0071CE"/>
        </w:rPr>
      </w:pPr>
      <w:r>
        <w:rPr>
          <w:rFonts w:ascii="Arial" w:cs="Arial" w:eastAsia="Arial" w:hAnsi="Arial"/>
          <w:sz w:val="16"/>
          <w:szCs w:val="16"/>
          <w:color w:val="auto"/>
        </w:rPr>
        <w:t>2021: Dosed the first patient in AROANG3-2001, a Phase 2b clinical study.</w:t>
      </w:r>
    </w:p>
    <w:p>
      <w:pPr>
        <w:spacing w:after="0" w:line="201" w:lineRule="exact"/>
        <w:rPr>
          <w:sz w:val="20"/>
          <w:szCs w:val="20"/>
          <w:color w:val="auto"/>
        </w:rPr>
      </w:pPr>
    </w:p>
    <w:p>
      <w:pPr>
        <w:ind w:left="120" w:right="100"/>
        <w:spacing w:after="0" w:line="266" w:lineRule="auto"/>
        <w:rPr>
          <w:sz w:val="20"/>
          <w:szCs w:val="20"/>
          <w:color w:val="auto"/>
        </w:rPr>
      </w:pPr>
      <w:r>
        <w:rPr>
          <w:rFonts w:ascii="Arial" w:cs="Arial" w:eastAsia="Arial" w:hAnsi="Arial"/>
          <w:sz w:val="16"/>
          <w:szCs w:val="16"/>
          <w:b w:val="1"/>
          <w:bCs w:val="1"/>
          <w:color w:val="auto"/>
        </w:rPr>
        <w:t xml:space="preserve">ARO-APOC3 </w:t>
      </w:r>
      <w:r>
        <w:rPr>
          <w:rFonts w:ascii="Arial" w:cs="Arial" w:eastAsia="Arial" w:hAnsi="Arial"/>
          <w:sz w:val="16"/>
          <w:szCs w:val="16"/>
          <w:color w:val="auto"/>
        </w:rPr>
        <w:t>is designed to reduce production of Apolipoprotein C-III (apoC-III), a component of triglyceride rich lipoproteins (“</w:t>
      </w:r>
      <w:r>
        <w:rPr>
          <w:rFonts w:ascii="Arial" w:cs="Arial" w:eastAsia="Arial" w:hAnsi="Arial"/>
          <w:sz w:val="16"/>
          <w:szCs w:val="16"/>
          <w:b w:val="1"/>
          <w:bCs w:val="1"/>
          <w:color w:val="auto"/>
        </w:rPr>
        <w:t>TRLs</w:t>
      </w:r>
      <w:r>
        <w:rPr>
          <w:rFonts w:ascii="Arial" w:cs="Arial" w:eastAsia="Arial" w:hAnsi="Arial"/>
          <w:sz w:val="16"/>
          <w:szCs w:val="16"/>
          <w:color w:val="auto"/>
        </w:rPr>
        <w:t>”) including VLDL</w:t>
      </w:r>
      <w:r>
        <w:rPr>
          <w:rFonts w:ascii="Arial" w:cs="Arial" w:eastAsia="Arial" w:hAnsi="Arial"/>
          <w:sz w:val="16"/>
          <w:szCs w:val="16"/>
          <w:b w:val="1"/>
          <w:bCs w:val="1"/>
          <w:color w:val="auto"/>
        </w:rPr>
        <w:t xml:space="preserve"> </w:t>
      </w:r>
      <w:r>
        <w:rPr>
          <w:rFonts w:ascii="Arial" w:cs="Arial" w:eastAsia="Arial" w:hAnsi="Arial"/>
          <w:sz w:val="16"/>
          <w:szCs w:val="16"/>
          <w:color w:val="auto"/>
        </w:rPr>
        <w:t>and chylomicrons and a key regulator of triglyceride metabolism. Arrowhead believes that knocking down the hepatic production of apoC-III may result in reduced VLDL synthesis and assembly, enhanced breakdown of TRLs and better clearance of VLDL and chylomicron remnants.</w:t>
      </w:r>
    </w:p>
    <w:p>
      <w:pPr>
        <w:spacing w:after="0" w:line="97" w:lineRule="exact"/>
        <w:rPr>
          <w:sz w:val="20"/>
          <w:szCs w:val="20"/>
          <w:color w:val="auto"/>
        </w:rPr>
      </w:pPr>
    </w:p>
    <w:p>
      <w:pPr>
        <w:ind w:left="440" w:hanging="216"/>
        <w:spacing w:after="0"/>
        <w:tabs>
          <w:tab w:leader="none" w:pos="440" w:val="left"/>
        </w:tabs>
        <w:numPr>
          <w:ilvl w:val="0"/>
          <w:numId w:val="30"/>
        </w:numPr>
        <w:rPr>
          <w:rFonts w:ascii="Arial" w:cs="Arial" w:eastAsia="Arial" w:hAnsi="Arial"/>
          <w:sz w:val="16"/>
          <w:szCs w:val="16"/>
          <w:color w:val="0071CE"/>
        </w:rPr>
      </w:pPr>
      <w:r>
        <w:rPr>
          <w:rFonts w:ascii="Arial" w:cs="Arial" w:eastAsia="Arial" w:hAnsi="Arial"/>
          <w:sz w:val="16"/>
          <w:szCs w:val="16"/>
          <w:color w:val="auto"/>
        </w:rPr>
        <w:t>2017: Target identified.</w:t>
      </w:r>
    </w:p>
    <w:p>
      <w:pPr>
        <w:spacing w:after="0" w:line="126" w:lineRule="exact"/>
        <w:rPr>
          <w:rFonts w:ascii="Arial" w:cs="Arial" w:eastAsia="Arial" w:hAnsi="Arial"/>
          <w:sz w:val="16"/>
          <w:szCs w:val="16"/>
          <w:color w:val="0071CE"/>
        </w:rPr>
      </w:pPr>
    </w:p>
    <w:p>
      <w:pPr>
        <w:ind w:left="440" w:right="280" w:hanging="216"/>
        <w:spacing w:after="0" w:line="260" w:lineRule="auto"/>
        <w:tabs>
          <w:tab w:leader="none" w:pos="440" w:val="left"/>
        </w:tabs>
        <w:numPr>
          <w:ilvl w:val="0"/>
          <w:numId w:val="30"/>
        </w:numPr>
        <w:rPr>
          <w:rFonts w:ascii="Arial" w:cs="Arial" w:eastAsia="Arial" w:hAnsi="Arial"/>
          <w:sz w:val="16"/>
          <w:szCs w:val="16"/>
          <w:color w:val="0071CE"/>
        </w:rPr>
      </w:pPr>
      <w:r>
        <w:rPr>
          <w:rFonts w:ascii="Arial" w:cs="Arial" w:eastAsia="Arial" w:hAnsi="Arial"/>
          <w:sz w:val="16"/>
          <w:szCs w:val="16"/>
          <w:color w:val="auto"/>
        </w:rPr>
        <w:t>2019: Clinical trial commenced. Initial results from AROAPOC31001 presented at the 2019 Global Summit on Cardiology and Heart Diseases and the November 2019 American Heart Association meeting. Key data include:</w:t>
      </w:r>
    </w:p>
    <w:p>
      <w:pPr>
        <w:spacing w:after="0" w:line="100" w:lineRule="exact"/>
        <w:rPr>
          <w:rFonts w:ascii="Arial" w:cs="Arial" w:eastAsia="Arial" w:hAnsi="Arial"/>
          <w:sz w:val="16"/>
          <w:szCs w:val="16"/>
          <w:color w:val="0071CE"/>
        </w:rPr>
      </w:pPr>
    </w:p>
    <w:p>
      <w:pPr>
        <w:ind w:left="660" w:right="360" w:hanging="220"/>
        <w:spacing w:after="0" w:line="260" w:lineRule="auto"/>
        <w:tabs>
          <w:tab w:leader="none" w:pos="660" w:val="left"/>
        </w:tabs>
        <w:numPr>
          <w:ilvl w:val="1"/>
          <w:numId w:val="30"/>
        </w:numPr>
        <w:rPr>
          <w:rFonts w:ascii="Arial" w:cs="Arial" w:eastAsia="Arial" w:hAnsi="Arial"/>
          <w:sz w:val="16"/>
          <w:szCs w:val="16"/>
          <w:color w:val="0071CE"/>
        </w:rPr>
      </w:pPr>
      <w:r>
        <w:rPr>
          <w:rFonts w:ascii="Arial" w:cs="Arial" w:eastAsia="Arial" w:hAnsi="Arial"/>
          <w:sz w:val="16"/>
          <w:szCs w:val="16"/>
          <w:color w:val="auto"/>
        </w:rPr>
        <w:t>Dose dependent reductions in serum APOC3 (mean maximum reduction ranging from 72% in the 10 mg cohort to 94% in the 100 mg cohort), which were maintained through the end of the study.</w:t>
      </w:r>
    </w:p>
    <w:p>
      <w:pPr>
        <w:spacing w:after="0" w:line="100" w:lineRule="exact"/>
        <w:rPr>
          <w:rFonts w:ascii="Arial" w:cs="Arial" w:eastAsia="Arial" w:hAnsi="Arial"/>
          <w:sz w:val="16"/>
          <w:szCs w:val="16"/>
          <w:color w:val="0071CE"/>
        </w:rPr>
      </w:pPr>
    </w:p>
    <w:p>
      <w:pPr>
        <w:ind w:left="660" w:right="160" w:hanging="220"/>
        <w:spacing w:after="0" w:line="253" w:lineRule="auto"/>
        <w:tabs>
          <w:tab w:leader="none" w:pos="660" w:val="left"/>
        </w:tabs>
        <w:numPr>
          <w:ilvl w:val="1"/>
          <w:numId w:val="30"/>
        </w:numPr>
        <w:rPr>
          <w:rFonts w:ascii="Arial" w:cs="Arial" w:eastAsia="Arial" w:hAnsi="Arial"/>
          <w:sz w:val="16"/>
          <w:szCs w:val="16"/>
          <w:color w:val="0071CE"/>
        </w:rPr>
      </w:pPr>
      <w:r>
        <w:rPr>
          <w:rFonts w:ascii="Arial" w:cs="Arial" w:eastAsia="Arial" w:hAnsi="Arial"/>
          <w:sz w:val="16"/>
          <w:szCs w:val="16"/>
          <w:color w:val="auto"/>
        </w:rPr>
        <w:t>Dose dependent reduction in triglycerides and VLDL-C (mean maximum triglyceride reduction ranging from 53% in the 10 mg cohort and 64% in the 100 mg cohort and mean maximum VLDL-C ranging from 53% in the 10 mg cohort to 68% in the 50 mg cohort). These reductions were maintained through the end of study.</w:t>
      </w:r>
    </w:p>
    <w:p>
      <w:pPr>
        <w:spacing w:after="0" w:line="106" w:lineRule="exact"/>
        <w:rPr>
          <w:rFonts w:ascii="Arial" w:cs="Arial" w:eastAsia="Arial" w:hAnsi="Arial"/>
          <w:sz w:val="16"/>
          <w:szCs w:val="16"/>
          <w:color w:val="0071CE"/>
        </w:rPr>
      </w:pPr>
    </w:p>
    <w:p>
      <w:pPr>
        <w:ind w:left="440" w:hanging="216"/>
        <w:spacing w:after="0"/>
        <w:tabs>
          <w:tab w:leader="none" w:pos="440" w:val="left"/>
        </w:tabs>
        <w:numPr>
          <w:ilvl w:val="0"/>
          <w:numId w:val="30"/>
        </w:numPr>
        <w:rPr>
          <w:rFonts w:ascii="Arial" w:cs="Arial" w:eastAsia="Arial" w:hAnsi="Arial"/>
          <w:sz w:val="16"/>
          <w:szCs w:val="16"/>
          <w:color w:val="0071CE"/>
        </w:rPr>
      </w:pPr>
      <w:r>
        <w:rPr>
          <w:rFonts w:ascii="Arial" w:cs="Arial" w:eastAsia="Arial" w:hAnsi="Arial"/>
          <w:sz w:val="16"/>
          <w:szCs w:val="16"/>
          <w:color w:val="auto"/>
        </w:rPr>
        <w:t>2020: Completed planned enrollment in AROAPOC31001 and published additional preliminary data.</w:t>
      </w:r>
    </w:p>
    <w:p>
      <w:pPr>
        <w:spacing w:after="0" w:line="126" w:lineRule="exact"/>
        <w:rPr>
          <w:rFonts w:ascii="Arial" w:cs="Arial" w:eastAsia="Arial" w:hAnsi="Arial"/>
          <w:sz w:val="16"/>
          <w:szCs w:val="16"/>
          <w:color w:val="0071CE"/>
        </w:rPr>
      </w:pPr>
    </w:p>
    <w:p>
      <w:pPr>
        <w:ind w:left="440" w:right="20" w:hanging="216"/>
        <w:spacing w:after="0" w:line="250" w:lineRule="auto"/>
        <w:tabs>
          <w:tab w:leader="none" w:pos="440" w:val="left"/>
        </w:tabs>
        <w:numPr>
          <w:ilvl w:val="0"/>
          <w:numId w:val="30"/>
        </w:numPr>
        <w:rPr>
          <w:rFonts w:ascii="Arial" w:cs="Arial" w:eastAsia="Arial" w:hAnsi="Arial"/>
          <w:sz w:val="16"/>
          <w:szCs w:val="16"/>
          <w:color w:val="0071CE"/>
        </w:rPr>
      </w:pPr>
      <w:r>
        <w:rPr>
          <w:rFonts w:ascii="Arial" w:cs="Arial" w:eastAsia="Arial" w:hAnsi="Arial"/>
          <w:sz w:val="16"/>
          <w:szCs w:val="16"/>
          <w:color w:val="auto"/>
        </w:rPr>
        <w:t>2021: Dosed the first patient in AROAPOC3-2001, a Phase 2b clinical study in adults with severe hypertriglyceridemia, and the first patient in AROAPOC3-2002, a Phase 2b clinical study in adults with mixed dyslipidemia. Reported interim results demonstrating that (a) in patients with familial chylomicronemia syndrome (“</w:t>
      </w:r>
      <w:r>
        <w:rPr>
          <w:rFonts w:ascii="Arial" w:cs="Arial" w:eastAsia="Arial" w:hAnsi="Arial"/>
          <w:sz w:val="16"/>
          <w:szCs w:val="16"/>
          <w:b w:val="1"/>
          <w:bCs w:val="1"/>
          <w:color w:val="auto"/>
        </w:rPr>
        <w:t>FCS</w:t>
      </w:r>
      <w:r>
        <w:rPr>
          <w:rFonts w:ascii="Arial" w:cs="Arial" w:eastAsia="Arial" w:hAnsi="Arial"/>
          <w:sz w:val="16"/>
          <w:szCs w:val="16"/>
          <w:color w:val="auto"/>
        </w:rPr>
        <w:t>”) as compared to NON-FCS patients, safety parameters were similar and comparable and similar levels of APOC3 and changes in key lipid parameters were observed and (b) in patients with severe hypertriglyceridemia (“</w:t>
      </w:r>
      <w:r>
        <w:rPr>
          <w:rFonts w:ascii="Arial" w:cs="Arial" w:eastAsia="Arial" w:hAnsi="Arial"/>
          <w:sz w:val="16"/>
          <w:szCs w:val="16"/>
          <w:b w:val="1"/>
          <w:bCs w:val="1"/>
          <w:color w:val="auto"/>
        </w:rPr>
        <w:t>sHTG</w:t>
      </w:r>
      <w:r>
        <w:rPr>
          <w:rFonts w:ascii="Arial" w:cs="Arial" w:eastAsia="Arial" w:hAnsi="Arial"/>
          <w:sz w:val="16"/>
          <w:szCs w:val="16"/>
          <w:color w:val="auto"/>
        </w:rPr>
        <w:t>”), ARO-APOC3 was well tolerated, and consistently decreased APOC3, TG, and non-HDL-C, and increased HDL-C, independent of underlying genetic cause of HTG.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84455</wp:posOffset>
            </wp:positionV>
            <wp:extent cx="986155" cy="2057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44" w:lineRule="exact"/>
        <w:rPr>
          <w:sz w:val="20"/>
          <w:szCs w:val="20"/>
          <w:color w:val="auto"/>
        </w:rPr>
      </w:pPr>
    </w:p>
    <w:p>
      <w:pPr>
        <w:ind w:left="10880"/>
        <w:spacing w:after="0"/>
        <w:rPr>
          <w:sz w:val="20"/>
          <w:szCs w:val="20"/>
          <w:color w:val="auto"/>
        </w:rPr>
      </w:pPr>
      <w:r>
        <w:rPr>
          <w:rFonts w:ascii="Arial" w:cs="Arial" w:eastAsia="Arial" w:hAnsi="Arial"/>
          <w:sz w:val="18"/>
          <w:szCs w:val="18"/>
          <w:b w:val="1"/>
          <w:bCs w:val="1"/>
          <w:color w:val="0071CE"/>
        </w:rPr>
        <w:t>19</w:t>
      </w:r>
    </w:p>
    <w:p>
      <w:pPr>
        <w:sectPr>
          <w:pgSz w:w="11900" w:h="16838" w:orient="portrait"/>
          <w:cols w:equalWidth="0" w:num="1">
            <w:col w:w="11140"/>
          </w:cols>
          <w:pgMar w:left="32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20"/>
        <w:spacing w:after="0"/>
        <w:tabs>
          <w:tab w:leader="none" w:pos="2020" w:val="left"/>
        </w:tabs>
        <w:rPr>
          <w:sz w:val="20"/>
          <w:szCs w:val="20"/>
          <w:color w:val="auto"/>
        </w:rPr>
      </w:pPr>
      <w:r>
        <w:rPr>
          <w:rFonts w:ascii="Arial" w:cs="Arial" w:eastAsia="Arial" w:hAnsi="Arial"/>
          <w:sz w:val="14"/>
          <w:szCs w:val="14"/>
          <w:b w:val="1"/>
          <w:bCs w:val="1"/>
          <w:color w:val="0071CE"/>
        </w:rPr>
        <w:t>2022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ARO-ENaC </w:t>
      </w:r>
      <w:r>
        <w:rPr>
          <w:rFonts w:ascii="Arial" w:cs="Arial" w:eastAsia="Arial" w:hAnsi="Arial"/>
          <w:sz w:val="16"/>
          <w:szCs w:val="16"/>
          <w:color w:val="auto"/>
        </w:rPr>
        <w:t>is an orally inhaled investigational RNAi therapeutic being developed as a treatment for patients with cystic fibrosis</w:t>
      </w:r>
    </w:p>
    <w:p>
      <w:pPr>
        <w:spacing w:after="0" w:line="122" w:lineRule="exact"/>
        <w:rPr>
          <w:sz w:val="20"/>
          <w:szCs w:val="20"/>
          <w:color w:val="auto"/>
        </w:rPr>
      </w:pPr>
    </w:p>
    <w:p>
      <w:pPr>
        <w:ind w:left="980" w:hanging="432"/>
        <w:spacing w:after="0"/>
        <w:tabs>
          <w:tab w:leader="none" w:pos="980" w:val="left"/>
        </w:tabs>
        <w:numPr>
          <w:ilvl w:val="0"/>
          <w:numId w:val="31"/>
        </w:numPr>
        <w:rPr>
          <w:rFonts w:ascii="Arial" w:cs="Arial" w:eastAsia="Arial" w:hAnsi="Arial"/>
          <w:sz w:val="18"/>
          <w:szCs w:val="18"/>
          <w:color w:val="0071CE"/>
        </w:rPr>
      </w:pPr>
      <w:r>
        <w:rPr>
          <w:rFonts w:ascii="Arial" w:cs="Arial" w:eastAsia="Arial" w:hAnsi="Arial"/>
          <w:sz w:val="18"/>
          <w:szCs w:val="18"/>
          <w:color w:val="auto"/>
        </w:rPr>
        <w:t>2020: Investigational New Drug application (“</w:t>
      </w:r>
      <w:r>
        <w:rPr>
          <w:rFonts w:ascii="Arial" w:cs="Arial" w:eastAsia="Arial" w:hAnsi="Arial"/>
          <w:sz w:val="18"/>
          <w:szCs w:val="18"/>
          <w:b w:val="1"/>
          <w:bCs w:val="1"/>
          <w:color w:val="auto"/>
        </w:rPr>
        <w:t>IND</w:t>
      </w:r>
      <w:r>
        <w:rPr>
          <w:rFonts w:ascii="Arial" w:cs="Arial" w:eastAsia="Arial" w:hAnsi="Arial"/>
          <w:sz w:val="18"/>
          <w:szCs w:val="18"/>
          <w:color w:val="auto"/>
        </w:rPr>
        <w:t>”) filed and Phase 1/2a clinical trial commenced.</w:t>
      </w:r>
    </w:p>
    <w:p>
      <w:pPr>
        <w:spacing w:after="0" w:line="139" w:lineRule="exact"/>
        <w:rPr>
          <w:rFonts w:ascii="Arial" w:cs="Arial" w:eastAsia="Arial" w:hAnsi="Arial"/>
          <w:sz w:val="18"/>
          <w:szCs w:val="18"/>
          <w:color w:val="0071CE"/>
        </w:rPr>
      </w:pPr>
    </w:p>
    <w:p>
      <w:pPr>
        <w:ind w:left="980" w:right="280" w:hanging="432"/>
        <w:spacing w:after="0" w:line="246" w:lineRule="auto"/>
        <w:tabs>
          <w:tab w:leader="none" w:pos="980" w:val="left"/>
        </w:tabs>
        <w:numPr>
          <w:ilvl w:val="0"/>
          <w:numId w:val="31"/>
        </w:numPr>
        <w:rPr>
          <w:rFonts w:ascii="Arial" w:cs="Arial" w:eastAsia="Arial" w:hAnsi="Arial"/>
          <w:sz w:val="18"/>
          <w:szCs w:val="18"/>
          <w:color w:val="0071CE"/>
        </w:rPr>
      </w:pPr>
      <w:r>
        <w:rPr>
          <w:rFonts w:ascii="Arial" w:cs="Arial" w:eastAsia="Arial" w:hAnsi="Arial"/>
          <w:sz w:val="18"/>
          <w:szCs w:val="18"/>
          <w:color w:val="auto"/>
        </w:rPr>
        <w:t>2021: Voluntarily paused further dosing in our Phase 1/2 trial after receiving preliminary information from an ongoing chronic toxicology study in rats that contained unexpected signals of local lung inflammation.</w:t>
      </w:r>
    </w:p>
    <w:p>
      <w:pPr>
        <w:spacing w:after="0" w:line="179" w:lineRule="exact"/>
        <w:rPr>
          <w:sz w:val="20"/>
          <w:szCs w:val="20"/>
          <w:color w:val="auto"/>
        </w:rPr>
      </w:pPr>
    </w:p>
    <w:p>
      <w:pPr>
        <w:jc w:val="both"/>
        <w:ind w:left="120" w:right="400"/>
        <w:spacing w:after="0" w:line="266" w:lineRule="auto"/>
        <w:rPr>
          <w:sz w:val="20"/>
          <w:szCs w:val="20"/>
          <w:color w:val="auto"/>
        </w:rPr>
      </w:pPr>
      <w:r>
        <w:rPr>
          <w:rFonts w:ascii="Arial" w:cs="Arial" w:eastAsia="Arial" w:hAnsi="Arial"/>
          <w:sz w:val="16"/>
          <w:szCs w:val="16"/>
          <w:b w:val="1"/>
          <w:bCs w:val="1"/>
          <w:color w:val="auto"/>
        </w:rPr>
        <w:t xml:space="preserve">ARO-HIF2 </w:t>
      </w:r>
      <w:r>
        <w:rPr>
          <w:rFonts w:ascii="Arial" w:cs="Arial" w:eastAsia="Arial" w:hAnsi="Arial"/>
          <w:sz w:val="16"/>
          <w:szCs w:val="16"/>
          <w:color w:val="auto"/>
        </w:rPr>
        <w:t>is being developed as a treatment for patients with clear cell renal cell carcinoma (“</w:t>
      </w:r>
      <w:r>
        <w:rPr>
          <w:rFonts w:ascii="Arial" w:cs="Arial" w:eastAsia="Arial" w:hAnsi="Arial"/>
          <w:sz w:val="16"/>
          <w:szCs w:val="16"/>
          <w:b w:val="1"/>
          <w:bCs w:val="1"/>
          <w:color w:val="auto"/>
        </w:rPr>
        <w:t>ccRCC</w:t>
      </w:r>
      <w:r>
        <w:rPr>
          <w:rFonts w:ascii="Arial" w:cs="Arial" w:eastAsia="Arial" w:hAnsi="Arial"/>
          <w:sz w:val="16"/>
          <w:szCs w:val="16"/>
          <w:color w:val="auto"/>
        </w:rPr>
        <w:t>”). ccRCC is one of the most common forms of</w:t>
      </w:r>
      <w:r>
        <w:rPr>
          <w:rFonts w:ascii="Arial" w:cs="Arial" w:eastAsia="Arial" w:hAnsi="Arial"/>
          <w:sz w:val="16"/>
          <w:szCs w:val="16"/>
          <w:b w:val="1"/>
          <w:bCs w:val="1"/>
          <w:color w:val="auto"/>
        </w:rPr>
        <w:t xml:space="preserve"> </w:t>
      </w:r>
      <w:r>
        <w:rPr>
          <w:rFonts w:ascii="Arial" w:cs="Arial" w:eastAsia="Arial" w:hAnsi="Arial"/>
          <w:sz w:val="16"/>
          <w:szCs w:val="16"/>
          <w:color w:val="auto"/>
        </w:rPr>
        <w:t>kidney cancer. Most patients with ccRCC have a mutation in the Von Hippel-Lindau gene, rendering them unable to degrade HIF-2a, which leads to accumulation during tumor hypoxia and promotes tumor growth.</w:t>
      </w:r>
    </w:p>
    <w:p>
      <w:pPr>
        <w:spacing w:after="0" w:line="97" w:lineRule="exact"/>
        <w:rPr>
          <w:sz w:val="20"/>
          <w:szCs w:val="20"/>
          <w:color w:val="auto"/>
        </w:rPr>
      </w:pPr>
    </w:p>
    <w:p>
      <w:pPr>
        <w:ind w:left="440" w:hanging="216"/>
        <w:spacing w:after="0"/>
        <w:tabs>
          <w:tab w:leader="none" w:pos="440" w:val="left"/>
        </w:tabs>
        <w:numPr>
          <w:ilvl w:val="0"/>
          <w:numId w:val="32"/>
        </w:numPr>
        <w:rPr>
          <w:rFonts w:ascii="Arial" w:cs="Arial" w:eastAsia="Arial" w:hAnsi="Arial"/>
          <w:sz w:val="16"/>
          <w:szCs w:val="16"/>
          <w:color w:val="0071CE"/>
        </w:rPr>
      </w:pPr>
      <w:r>
        <w:rPr>
          <w:rFonts w:ascii="Arial" w:cs="Arial" w:eastAsia="Arial" w:hAnsi="Arial"/>
          <w:sz w:val="16"/>
          <w:szCs w:val="16"/>
          <w:color w:val="auto"/>
        </w:rPr>
        <w:t>2019: IND filed.</w:t>
      </w:r>
    </w:p>
    <w:p>
      <w:pPr>
        <w:spacing w:after="0" w:line="126" w:lineRule="exact"/>
        <w:rPr>
          <w:rFonts w:ascii="Arial" w:cs="Arial" w:eastAsia="Arial" w:hAnsi="Arial"/>
          <w:sz w:val="16"/>
          <w:szCs w:val="16"/>
          <w:color w:val="0071CE"/>
        </w:rPr>
      </w:pPr>
    </w:p>
    <w:p>
      <w:pPr>
        <w:ind w:left="440" w:hanging="216"/>
        <w:spacing w:after="0"/>
        <w:tabs>
          <w:tab w:leader="none" w:pos="440" w:val="left"/>
        </w:tabs>
        <w:numPr>
          <w:ilvl w:val="0"/>
          <w:numId w:val="32"/>
        </w:numPr>
        <w:rPr>
          <w:rFonts w:ascii="Arial" w:cs="Arial" w:eastAsia="Arial" w:hAnsi="Arial"/>
          <w:sz w:val="16"/>
          <w:szCs w:val="16"/>
          <w:color w:val="0071CE"/>
        </w:rPr>
      </w:pPr>
      <w:r>
        <w:rPr>
          <w:rFonts w:ascii="Arial" w:cs="Arial" w:eastAsia="Arial" w:hAnsi="Arial"/>
          <w:sz w:val="16"/>
          <w:szCs w:val="16"/>
          <w:color w:val="auto"/>
        </w:rPr>
        <w:t>2020: Commenced patient enrollment in a Phase 1 study.</w:t>
      </w:r>
    </w:p>
    <w:p>
      <w:pPr>
        <w:spacing w:after="0" w:line="114" w:lineRule="exact"/>
        <w:rPr>
          <w:rFonts w:ascii="Arial" w:cs="Arial" w:eastAsia="Arial" w:hAnsi="Arial"/>
          <w:sz w:val="16"/>
          <w:szCs w:val="16"/>
          <w:color w:val="0071CE"/>
        </w:rPr>
      </w:pPr>
    </w:p>
    <w:p>
      <w:pPr>
        <w:ind w:left="440" w:right="260" w:hanging="216"/>
        <w:spacing w:after="0" w:line="293" w:lineRule="auto"/>
        <w:tabs>
          <w:tab w:leader="none" w:pos="440" w:val="left"/>
        </w:tabs>
        <w:numPr>
          <w:ilvl w:val="0"/>
          <w:numId w:val="32"/>
        </w:numPr>
        <w:rPr>
          <w:rFonts w:ascii="Arial" w:cs="Arial" w:eastAsia="Arial" w:hAnsi="Arial"/>
          <w:sz w:val="16"/>
          <w:szCs w:val="16"/>
          <w:color w:val="0071CE"/>
        </w:rPr>
      </w:pPr>
      <w:r>
        <w:rPr>
          <w:rFonts w:ascii="Arial" w:cs="Arial" w:eastAsia="Arial" w:hAnsi="Arial"/>
          <w:sz w:val="16"/>
          <w:szCs w:val="16"/>
          <w:color w:val="auto"/>
        </w:rPr>
        <w:t>2021: Reported interim results showing that HIF2 has been well-tolerated to-date and demonstrating (a) reductions in HIF2a in 7 of 9 patients who had tumor samples which could be evaluated and (b) some potentially early signs of efficacy in at least one patient.</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ARO-C3 </w:t>
      </w:r>
      <w:r>
        <w:rPr>
          <w:rFonts w:ascii="Arial" w:cs="Arial" w:eastAsia="Arial" w:hAnsi="Arial"/>
          <w:sz w:val="16"/>
          <w:szCs w:val="16"/>
          <w:color w:val="auto"/>
        </w:rPr>
        <w:t>is designed to reduce production of complement component 3 as a potential treatment for various complement mediated diseases.</w:t>
      </w:r>
    </w:p>
    <w:p>
      <w:pPr>
        <w:spacing w:after="0" w:line="147" w:lineRule="exact"/>
        <w:rPr>
          <w:sz w:val="20"/>
          <w:szCs w:val="20"/>
          <w:color w:val="auto"/>
        </w:rPr>
      </w:pPr>
    </w:p>
    <w:p>
      <w:pPr>
        <w:ind w:left="440" w:hanging="216"/>
        <w:spacing w:after="0"/>
        <w:tabs>
          <w:tab w:leader="none" w:pos="440" w:val="left"/>
        </w:tabs>
        <w:numPr>
          <w:ilvl w:val="0"/>
          <w:numId w:val="33"/>
        </w:numPr>
        <w:rPr>
          <w:rFonts w:ascii="Arial" w:cs="Arial" w:eastAsia="Arial" w:hAnsi="Arial"/>
          <w:sz w:val="16"/>
          <w:szCs w:val="16"/>
          <w:color w:val="0071CE"/>
        </w:rPr>
      </w:pPr>
      <w:r>
        <w:rPr>
          <w:rFonts w:ascii="Arial" w:cs="Arial" w:eastAsia="Arial" w:hAnsi="Arial"/>
          <w:sz w:val="16"/>
          <w:szCs w:val="16"/>
          <w:color w:val="auto"/>
        </w:rPr>
        <w:t>2021: Filed an application for clearance to begin Phase 1/2a clinical trials.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Partnered Programs</w:t>
      </w:r>
    </w:p>
    <w:p>
      <w:pPr>
        <w:spacing w:after="0" w:line="108" w:lineRule="exact"/>
        <w:rPr>
          <w:sz w:val="20"/>
          <w:szCs w:val="20"/>
          <w:color w:val="auto"/>
        </w:rPr>
      </w:pPr>
    </w:p>
    <w:p>
      <w:pPr>
        <w:ind w:left="120" w:right="40"/>
        <w:spacing w:after="0" w:line="266" w:lineRule="auto"/>
        <w:rPr>
          <w:sz w:val="20"/>
          <w:szCs w:val="20"/>
          <w:color w:val="auto"/>
        </w:rPr>
      </w:pPr>
      <w:r>
        <w:rPr>
          <w:rFonts w:ascii="Arial" w:cs="Arial" w:eastAsia="Arial" w:hAnsi="Arial"/>
          <w:sz w:val="16"/>
          <w:szCs w:val="16"/>
          <w:b w:val="1"/>
          <w:bCs w:val="1"/>
          <w:color w:val="auto"/>
        </w:rPr>
        <w:t xml:space="preserve">ARO-AAT </w:t>
      </w:r>
      <w:r>
        <w:rPr>
          <w:rFonts w:ascii="Arial" w:cs="Arial" w:eastAsia="Arial" w:hAnsi="Arial"/>
          <w:sz w:val="16"/>
          <w:szCs w:val="16"/>
          <w:color w:val="auto"/>
        </w:rPr>
        <w:t>is a clinical-stage RNAi therapeutic candidate for the treatment of liver disease associated with alpha-1 antitrypsin deficiency. ARO-AAT is</w:t>
      </w:r>
      <w:r>
        <w:rPr>
          <w:rFonts w:ascii="Arial" w:cs="Arial" w:eastAsia="Arial" w:hAnsi="Arial"/>
          <w:sz w:val="16"/>
          <w:szCs w:val="16"/>
          <w:b w:val="1"/>
          <w:bCs w:val="1"/>
          <w:color w:val="auto"/>
        </w:rPr>
        <w:t xml:space="preserve"> </w:t>
      </w:r>
      <w:r>
        <w:rPr>
          <w:rFonts w:ascii="Arial" w:cs="Arial" w:eastAsia="Arial" w:hAnsi="Arial"/>
          <w:sz w:val="16"/>
          <w:szCs w:val="16"/>
          <w:color w:val="auto"/>
        </w:rPr>
        <w:t>designed to knock down the Alpha-1 antitrypsin (“</w:t>
      </w:r>
      <w:r>
        <w:rPr>
          <w:rFonts w:ascii="Arial" w:cs="Arial" w:eastAsia="Arial" w:hAnsi="Arial"/>
          <w:sz w:val="16"/>
          <w:szCs w:val="16"/>
          <w:b w:val="1"/>
          <w:bCs w:val="1"/>
          <w:color w:val="auto"/>
        </w:rPr>
        <w:t>AAT</w:t>
      </w:r>
      <w:r>
        <w:rPr>
          <w:rFonts w:ascii="Arial" w:cs="Arial" w:eastAsia="Arial" w:hAnsi="Arial"/>
          <w:sz w:val="16"/>
          <w:szCs w:val="16"/>
          <w:color w:val="auto"/>
        </w:rPr>
        <w:t>”) gene transcript and reduce the hepatic production of the mutant AAT protein. ARO-AAT is a next-generation subcutaneously administered compound that follows a previous generation AAT compound ARC-AAT.</w:t>
      </w:r>
    </w:p>
    <w:p>
      <w:pPr>
        <w:spacing w:after="0" w:line="97" w:lineRule="exact"/>
        <w:rPr>
          <w:sz w:val="20"/>
          <w:szCs w:val="20"/>
          <w:color w:val="auto"/>
        </w:rPr>
      </w:pPr>
    </w:p>
    <w:p>
      <w:pPr>
        <w:ind w:left="440" w:hanging="216"/>
        <w:spacing w:after="0"/>
        <w:tabs>
          <w:tab w:leader="none" w:pos="440" w:val="left"/>
        </w:tabs>
        <w:numPr>
          <w:ilvl w:val="0"/>
          <w:numId w:val="34"/>
        </w:numPr>
        <w:rPr>
          <w:rFonts w:ascii="Arial" w:cs="Arial" w:eastAsia="Arial" w:hAnsi="Arial"/>
          <w:sz w:val="16"/>
          <w:szCs w:val="16"/>
          <w:color w:val="0071CE"/>
        </w:rPr>
      </w:pPr>
      <w:r>
        <w:rPr>
          <w:rFonts w:ascii="Arial" w:cs="Arial" w:eastAsia="Arial" w:hAnsi="Arial"/>
          <w:sz w:val="16"/>
          <w:szCs w:val="16"/>
          <w:color w:val="auto"/>
        </w:rPr>
        <w:t>2017: ARO-AAT nominated; CTA filed.</w:t>
      </w:r>
    </w:p>
    <w:p>
      <w:pPr>
        <w:spacing w:after="0" w:line="121" w:lineRule="exact"/>
        <w:rPr>
          <w:rFonts w:ascii="Arial" w:cs="Arial" w:eastAsia="Arial" w:hAnsi="Arial"/>
          <w:sz w:val="16"/>
          <w:szCs w:val="16"/>
          <w:color w:val="0071CE"/>
        </w:rPr>
      </w:pPr>
    </w:p>
    <w:p>
      <w:pPr>
        <w:ind w:left="440" w:right="240" w:hanging="216"/>
        <w:spacing w:after="0" w:line="188" w:lineRule="auto"/>
        <w:tabs>
          <w:tab w:leader="none" w:pos="440" w:val="left"/>
        </w:tabs>
        <w:numPr>
          <w:ilvl w:val="0"/>
          <w:numId w:val="34"/>
        </w:numPr>
        <w:rPr>
          <w:rFonts w:ascii="Arial" w:cs="Arial" w:eastAsia="Arial" w:hAnsi="Arial"/>
          <w:sz w:val="16"/>
          <w:szCs w:val="16"/>
          <w:color w:val="0071CE"/>
        </w:rPr>
      </w:pPr>
      <w:r>
        <w:rPr>
          <w:rFonts w:ascii="Arial" w:cs="Arial" w:eastAsia="Arial" w:hAnsi="Arial"/>
          <w:sz w:val="16"/>
          <w:szCs w:val="16"/>
          <w:color w:val="auto"/>
        </w:rPr>
        <w:t>2018: Clinical trial commenced. Initial results from AROAAT1001 were presented in November 2018 at The Liver Meeting</w:t>
      </w:r>
      <w:r>
        <w:rPr>
          <w:rFonts w:ascii="Arial" w:cs="Arial" w:eastAsia="Arial" w:hAnsi="Arial"/>
          <w:sz w:val="27"/>
          <w:szCs w:val="27"/>
          <w:color w:val="auto"/>
          <w:vertAlign w:val="superscript"/>
        </w:rPr>
        <w:t>®</w:t>
      </w:r>
      <w:r>
        <w:rPr>
          <w:rFonts w:ascii="Arial" w:cs="Arial" w:eastAsia="Arial" w:hAnsi="Arial"/>
          <w:sz w:val="16"/>
          <w:szCs w:val="16"/>
          <w:color w:val="auto"/>
        </w:rPr>
        <w:t>, the Annual Meeting of the AASLD. Key data include:</w:t>
      </w:r>
    </w:p>
    <w:p>
      <w:pPr>
        <w:spacing w:after="0" w:line="117" w:lineRule="exact"/>
        <w:rPr>
          <w:rFonts w:ascii="Arial" w:cs="Arial" w:eastAsia="Arial" w:hAnsi="Arial"/>
          <w:sz w:val="16"/>
          <w:szCs w:val="16"/>
          <w:color w:val="0071CE"/>
        </w:rPr>
      </w:pPr>
    </w:p>
    <w:p>
      <w:pPr>
        <w:ind w:left="660" w:hanging="220"/>
        <w:spacing w:after="0"/>
        <w:tabs>
          <w:tab w:leader="none" w:pos="660" w:val="left"/>
        </w:tabs>
        <w:numPr>
          <w:ilvl w:val="1"/>
          <w:numId w:val="34"/>
        </w:numPr>
        <w:rPr>
          <w:rFonts w:ascii="Arial" w:cs="Arial" w:eastAsia="Arial" w:hAnsi="Arial"/>
          <w:sz w:val="16"/>
          <w:szCs w:val="16"/>
          <w:color w:val="0071CE"/>
        </w:rPr>
      </w:pPr>
      <w:r>
        <w:rPr>
          <w:rFonts w:ascii="Arial" w:cs="Arial" w:eastAsia="Arial" w:hAnsi="Arial"/>
          <w:sz w:val="16"/>
          <w:szCs w:val="16"/>
          <w:color w:val="auto"/>
        </w:rPr>
        <w:t>Three monthly doses of 300 mg ARO-AAT led to reductions in serum alpha-1 antitrypsin to below the level of quantitation in 100% of subjects.</w:t>
      </w:r>
    </w:p>
    <w:p>
      <w:pPr>
        <w:spacing w:after="0" w:line="126" w:lineRule="exact"/>
        <w:rPr>
          <w:rFonts w:ascii="Arial" w:cs="Arial" w:eastAsia="Arial" w:hAnsi="Arial"/>
          <w:sz w:val="16"/>
          <w:szCs w:val="16"/>
          <w:color w:val="0071CE"/>
        </w:rPr>
      </w:pPr>
    </w:p>
    <w:p>
      <w:pPr>
        <w:ind w:left="660" w:hanging="220"/>
        <w:spacing w:after="0"/>
        <w:tabs>
          <w:tab w:leader="none" w:pos="660" w:val="left"/>
        </w:tabs>
        <w:numPr>
          <w:ilvl w:val="1"/>
          <w:numId w:val="34"/>
        </w:numPr>
        <w:rPr>
          <w:rFonts w:ascii="Arial" w:cs="Arial" w:eastAsia="Arial" w:hAnsi="Arial"/>
          <w:sz w:val="16"/>
          <w:szCs w:val="16"/>
          <w:color w:val="0071CE"/>
        </w:rPr>
      </w:pPr>
      <w:r>
        <w:rPr>
          <w:rFonts w:ascii="Arial" w:cs="Arial" w:eastAsia="Arial" w:hAnsi="Arial"/>
          <w:sz w:val="16"/>
          <w:szCs w:val="16"/>
          <w:color w:val="auto"/>
        </w:rPr>
        <w:t>Reductions were sustained for greater than 14 weeks indicating that quarterly or less frequent dosing appears feasible.</w:t>
      </w:r>
    </w:p>
    <w:p>
      <w:pPr>
        <w:spacing w:after="0" w:line="126" w:lineRule="exact"/>
        <w:rPr>
          <w:rFonts w:ascii="Arial" w:cs="Arial" w:eastAsia="Arial" w:hAnsi="Arial"/>
          <w:sz w:val="16"/>
          <w:szCs w:val="16"/>
          <w:color w:val="0071CE"/>
        </w:rPr>
      </w:pPr>
    </w:p>
    <w:p>
      <w:pPr>
        <w:ind w:left="660" w:hanging="220"/>
        <w:spacing w:after="0"/>
        <w:tabs>
          <w:tab w:leader="none" w:pos="660" w:val="left"/>
        </w:tabs>
        <w:numPr>
          <w:ilvl w:val="1"/>
          <w:numId w:val="34"/>
        </w:numPr>
        <w:rPr>
          <w:rFonts w:ascii="Arial" w:cs="Arial" w:eastAsia="Arial" w:hAnsi="Arial"/>
          <w:sz w:val="16"/>
          <w:szCs w:val="16"/>
          <w:color w:val="0071CE"/>
        </w:rPr>
      </w:pPr>
      <w:r>
        <w:rPr>
          <w:rFonts w:ascii="Arial" w:cs="Arial" w:eastAsia="Arial" w:hAnsi="Arial"/>
          <w:sz w:val="16"/>
          <w:szCs w:val="16"/>
          <w:color w:val="auto"/>
        </w:rPr>
        <w:t>Single and multiple doses of ARO-AAT appeared to be well-tolerated at all doses tested.</w:t>
      </w:r>
    </w:p>
    <w:p>
      <w:pPr>
        <w:spacing w:after="0" w:line="126" w:lineRule="exact"/>
        <w:rPr>
          <w:rFonts w:ascii="Arial" w:cs="Arial" w:eastAsia="Arial" w:hAnsi="Arial"/>
          <w:sz w:val="16"/>
          <w:szCs w:val="16"/>
          <w:color w:val="0071CE"/>
        </w:rPr>
      </w:pPr>
    </w:p>
    <w:p>
      <w:pPr>
        <w:ind w:left="440" w:hanging="216"/>
        <w:spacing w:after="0"/>
        <w:tabs>
          <w:tab w:leader="none" w:pos="440" w:val="left"/>
        </w:tabs>
        <w:numPr>
          <w:ilvl w:val="0"/>
          <w:numId w:val="34"/>
        </w:numPr>
        <w:rPr>
          <w:rFonts w:ascii="Arial" w:cs="Arial" w:eastAsia="Arial" w:hAnsi="Arial"/>
          <w:sz w:val="16"/>
          <w:szCs w:val="16"/>
          <w:color w:val="0071CE"/>
        </w:rPr>
      </w:pPr>
      <w:r>
        <w:rPr>
          <w:rFonts w:ascii="Arial" w:cs="Arial" w:eastAsia="Arial" w:hAnsi="Arial"/>
          <w:sz w:val="16"/>
          <w:szCs w:val="16"/>
          <w:color w:val="auto"/>
        </w:rPr>
        <w:t>2019: One phase 2/3 and one Phase 2 trial were initiated (enrolling concurrently):</w:t>
      </w:r>
    </w:p>
    <w:p>
      <w:pPr>
        <w:spacing w:after="0" w:line="126" w:lineRule="exact"/>
        <w:rPr>
          <w:rFonts w:ascii="Arial" w:cs="Arial" w:eastAsia="Arial" w:hAnsi="Arial"/>
          <w:sz w:val="16"/>
          <w:szCs w:val="16"/>
          <w:color w:val="0071CE"/>
        </w:rPr>
      </w:pPr>
    </w:p>
    <w:p>
      <w:pPr>
        <w:ind w:left="660" w:right="700" w:hanging="220"/>
        <w:spacing w:after="0" w:line="260" w:lineRule="auto"/>
        <w:tabs>
          <w:tab w:leader="none" w:pos="660" w:val="left"/>
        </w:tabs>
        <w:numPr>
          <w:ilvl w:val="1"/>
          <w:numId w:val="34"/>
        </w:numPr>
        <w:rPr>
          <w:rFonts w:ascii="Arial" w:cs="Arial" w:eastAsia="Arial" w:hAnsi="Arial"/>
          <w:sz w:val="16"/>
          <w:szCs w:val="16"/>
          <w:color w:val="0071CE"/>
        </w:rPr>
      </w:pPr>
      <w:r>
        <w:rPr>
          <w:rFonts w:ascii="Arial" w:cs="Arial" w:eastAsia="Arial" w:hAnsi="Arial"/>
          <w:sz w:val="16"/>
          <w:szCs w:val="16"/>
          <w:color w:val="auto"/>
        </w:rPr>
        <w:t>SEQUOIA, a potentially pivotal multi-center, multi-dose, placebo-controlled, adaptive Phase 2/3 study to evaluate the safety, efficacy and tolerability of ARO-AAT, administered subcutaneously to patients with alpha-1 antitrypsin deficiency</w:t>
      </w:r>
    </w:p>
    <w:p>
      <w:pPr>
        <w:spacing w:after="0" w:line="100" w:lineRule="exact"/>
        <w:rPr>
          <w:rFonts w:ascii="Arial" w:cs="Arial" w:eastAsia="Arial" w:hAnsi="Arial"/>
          <w:sz w:val="16"/>
          <w:szCs w:val="16"/>
          <w:color w:val="0071CE"/>
        </w:rPr>
      </w:pPr>
    </w:p>
    <w:p>
      <w:pPr>
        <w:ind w:left="660" w:right="60" w:hanging="220"/>
        <w:spacing w:after="0" w:line="260" w:lineRule="auto"/>
        <w:tabs>
          <w:tab w:leader="none" w:pos="660" w:val="left"/>
        </w:tabs>
        <w:numPr>
          <w:ilvl w:val="1"/>
          <w:numId w:val="34"/>
        </w:numPr>
        <w:rPr>
          <w:rFonts w:ascii="Arial" w:cs="Arial" w:eastAsia="Arial" w:hAnsi="Arial"/>
          <w:sz w:val="16"/>
          <w:szCs w:val="16"/>
          <w:color w:val="0071CE"/>
        </w:rPr>
      </w:pPr>
      <w:r>
        <w:rPr>
          <w:rFonts w:ascii="Arial" w:cs="Arial" w:eastAsia="Arial" w:hAnsi="Arial"/>
          <w:sz w:val="16"/>
          <w:szCs w:val="16"/>
          <w:color w:val="auto"/>
        </w:rPr>
        <w:t>AROAAT2002, a pilot open-label, multi-dose, Phase 2 study to assess changes in a novel histological activity scale in response to ARO-AAT over time in patients with alpha-1 antitrypsin deficiency associated liver disease.</w:t>
      </w:r>
    </w:p>
    <w:p>
      <w:pPr>
        <w:spacing w:after="0" w:line="100" w:lineRule="exact"/>
        <w:rPr>
          <w:rFonts w:ascii="Arial" w:cs="Arial" w:eastAsia="Arial" w:hAnsi="Arial"/>
          <w:sz w:val="16"/>
          <w:szCs w:val="16"/>
          <w:color w:val="0071CE"/>
        </w:rPr>
      </w:pPr>
    </w:p>
    <w:p>
      <w:pPr>
        <w:ind w:left="440" w:hanging="216"/>
        <w:spacing w:after="0" w:line="251" w:lineRule="auto"/>
        <w:tabs>
          <w:tab w:leader="none" w:pos="440" w:val="left"/>
        </w:tabs>
        <w:numPr>
          <w:ilvl w:val="0"/>
          <w:numId w:val="34"/>
        </w:numPr>
        <w:rPr>
          <w:rFonts w:ascii="Arial" w:cs="Arial" w:eastAsia="Arial" w:hAnsi="Arial"/>
          <w:sz w:val="16"/>
          <w:szCs w:val="16"/>
          <w:color w:val="0071CE"/>
        </w:rPr>
      </w:pPr>
      <w:r>
        <w:rPr>
          <w:rFonts w:ascii="Arial" w:cs="Arial" w:eastAsia="Arial" w:hAnsi="Arial"/>
          <w:sz w:val="16"/>
          <w:szCs w:val="16"/>
          <w:color w:val="auto"/>
        </w:rPr>
        <w:t>2020: Presented new clinical data showing ARO-AAT strongly reduced the production of mutant Z-AAT protein and led to improvements in multiple biomarkers of alpha-1 liver disease; Signed an agreement with Takeda to co-develop and co-commercialize ARO-AAT earning a $300 million up-front payment and $740 million in potential milestone payments, as well as a 50/50 profit sharing agreement in the United States, and 20-25% royalties on sales outside of the United States.</w:t>
      </w:r>
    </w:p>
    <w:p>
      <w:pPr>
        <w:spacing w:after="0" w:line="107" w:lineRule="exact"/>
        <w:rPr>
          <w:rFonts w:ascii="Arial" w:cs="Arial" w:eastAsia="Arial" w:hAnsi="Arial"/>
          <w:sz w:val="16"/>
          <w:szCs w:val="16"/>
          <w:color w:val="0071CE"/>
        </w:rPr>
      </w:pPr>
    </w:p>
    <w:p>
      <w:pPr>
        <w:ind w:left="440" w:right="240" w:hanging="216"/>
        <w:spacing w:after="0" w:line="260" w:lineRule="auto"/>
        <w:tabs>
          <w:tab w:leader="none" w:pos="440" w:val="left"/>
        </w:tabs>
        <w:numPr>
          <w:ilvl w:val="0"/>
          <w:numId w:val="34"/>
        </w:numPr>
        <w:rPr>
          <w:rFonts w:ascii="Arial" w:cs="Arial" w:eastAsia="Arial" w:hAnsi="Arial"/>
          <w:sz w:val="16"/>
          <w:szCs w:val="16"/>
          <w:color w:val="0071CE"/>
        </w:rPr>
      </w:pPr>
      <w:r>
        <w:rPr>
          <w:rFonts w:ascii="Arial" w:cs="Arial" w:eastAsia="Arial" w:hAnsi="Arial"/>
          <w:sz w:val="16"/>
          <w:szCs w:val="16"/>
          <w:color w:val="auto"/>
        </w:rPr>
        <w:t>2021: Granted Breakthrough Therapy Designation. Reported interim clinical data showing that ARO-AAT reduced the production of Z-AAT protein, reduced histological globule burden, improved liver fibrosis and improved biomarkers of liver health.</w:t>
      </w:r>
    </w:p>
    <w:p>
      <w:pPr>
        <w:spacing w:after="0" w:line="175" w:lineRule="exact"/>
        <w:rPr>
          <w:sz w:val="20"/>
          <w:szCs w:val="20"/>
          <w:color w:val="auto"/>
        </w:rPr>
      </w:pPr>
    </w:p>
    <w:p>
      <w:pPr>
        <w:ind w:left="120"/>
        <w:spacing w:after="0" w:line="266" w:lineRule="auto"/>
        <w:rPr>
          <w:sz w:val="20"/>
          <w:szCs w:val="20"/>
          <w:color w:val="auto"/>
        </w:rPr>
      </w:pPr>
      <w:r>
        <w:rPr>
          <w:rFonts w:ascii="Arial" w:cs="Arial" w:eastAsia="Arial" w:hAnsi="Arial"/>
          <w:sz w:val="16"/>
          <w:szCs w:val="16"/>
          <w:b w:val="1"/>
          <w:bCs w:val="1"/>
          <w:color w:val="auto"/>
        </w:rPr>
        <w:t xml:space="preserve">JNJ-3989 (formerly ARO-HBV) </w:t>
      </w:r>
      <w:r>
        <w:rPr>
          <w:rFonts w:ascii="Arial" w:cs="Arial" w:eastAsia="Arial" w:hAnsi="Arial"/>
          <w:sz w:val="16"/>
          <w:szCs w:val="16"/>
          <w:color w:val="auto"/>
        </w:rPr>
        <w:t>is an RNAi therapeutic candidate for the treatment of chronic hepatitis B infection with the goal of achieving a functional</w:t>
      </w:r>
      <w:r>
        <w:rPr>
          <w:rFonts w:ascii="Arial" w:cs="Arial" w:eastAsia="Arial" w:hAnsi="Arial"/>
          <w:sz w:val="16"/>
          <w:szCs w:val="16"/>
          <w:b w:val="1"/>
          <w:bCs w:val="1"/>
          <w:color w:val="auto"/>
        </w:rPr>
        <w:t xml:space="preserve"> </w:t>
      </w:r>
      <w:r>
        <w:rPr>
          <w:rFonts w:ascii="Arial" w:cs="Arial" w:eastAsia="Arial" w:hAnsi="Arial"/>
          <w:sz w:val="16"/>
          <w:szCs w:val="16"/>
          <w:color w:val="auto"/>
        </w:rPr>
        <w:t>cure. JNJ-3989 (ARO-HBV) is a next-generation subcutaneously administered compound that follows previous generation HBV compounds ARC-520 and ARC-521.</w:t>
      </w:r>
    </w:p>
    <w:p>
      <w:pPr>
        <w:spacing w:after="0" w:line="97" w:lineRule="exact"/>
        <w:rPr>
          <w:sz w:val="20"/>
          <w:szCs w:val="20"/>
          <w:color w:val="auto"/>
        </w:rPr>
      </w:pPr>
    </w:p>
    <w:p>
      <w:pPr>
        <w:ind w:left="440" w:hanging="216"/>
        <w:spacing w:after="0"/>
        <w:tabs>
          <w:tab w:leader="none" w:pos="440" w:val="left"/>
        </w:tabs>
        <w:numPr>
          <w:ilvl w:val="0"/>
          <w:numId w:val="35"/>
        </w:numPr>
        <w:rPr>
          <w:rFonts w:ascii="Arial" w:cs="Arial" w:eastAsia="Arial" w:hAnsi="Arial"/>
          <w:sz w:val="16"/>
          <w:szCs w:val="16"/>
          <w:color w:val="0071CE"/>
        </w:rPr>
      </w:pPr>
      <w:r>
        <w:rPr>
          <w:rFonts w:ascii="Arial" w:cs="Arial" w:eastAsia="Arial" w:hAnsi="Arial"/>
          <w:sz w:val="16"/>
          <w:szCs w:val="16"/>
          <w:color w:val="auto"/>
        </w:rPr>
        <w:t>2017: JNJ-3989 (ARO-HBV) nominated; CTA filed.</w:t>
      </w:r>
    </w:p>
    <w:p>
      <w:pPr>
        <w:spacing w:after="0" w:line="121" w:lineRule="exact"/>
        <w:rPr>
          <w:rFonts w:ascii="Arial" w:cs="Arial" w:eastAsia="Arial" w:hAnsi="Arial"/>
          <w:sz w:val="16"/>
          <w:szCs w:val="16"/>
          <w:color w:val="0071CE"/>
        </w:rPr>
      </w:pPr>
    </w:p>
    <w:p>
      <w:pPr>
        <w:ind w:left="440" w:right="920" w:hanging="216"/>
        <w:spacing w:after="0" w:line="188" w:lineRule="auto"/>
        <w:tabs>
          <w:tab w:leader="none" w:pos="440" w:val="left"/>
        </w:tabs>
        <w:numPr>
          <w:ilvl w:val="0"/>
          <w:numId w:val="35"/>
        </w:numPr>
        <w:rPr>
          <w:rFonts w:ascii="Arial" w:cs="Arial" w:eastAsia="Arial" w:hAnsi="Arial"/>
          <w:sz w:val="16"/>
          <w:szCs w:val="16"/>
          <w:color w:val="0071CE"/>
        </w:rPr>
      </w:pPr>
      <w:r>
        <w:rPr>
          <w:rFonts w:ascii="Arial" w:cs="Arial" w:eastAsia="Arial" w:hAnsi="Arial"/>
          <w:sz w:val="16"/>
          <w:szCs w:val="16"/>
          <w:color w:val="auto"/>
        </w:rPr>
        <w:t>2018: Clinical trial commenced. Clinical data presented at the World Gastroenterologists Summit and at the AASLD Liver Meeting</w:t>
      </w:r>
      <w:r>
        <w:rPr>
          <w:rFonts w:ascii="Arial" w:cs="Arial" w:eastAsia="Arial" w:hAnsi="Arial"/>
          <w:sz w:val="27"/>
          <w:szCs w:val="27"/>
          <w:color w:val="auto"/>
          <w:vertAlign w:val="superscript"/>
        </w:rPr>
        <w:t>®</w:t>
      </w:r>
      <w:r>
        <w:rPr>
          <w:rFonts w:ascii="Arial" w:cs="Arial" w:eastAsia="Arial" w:hAnsi="Arial"/>
          <w:sz w:val="16"/>
          <w:szCs w:val="16"/>
          <w:color w:val="auto"/>
        </w:rPr>
        <w:t xml:space="preserve"> 2018 demonstrating: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90170</wp:posOffset>
            </wp:positionV>
            <wp:extent cx="986155" cy="2057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1CE"/>
        </w:rPr>
        <w:t>20</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2022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65" w:lineRule="exact"/>
        <w:rPr>
          <w:sz w:val="20"/>
          <w:szCs w:val="20"/>
          <w:color w:val="auto"/>
        </w:rPr>
      </w:pPr>
    </w:p>
    <w:p>
      <w:pPr>
        <w:ind w:left="660" w:hanging="220"/>
        <w:spacing w:after="0"/>
        <w:tabs>
          <w:tab w:leader="none" w:pos="660" w:val="left"/>
        </w:tabs>
        <w:numPr>
          <w:ilvl w:val="1"/>
          <w:numId w:val="36"/>
        </w:numPr>
        <w:rPr>
          <w:rFonts w:ascii="Arial" w:cs="Arial" w:eastAsia="Arial" w:hAnsi="Arial"/>
          <w:sz w:val="16"/>
          <w:szCs w:val="16"/>
          <w:color w:val="0071CE"/>
        </w:rPr>
      </w:pPr>
      <w:r>
        <w:rPr>
          <w:rFonts w:ascii="Arial" w:cs="Arial" w:eastAsia="Arial" w:hAnsi="Arial"/>
          <w:sz w:val="16"/>
          <w:szCs w:val="16"/>
          <w:color w:val="auto"/>
        </w:rPr>
        <w:t>Mean HBsAg reduction of -1.9 Log10 (-98.7%) with a range of -1.3 Log10 (-95.0%) to -3.8 Log10 (-99.98%).</w:t>
      </w:r>
    </w:p>
    <w:p>
      <w:pPr>
        <w:spacing w:after="0" w:line="126" w:lineRule="exact"/>
        <w:rPr>
          <w:rFonts w:ascii="Arial" w:cs="Arial" w:eastAsia="Arial" w:hAnsi="Arial"/>
          <w:sz w:val="16"/>
          <w:szCs w:val="16"/>
          <w:color w:val="0071CE"/>
        </w:rPr>
      </w:pPr>
    </w:p>
    <w:p>
      <w:pPr>
        <w:ind w:left="660" w:hanging="220"/>
        <w:spacing w:after="0"/>
        <w:tabs>
          <w:tab w:leader="none" w:pos="660" w:val="left"/>
        </w:tabs>
        <w:numPr>
          <w:ilvl w:val="1"/>
          <w:numId w:val="36"/>
        </w:numPr>
        <w:rPr>
          <w:rFonts w:ascii="Arial" w:cs="Arial" w:eastAsia="Arial" w:hAnsi="Arial"/>
          <w:sz w:val="16"/>
          <w:szCs w:val="16"/>
          <w:color w:val="0071CE"/>
        </w:rPr>
      </w:pPr>
      <w:r>
        <w:rPr>
          <w:rFonts w:ascii="Arial" w:cs="Arial" w:eastAsia="Arial" w:hAnsi="Arial"/>
          <w:sz w:val="16"/>
          <w:szCs w:val="16"/>
          <w:color w:val="auto"/>
        </w:rPr>
        <w:t>JNJ-3989 (ARO-HBV) appeared to be well-tolerated at monthly doses up to 400 mg.</w:t>
      </w:r>
    </w:p>
    <w:p>
      <w:pPr>
        <w:spacing w:after="0" w:line="126" w:lineRule="exact"/>
        <w:rPr>
          <w:rFonts w:ascii="Arial" w:cs="Arial" w:eastAsia="Arial" w:hAnsi="Arial"/>
          <w:sz w:val="16"/>
          <w:szCs w:val="16"/>
          <w:color w:val="0071CE"/>
        </w:rPr>
      </w:pPr>
    </w:p>
    <w:p>
      <w:pPr>
        <w:ind w:left="440" w:right="160" w:hanging="216"/>
        <w:spacing w:after="0" w:line="202" w:lineRule="auto"/>
        <w:tabs>
          <w:tab w:leader="none" w:pos="440" w:val="left"/>
        </w:tabs>
        <w:numPr>
          <w:ilvl w:val="0"/>
          <w:numId w:val="36"/>
        </w:numPr>
        <w:rPr>
          <w:rFonts w:ascii="Arial" w:cs="Arial" w:eastAsia="Arial" w:hAnsi="Arial"/>
          <w:sz w:val="16"/>
          <w:szCs w:val="16"/>
          <w:color w:val="0071CE"/>
        </w:rPr>
      </w:pPr>
      <w:r>
        <w:rPr>
          <w:rFonts w:ascii="Arial" w:cs="Arial" w:eastAsia="Arial" w:hAnsi="Arial"/>
          <w:sz w:val="16"/>
          <w:szCs w:val="16"/>
          <w:color w:val="auto"/>
        </w:rPr>
        <w:t>2018: Signed a license agreement with Janssen Pharmaceuticals, Inc., part of the Janssen Pharmaceuticals Companies of Johnson &amp; Johnson, for JNJ-3989 (ARO-HBV) and a collaboration agreement for up to three RNAi therapeutic candidates that use our proprietary TRiM</w:t>
      </w:r>
      <w:r>
        <w:rPr>
          <w:rFonts w:ascii="Arial" w:cs="Arial" w:eastAsia="Arial" w:hAnsi="Arial"/>
          <w:sz w:val="27"/>
          <w:szCs w:val="27"/>
          <w:color w:val="auto"/>
          <w:vertAlign w:val="superscript"/>
        </w:rPr>
        <w:t>™</w:t>
      </w:r>
      <w:r>
        <w:rPr>
          <w:rFonts w:ascii="Arial" w:cs="Arial" w:eastAsia="Arial" w:hAnsi="Arial"/>
          <w:sz w:val="16"/>
          <w:szCs w:val="16"/>
          <w:color w:val="auto"/>
        </w:rPr>
        <w:t xml:space="preserve"> platform against new targets to be selected by Janssen.</w:t>
      </w:r>
    </w:p>
    <w:p>
      <w:pPr>
        <w:spacing w:after="0" w:line="117" w:lineRule="exact"/>
        <w:rPr>
          <w:rFonts w:ascii="Arial" w:cs="Arial" w:eastAsia="Arial" w:hAnsi="Arial"/>
          <w:sz w:val="16"/>
          <w:szCs w:val="16"/>
          <w:color w:val="0071CE"/>
        </w:rPr>
      </w:pPr>
    </w:p>
    <w:p>
      <w:pPr>
        <w:ind w:left="660" w:hanging="220"/>
        <w:spacing w:after="0"/>
        <w:tabs>
          <w:tab w:leader="none" w:pos="660" w:val="left"/>
        </w:tabs>
        <w:numPr>
          <w:ilvl w:val="1"/>
          <w:numId w:val="36"/>
        </w:numPr>
        <w:rPr>
          <w:rFonts w:ascii="Arial" w:cs="Arial" w:eastAsia="Arial" w:hAnsi="Arial"/>
          <w:sz w:val="16"/>
          <w:szCs w:val="16"/>
          <w:color w:val="0071CE"/>
        </w:rPr>
      </w:pPr>
      <w:r>
        <w:rPr>
          <w:rFonts w:ascii="Arial" w:cs="Arial" w:eastAsia="Arial" w:hAnsi="Arial"/>
          <w:sz w:val="16"/>
          <w:szCs w:val="16"/>
          <w:color w:val="auto"/>
        </w:rPr>
        <w:t>The total potential deal value is approximately $3.7 billion plus royalties on commercial sales.</w:t>
      </w:r>
    </w:p>
    <w:p>
      <w:pPr>
        <w:spacing w:after="0" w:line="126" w:lineRule="exact"/>
        <w:rPr>
          <w:rFonts w:ascii="Arial" w:cs="Arial" w:eastAsia="Arial" w:hAnsi="Arial"/>
          <w:sz w:val="16"/>
          <w:szCs w:val="16"/>
          <w:color w:val="0071CE"/>
        </w:rPr>
      </w:pPr>
    </w:p>
    <w:p>
      <w:pPr>
        <w:ind w:left="660" w:right="240" w:hanging="220"/>
        <w:spacing w:after="0" w:line="260" w:lineRule="auto"/>
        <w:tabs>
          <w:tab w:leader="none" w:pos="660" w:val="left"/>
        </w:tabs>
        <w:numPr>
          <w:ilvl w:val="1"/>
          <w:numId w:val="36"/>
        </w:numPr>
        <w:rPr>
          <w:rFonts w:ascii="Arial" w:cs="Arial" w:eastAsia="Arial" w:hAnsi="Arial"/>
          <w:sz w:val="16"/>
          <w:szCs w:val="16"/>
          <w:color w:val="0071CE"/>
        </w:rPr>
      </w:pPr>
      <w:r>
        <w:rPr>
          <w:rFonts w:ascii="Arial" w:cs="Arial" w:eastAsia="Arial" w:hAnsi="Arial"/>
          <w:sz w:val="16"/>
          <w:szCs w:val="16"/>
          <w:color w:val="auto"/>
        </w:rPr>
        <w:t>Received $175 million as an upfront payment and received $75 million in the form of an equity investment by Johnson &amp; Johnson Innovation — JJDC, Inc., at a premium price of $23.00 per share of Arrowhead common stock.</w:t>
      </w:r>
    </w:p>
    <w:p>
      <w:pPr>
        <w:spacing w:after="0" w:line="100" w:lineRule="exact"/>
        <w:rPr>
          <w:rFonts w:ascii="Arial" w:cs="Arial" w:eastAsia="Arial" w:hAnsi="Arial"/>
          <w:sz w:val="16"/>
          <w:szCs w:val="16"/>
          <w:color w:val="0071CE"/>
        </w:rPr>
      </w:pPr>
    </w:p>
    <w:p>
      <w:pPr>
        <w:ind w:left="440" w:hanging="216"/>
        <w:spacing w:after="0"/>
        <w:tabs>
          <w:tab w:leader="none" w:pos="440" w:val="left"/>
        </w:tabs>
        <w:numPr>
          <w:ilvl w:val="0"/>
          <w:numId w:val="36"/>
        </w:numPr>
        <w:rPr>
          <w:rFonts w:ascii="Arial" w:cs="Arial" w:eastAsia="Arial" w:hAnsi="Arial"/>
          <w:sz w:val="16"/>
          <w:szCs w:val="16"/>
          <w:color w:val="0071CE"/>
        </w:rPr>
      </w:pPr>
      <w:r>
        <w:rPr>
          <w:rFonts w:ascii="Arial" w:cs="Arial" w:eastAsia="Arial" w:hAnsi="Arial"/>
          <w:sz w:val="16"/>
          <w:szCs w:val="16"/>
          <w:color w:val="auto"/>
        </w:rPr>
        <w:t>2019: Arrowhead initiated dosing in the triple combination cohort (cohort 12) in its ongoing Phase 1/2 study of JNJ-3989 (ARO-HBV) earning a</w:t>
      </w:r>
    </w:p>
    <w:p>
      <w:pPr>
        <w:spacing w:after="0" w:line="5" w:lineRule="exact"/>
        <w:rPr>
          <w:rFonts w:ascii="Arial" w:cs="Arial" w:eastAsia="Arial" w:hAnsi="Arial"/>
          <w:sz w:val="16"/>
          <w:szCs w:val="16"/>
          <w:color w:val="0071CE"/>
        </w:rPr>
      </w:pPr>
    </w:p>
    <w:p>
      <w:pPr>
        <w:ind w:left="440" w:right="200"/>
        <w:spacing w:after="0" w:line="260" w:lineRule="auto"/>
        <w:rPr>
          <w:rFonts w:ascii="Arial" w:cs="Arial" w:eastAsia="Arial" w:hAnsi="Arial"/>
          <w:sz w:val="16"/>
          <w:szCs w:val="16"/>
          <w:color w:val="0071CE"/>
        </w:rPr>
      </w:pPr>
      <w:r>
        <w:rPr>
          <w:rFonts w:ascii="Arial" w:cs="Arial" w:eastAsia="Arial" w:hAnsi="Arial"/>
          <w:sz w:val="16"/>
          <w:szCs w:val="16"/>
          <w:color w:val="auto"/>
        </w:rPr>
        <w:t>$25 million milestone payment. Arrowhead earned an additional $25 million milestone payment following the initiation of dosing in Janssen’s phase 2b study of JNJ-3989 (ARO-HBV).</w:t>
      </w:r>
    </w:p>
    <w:p>
      <w:pPr>
        <w:spacing w:after="0" w:line="100" w:lineRule="exact"/>
        <w:rPr>
          <w:rFonts w:ascii="Arial" w:cs="Arial" w:eastAsia="Arial" w:hAnsi="Arial"/>
          <w:sz w:val="16"/>
          <w:szCs w:val="16"/>
          <w:color w:val="0071CE"/>
        </w:rPr>
      </w:pPr>
    </w:p>
    <w:p>
      <w:pPr>
        <w:ind w:left="440" w:right="100" w:hanging="216"/>
        <w:spacing w:after="0" w:line="249" w:lineRule="auto"/>
        <w:tabs>
          <w:tab w:leader="none" w:pos="440" w:val="left"/>
        </w:tabs>
        <w:numPr>
          <w:ilvl w:val="0"/>
          <w:numId w:val="36"/>
        </w:numPr>
        <w:rPr>
          <w:rFonts w:ascii="Arial" w:cs="Arial" w:eastAsia="Arial" w:hAnsi="Arial"/>
          <w:sz w:val="16"/>
          <w:szCs w:val="16"/>
          <w:color w:val="0071CE"/>
        </w:rPr>
      </w:pPr>
      <w:r>
        <w:rPr>
          <w:rFonts w:ascii="Arial" w:cs="Arial" w:eastAsia="Arial" w:hAnsi="Arial"/>
          <w:sz w:val="16"/>
          <w:szCs w:val="16"/>
          <w:color w:val="auto"/>
        </w:rPr>
        <w:t>2021: Janssen presented clinical data from REEF-1, a Phase 2b study of different combination regimens, including JNJ-3989, and/or JNJ-56136379 (JNJ-6379), and a nucleos(t)ide analog (NA) for the treatment of chronic hepatitis B virus infection (CHB). The data showed that all regimens in the study were generally well tolerated and had a favorable safety profile, and a dose dependent response, with the following results for the JNJ-3989 200 mg (highest dose) arm at Week 48: (a) 19.1% of patients met the primary endpoint (NA stopping criteria (ALT less than 3 times upper limit of normal, HBV DNA less than the lower limit of quantitation, HBeAg negative, and HBsAg less than 10 IU/mL)) and (b) 74.7% of patients achieving HBsAg &lt;100 IU/mL.</w:t>
      </w:r>
    </w:p>
    <w:p>
      <w:pPr>
        <w:spacing w:after="0" w:line="185" w:lineRule="exact"/>
        <w:rPr>
          <w:sz w:val="20"/>
          <w:szCs w:val="20"/>
          <w:color w:val="auto"/>
        </w:rPr>
      </w:pPr>
    </w:p>
    <w:p>
      <w:pPr>
        <w:ind w:left="120" w:right="140"/>
        <w:spacing w:after="0" w:line="286" w:lineRule="auto"/>
        <w:rPr>
          <w:sz w:val="20"/>
          <w:szCs w:val="20"/>
          <w:color w:val="auto"/>
        </w:rPr>
      </w:pPr>
      <w:r>
        <w:rPr>
          <w:rFonts w:ascii="Arial" w:cs="Arial" w:eastAsia="Arial" w:hAnsi="Arial"/>
          <w:sz w:val="16"/>
          <w:szCs w:val="16"/>
          <w:b w:val="1"/>
          <w:bCs w:val="1"/>
          <w:color w:val="auto"/>
        </w:rPr>
        <w:t xml:space="preserve">Olpasiran (formerly AMG 890 and ARO-LPA) </w:t>
      </w:r>
      <w:r>
        <w:rPr>
          <w:rFonts w:ascii="Arial" w:cs="Arial" w:eastAsia="Arial" w:hAnsi="Arial"/>
          <w:sz w:val="16"/>
          <w:szCs w:val="16"/>
          <w:color w:val="auto"/>
        </w:rPr>
        <w:t>is designed to reduce production of apolipoprotein A, a key component of lipoprotein(a), which has been</w:t>
      </w:r>
      <w:r>
        <w:rPr>
          <w:rFonts w:ascii="Arial" w:cs="Arial" w:eastAsia="Arial" w:hAnsi="Arial"/>
          <w:sz w:val="16"/>
          <w:szCs w:val="16"/>
          <w:b w:val="1"/>
          <w:bCs w:val="1"/>
          <w:color w:val="auto"/>
        </w:rPr>
        <w:t xml:space="preserve"> </w:t>
      </w:r>
      <w:r>
        <w:rPr>
          <w:rFonts w:ascii="Arial" w:cs="Arial" w:eastAsia="Arial" w:hAnsi="Arial"/>
          <w:sz w:val="16"/>
          <w:szCs w:val="16"/>
          <w:color w:val="auto"/>
        </w:rPr>
        <w:t>genetically linked with increased risk of cardiovascular diseases, independent of cholesterol and LDL levels.</w:t>
      </w:r>
    </w:p>
    <w:p>
      <w:pPr>
        <w:spacing w:after="0" w:line="61" w:lineRule="exact"/>
        <w:rPr>
          <w:sz w:val="20"/>
          <w:szCs w:val="20"/>
          <w:color w:val="auto"/>
        </w:rPr>
      </w:pPr>
    </w:p>
    <w:p>
      <w:pPr>
        <w:ind w:left="440" w:hanging="216"/>
        <w:spacing w:after="0"/>
        <w:tabs>
          <w:tab w:leader="none" w:pos="440" w:val="left"/>
        </w:tabs>
        <w:numPr>
          <w:ilvl w:val="0"/>
          <w:numId w:val="37"/>
        </w:numPr>
        <w:rPr>
          <w:rFonts w:ascii="Arial" w:cs="Arial" w:eastAsia="Arial" w:hAnsi="Arial"/>
          <w:sz w:val="16"/>
          <w:szCs w:val="16"/>
          <w:color w:val="0071CE"/>
        </w:rPr>
      </w:pPr>
      <w:r>
        <w:rPr>
          <w:rFonts w:ascii="Arial" w:cs="Arial" w:eastAsia="Arial" w:hAnsi="Arial"/>
          <w:sz w:val="16"/>
          <w:szCs w:val="16"/>
          <w:color w:val="auto"/>
        </w:rPr>
        <w:t>2016: Amgen, Inc. (“</w:t>
      </w:r>
      <w:r>
        <w:rPr>
          <w:rFonts w:ascii="Arial" w:cs="Arial" w:eastAsia="Arial" w:hAnsi="Arial"/>
          <w:sz w:val="16"/>
          <w:szCs w:val="16"/>
          <w:b w:val="1"/>
          <w:bCs w:val="1"/>
          <w:color w:val="auto"/>
        </w:rPr>
        <w:t>Amgen</w:t>
      </w:r>
      <w:r>
        <w:rPr>
          <w:rFonts w:ascii="Arial" w:cs="Arial" w:eastAsia="Arial" w:hAnsi="Arial"/>
          <w:sz w:val="16"/>
          <w:szCs w:val="16"/>
          <w:color w:val="auto"/>
        </w:rPr>
        <w:t>”) acquired a worldwide, exclusive license to develop and commercialize AMG 890 (ARO-LPA).</w:t>
      </w:r>
    </w:p>
    <w:p>
      <w:pPr>
        <w:spacing w:after="0" w:line="146" w:lineRule="exact"/>
        <w:rPr>
          <w:rFonts w:ascii="Arial" w:cs="Arial" w:eastAsia="Arial" w:hAnsi="Arial"/>
          <w:sz w:val="16"/>
          <w:szCs w:val="16"/>
          <w:color w:val="0071CE"/>
        </w:rPr>
      </w:pPr>
    </w:p>
    <w:p>
      <w:pPr>
        <w:ind w:left="440" w:right="500" w:hanging="216"/>
        <w:spacing w:after="0" w:line="260" w:lineRule="auto"/>
        <w:tabs>
          <w:tab w:leader="none" w:pos="440" w:val="left"/>
        </w:tabs>
        <w:numPr>
          <w:ilvl w:val="0"/>
          <w:numId w:val="37"/>
        </w:numPr>
        <w:rPr>
          <w:rFonts w:ascii="Arial" w:cs="Arial" w:eastAsia="Arial" w:hAnsi="Arial"/>
          <w:sz w:val="16"/>
          <w:szCs w:val="16"/>
          <w:color w:val="0071CE"/>
        </w:rPr>
      </w:pPr>
      <w:r>
        <w:rPr>
          <w:rFonts w:ascii="Arial" w:cs="Arial" w:eastAsia="Arial" w:hAnsi="Arial"/>
          <w:sz w:val="16"/>
          <w:szCs w:val="16"/>
          <w:color w:val="auto"/>
        </w:rPr>
        <w:t>2018: Amgen administered the first dose of olpasiran (AMG 890 / ARO-LPA) in a Phase 1 clinical study, which earned Arrowhead a $10 million milestone payment.</w:t>
      </w:r>
    </w:p>
    <w:p>
      <w:pPr>
        <w:spacing w:after="0" w:line="100" w:lineRule="exact"/>
        <w:rPr>
          <w:rFonts w:ascii="Arial" w:cs="Arial" w:eastAsia="Arial" w:hAnsi="Arial"/>
          <w:sz w:val="16"/>
          <w:szCs w:val="16"/>
          <w:color w:val="0071CE"/>
        </w:rPr>
      </w:pPr>
    </w:p>
    <w:p>
      <w:pPr>
        <w:ind w:left="440" w:right="500" w:hanging="216"/>
        <w:spacing w:after="0" w:line="260" w:lineRule="auto"/>
        <w:tabs>
          <w:tab w:leader="none" w:pos="440" w:val="left"/>
        </w:tabs>
        <w:numPr>
          <w:ilvl w:val="0"/>
          <w:numId w:val="37"/>
        </w:numPr>
        <w:rPr>
          <w:rFonts w:ascii="Arial" w:cs="Arial" w:eastAsia="Arial" w:hAnsi="Arial"/>
          <w:sz w:val="16"/>
          <w:szCs w:val="16"/>
          <w:color w:val="0071CE"/>
        </w:rPr>
      </w:pPr>
      <w:r>
        <w:rPr>
          <w:rFonts w:ascii="Arial" w:cs="Arial" w:eastAsia="Arial" w:hAnsi="Arial"/>
          <w:sz w:val="16"/>
          <w:szCs w:val="16"/>
          <w:color w:val="auto"/>
        </w:rPr>
        <w:t>2020: Amgen administered the first dose of olpasiran (AMG 890 / ARO-LPA) in a Phase 2 clinical study, which earned Arrowhead a $20 million milestone payment.</w:t>
      </w:r>
    </w:p>
    <w:p>
      <w:pPr>
        <w:spacing w:after="0" w:line="175" w:lineRule="exact"/>
        <w:rPr>
          <w:sz w:val="20"/>
          <w:szCs w:val="20"/>
          <w:color w:val="auto"/>
        </w:rPr>
      </w:pPr>
    </w:p>
    <w:p>
      <w:pPr>
        <w:ind w:left="120" w:right="80"/>
        <w:spacing w:after="0" w:line="286" w:lineRule="auto"/>
        <w:rPr>
          <w:sz w:val="20"/>
          <w:szCs w:val="20"/>
          <w:color w:val="auto"/>
        </w:rPr>
      </w:pPr>
      <w:r>
        <w:rPr>
          <w:rFonts w:ascii="Arial" w:cs="Arial" w:eastAsia="Arial" w:hAnsi="Arial"/>
          <w:sz w:val="16"/>
          <w:szCs w:val="16"/>
          <w:b w:val="1"/>
          <w:bCs w:val="1"/>
          <w:color w:val="auto"/>
        </w:rPr>
        <w:t xml:space="preserve">JNJ-75220795 </w:t>
      </w:r>
      <w:r>
        <w:rPr>
          <w:rFonts w:ascii="Arial" w:cs="Arial" w:eastAsia="Arial" w:hAnsi="Arial"/>
          <w:sz w:val="16"/>
          <w:szCs w:val="16"/>
          <w:color w:val="auto"/>
        </w:rPr>
        <w:t>is being developed as a potential treatment for nonalcoholic steatohepatitis</w:t>
      </w:r>
      <w:r>
        <w:rPr>
          <w:rFonts w:ascii="Arial" w:cs="Arial" w:eastAsia="Arial" w:hAnsi="Arial"/>
          <w:sz w:val="16"/>
          <w:szCs w:val="16"/>
          <w:b w:val="1"/>
          <w:bCs w:val="1"/>
          <w:color w:val="auto"/>
        </w:rPr>
        <w:t xml:space="preserve"> (“NASH</w:t>
      </w:r>
      <w:r>
        <w:rPr>
          <w:rFonts w:ascii="Arial" w:cs="Arial" w:eastAsia="Arial" w:hAnsi="Arial"/>
          <w:sz w:val="16"/>
          <w:szCs w:val="16"/>
          <w:color w:val="auto"/>
        </w:rPr>
        <w:t>”). JNJ-75220795 is designed to reduce expression in</w:t>
      </w:r>
      <w:r>
        <w:rPr>
          <w:rFonts w:ascii="Arial" w:cs="Arial" w:eastAsia="Arial" w:hAnsi="Arial"/>
          <w:sz w:val="16"/>
          <w:szCs w:val="16"/>
          <w:b w:val="1"/>
          <w:bCs w:val="1"/>
          <w:color w:val="auto"/>
        </w:rPr>
        <w:t xml:space="preserve"> </w:t>
      </w:r>
      <w:r>
        <w:rPr>
          <w:rFonts w:ascii="Arial" w:cs="Arial" w:eastAsia="Arial" w:hAnsi="Arial"/>
          <w:sz w:val="16"/>
          <w:szCs w:val="16"/>
          <w:color w:val="auto"/>
        </w:rPr>
        <w:t>the liver of patatin like phospholipase domain containing 3 (PNPLA3).</w:t>
      </w:r>
    </w:p>
    <w:p>
      <w:pPr>
        <w:spacing w:after="0" w:line="81" w:lineRule="exact"/>
        <w:rPr>
          <w:sz w:val="20"/>
          <w:szCs w:val="20"/>
          <w:color w:val="auto"/>
        </w:rPr>
      </w:pPr>
    </w:p>
    <w:p>
      <w:pPr>
        <w:ind w:left="440" w:hanging="216"/>
        <w:spacing w:after="0"/>
        <w:tabs>
          <w:tab w:leader="none" w:pos="440" w:val="left"/>
        </w:tabs>
        <w:numPr>
          <w:ilvl w:val="0"/>
          <w:numId w:val="38"/>
        </w:numPr>
        <w:rPr>
          <w:rFonts w:ascii="Arial" w:cs="Arial" w:eastAsia="Arial" w:hAnsi="Arial"/>
          <w:sz w:val="16"/>
          <w:szCs w:val="16"/>
          <w:color w:val="0071CE"/>
        </w:rPr>
      </w:pPr>
      <w:r>
        <w:rPr>
          <w:rFonts w:ascii="Arial" w:cs="Arial" w:eastAsia="Arial" w:hAnsi="Arial"/>
          <w:sz w:val="16"/>
          <w:szCs w:val="16"/>
          <w:color w:val="auto"/>
        </w:rPr>
        <w:t>2018: Entered into a research collaboration and option agreement with Janssen, which resulted in collaboration on JNJ-75220795.</w:t>
      </w:r>
    </w:p>
    <w:p>
      <w:pPr>
        <w:spacing w:after="0" w:line="126" w:lineRule="exact"/>
        <w:rPr>
          <w:rFonts w:ascii="Arial" w:cs="Arial" w:eastAsia="Arial" w:hAnsi="Arial"/>
          <w:sz w:val="16"/>
          <w:szCs w:val="16"/>
          <w:color w:val="0071CE"/>
        </w:rPr>
      </w:pPr>
    </w:p>
    <w:p>
      <w:pPr>
        <w:ind w:left="440" w:right="1080" w:hanging="216"/>
        <w:spacing w:after="0" w:line="260" w:lineRule="auto"/>
        <w:tabs>
          <w:tab w:leader="none" w:pos="440" w:val="left"/>
        </w:tabs>
        <w:numPr>
          <w:ilvl w:val="0"/>
          <w:numId w:val="38"/>
        </w:numPr>
        <w:rPr>
          <w:rFonts w:ascii="Arial" w:cs="Arial" w:eastAsia="Arial" w:hAnsi="Arial"/>
          <w:sz w:val="16"/>
          <w:szCs w:val="16"/>
          <w:color w:val="0071CE"/>
        </w:rPr>
      </w:pPr>
      <w:r>
        <w:rPr>
          <w:rFonts w:ascii="Arial" w:cs="Arial" w:eastAsia="Arial" w:hAnsi="Arial"/>
          <w:sz w:val="16"/>
          <w:szCs w:val="16"/>
          <w:color w:val="auto"/>
        </w:rPr>
        <w:t>2019: Janssen selected one of its three potential targets under the 2018 collaboration agreement and Arrowhead is developing a drug, JNJ-75220795 (formerly referred to as ARO-JNJ1), under the collaboration.</w:t>
      </w:r>
    </w:p>
    <w:p>
      <w:pPr>
        <w:spacing w:after="0" w:line="100" w:lineRule="exact"/>
        <w:rPr>
          <w:rFonts w:ascii="Arial" w:cs="Arial" w:eastAsia="Arial" w:hAnsi="Arial"/>
          <w:sz w:val="16"/>
          <w:szCs w:val="16"/>
          <w:color w:val="0071CE"/>
        </w:rPr>
      </w:pPr>
    </w:p>
    <w:p>
      <w:pPr>
        <w:ind w:left="440" w:right="380" w:hanging="216"/>
        <w:spacing w:after="0" w:line="253" w:lineRule="auto"/>
        <w:tabs>
          <w:tab w:leader="none" w:pos="440" w:val="left"/>
        </w:tabs>
        <w:numPr>
          <w:ilvl w:val="0"/>
          <w:numId w:val="38"/>
        </w:numPr>
        <w:rPr>
          <w:rFonts w:ascii="Arial" w:cs="Arial" w:eastAsia="Arial" w:hAnsi="Arial"/>
          <w:sz w:val="16"/>
          <w:szCs w:val="16"/>
          <w:color w:val="0071CE"/>
        </w:rPr>
      </w:pPr>
      <w:r>
        <w:rPr>
          <w:rFonts w:ascii="Arial" w:cs="Arial" w:eastAsia="Arial" w:hAnsi="Arial"/>
          <w:sz w:val="16"/>
          <w:szCs w:val="16"/>
          <w:color w:val="auto"/>
        </w:rPr>
        <w:t>2021: Janssen disclosed that it is collaborating with Arrowhead on JNJ-75220795 and dosed the first patients in a phase 1 clinical trial. Earned a $10 million option exercise fee from Janssen in connection with Janssen’s option to develop and commercialize JNJ-75220795, and a further $10 million milestone payment from Janssen after Janssen dosed the fifth patient in a Phase 1 clinical study of JNJ-75220795.</w:t>
      </w:r>
    </w:p>
    <w:p>
      <w:pPr>
        <w:spacing w:after="0" w:line="181" w:lineRule="exact"/>
        <w:rPr>
          <w:sz w:val="20"/>
          <w:szCs w:val="20"/>
          <w:color w:val="auto"/>
        </w:rPr>
      </w:pPr>
    </w:p>
    <w:p>
      <w:pPr>
        <w:ind w:left="120" w:right="240"/>
        <w:spacing w:after="0" w:line="259" w:lineRule="auto"/>
        <w:rPr>
          <w:sz w:val="20"/>
          <w:szCs w:val="20"/>
          <w:color w:val="auto"/>
        </w:rPr>
      </w:pPr>
      <w:r>
        <w:rPr>
          <w:rFonts w:ascii="Arial" w:cs="Arial" w:eastAsia="Arial" w:hAnsi="Arial"/>
          <w:sz w:val="16"/>
          <w:szCs w:val="16"/>
          <w:b w:val="1"/>
          <w:bCs w:val="1"/>
          <w:color w:val="auto"/>
        </w:rPr>
        <w:t xml:space="preserve">ARO-HSD </w:t>
      </w:r>
      <w:r>
        <w:rPr>
          <w:rFonts w:ascii="Arial" w:cs="Arial" w:eastAsia="Arial" w:hAnsi="Arial"/>
          <w:sz w:val="16"/>
          <w:szCs w:val="16"/>
          <w:color w:val="auto"/>
        </w:rPr>
        <w:t>is being developed as a treatment for patients with alcohol related and nonalcohol related liver diseases such as NASH. ARO-HSD is</w:t>
      </w:r>
      <w:r>
        <w:rPr>
          <w:rFonts w:ascii="Arial" w:cs="Arial" w:eastAsia="Arial" w:hAnsi="Arial"/>
          <w:sz w:val="16"/>
          <w:szCs w:val="16"/>
          <w:b w:val="1"/>
          <w:bCs w:val="1"/>
          <w:color w:val="auto"/>
        </w:rPr>
        <w:t xml:space="preserve"> </w:t>
      </w:r>
      <w:r>
        <w:rPr>
          <w:rFonts w:ascii="Arial" w:cs="Arial" w:eastAsia="Arial" w:hAnsi="Arial"/>
          <w:sz w:val="16"/>
          <w:szCs w:val="16"/>
          <w:color w:val="auto"/>
        </w:rPr>
        <w:t>designed to reduce the production of HSD17B13, a member of the hydroxysteroid dehydrogenase family involved in the metabolism of hormones, fatty acids and bile acids. Published genetic data indicate a loss of function mutation in HSD17B13 provides strong protection against alcoholic hepatitis, cirrhosis and NASH. This genetic validation gives us confidence about the target gene.</w:t>
      </w:r>
    </w:p>
    <w:p>
      <w:pPr>
        <w:spacing w:after="0" w:line="103" w:lineRule="exact"/>
        <w:rPr>
          <w:sz w:val="20"/>
          <w:szCs w:val="20"/>
          <w:color w:val="auto"/>
        </w:rPr>
      </w:pPr>
    </w:p>
    <w:p>
      <w:pPr>
        <w:ind w:left="440" w:hanging="216"/>
        <w:spacing w:after="0"/>
        <w:tabs>
          <w:tab w:leader="none" w:pos="440" w:val="left"/>
        </w:tabs>
        <w:numPr>
          <w:ilvl w:val="0"/>
          <w:numId w:val="39"/>
        </w:numPr>
        <w:rPr>
          <w:rFonts w:ascii="Arial" w:cs="Arial" w:eastAsia="Arial" w:hAnsi="Arial"/>
          <w:sz w:val="16"/>
          <w:szCs w:val="16"/>
          <w:color w:val="0071CE"/>
        </w:rPr>
      </w:pPr>
      <w:r>
        <w:rPr>
          <w:rFonts w:ascii="Arial" w:cs="Arial" w:eastAsia="Arial" w:hAnsi="Arial"/>
          <w:sz w:val="16"/>
          <w:szCs w:val="16"/>
          <w:color w:val="auto"/>
        </w:rPr>
        <w:t>2019: Clinical trial application filed.</w:t>
      </w:r>
    </w:p>
    <w:p>
      <w:pPr>
        <w:spacing w:after="0" w:line="126" w:lineRule="exact"/>
        <w:rPr>
          <w:rFonts w:ascii="Arial" w:cs="Arial" w:eastAsia="Arial" w:hAnsi="Arial"/>
          <w:sz w:val="16"/>
          <w:szCs w:val="16"/>
          <w:color w:val="0071CE"/>
        </w:rPr>
      </w:pPr>
    </w:p>
    <w:p>
      <w:pPr>
        <w:ind w:left="440" w:hanging="216"/>
        <w:spacing w:after="0"/>
        <w:tabs>
          <w:tab w:leader="none" w:pos="440" w:val="left"/>
        </w:tabs>
        <w:numPr>
          <w:ilvl w:val="0"/>
          <w:numId w:val="39"/>
        </w:numPr>
        <w:rPr>
          <w:rFonts w:ascii="Arial" w:cs="Arial" w:eastAsia="Arial" w:hAnsi="Arial"/>
          <w:sz w:val="16"/>
          <w:szCs w:val="16"/>
          <w:color w:val="0071CE"/>
        </w:rPr>
      </w:pPr>
      <w:r>
        <w:rPr>
          <w:rFonts w:ascii="Arial" w:cs="Arial" w:eastAsia="Arial" w:hAnsi="Arial"/>
          <w:sz w:val="16"/>
          <w:szCs w:val="16"/>
          <w:color w:val="auto"/>
        </w:rPr>
        <w:t>2020: Dosed first patients in a Phase 1/2 clinical study.</w:t>
      </w:r>
    </w:p>
    <w:p>
      <w:pPr>
        <w:spacing w:after="0" w:line="126" w:lineRule="exact"/>
        <w:rPr>
          <w:rFonts w:ascii="Arial" w:cs="Arial" w:eastAsia="Arial" w:hAnsi="Arial"/>
          <w:sz w:val="16"/>
          <w:szCs w:val="16"/>
          <w:color w:val="0071CE"/>
        </w:rPr>
      </w:pPr>
    </w:p>
    <w:p>
      <w:pPr>
        <w:ind w:left="440" w:right="260" w:hanging="216"/>
        <w:spacing w:after="0" w:line="250" w:lineRule="auto"/>
        <w:tabs>
          <w:tab w:leader="none" w:pos="440" w:val="left"/>
        </w:tabs>
        <w:numPr>
          <w:ilvl w:val="0"/>
          <w:numId w:val="39"/>
        </w:numPr>
        <w:rPr>
          <w:rFonts w:ascii="Arial" w:cs="Arial" w:eastAsia="Arial" w:hAnsi="Arial"/>
          <w:sz w:val="16"/>
          <w:szCs w:val="16"/>
          <w:color w:val="0071CE"/>
        </w:rPr>
      </w:pPr>
      <w:r>
        <w:rPr>
          <w:rFonts w:ascii="Arial" w:cs="Arial" w:eastAsia="Arial" w:hAnsi="Arial"/>
          <w:sz w:val="16"/>
          <w:szCs w:val="16"/>
          <w:color w:val="auto"/>
        </w:rPr>
        <w:t>2021: Entered into exclusive license agreement with GSK. Reported interim results showing that ARO-HSD was well-tolerated in patients, dose-dependent pharmacodynamic effect on hepatic HSD17B13 mRNA in all patients, Hepatic HSD17B13 protein level reduction at all ARO-HSD dose levels, with multiple measurements below the assay’s lower limit of quantitation, Decreases in ALT and AST at doses of 100 mg ARO-HSD and greater, liver fat reductions on MRI-PDFF in 9 of 18 patients, reduction in liver stiffness (kPa) on FibroScan in 6 of 17 patients and that pharmacodynamic effect was not impacted by HSD17B13 (rs72613567, T&gt;TA) or PNPLA3 (rs738409, C&gt;G) mutations.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84455</wp:posOffset>
            </wp:positionV>
            <wp:extent cx="986155" cy="2057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44" w:lineRule="exact"/>
        <w:rPr>
          <w:sz w:val="20"/>
          <w:szCs w:val="20"/>
          <w:color w:val="auto"/>
        </w:rPr>
      </w:pPr>
    </w:p>
    <w:p>
      <w:pPr>
        <w:ind w:left="10880"/>
        <w:spacing w:after="0"/>
        <w:rPr>
          <w:sz w:val="20"/>
          <w:szCs w:val="20"/>
          <w:color w:val="auto"/>
        </w:rPr>
      </w:pPr>
      <w:r>
        <w:rPr>
          <w:rFonts w:ascii="Arial" w:cs="Arial" w:eastAsia="Arial" w:hAnsi="Arial"/>
          <w:sz w:val="18"/>
          <w:szCs w:val="18"/>
          <w:b w:val="1"/>
          <w:bCs w:val="1"/>
          <w:color w:val="0071CE"/>
        </w:rPr>
        <w:t>21</w:t>
      </w:r>
    </w:p>
    <w:p>
      <w:pPr>
        <w:sectPr>
          <w:pgSz w:w="11900" w:h="16838" w:orient="portrait"/>
          <w:cols w:equalWidth="0" w:num="1">
            <w:col w:w="11140"/>
          </w:cols>
          <w:pgMar w:left="32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20"/>
        <w:spacing w:after="0"/>
        <w:tabs>
          <w:tab w:leader="none" w:pos="2020" w:val="left"/>
        </w:tabs>
        <w:rPr>
          <w:sz w:val="20"/>
          <w:szCs w:val="20"/>
          <w:color w:val="auto"/>
        </w:rPr>
      </w:pPr>
      <w:r>
        <w:rPr>
          <w:rFonts w:ascii="Arial" w:cs="Arial" w:eastAsia="Arial" w:hAnsi="Arial"/>
          <w:sz w:val="14"/>
          <w:szCs w:val="14"/>
          <w:b w:val="1"/>
          <w:bCs w:val="1"/>
          <w:color w:val="0071CE"/>
        </w:rPr>
        <w:t>2022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45" w:lineRule="exact"/>
        <w:rPr>
          <w:sz w:val="20"/>
          <w:szCs w:val="20"/>
          <w:color w:val="auto"/>
        </w:rPr>
      </w:pPr>
    </w:p>
    <w:p>
      <w:pPr>
        <w:ind w:left="120" w:right="980"/>
        <w:spacing w:after="0" w:line="286" w:lineRule="auto"/>
        <w:rPr>
          <w:sz w:val="20"/>
          <w:szCs w:val="20"/>
          <w:color w:val="auto"/>
        </w:rPr>
      </w:pPr>
      <w:r>
        <w:rPr>
          <w:rFonts w:ascii="Arial" w:cs="Arial" w:eastAsia="Arial" w:hAnsi="Arial"/>
          <w:sz w:val="16"/>
          <w:szCs w:val="16"/>
          <w:b w:val="1"/>
          <w:bCs w:val="1"/>
          <w:color w:val="auto"/>
        </w:rPr>
        <w:t xml:space="preserve">ARO-XDH </w:t>
      </w:r>
      <w:r>
        <w:rPr>
          <w:rFonts w:ascii="Arial" w:cs="Arial" w:eastAsia="Arial" w:hAnsi="Arial"/>
          <w:sz w:val="16"/>
          <w:szCs w:val="16"/>
          <w:color w:val="auto"/>
        </w:rPr>
        <w:t>is being developed as a treatment for patients with uncontrolled gout. ARO-XDH is designed to reduce the production of xanthine</w:t>
      </w:r>
      <w:r>
        <w:rPr>
          <w:rFonts w:ascii="Arial" w:cs="Arial" w:eastAsia="Arial" w:hAnsi="Arial"/>
          <w:sz w:val="16"/>
          <w:szCs w:val="16"/>
          <w:b w:val="1"/>
          <w:bCs w:val="1"/>
          <w:color w:val="auto"/>
        </w:rPr>
        <w:t xml:space="preserve"> </w:t>
      </w:r>
      <w:r>
        <w:rPr>
          <w:rFonts w:ascii="Arial" w:cs="Arial" w:eastAsia="Arial" w:hAnsi="Arial"/>
          <w:sz w:val="16"/>
          <w:szCs w:val="16"/>
          <w:color w:val="auto"/>
        </w:rPr>
        <w:t>dehydrogenase.</w:t>
      </w:r>
    </w:p>
    <w:p>
      <w:pPr>
        <w:spacing w:after="0" w:line="81" w:lineRule="exact"/>
        <w:rPr>
          <w:sz w:val="20"/>
          <w:szCs w:val="20"/>
          <w:color w:val="auto"/>
        </w:rPr>
      </w:pPr>
    </w:p>
    <w:p>
      <w:pPr>
        <w:ind w:left="440" w:hanging="216"/>
        <w:spacing w:after="0"/>
        <w:tabs>
          <w:tab w:leader="none" w:pos="440" w:val="left"/>
        </w:tabs>
        <w:numPr>
          <w:ilvl w:val="0"/>
          <w:numId w:val="40"/>
        </w:numPr>
        <w:rPr>
          <w:rFonts w:ascii="Arial" w:cs="Arial" w:eastAsia="Arial" w:hAnsi="Arial"/>
          <w:sz w:val="16"/>
          <w:szCs w:val="16"/>
          <w:color w:val="0071CE"/>
        </w:rPr>
      </w:pPr>
      <w:r>
        <w:rPr>
          <w:rFonts w:ascii="Arial" w:cs="Arial" w:eastAsia="Arial" w:hAnsi="Arial"/>
          <w:sz w:val="16"/>
          <w:szCs w:val="16"/>
          <w:color w:val="auto"/>
        </w:rPr>
        <w:t>2021: Entered into global collaboration and license agreement with Horizon.</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Candidates in Development</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ARO-Lung2 </w:t>
      </w:r>
      <w:r>
        <w:rPr>
          <w:rFonts w:ascii="Arial" w:cs="Arial" w:eastAsia="Arial" w:hAnsi="Arial"/>
          <w:sz w:val="16"/>
          <w:szCs w:val="16"/>
          <w:color w:val="auto"/>
        </w:rPr>
        <w:t>is being developed against an undisclosed target as a potential treatment for chronic obstructive pulmonary disorder (COPD).</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ARO-COV </w:t>
      </w:r>
      <w:r>
        <w:rPr>
          <w:rFonts w:ascii="Arial" w:cs="Arial" w:eastAsia="Arial" w:hAnsi="Arial"/>
          <w:sz w:val="16"/>
          <w:szCs w:val="16"/>
          <w:color w:val="auto"/>
        </w:rPr>
        <w:t>is being developed to address the current novel coronavirus that causes COVID-19 and other possible future pulmonary-borne pathogens.</w:t>
      </w:r>
    </w:p>
    <w:p>
      <w:pPr>
        <w:spacing w:after="0" w:line="221" w:lineRule="exact"/>
        <w:rPr>
          <w:sz w:val="20"/>
          <w:szCs w:val="20"/>
          <w:color w:val="auto"/>
        </w:rPr>
      </w:pPr>
    </w:p>
    <w:p>
      <w:pPr>
        <w:ind w:left="120"/>
        <w:spacing w:after="0" w:line="259" w:lineRule="auto"/>
        <w:rPr>
          <w:sz w:val="20"/>
          <w:szCs w:val="20"/>
          <w:color w:val="auto"/>
        </w:rPr>
      </w:pPr>
      <w:r>
        <w:rPr>
          <w:rFonts w:ascii="Arial" w:cs="Arial" w:eastAsia="Arial" w:hAnsi="Arial"/>
          <w:sz w:val="16"/>
          <w:szCs w:val="16"/>
          <w:b w:val="1"/>
          <w:bCs w:val="1"/>
          <w:color w:val="auto"/>
        </w:rPr>
        <w:t xml:space="preserve">ARO-DUX4 </w:t>
      </w:r>
      <w:r>
        <w:rPr>
          <w:rFonts w:ascii="Arial" w:cs="Arial" w:eastAsia="Arial" w:hAnsi="Arial"/>
          <w:sz w:val="16"/>
          <w:szCs w:val="16"/>
          <w:color w:val="auto"/>
        </w:rPr>
        <w:t>is Arrowhead’s first muscle-targeted investigational RNAi therapeutic candidate, which is designed to target the gene that encodes human</w:t>
      </w:r>
      <w:r>
        <w:rPr>
          <w:rFonts w:ascii="Arial" w:cs="Arial" w:eastAsia="Arial" w:hAnsi="Arial"/>
          <w:sz w:val="16"/>
          <w:szCs w:val="16"/>
          <w:b w:val="1"/>
          <w:bCs w:val="1"/>
          <w:color w:val="auto"/>
        </w:rPr>
        <w:t xml:space="preserve"> </w:t>
      </w:r>
      <w:r>
        <w:rPr>
          <w:rFonts w:ascii="Arial" w:cs="Arial" w:eastAsia="Arial" w:hAnsi="Arial"/>
          <w:sz w:val="16"/>
          <w:szCs w:val="16"/>
          <w:color w:val="auto"/>
        </w:rPr>
        <w:t>double homeobox 4 (“</w:t>
      </w:r>
      <w:r>
        <w:rPr>
          <w:rFonts w:ascii="Arial" w:cs="Arial" w:eastAsia="Arial" w:hAnsi="Arial"/>
          <w:sz w:val="16"/>
          <w:szCs w:val="16"/>
          <w:b w:val="1"/>
          <w:bCs w:val="1"/>
          <w:color w:val="auto"/>
        </w:rPr>
        <w:t>DUX4</w:t>
      </w:r>
      <w:r>
        <w:rPr>
          <w:rFonts w:ascii="Arial" w:cs="Arial" w:eastAsia="Arial" w:hAnsi="Arial"/>
          <w:sz w:val="16"/>
          <w:szCs w:val="16"/>
          <w:color w:val="auto"/>
        </w:rPr>
        <w:t>”) protein as a potential treatment for patients with facioscapulohumeral muscular dystrophy (“</w:t>
      </w:r>
      <w:r>
        <w:rPr>
          <w:rFonts w:ascii="Arial" w:cs="Arial" w:eastAsia="Arial" w:hAnsi="Arial"/>
          <w:sz w:val="16"/>
          <w:szCs w:val="16"/>
          <w:b w:val="1"/>
          <w:bCs w:val="1"/>
          <w:color w:val="auto"/>
        </w:rPr>
        <w:t>FSHD</w:t>
      </w:r>
      <w:r>
        <w:rPr>
          <w:rFonts w:ascii="Arial" w:cs="Arial" w:eastAsia="Arial" w:hAnsi="Arial"/>
          <w:sz w:val="16"/>
          <w:szCs w:val="16"/>
          <w:color w:val="auto"/>
        </w:rPr>
        <w:t>”). FSHD is an autosomal dominant disease associated with the failure to maintain complete epigenetic suppression of DUX4 expression in differentiated skeletal muscle, leading to overexpression of DUX4, which is myotoxic and can lead to muscle degeneration.</w:t>
      </w:r>
    </w:p>
    <w:p>
      <w:pPr>
        <w:spacing w:after="0" w:line="103" w:lineRule="exact"/>
        <w:rPr>
          <w:sz w:val="20"/>
          <w:szCs w:val="20"/>
          <w:color w:val="auto"/>
        </w:rPr>
      </w:pPr>
    </w:p>
    <w:p>
      <w:pPr>
        <w:ind w:left="440" w:right="760" w:hanging="216"/>
        <w:spacing w:after="0" w:line="260" w:lineRule="auto"/>
        <w:tabs>
          <w:tab w:leader="none" w:pos="440" w:val="left"/>
        </w:tabs>
        <w:numPr>
          <w:ilvl w:val="0"/>
          <w:numId w:val="41"/>
        </w:numPr>
        <w:rPr>
          <w:rFonts w:ascii="Arial" w:cs="Arial" w:eastAsia="Arial" w:hAnsi="Arial"/>
          <w:sz w:val="16"/>
          <w:szCs w:val="16"/>
          <w:color w:val="0071CE"/>
        </w:rPr>
      </w:pPr>
      <w:r>
        <w:rPr>
          <w:rFonts w:ascii="Arial" w:cs="Arial" w:eastAsia="Arial" w:hAnsi="Arial"/>
          <w:sz w:val="16"/>
          <w:szCs w:val="16"/>
          <w:color w:val="auto"/>
        </w:rPr>
        <w:t>2021: Presented pre-clinical data which suggests that ARO-DUX4 achieved good target engagement which led to a downstream beneficial physiological change, and which may support advancement into clinical studies.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Financial Results</w:t>
      </w:r>
    </w:p>
    <w:p>
      <w:pPr>
        <w:spacing w:after="0" w:line="122" w:lineRule="exact"/>
        <w:rPr>
          <w:sz w:val="20"/>
          <w:szCs w:val="20"/>
          <w:color w:val="auto"/>
        </w:rPr>
      </w:pPr>
    </w:p>
    <w:p>
      <w:pPr>
        <w:ind w:left="440" w:hanging="216"/>
        <w:spacing w:after="0"/>
        <w:tabs>
          <w:tab w:leader="none" w:pos="440" w:val="left"/>
        </w:tabs>
        <w:numPr>
          <w:ilvl w:val="0"/>
          <w:numId w:val="42"/>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 Generated revenue of $138.3 million, compared to revenues of $88.0 million in fiscal 2020 and $168 million in fiscal 2019;</w:t>
      </w:r>
    </w:p>
    <w:p>
      <w:pPr>
        <w:spacing w:after="0" w:line="126" w:lineRule="exact"/>
        <w:rPr>
          <w:rFonts w:ascii="Arial" w:cs="Arial" w:eastAsia="Arial" w:hAnsi="Arial"/>
          <w:sz w:val="16"/>
          <w:szCs w:val="16"/>
          <w:color w:val="0071CE"/>
        </w:rPr>
      </w:pPr>
    </w:p>
    <w:p>
      <w:pPr>
        <w:ind w:left="440" w:hanging="216"/>
        <w:spacing w:after="0"/>
        <w:tabs>
          <w:tab w:leader="none" w:pos="440" w:val="left"/>
        </w:tabs>
        <w:numPr>
          <w:ilvl w:val="0"/>
          <w:numId w:val="42"/>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Net Loss </w:t>
      </w:r>
      <w:r>
        <w:rPr>
          <w:rFonts w:ascii="Arial" w:cs="Arial" w:eastAsia="Arial" w:hAnsi="Arial"/>
          <w:sz w:val="16"/>
          <w:szCs w:val="16"/>
          <w:color w:val="auto"/>
        </w:rPr>
        <w:t>— Recorded net loss of $140.8 million, compared to net loss of $84.6 million in fiscal 2020 and net income of $68.0 million in fiscal 2019;</w:t>
      </w:r>
    </w:p>
    <w:p>
      <w:pPr>
        <w:spacing w:after="0" w:line="126" w:lineRule="exact"/>
        <w:rPr>
          <w:rFonts w:ascii="Arial" w:cs="Arial" w:eastAsia="Arial" w:hAnsi="Arial"/>
          <w:sz w:val="16"/>
          <w:szCs w:val="16"/>
          <w:color w:val="0071CE"/>
        </w:rPr>
      </w:pPr>
    </w:p>
    <w:p>
      <w:pPr>
        <w:ind w:left="440" w:right="480" w:hanging="216"/>
        <w:spacing w:after="0" w:line="286" w:lineRule="auto"/>
        <w:tabs>
          <w:tab w:leader="none" w:pos="440" w:val="left"/>
        </w:tabs>
        <w:numPr>
          <w:ilvl w:val="0"/>
          <w:numId w:val="42"/>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Net Loss Per Share </w:t>
      </w:r>
      <w:r>
        <w:rPr>
          <w:rFonts w:ascii="Arial" w:cs="Arial" w:eastAsia="Arial" w:hAnsi="Arial"/>
          <w:sz w:val="16"/>
          <w:szCs w:val="16"/>
          <w:color w:val="auto"/>
        </w:rPr>
        <w:t>— Recorded net loss per share (diluted) of $1.36, compared to net loss per share (diluted) of $0.84 in fiscal 2020 and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income per share (diluted) of $0.69 in fiscal 2019;</w:t>
      </w:r>
    </w:p>
    <w:p>
      <w:pPr>
        <w:spacing w:after="0" w:line="61" w:lineRule="exact"/>
        <w:rPr>
          <w:rFonts w:ascii="Arial" w:cs="Arial" w:eastAsia="Arial" w:hAnsi="Arial"/>
          <w:sz w:val="16"/>
          <w:szCs w:val="16"/>
          <w:color w:val="0071CE"/>
        </w:rPr>
      </w:pPr>
    </w:p>
    <w:p>
      <w:pPr>
        <w:ind w:left="440" w:hanging="216"/>
        <w:spacing w:after="0"/>
        <w:tabs>
          <w:tab w:leader="none" w:pos="440" w:val="left"/>
        </w:tabs>
        <w:numPr>
          <w:ilvl w:val="0"/>
          <w:numId w:val="42"/>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Cash at end of fiscal 2021 </w:t>
      </w:r>
      <w:r>
        <w:rPr>
          <w:rFonts w:ascii="Arial" w:cs="Arial" w:eastAsia="Arial" w:hAnsi="Arial"/>
          <w:sz w:val="16"/>
          <w:szCs w:val="16"/>
          <w:color w:val="auto"/>
        </w:rPr>
        <w:t>— Cash and investments of cash totaled $613 million at September 30, 2021; and</w:t>
      </w:r>
    </w:p>
    <w:p>
      <w:pPr>
        <w:spacing w:after="0" w:line="126" w:lineRule="exact"/>
        <w:rPr>
          <w:rFonts w:ascii="Arial" w:cs="Arial" w:eastAsia="Arial" w:hAnsi="Arial"/>
          <w:sz w:val="16"/>
          <w:szCs w:val="16"/>
          <w:color w:val="0071CE"/>
        </w:rPr>
      </w:pPr>
    </w:p>
    <w:p>
      <w:pPr>
        <w:ind w:left="440" w:right="560" w:hanging="216"/>
        <w:spacing w:after="0" w:line="195" w:lineRule="auto"/>
        <w:tabs>
          <w:tab w:leader="none" w:pos="440" w:val="left"/>
        </w:tabs>
        <w:numPr>
          <w:ilvl w:val="0"/>
          <w:numId w:val="42"/>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Total Stockholder Return </w:t>
      </w:r>
      <w:r>
        <w:rPr>
          <w:rFonts w:ascii="Arial" w:cs="Arial" w:eastAsia="Arial" w:hAnsi="Arial"/>
          <w:sz w:val="16"/>
          <w:szCs w:val="16"/>
          <w:color w:val="auto"/>
        </w:rPr>
        <w:t>— Achieved a three-year total stockholder return (“</w:t>
      </w:r>
      <w:r>
        <w:rPr>
          <w:rFonts w:ascii="Arial" w:cs="Arial" w:eastAsia="Arial" w:hAnsi="Arial"/>
          <w:sz w:val="16"/>
          <w:szCs w:val="16"/>
          <w:b w:val="1"/>
          <w:bCs w:val="1"/>
          <w:color w:val="auto"/>
        </w:rPr>
        <w:t>TSR</w:t>
      </w:r>
      <w:r>
        <w:rPr>
          <w:rFonts w:ascii="Arial" w:cs="Arial" w:eastAsia="Arial" w:hAnsi="Arial"/>
          <w:sz w:val="16"/>
          <w:szCs w:val="16"/>
          <w:color w:val="auto"/>
        </w:rPr>
        <w:t>”) at the 100</w:t>
      </w:r>
      <w:r>
        <w:rPr>
          <w:rFonts w:ascii="Arial" w:cs="Arial" w:eastAsia="Arial" w:hAnsi="Arial"/>
          <w:sz w:val="27"/>
          <w:szCs w:val="27"/>
          <w:color w:val="auto"/>
          <w:vertAlign w:val="superscript"/>
        </w:rPr>
        <w:t>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percentile of our peer group as measured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November 2020. Since 2016, our stockholder return has compared exceptionally well against relevant indices.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90805</wp:posOffset>
            </wp:positionV>
            <wp:extent cx="986155" cy="2057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1CE"/>
        </w:rPr>
        <w:t>22</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2022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103505</wp:posOffset>
            </wp:positionV>
            <wp:extent cx="5726430" cy="31800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26430" cy="3180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The comparisons in the above graph are based on historical data and are not intended to forecast the possible future performance of our common stock.</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Executive Compensation Highlights</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auto"/>
        </w:rPr>
        <w:t>Aggressive Performance Fueled by Incentives</w:t>
      </w:r>
    </w:p>
    <w:p>
      <w:pPr>
        <w:spacing w:after="0" w:line="221" w:lineRule="exact"/>
        <w:rPr>
          <w:sz w:val="20"/>
          <w:szCs w:val="20"/>
          <w:color w:val="auto"/>
        </w:rPr>
      </w:pPr>
    </w:p>
    <w:p>
      <w:pPr>
        <w:ind w:left="120" w:right="20"/>
        <w:spacing w:after="0" w:line="248" w:lineRule="auto"/>
        <w:rPr>
          <w:sz w:val="20"/>
          <w:szCs w:val="20"/>
          <w:color w:val="auto"/>
        </w:rPr>
      </w:pPr>
      <w:r>
        <w:rPr>
          <w:rFonts w:ascii="Arial" w:cs="Arial" w:eastAsia="Arial" w:hAnsi="Arial"/>
          <w:sz w:val="16"/>
          <w:szCs w:val="16"/>
          <w:color w:val="auto"/>
        </w:rPr>
        <w:t>The Compensation Committee expects and has observed aggressive performance from the executive management team as evidenced by stellar stockholder return as compared against major indices and our peer group. Our philosophy has been to fuel this expectation with reasonably aggressive incentive compensation, and in particular to offer substantial incentive compensation to our CEO that is 100% at risk if we do not see aggressive corporate performance. For fiscal years 2021 and 2022, we have tightened the requirement such that the most substantial component of our CEO compensation, his equity award, is realized only if stockholders realize sustainable commensurate value in their holdings. Based on our overall operating environment and these results, the Compensation Committee took the following key actions and maintained key policies with respect to the compensation of our NEOs for fiscal 2021:</w:t>
      </w:r>
    </w:p>
    <w:p>
      <w:pPr>
        <w:spacing w:after="0" w:line="94" w:lineRule="exact"/>
        <w:rPr>
          <w:sz w:val="20"/>
          <w:szCs w:val="20"/>
          <w:color w:val="auto"/>
        </w:rPr>
      </w:pPr>
    </w:p>
    <w:p>
      <w:pPr>
        <w:ind w:left="440" w:hanging="216"/>
        <w:spacing w:after="0"/>
        <w:tabs>
          <w:tab w:leader="none" w:pos="440" w:val="left"/>
        </w:tabs>
        <w:numPr>
          <w:ilvl w:val="0"/>
          <w:numId w:val="43"/>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Base Salary </w:t>
      </w:r>
      <w:r>
        <w:rPr>
          <w:rFonts w:ascii="Arial" w:cs="Arial" w:eastAsia="Arial" w:hAnsi="Arial"/>
          <w:sz w:val="16"/>
          <w:szCs w:val="16"/>
          <w:color w:val="auto"/>
        </w:rPr>
        <w:t>— Approved base salary increases of up to 3% for our current NEOs.</w:t>
      </w:r>
    </w:p>
    <w:p>
      <w:pPr>
        <w:spacing w:after="0" w:line="126" w:lineRule="exact"/>
        <w:rPr>
          <w:rFonts w:ascii="Arial" w:cs="Arial" w:eastAsia="Arial" w:hAnsi="Arial"/>
          <w:sz w:val="16"/>
          <w:szCs w:val="16"/>
          <w:color w:val="0071CE"/>
        </w:rPr>
      </w:pPr>
    </w:p>
    <w:p>
      <w:pPr>
        <w:ind w:left="440" w:right="320" w:hanging="216"/>
        <w:spacing w:after="0" w:line="266" w:lineRule="auto"/>
        <w:tabs>
          <w:tab w:leader="none" w:pos="440" w:val="left"/>
        </w:tabs>
        <w:numPr>
          <w:ilvl w:val="0"/>
          <w:numId w:val="43"/>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Annual Incentive Compensation </w:t>
      </w:r>
      <w:r>
        <w:rPr>
          <w:rFonts w:ascii="Arial" w:cs="Arial" w:eastAsia="Arial" w:hAnsi="Arial"/>
          <w:sz w:val="16"/>
          <w:szCs w:val="16"/>
          <w:color w:val="auto"/>
        </w:rPr>
        <w:t>— Approved annual cash bonuses for fiscal 2021 of up to 120% of target annual cash incentive compensation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opportunities, including an annual cash bonus for our CEO in the amount of $845,000, equal to 100% of his target annual cash incentive compensation opportunity.</w:t>
      </w:r>
    </w:p>
    <w:p>
      <w:pPr>
        <w:spacing w:after="0" w:line="76" w:lineRule="exact"/>
        <w:rPr>
          <w:rFonts w:ascii="Arial" w:cs="Arial" w:eastAsia="Arial" w:hAnsi="Arial"/>
          <w:sz w:val="16"/>
          <w:szCs w:val="16"/>
          <w:color w:val="0071CE"/>
        </w:rPr>
      </w:pPr>
    </w:p>
    <w:p>
      <w:pPr>
        <w:ind w:left="440" w:right="60" w:hanging="216"/>
        <w:spacing w:after="0" w:line="251" w:lineRule="auto"/>
        <w:tabs>
          <w:tab w:leader="none" w:pos="440" w:val="left"/>
        </w:tabs>
        <w:numPr>
          <w:ilvl w:val="0"/>
          <w:numId w:val="43"/>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Equity Compensation </w:t>
      </w:r>
      <w:r>
        <w:rPr>
          <w:rFonts w:ascii="Arial" w:cs="Arial" w:eastAsia="Arial" w:hAnsi="Arial"/>
          <w:sz w:val="16"/>
          <w:szCs w:val="16"/>
          <w:color w:val="auto"/>
        </w:rPr>
        <w:t>— Granted our CEO a long-term incentive compensation opportunity in the form of a performance-based restricted stock unit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PRSU</w:t>
      </w:r>
      <w:r>
        <w:rPr>
          <w:rFonts w:ascii="Arial" w:cs="Arial" w:eastAsia="Arial" w:hAnsi="Arial"/>
          <w:sz w:val="16"/>
          <w:szCs w:val="16"/>
          <w:color w:val="auto"/>
        </w:rPr>
        <w:t>”) award. The original CEO PRSU award would have vested based on eight equally weighted, pre-established performance milestones. Each of the eight tranches had a grant date fair value of $7.7 million. Based on stockholder feedback, however, in December 2021, the Compensation Committee and our CEO modified the CEO PRSU award to change the performance milestones to milestones that are purely based on increases in Arrowhead’s market capitalization. The modification did not result in any incremental fair value associated with the PRSU award. The Compensation Committee also granted our other NEOs long-term incentive compensation opportunities in the form of time-based restricted stock unit (“</w:t>
      </w:r>
      <w:r>
        <w:rPr>
          <w:rFonts w:ascii="Arial" w:cs="Arial" w:eastAsia="Arial" w:hAnsi="Arial"/>
          <w:sz w:val="16"/>
          <w:szCs w:val="16"/>
          <w:b w:val="1"/>
          <w:bCs w:val="1"/>
          <w:color w:val="auto"/>
        </w:rPr>
        <w:t>RSU</w:t>
      </w:r>
      <w:r>
        <w:rPr>
          <w:rFonts w:ascii="Arial" w:cs="Arial" w:eastAsia="Arial" w:hAnsi="Arial"/>
          <w:sz w:val="16"/>
          <w:szCs w:val="16"/>
          <w:color w:val="auto"/>
        </w:rPr>
        <w:t>”) awards that may be settled for shares of our common stock with grant date values ranging from $3.8 million to $4.6 million. The awards vest in four equal annual installments beginning in 2023. A minimum three-year vesting is required for time-based equity awards granted to our other executive officers.</w:t>
      </w:r>
    </w:p>
    <w:p>
      <w:pPr>
        <w:spacing w:after="0" w:line="90" w:lineRule="exact"/>
        <w:rPr>
          <w:rFonts w:ascii="Arial" w:cs="Arial" w:eastAsia="Arial" w:hAnsi="Arial"/>
          <w:sz w:val="16"/>
          <w:szCs w:val="16"/>
          <w:color w:val="0071CE"/>
        </w:rPr>
      </w:pPr>
    </w:p>
    <w:p>
      <w:pPr>
        <w:ind w:left="440" w:right="60" w:hanging="216"/>
        <w:spacing w:after="0" w:line="266" w:lineRule="auto"/>
        <w:tabs>
          <w:tab w:leader="none" w:pos="440" w:val="left"/>
        </w:tabs>
        <w:numPr>
          <w:ilvl w:val="0"/>
          <w:numId w:val="43"/>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Clawback Policy </w:t>
      </w:r>
      <w:r>
        <w:rPr>
          <w:rFonts w:ascii="Arial" w:cs="Arial" w:eastAsia="Arial" w:hAnsi="Arial"/>
          <w:sz w:val="16"/>
          <w:szCs w:val="16"/>
          <w:color w:val="auto"/>
        </w:rPr>
        <w:t>— Maintained a clawback policy allowing Arrowhead to recover compensation from any executive officer should our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determine that a material misstatement of our financial statements was due to fraud, negligence or intentional misconduct by any executive officer of Arrowhead.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77470</wp:posOffset>
            </wp:positionV>
            <wp:extent cx="986155" cy="2057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33" w:lineRule="exact"/>
        <w:rPr>
          <w:sz w:val="20"/>
          <w:szCs w:val="20"/>
          <w:color w:val="auto"/>
        </w:rPr>
      </w:pPr>
    </w:p>
    <w:p>
      <w:pPr>
        <w:ind w:left="10880"/>
        <w:spacing w:after="0"/>
        <w:rPr>
          <w:sz w:val="20"/>
          <w:szCs w:val="20"/>
          <w:color w:val="auto"/>
        </w:rPr>
      </w:pPr>
      <w:r>
        <w:rPr>
          <w:rFonts w:ascii="Arial" w:cs="Arial" w:eastAsia="Arial" w:hAnsi="Arial"/>
          <w:sz w:val="18"/>
          <w:szCs w:val="18"/>
          <w:b w:val="1"/>
          <w:bCs w:val="1"/>
          <w:color w:val="0071CE"/>
        </w:rPr>
        <w:t>23</w:t>
      </w:r>
    </w:p>
    <w:p>
      <w:pPr>
        <w:sectPr>
          <w:pgSz w:w="11900" w:h="16838" w:orient="portrait"/>
          <w:cols w:equalWidth="0" w:num="1">
            <w:col w:w="11140"/>
          </w:cols>
          <w:pgMar w:left="32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20"/>
        <w:spacing w:after="0"/>
        <w:tabs>
          <w:tab w:leader="none" w:pos="2020" w:val="left"/>
        </w:tabs>
        <w:rPr>
          <w:sz w:val="20"/>
          <w:szCs w:val="20"/>
          <w:color w:val="auto"/>
        </w:rPr>
      </w:pPr>
      <w:r>
        <w:rPr>
          <w:rFonts w:ascii="Arial" w:cs="Arial" w:eastAsia="Arial" w:hAnsi="Arial"/>
          <w:sz w:val="14"/>
          <w:szCs w:val="14"/>
          <w:b w:val="1"/>
          <w:bCs w:val="1"/>
          <w:color w:val="0071CE"/>
        </w:rPr>
        <w:t>2022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45" w:lineRule="exact"/>
        <w:rPr>
          <w:sz w:val="20"/>
          <w:szCs w:val="20"/>
          <w:color w:val="auto"/>
        </w:rPr>
      </w:pPr>
    </w:p>
    <w:p>
      <w:pPr>
        <w:ind w:left="440" w:right="100" w:hanging="216"/>
        <w:spacing w:after="0" w:line="286" w:lineRule="auto"/>
        <w:tabs>
          <w:tab w:leader="none" w:pos="440" w:val="left"/>
        </w:tabs>
        <w:numPr>
          <w:ilvl w:val="0"/>
          <w:numId w:val="44"/>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Ownership Guidelines </w:t>
      </w:r>
      <w:r>
        <w:rPr>
          <w:rFonts w:ascii="Arial" w:cs="Arial" w:eastAsia="Arial" w:hAnsi="Arial"/>
          <w:sz w:val="16"/>
          <w:szCs w:val="16"/>
          <w:color w:val="auto"/>
        </w:rPr>
        <w:t>— Maintained the achievement of stock ownership guidelines of six times his annual base salary for our CEO and twice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annual base salary for our CFO.</w:t>
      </w:r>
    </w:p>
    <w:p>
      <w:pPr>
        <w:spacing w:after="0" w:line="61" w:lineRule="exact"/>
        <w:rPr>
          <w:rFonts w:ascii="Arial" w:cs="Arial" w:eastAsia="Arial" w:hAnsi="Arial"/>
          <w:sz w:val="16"/>
          <w:szCs w:val="16"/>
          <w:color w:val="0071CE"/>
        </w:rPr>
      </w:pPr>
    </w:p>
    <w:p>
      <w:pPr>
        <w:ind w:left="440" w:right="260" w:hanging="216"/>
        <w:spacing w:after="0" w:line="266" w:lineRule="auto"/>
        <w:tabs>
          <w:tab w:leader="none" w:pos="440" w:val="left"/>
        </w:tabs>
        <w:numPr>
          <w:ilvl w:val="0"/>
          <w:numId w:val="44"/>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“Double Trigger” Feature for Acceleration of Equity Awards </w:t>
      </w:r>
      <w:r>
        <w:rPr>
          <w:rFonts w:ascii="Arial" w:cs="Arial" w:eastAsia="Arial" w:hAnsi="Arial"/>
          <w:sz w:val="16"/>
          <w:szCs w:val="16"/>
          <w:color w:val="auto"/>
        </w:rPr>
        <w:t>— Maintained the agreements for outstanding equity awards granted to our CEO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pursuant to our 2004 Equity Incentive Plan and our 2013 and 2021 Incentive Plans to provide that, upon a change in control of Arrowhead, the vesting of such awards will accelerate only in the event of a subsequent involuntary termination of employment (a “double-trigger” arrangement).</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Advisory Vote to Approve Named Executive Officer Compensation</w:t>
      </w:r>
    </w:p>
    <w:p>
      <w:pPr>
        <w:spacing w:after="0" w:line="124"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auto"/>
        </w:rPr>
        <w:t>At our 2021 Annual Meeting of Stockholders in March 2021, we conducted a non-binding stockholder advisory vote to approve the compensation of our NEOs (commonly known as a “Say-on-Pay” vote). Our stockholders did not approve the Say-on-Pay proposal with a majority of votes. Based on feedback from our stockholders, we believe the primary reason for the failure of the 2021 Say-On-Pay vote was a concern that the performance milestones associated with our CEO PRSU may not result in commensurate increase in stockholder value.</w:t>
      </w:r>
    </w:p>
    <w:p>
      <w:pPr>
        <w:spacing w:after="0" w:line="202" w:lineRule="exact"/>
        <w:rPr>
          <w:sz w:val="20"/>
          <w:szCs w:val="20"/>
          <w:color w:val="auto"/>
        </w:rPr>
      </w:pPr>
    </w:p>
    <w:p>
      <w:pPr>
        <w:ind w:left="120" w:right="20"/>
        <w:spacing w:after="0" w:line="253" w:lineRule="auto"/>
        <w:rPr>
          <w:sz w:val="20"/>
          <w:szCs w:val="20"/>
          <w:color w:val="auto"/>
        </w:rPr>
      </w:pPr>
      <w:r>
        <w:rPr>
          <w:rFonts w:ascii="Arial" w:cs="Arial" w:eastAsia="Arial" w:hAnsi="Arial"/>
          <w:sz w:val="16"/>
          <w:szCs w:val="16"/>
          <w:color w:val="auto"/>
        </w:rPr>
        <w:t>We believe that our incentive compensation package for our CEO should be an aggressive, performance-based award, and acknowledge the concerns of our stockholders that the link between the value of our current and future CEO PRSU awards could be more clearly linked to stockholder return. Accordingly, we have taken steps to address these stockholder concerns:</w:t>
      </w:r>
    </w:p>
    <w:p>
      <w:pPr>
        <w:spacing w:after="0" w:line="107" w:lineRule="exact"/>
        <w:rPr>
          <w:sz w:val="20"/>
          <w:szCs w:val="20"/>
          <w:color w:val="auto"/>
        </w:rPr>
      </w:pPr>
    </w:p>
    <w:p>
      <w:pPr>
        <w:jc w:val="both"/>
        <w:ind w:left="440" w:right="200" w:hanging="216"/>
        <w:spacing w:after="0" w:line="253" w:lineRule="auto"/>
        <w:tabs>
          <w:tab w:leader="none" w:pos="440" w:val="left"/>
        </w:tabs>
        <w:numPr>
          <w:ilvl w:val="0"/>
          <w:numId w:val="45"/>
        </w:numPr>
        <w:rPr>
          <w:rFonts w:ascii="Arial" w:cs="Arial" w:eastAsia="Arial" w:hAnsi="Arial"/>
          <w:sz w:val="16"/>
          <w:szCs w:val="16"/>
          <w:color w:val="0071CE"/>
        </w:rPr>
      </w:pPr>
      <w:r>
        <w:rPr>
          <w:rFonts w:ascii="Arial" w:cs="Arial" w:eastAsia="Arial" w:hAnsi="Arial"/>
          <w:sz w:val="16"/>
          <w:szCs w:val="16"/>
          <w:color w:val="auto"/>
        </w:rPr>
        <w:t>The performance-based equity award granted to our CEO for 2021, as described in further detail below, consists of successive milestones that are solely based on an increase in market capitalization that are sustained over time. Thus, the grant is in direct alignment with the investment goals of our stockholders.</w:t>
      </w:r>
    </w:p>
    <w:p>
      <w:pPr>
        <w:spacing w:after="0" w:line="106" w:lineRule="exact"/>
        <w:rPr>
          <w:rFonts w:ascii="Arial" w:cs="Arial" w:eastAsia="Arial" w:hAnsi="Arial"/>
          <w:sz w:val="16"/>
          <w:szCs w:val="16"/>
          <w:color w:val="0071CE"/>
        </w:rPr>
      </w:pPr>
    </w:p>
    <w:p>
      <w:pPr>
        <w:ind w:left="440" w:hanging="216"/>
        <w:spacing w:after="0" w:line="251" w:lineRule="auto"/>
        <w:tabs>
          <w:tab w:leader="none" w:pos="440" w:val="left"/>
        </w:tabs>
        <w:numPr>
          <w:ilvl w:val="0"/>
          <w:numId w:val="45"/>
        </w:numPr>
        <w:rPr>
          <w:rFonts w:ascii="Arial" w:cs="Arial" w:eastAsia="Arial" w:hAnsi="Arial"/>
          <w:sz w:val="16"/>
          <w:szCs w:val="16"/>
          <w:color w:val="0071CE"/>
        </w:rPr>
      </w:pPr>
      <w:r>
        <w:rPr>
          <w:rFonts w:ascii="Arial" w:cs="Arial" w:eastAsia="Arial" w:hAnsi="Arial"/>
          <w:sz w:val="16"/>
          <w:szCs w:val="16"/>
          <w:color w:val="auto"/>
        </w:rPr>
        <w:t>We have, in agreement with our CEO, reformulated the previous 2020 CEO PRSU award to require, in addition to the current vesting milestones, that the award vests only if at the time of certification of milestone performance our market capitalization has increased from the date the award was granted. This additional provision, or “trigger,” ensures the alignment between achievement of the performance goals under the award and an increase in stockholder value.</w:t>
      </w:r>
    </w:p>
    <w:p>
      <w:pPr>
        <w:spacing w:after="0" w:line="107" w:lineRule="exact"/>
        <w:rPr>
          <w:rFonts w:ascii="Arial" w:cs="Arial" w:eastAsia="Arial" w:hAnsi="Arial"/>
          <w:sz w:val="16"/>
          <w:szCs w:val="16"/>
          <w:color w:val="0071CE"/>
        </w:rPr>
      </w:pPr>
    </w:p>
    <w:p>
      <w:pPr>
        <w:ind w:left="440" w:right="140" w:hanging="216"/>
        <w:spacing w:after="0" w:line="260" w:lineRule="auto"/>
        <w:tabs>
          <w:tab w:leader="none" w:pos="440" w:val="left"/>
        </w:tabs>
        <w:numPr>
          <w:ilvl w:val="0"/>
          <w:numId w:val="45"/>
        </w:numPr>
        <w:rPr>
          <w:rFonts w:ascii="Arial" w:cs="Arial" w:eastAsia="Arial" w:hAnsi="Arial"/>
          <w:sz w:val="16"/>
          <w:szCs w:val="16"/>
          <w:color w:val="0071CE"/>
        </w:rPr>
      </w:pPr>
      <w:r>
        <w:rPr>
          <w:rFonts w:ascii="Arial" w:cs="Arial" w:eastAsia="Arial" w:hAnsi="Arial"/>
          <w:sz w:val="16"/>
          <w:szCs w:val="16"/>
          <w:color w:val="auto"/>
        </w:rPr>
        <w:t>We have continued the practice of awarding 100% performance-based equity awards for our CEO. No component of our CEO equity compensation structure results in the vesting of an award to our CEO without the achievement of performance goals tied directly to stockholder value creation.</w:t>
      </w:r>
    </w:p>
    <w:p>
      <w:pPr>
        <w:spacing w:after="0" w:line="195"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auto"/>
        </w:rPr>
        <w:t>The reformulation of our CEO equity compensation program is entirely unique among our peer group in that it fully aligns the interests of our CEO and our stockholders. While our incentive compensation package for our CEO remains aggressive, the overwhelming majority of our CEO’s compensation is attained only if stockholders realize a commensurate benefit. No component of the equity compensation granted to our CEO is solely time-based, and every vesting opportunity requires the delivery of stockholder value.</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Additionally, we:</w:t>
      </w:r>
    </w:p>
    <w:p>
      <w:pPr>
        <w:spacing w:after="0" w:line="127" w:lineRule="exact"/>
        <w:rPr>
          <w:sz w:val="20"/>
          <w:szCs w:val="20"/>
          <w:color w:val="auto"/>
        </w:rPr>
      </w:pPr>
    </w:p>
    <w:p>
      <w:pPr>
        <w:ind w:left="440" w:right="120" w:hanging="216"/>
        <w:spacing w:after="0" w:line="260" w:lineRule="auto"/>
        <w:tabs>
          <w:tab w:leader="none" w:pos="440" w:val="left"/>
        </w:tabs>
        <w:numPr>
          <w:ilvl w:val="0"/>
          <w:numId w:val="46"/>
        </w:numPr>
        <w:rPr>
          <w:rFonts w:ascii="Arial" w:cs="Arial" w:eastAsia="Arial" w:hAnsi="Arial"/>
          <w:sz w:val="16"/>
          <w:szCs w:val="16"/>
          <w:color w:val="0071CE"/>
        </w:rPr>
      </w:pPr>
      <w:r>
        <w:rPr>
          <w:rFonts w:ascii="Arial" w:cs="Arial" w:eastAsia="Arial" w:hAnsi="Arial"/>
          <w:sz w:val="16"/>
          <w:szCs w:val="16"/>
          <w:color w:val="auto"/>
        </w:rPr>
        <w:t>Maintained the following compensation practices in our executive compensation program: minimum vesting requirements; a compensation recovery (“clawback”) policy, double-trigger acceleration of equity awards for our CEO; and stock ownership guidelines for our CEO and CFO;</w:t>
      </w:r>
    </w:p>
    <w:p>
      <w:pPr>
        <w:spacing w:after="0" w:line="100" w:lineRule="exact"/>
        <w:rPr>
          <w:rFonts w:ascii="Arial" w:cs="Arial" w:eastAsia="Arial" w:hAnsi="Arial"/>
          <w:sz w:val="16"/>
          <w:szCs w:val="16"/>
          <w:color w:val="0071CE"/>
        </w:rPr>
      </w:pPr>
    </w:p>
    <w:p>
      <w:pPr>
        <w:ind w:left="440" w:hanging="216"/>
        <w:spacing w:after="0"/>
        <w:tabs>
          <w:tab w:leader="none" w:pos="440" w:val="left"/>
        </w:tabs>
        <w:numPr>
          <w:ilvl w:val="0"/>
          <w:numId w:val="46"/>
        </w:numPr>
        <w:rPr>
          <w:rFonts w:ascii="Arial" w:cs="Arial" w:eastAsia="Arial" w:hAnsi="Arial"/>
          <w:sz w:val="16"/>
          <w:szCs w:val="16"/>
          <w:color w:val="0071CE"/>
        </w:rPr>
      </w:pPr>
      <w:r>
        <w:rPr>
          <w:rFonts w:ascii="Arial" w:cs="Arial" w:eastAsia="Arial" w:hAnsi="Arial"/>
          <w:sz w:val="16"/>
          <w:szCs w:val="16"/>
          <w:color w:val="auto"/>
        </w:rPr>
        <w:t>Achieved aggressive corporate performance goals in fiscal 2021 and fiscal 2020;</w:t>
      </w:r>
    </w:p>
    <w:p>
      <w:pPr>
        <w:spacing w:after="0" w:line="126" w:lineRule="exact"/>
        <w:rPr>
          <w:rFonts w:ascii="Arial" w:cs="Arial" w:eastAsia="Arial" w:hAnsi="Arial"/>
          <w:sz w:val="16"/>
          <w:szCs w:val="16"/>
          <w:color w:val="0071CE"/>
        </w:rPr>
      </w:pPr>
    </w:p>
    <w:p>
      <w:pPr>
        <w:ind w:left="440" w:hanging="216"/>
        <w:spacing w:after="0"/>
        <w:tabs>
          <w:tab w:leader="none" w:pos="440" w:val="left"/>
        </w:tabs>
        <w:numPr>
          <w:ilvl w:val="0"/>
          <w:numId w:val="46"/>
        </w:numPr>
        <w:rPr>
          <w:rFonts w:ascii="Arial" w:cs="Arial" w:eastAsia="Arial" w:hAnsi="Arial"/>
          <w:sz w:val="16"/>
          <w:szCs w:val="16"/>
          <w:color w:val="0071CE"/>
        </w:rPr>
      </w:pPr>
      <w:r>
        <w:rPr>
          <w:rFonts w:ascii="Arial" w:cs="Arial" w:eastAsia="Arial" w:hAnsi="Arial"/>
          <w:sz w:val="16"/>
          <w:szCs w:val="16"/>
          <w:color w:val="auto"/>
        </w:rPr>
        <w:t>Continued to perform exceedingly well in comparison to relevant stock market indices; and</w:t>
      </w:r>
    </w:p>
    <w:p>
      <w:pPr>
        <w:spacing w:after="0" w:line="126" w:lineRule="exact"/>
        <w:rPr>
          <w:rFonts w:ascii="Arial" w:cs="Arial" w:eastAsia="Arial" w:hAnsi="Arial"/>
          <w:sz w:val="16"/>
          <w:szCs w:val="16"/>
          <w:color w:val="0071CE"/>
        </w:rPr>
      </w:pPr>
    </w:p>
    <w:p>
      <w:pPr>
        <w:ind w:left="440" w:hanging="216"/>
        <w:spacing w:after="0"/>
        <w:tabs>
          <w:tab w:leader="none" w:pos="440" w:val="left"/>
        </w:tabs>
        <w:numPr>
          <w:ilvl w:val="0"/>
          <w:numId w:val="46"/>
        </w:numPr>
        <w:rPr>
          <w:rFonts w:ascii="Arial" w:cs="Arial" w:eastAsia="Arial" w:hAnsi="Arial"/>
          <w:sz w:val="16"/>
          <w:szCs w:val="16"/>
          <w:color w:val="0071CE"/>
        </w:rPr>
      </w:pPr>
      <w:r>
        <w:rPr>
          <w:rFonts w:ascii="Arial" w:cs="Arial" w:eastAsia="Arial" w:hAnsi="Arial"/>
          <w:sz w:val="16"/>
          <w:szCs w:val="16"/>
          <w:color w:val="auto"/>
        </w:rPr>
        <w:t>Delivered three-year Total Stockholder Return (“TSR”) that was at the 100th percentile of our peer group as measured in November 2020.</w:t>
      </w:r>
    </w:p>
    <w:p>
      <w:pPr>
        <w:spacing w:after="0" w:line="221" w:lineRule="exact"/>
        <w:rPr>
          <w:sz w:val="20"/>
          <w:szCs w:val="20"/>
          <w:color w:val="auto"/>
        </w:rPr>
      </w:pPr>
    </w:p>
    <w:p>
      <w:pPr>
        <w:ind w:left="120" w:right="640"/>
        <w:spacing w:after="0" w:line="260" w:lineRule="auto"/>
        <w:rPr>
          <w:sz w:val="20"/>
          <w:szCs w:val="20"/>
          <w:color w:val="auto"/>
        </w:rPr>
      </w:pPr>
      <w:r>
        <w:rPr>
          <w:rFonts w:ascii="Arial" w:cs="Arial" w:eastAsia="Arial" w:hAnsi="Arial"/>
          <w:sz w:val="16"/>
          <w:szCs w:val="16"/>
          <w:color w:val="auto"/>
        </w:rPr>
        <w:t>At our 2019 Annual Meeting of Stockholders, we asked our stockholders to recommend the frequency of future stockholder advisory votes on the compensation of our NEOs. Stockholders recommended an annual non-binding vote, and we are following that recommendation.</w:t>
      </w:r>
    </w:p>
    <w:p>
      <w:pPr>
        <w:spacing w:after="0" w:line="195" w:lineRule="exact"/>
        <w:rPr>
          <w:sz w:val="20"/>
          <w:szCs w:val="20"/>
          <w:color w:val="auto"/>
        </w:rPr>
      </w:pPr>
    </w:p>
    <w:p>
      <w:pPr>
        <w:jc w:val="both"/>
        <w:ind w:left="120" w:right="40"/>
        <w:spacing w:after="0" w:line="253" w:lineRule="auto"/>
        <w:rPr>
          <w:sz w:val="20"/>
          <w:szCs w:val="20"/>
          <w:color w:val="auto"/>
        </w:rPr>
      </w:pPr>
      <w:r>
        <w:rPr>
          <w:rFonts w:ascii="Arial" w:cs="Arial" w:eastAsia="Arial" w:hAnsi="Arial"/>
          <w:sz w:val="16"/>
          <w:szCs w:val="16"/>
          <w:color w:val="auto"/>
        </w:rPr>
        <w:t>We value the opinions of our stockholders and will continue to consider the outcome of future Say-on-Pay votes, as well as feedback received throughout the year, when making compensation decisions for our executive officers. The Compensation Committee is committed to being responsive to stockholder feedback regarding our executive compensation program, policies, and practices, including concerns expressed through the Say-on-Pay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83820</wp:posOffset>
            </wp:positionV>
            <wp:extent cx="986155" cy="2057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1CE"/>
        </w:rPr>
        <w:t>24</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2022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Pay-for-Performance Analysis</w:t>
      </w:r>
    </w:p>
    <w:p>
      <w:pPr>
        <w:spacing w:after="0" w:line="124" w:lineRule="exact"/>
        <w:rPr>
          <w:sz w:val="20"/>
          <w:szCs w:val="20"/>
          <w:color w:val="auto"/>
        </w:rPr>
      </w:pPr>
    </w:p>
    <w:p>
      <w:pPr>
        <w:ind w:left="120" w:right="20"/>
        <w:spacing w:after="0" w:line="251" w:lineRule="auto"/>
        <w:rPr>
          <w:sz w:val="20"/>
          <w:szCs w:val="20"/>
          <w:color w:val="auto"/>
        </w:rPr>
      </w:pPr>
      <w:r>
        <w:rPr>
          <w:rFonts w:ascii="Arial" w:cs="Arial" w:eastAsia="Arial" w:hAnsi="Arial"/>
          <w:sz w:val="16"/>
          <w:szCs w:val="16"/>
          <w:color w:val="auto"/>
        </w:rPr>
        <w:t>We believe our executive compensation program is reasonable, competitive and appropriately balances the goals of attracting, motivating, rewarding, and retaining our executive officers with the goal of aligning their interests with those of our stockholders. To ensure this alignment and to motivate and reward individual initiative and effort, a significant portion of our executive officers’ target total direct compensation opportunity is both performance-based and “at-risk.”</w:t>
      </w:r>
    </w:p>
    <w:p>
      <w:pPr>
        <w:spacing w:after="0" w:line="202" w:lineRule="exact"/>
        <w:rPr>
          <w:sz w:val="20"/>
          <w:szCs w:val="20"/>
          <w:color w:val="auto"/>
        </w:rPr>
      </w:pPr>
    </w:p>
    <w:p>
      <w:pPr>
        <w:ind w:left="120" w:right="860"/>
        <w:spacing w:after="0" w:line="260" w:lineRule="auto"/>
        <w:rPr>
          <w:sz w:val="20"/>
          <w:szCs w:val="20"/>
          <w:color w:val="auto"/>
        </w:rPr>
      </w:pPr>
      <w:r>
        <w:rPr>
          <w:rFonts w:ascii="Arial" w:cs="Arial" w:eastAsia="Arial" w:hAnsi="Arial"/>
          <w:sz w:val="16"/>
          <w:szCs w:val="16"/>
          <w:color w:val="auto"/>
        </w:rPr>
        <w:t>We emphasize performance-based compensation that appropriately rewards our executive officers, including our NEOs, through two separate compensation elements:</w:t>
      </w:r>
    </w:p>
    <w:p>
      <w:pPr>
        <w:spacing w:after="0" w:line="101" w:lineRule="exact"/>
        <w:rPr>
          <w:sz w:val="20"/>
          <w:szCs w:val="20"/>
          <w:color w:val="auto"/>
        </w:rPr>
      </w:pPr>
    </w:p>
    <w:p>
      <w:pPr>
        <w:ind w:left="440" w:right="220" w:hanging="216"/>
        <w:spacing w:after="0" w:line="260" w:lineRule="auto"/>
        <w:tabs>
          <w:tab w:leader="none" w:pos="440" w:val="left"/>
        </w:tabs>
        <w:numPr>
          <w:ilvl w:val="0"/>
          <w:numId w:val="47"/>
        </w:numPr>
        <w:rPr>
          <w:rFonts w:ascii="Arial" w:cs="Arial" w:eastAsia="Arial" w:hAnsi="Arial"/>
          <w:sz w:val="16"/>
          <w:szCs w:val="16"/>
          <w:color w:val="0071CE"/>
        </w:rPr>
      </w:pPr>
      <w:r>
        <w:rPr>
          <w:rFonts w:ascii="Arial" w:cs="Arial" w:eastAsia="Arial" w:hAnsi="Arial"/>
          <w:sz w:val="16"/>
          <w:szCs w:val="16"/>
          <w:color w:val="auto"/>
        </w:rPr>
        <w:t>First, we provide the opportunity to participate in our annual incentive compensation plan which provides cash payments if they produce short-term financial, operational, and strategic results that meet or exceed the objectives set forth each year in our annual operating plan.</w:t>
      </w:r>
    </w:p>
    <w:p>
      <w:pPr>
        <w:spacing w:after="0" w:line="100" w:lineRule="exact"/>
        <w:rPr>
          <w:rFonts w:ascii="Arial" w:cs="Arial" w:eastAsia="Arial" w:hAnsi="Arial"/>
          <w:sz w:val="16"/>
          <w:szCs w:val="16"/>
          <w:color w:val="0071CE"/>
        </w:rPr>
      </w:pPr>
    </w:p>
    <w:p>
      <w:pPr>
        <w:ind w:left="440" w:right="80" w:hanging="216"/>
        <w:spacing w:after="0" w:line="250" w:lineRule="auto"/>
        <w:tabs>
          <w:tab w:leader="none" w:pos="440" w:val="left"/>
        </w:tabs>
        <w:numPr>
          <w:ilvl w:val="0"/>
          <w:numId w:val="47"/>
        </w:numPr>
        <w:rPr>
          <w:rFonts w:ascii="Arial" w:cs="Arial" w:eastAsia="Arial" w:hAnsi="Arial"/>
          <w:sz w:val="16"/>
          <w:szCs w:val="16"/>
          <w:color w:val="0071CE"/>
        </w:rPr>
      </w:pPr>
      <w:r>
        <w:rPr>
          <w:rFonts w:ascii="Arial" w:cs="Arial" w:eastAsia="Arial" w:hAnsi="Arial"/>
          <w:sz w:val="16"/>
          <w:szCs w:val="16"/>
          <w:color w:val="auto"/>
        </w:rPr>
        <w:t>In addition, we grant equity awards as long-term incentive compensation. For our CEO in fiscal 2021, as described above, this award is to be earned based entirely on the achievement of pre-established corporate market capitalization performance objectives that are substantial and designed to drive our financial and operational performance and long-term growth, and, in the case of our other executive officers, are either dependent on the future appreciation in value of our common stock or are subject to the risk of fluctuations in the value of our common stock and, therefore, are “at risk.”</w:t>
      </w:r>
    </w:p>
    <w:p>
      <w:pPr>
        <w:spacing w:after="0" w:line="37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pay mix for our CEO for each of the last three fiscal years illustrates the ongoing emphasis on our performance-based compensation philosophy</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168910</wp:posOffset>
            </wp:positionV>
            <wp:extent cx="5734685" cy="18770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34685" cy="187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20" w:right="20"/>
        <w:spacing w:after="0" w:line="248" w:lineRule="auto"/>
        <w:rPr>
          <w:sz w:val="20"/>
          <w:szCs w:val="20"/>
          <w:color w:val="auto"/>
        </w:rPr>
      </w:pPr>
      <w:r>
        <w:rPr>
          <w:rFonts w:ascii="Arial" w:cs="Arial" w:eastAsia="Arial" w:hAnsi="Arial"/>
          <w:sz w:val="16"/>
          <w:szCs w:val="16"/>
          <w:color w:val="auto"/>
        </w:rPr>
        <w:t>We believe that, ultimately, the creation of sustainable long-term stockholder value will depend on our ability to successfully bring to market the products we develop or partner with strategic collaborators to bring them to market. Consequently, the Compensation Committee strives to incent our executive officers to create that value through the discovery and development of a robust and attractive pipeline of drug candidates. To achieve that end, our executive compensation program is designed to provide incentives that facilitate these efforts. Particularly for our CEO, the Compensation Committee has awarded performance -based equity awards directly linked to market-based objectives. The Compensation Committee closely tracks the progress against these objectives and, in conjunction with our full Board of Directors, ensures the objectives are met using sound, ethical business practices before certifying performance achievement of the awards.</w:t>
      </w:r>
    </w:p>
    <w:p>
      <w:pPr>
        <w:spacing w:after="0" w:line="208" w:lineRule="exact"/>
        <w:rPr>
          <w:sz w:val="20"/>
          <w:szCs w:val="20"/>
          <w:color w:val="auto"/>
        </w:rPr>
      </w:pPr>
    </w:p>
    <w:p>
      <w:pPr>
        <w:ind w:left="120" w:right="20"/>
        <w:spacing w:after="0" w:line="253" w:lineRule="auto"/>
        <w:rPr>
          <w:sz w:val="20"/>
          <w:szCs w:val="20"/>
          <w:color w:val="auto"/>
        </w:rPr>
      </w:pPr>
      <w:r>
        <w:rPr>
          <w:rFonts w:ascii="Arial" w:cs="Arial" w:eastAsia="Arial" w:hAnsi="Arial"/>
          <w:sz w:val="16"/>
          <w:szCs w:val="16"/>
          <w:color w:val="auto"/>
        </w:rPr>
        <w:t>To ensure that we remain faithful to our compensation philosophy, the Compensation Committee regularly evaluates the relationship between the reported values of the equity awards granted to our executive officers, the amount of compensation realizable (and, ultimately, realized) from such awards in subsequent years and our total stockholder return over this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83820</wp:posOffset>
            </wp:positionV>
            <wp:extent cx="986155" cy="2057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43" w:lineRule="exact"/>
        <w:rPr>
          <w:sz w:val="20"/>
          <w:szCs w:val="20"/>
          <w:color w:val="auto"/>
        </w:rPr>
      </w:pPr>
    </w:p>
    <w:p>
      <w:pPr>
        <w:ind w:left="10880"/>
        <w:spacing w:after="0"/>
        <w:rPr>
          <w:sz w:val="20"/>
          <w:szCs w:val="20"/>
          <w:color w:val="auto"/>
        </w:rPr>
      </w:pPr>
      <w:r>
        <w:rPr>
          <w:rFonts w:ascii="Arial" w:cs="Arial" w:eastAsia="Arial" w:hAnsi="Arial"/>
          <w:sz w:val="18"/>
          <w:szCs w:val="18"/>
          <w:b w:val="1"/>
          <w:bCs w:val="1"/>
          <w:color w:val="0071CE"/>
        </w:rPr>
        <w:t>25</w:t>
      </w:r>
    </w:p>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20"/>
        <w:spacing w:after="0"/>
        <w:tabs>
          <w:tab w:leader="none" w:pos="2020" w:val="left"/>
        </w:tabs>
        <w:rPr>
          <w:sz w:val="20"/>
          <w:szCs w:val="20"/>
          <w:color w:val="auto"/>
        </w:rPr>
      </w:pPr>
      <w:r>
        <w:rPr>
          <w:rFonts w:ascii="Arial" w:cs="Arial" w:eastAsia="Arial" w:hAnsi="Arial"/>
          <w:sz w:val="14"/>
          <w:szCs w:val="14"/>
          <w:b w:val="1"/>
          <w:bCs w:val="1"/>
          <w:color w:val="0071CE"/>
        </w:rPr>
        <w:t>2022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Executive Compensation Policies and Practices</w:t>
      </w:r>
    </w:p>
    <w:p>
      <w:pPr>
        <w:spacing w:after="0" w:line="124" w:lineRule="exact"/>
        <w:rPr>
          <w:sz w:val="20"/>
          <w:szCs w:val="20"/>
          <w:color w:val="auto"/>
        </w:rPr>
      </w:pPr>
    </w:p>
    <w:p>
      <w:pPr>
        <w:ind w:left="120" w:right="20"/>
        <w:spacing w:after="0" w:line="251" w:lineRule="auto"/>
        <w:rPr>
          <w:sz w:val="20"/>
          <w:szCs w:val="20"/>
          <w:color w:val="auto"/>
        </w:rPr>
      </w:pPr>
      <w:r>
        <w:rPr>
          <w:rFonts w:ascii="Arial" w:cs="Arial" w:eastAsia="Arial" w:hAnsi="Arial"/>
          <w:sz w:val="16"/>
          <w:szCs w:val="16"/>
          <w:color w:val="auto"/>
        </w:rPr>
        <w:t>We endeavor to maintain sound governance standards consistent with our executive compensation policies and practices. The Compensation Committee evaluates our executive compensation program on a regular basis to ensure that it is consistent with our short-term and long-term goals given the dynamic nature of our business and the market in which we compete for executive talent. The following summarizes our executive compensation and related policies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144145</wp:posOffset>
            </wp:positionV>
            <wp:extent cx="6995160" cy="2228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222885"/>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p>
      <w:pPr>
        <w:spacing w:after="0" w:line="317" w:lineRule="exact"/>
        <w:rPr>
          <w:sz w:val="20"/>
          <w:szCs w:val="20"/>
          <w:color w:val="auto"/>
        </w:rPr>
      </w:pPr>
    </w:p>
    <w:p>
      <w:pPr>
        <w:jc w:val="center"/>
        <w:ind w:left="140"/>
        <w:spacing w:after="0"/>
        <w:rPr>
          <w:sz w:val="20"/>
          <w:szCs w:val="20"/>
          <w:color w:val="auto"/>
        </w:rPr>
      </w:pPr>
      <w:r>
        <w:rPr>
          <w:rFonts w:ascii="Arial" w:cs="Arial" w:eastAsia="Arial" w:hAnsi="Arial"/>
          <w:sz w:val="16"/>
          <w:szCs w:val="16"/>
          <w:b w:val="1"/>
          <w:bCs w:val="1"/>
          <w:color w:val="FFFFFF"/>
        </w:rPr>
        <w:t>WHAT WE DO</w:t>
      </w:r>
    </w:p>
    <w:p>
      <w:pPr>
        <w:spacing w:after="0" w:line="110" w:lineRule="exact"/>
        <w:rPr>
          <w:sz w:val="20"/>
          <w:szCs w:val="20"/>
          <w:color w:val="auto"/>
        </w:rPr>
      </w:pPr>
    </w:p>
    <w:p>
      <w:pPr>
        <w:ind w:left="420" w:right="520" w:hanging="228"/>
        <w:spacing w:after="0" w:line="285" w:lineRule="auto"/>
        <w:tabs>
          <w:tab w:leader="none" w:pos="398" w:val="left"/>
        </w:tabs>
        <w:numPr>
          <w:ilvl w:val="0"/>
          <w:numId w:val="48"/>
        </w:numPr>
        <w:rPr>
          <w:rFonts w:ascii="MS PGothic" w:cs="MS PGothic" w:eastAsia="MS PGothic" w:hAnsi="MS PGothic"/>
          <w:sz w:val="15"/>
          <w:szCs w:val="15"/>
          <w:color w:val="0071CE"/>
        </w:rPr>
      </w:pPr>
      <w:r>
        <w:rPr>
          <w:rFonts w:ascii="Arial" w:cs="Arial" w:eastAsia="Arial" w:hAnsi="Arial"/>
          <w:sz w:val="15"/>
          <w:szCs w:val="15"/>
          <w:b w:val="1"/>
          <w:bCs w:val="1"/>
          <w:i w:val="1"/>
          <w:iCs w:val="1"/>
          <w:color w:val="0071CE"/>
        </w:rPr>
        <w:t xml:space="preserve">Maintain an Independent Compensation Committee. </w:t>
      </w:r>
      <w:r>
        <w:rPr>
          <w:rFonts w:ascii="Arial" w:cs="Arial" w:eastAsia="Arial" w:hAnsi="Arial"/>
          <w:sz w:val="15"/>
          <w:szCs w:val="15"/>
          <w:color w:val="000000"/>
        </w:rPr>
        <w:t>The</w:t>
      </w:r>
      <w:r>
        <w:rPr>
          <w:rFonts w:ascii="Arial" w:cs="Arial" w:eastAsia="Arial" w:hAnsi="Arial"/>
          <w:sz w:val="15"/>
          <w:szCs w:val="15"/>
          <w:b w:val="1"/>
          <w:bCs w:val="1"/>
          <w:i w:val="1"/>
          <w:iCs w:val="1"/>
          <w:color w:val="0071CE"/>
        </w:rPr>
        <w:t xml:space="preserve"> </w:t>
      </w:r>
      <w:r>
        <w:rPr>
          <w:rFonts w:ascii="Arial" w:cs="Arial" w:eastAsia="Arial" w:hAnsi="Arial"/>
          <w:sz w:val="15"/>
          <w:szCs w:val="15"/>
          <w:color w:val="000000"/>
        </w:rPr>
        <w:t>Compensation Committee consists solely of independent directors.</w:t>
      </w:r>
    </w:p>
    <w:p>
      <w:pPr>
        <w:spacing w:after="0" w:line="62" w:lineRule="exact"/>
        <w:rPr>
          <w:rFonts w:ascii="MS PGothic" w:cs="MS PGothic" w:eastAsia="MS PGothic" w:hAnsi="MS PGothic"/>
          <w:sz w:val="15"/>
          <w:szCs w:val="15"/>
          <w:color w:val="0071CE"/>
        </w:rPr>
      </w:pPr>
    </w:p>
    <w:p>
      <w:pPr>
        <w:ind w:left="420" w:hanging="228"/>
        <w:spacing w:after="0"/>
        <w:tabs>
          <w:tab w:leader="none" w:pos="398" w:val="left"/>
        </w:tabs>
        <w:numPr>
          <w:ilvl w:val="0"/>
          <w:numId w:val="48"/>
        </w:numPr>
        <w:rPr>
          <w:rFonts w:ascii="MS PGothic" w:cs="MS PGothic" w:eastAsia="MS PGothic" w:hAnsi="MS PGothic"/>
          <w:sz w:val="15"/>
          <w:szCs w:val="15"/>
          <w:color w:val="0071CE"/>
        </w:rPr>
      </w:pPr>
      <w:r>
        <w:rPr>
          <w:rFonts w:ascii="Arial" w:cs="Arial" w:eastAsia="Arial" w:hAnsi="Arial"/>
          <w:sz w:val="15"/>
          <w:szCs w:val="15"/>
          <w:b w:val="1"/>
          <w:bCs w:val="1"/>
          <w:i w:val="1"/>
          <w:iCs w:val="1"/>
          <w:color w:val="0071CE"/>
        </w:rPr>
        <w:t xml:space="preserve">Retain an Independent Compensation Advisor. </w:t>
      </w:r>
      <w:r>
        <w:rPr>
          <w:rFonts w:ascii="Arial" w:cs="Arial" w:eastAsia="Arial" w:hAnsi="Arial"/>
          <w:sz w:val="15"/>
          <w:szCs w:val="15"/>
          <w:color w:val="000000"/>
        </w:rPr>
        <w:t>The Compensation</w:t>
      </w:r>
      <w:r>
        <w:rPr>
          <w:rFonts w:ascii="Arial" w:cs="Arial" w:eastAsia="Arial" w:hAnsi="Arial"/>
          <w:sz w:val="15"/>
          <w:szCs w:val="15"/>
          <w:b w:val="1"/>
          <w:bCs w:val="1"/>
          <w:i w:val="1"/>
          <w:iCs w:val="1"/>
          <w:color w:val="0071CE"/>
        </w:rPr>
        <w:t xml:space="preserve"> </w:t>
      </w:r>
      <w:r>
        <w:rPr>
          <w:rFonts w:ascii="Arial" w:cs="Arial" w:eastAsia="Arial" w:hAnsi="Arial"/>
          <w:sz w:val="15"/>
          <w:szCs w:val="15"/>
          <w:color w:val="000000"/>
        </w:rPr>
        <w:t>Committee engaged its own compensation advisor to provide information and analysis with its fiscal 2021 compensation review, and other advice on executive compensation independent of management. This consultant performed no consulting or other services for us in fiscal 2021.</w:t>
      </w:r>
    </w:p>
    <w:p>
      <w:pPr>
        <w:spacing w:after="0" w:line="96" w:lineRule="exact"/>
        <w:rPr>
          <w:rFonts w:ascii="MS PGothic" w:cs="MS PGothic" w:eastAsia="MS PGothic" w:hAnsi="MS PGothic"/>
          <w:sz w:val="15"/>
          <w:szCs w:val="15"/>
          <w:color w:val="0071CE"/>
        </w:rPr>
      </w:pPr>
    </w:p>
    <w:p>
      <w:pPr>
        <w:ind w:left="420" w:right="40" w:hanging="228"/>
        <w:spacing w:after="0"/>
        <w:tabs>
          <w:tab w:leader="none" w:pos="398" w:val="left"/>
        </w:tabs>
        <w:numPr>
          <w:ilvl w:val="0"/>
          <w:numId w:val="48"/>
        </w:numPr>
        <w:rPr>
          <w:rFonts w:ascii="MS PGothic" w:cs="MS PGothic" w:eastAsia="MS PGothic" w:hAnsi="MS PGothic"/>
          <w:sz w:val="15"/>
          <w:szCs w:val="15"/>
          <w:color w:val="0071CE"/>
        </w:rPr>
      </w:pPr>
      <w:r>
        <w:rPr>
          <w:rFonts w:ascii="Arial" w:cs="Arial" w:eastAsia="Arial" w:hAnsi="Arial"/>
          <w:sz w:val="15"/>
          <w:szCs w:val="15"/>
          <w:b w:val="1"/>
          <w:bCs w:val="1"/>
          <w:i w:val="1"/>
          <w:iCs w:val="1"/>
          <w:color w:val="0071CE"/>
        </w:rPr>
        <w:t xml:space="preserve">Annual Executive Compensation Review. </w:t>
      </w:r>
      <w:r>
        <w:rPr>
          <w:rFonts w:ascii="Arial" w:cs="Arial" w:eastAsia="Arial" w:hAnsi="Arial"/>
          <w:sz w:val="15"/>
          <w:szCs w:val="15"/>
          <w:color w:val="000000"/>
        </w:rPr>
        <w:t>The Compensation</w:t>
      </w:r>
      <w:r>
        <w:rPr>
          <w:rFonts w:ascii="Arial" w:cs="Arial" w:eastAsia="Arial" w:hAnsi="Arial"/>
          <w:sz w:val="15"/>
          <w:szCs w:val="15"/>
          <w:b w:val="1"/>
          <w:bCs w:val="1"/>
          <w:i w:val="1"/>
          <w:iCs w:val="1"/>
          <w:color w:val="0071CE"/>
        </w:rPr>
        <w:t xml:space="preserve"> </w:t>
      </w:r>
      <w:r>
        <w:rPr>
          <w:rFonts w:ascii="Arial" w:cs="Arial" w:eastAsia="Arial" w:hAnsi="Arial"/>
          <w:sz w:val="15"/>
          <w:szCs w:val="15"/>
          <w:color w:val="000000"/>
        </w:rPr>
        <w:t>Committee conducts an annual review and approval of our compensation strategy, including a review and determination of our compensation peer group used for comparative purposes and a review of our compensation-related risk profile to ensure that our compensation programs do not encourage excessive or inappropriate risk-taking and that the level of risk that they do encourage is not reasonably likely to have a material adverse effect on us.</w:t>
      </w:r>
    </w:p>
    <w:p>
      <w:pPr>
        <w:spacing w:after="0" w:line="237" w:lineRule="exact"/>
        <w:rPr>
          <w:rFonts w:ascii="MS PGothic" w:cs="MS PGothic" w:eastAsia="MS PGothic" w:hAnsi="MS PGothic"/>
          <w:sz w:val="15"/>
          <w:szCs w:val="15"/>
          <w:color w:val="0071CE"/>
        </w:rPr>
      </w:pPr>
    </w:p>
    <w:p>
      <w:pPr>
        <w:ind w:left="420" w:right="20" w:hanging="228"/>
        <w:spacing w:after="0" w:line="245" w:lineRule="auto"/>
        <w:tabs>
          <w:tab w:leader="none" w:pos="398" w:val="left"/>
        </w:tabs>
        <w:numPr>
          <w:ilvl w:val="0"/>
          <w:numId w:val="48"/>
        </w:numPr>
        <w:rPr>
          <w:rFonts w:ascii="MS PGothic" w:cs="MS PGothic" w:eastAsia="MS PGothic" w:hAnsi="MS PGothic"/>
          <w:sz w:val="15"/>
          <w:szCs w:val="15"/>
          <w:color w:val="0071CE"/>
        </w:rPr>
      </w:pPr>
      <w:r>
        <w:rPr>
          <w:rFonts w:ascii="Arial" w:cs="Arial" w:eastAsia="Arial" w:hAnsi="Arial"/>
          <w:sz w:val="15"/>
          <w:szCs w:val="15"/>
          <w:b w:val="1"/>
          <w:bCs w:val="1"/>
          <w:i w:val="1"/>
          <w:iCs w:val="1"/>
          <w:color w:val="0071CE"/>
        </w:rPr>
        <w:t xml:space="preserve">Compensation At-Risk. </w:t>
      </w:r>
      <w:r>
        <w:rPr>
          <w:rFonts w:ascii="Arial" w:cs="Arial" w:eastAsia="Arial" w:hAnsi="Arial"/>
          <w:sz w:val="15"/>
          <w:szCs w:val="15"/>
          <w:color w:val="000000"/>
        </w:rPr>
        <w:t>Our executive compensation program is</w:t>
      </w:r>
      <w:r>
        <w:rPr>
          <w:rFonts w:ascii="Arial" w:cs="Arial" w:eastAsia="Arial" w:hAnsi="Arial"/>
          <w:sz w:val="15"/>
          <w:szCs w:val="15"/>
          <w:b w:val="1"/>
          <w:bCs w:val="1"/>
          <w:i w:val="1"/>
          <w:iCs w:val="1"/>
          <w:color w:val="0071CE"/>
        </w:rPr>
        <w:t xml:space="preserve"> </w:t>
      </w:r>
      <w:r>
        <w:rPr>
          <w:rFonts w:ascii="Arial" w:cs="Arial" w:eastAsia="Arial" w:hAnsi="Arial"/>
          <w:sz w:val="15"/>
          <w:szCs w:val="15"/>
          <w:color w:val="000000"/>
        </w:rPr>
        <w:t>designed so that a significant portion of compensation is “at risk” based on our performance, as well as short-term cash and long-term equity incentives to align the interests of our executive officers and stockholders.</w:t>
      </w:r>
    </w:p>
    <w:p>
      <w:pPr>
        <w:spacing w:after="0" w:line="92" w:lineRule="exact"/>
        <w:rPr>
          <w:rFonts w:ascii="MS PGothic" w:cs="MS PGothic" w:eastAsia="MS PGothic" w:hAnsi="MS PGothic"/>
          <w:sz w:val="15"/>
          <w:szCs w:val="15"/>
          <w:color w:val="0071CE"/>
        </w:rPr>
      </w:pPr>
    </w:p>
    <w:p>
      <w:pPr>
        <w:ind w:left="420" w:right="180" w:hanging="228"/>
        <w:spacing w:after="0" w:line="245" w:lineRule="auto"/>
        <w:tabs>
          <w:tab w:leader="none" w:pos="398" w:val="left"/>
        </w:tabs>
        <w:numPr>
          <w:ilvl w:val="0"/>
          <w:numId w:val="48"/>
        </w:numPr>
        <w:rPr>
          <w:rFonts w:ascii="MS PGothic" w:cs="MS PGothic" w:eastAsia="MS PGothic" w:hAnsi="MS PGothic"/>
          <w:sz w:val="15"/>
          <w:szCs w:val="15"/>
          <w:color w:val="0071CE"/>
        </w:rPr>
      </w:pPr>
      <w:r>
        <w:rPr>
          <w:rFonts w:ascii="Arial" w:cs="Arial" w:eastAsia="Arial" w:hAnsi="Arial"/>
          <w:sz w:val="15"/>
          <w:szCs w:val="15"/>
          <w:b w:val="1"/>
          <w:bCs w:val="1"/>
          <w:i w:val="1"/>
          <w:iCs w:val="1"/>
          <w:color w:val="0071CE"/>
        </w:rPr>
        <w:t xml:space="preserve">CEO Equity Awards Require Increased Stockholder Value. </w:t>
      </w:r>
      <w:r>
        <w:rPr>
          <w:rFonts w:ascii="Arial" w:cs="Arial" w:eastAsia="Arial" w:hAnsi="Arial"/>
          <w:sz w:val="15"/>
          <w:szCs w:val="15"/>
          <w:color w:val="000000"/>
        </w:rPr>
        <w:t>The</w:t>
      </w:r>
      <w:r>
        <w:rPr>
          <w:rFonts w:ascii="Arial" w:cs="Arial" w:eastAsia="Arial" w:hAnsi="Arial"/>
          <w:sz w:val="15"/>
          <w:szCs w:val="15"/>
          <w:b w:val="1"/>
          <w:bCs w:val="1"/>
          <w:i w:val="1"/>
          <w:iCs w:val="1"/>
          <w:color w:val="0071CE"/>
        </w:rPr>
        <w:t xml:space="preserve"> </w:t>
      </w:r>
      <w:r>
        <w:rPr>
          <w:rFonts w:ascii="Arial" w:cs="Arial" w:eastAsia="Arial" w:hAnsi="Arial"/>
          <w:sz w:val="15"/>
          <w:szCs w:val="15"/>
          <w:color w:val="000000"/>
        </w:rPr>
        <w:t>outstanding PRSU awards granted to our CEO were either issued to require, or have been revised to require, the demonstration of increased stockholder value before the awards are certified.</w:t>
      </w:r>
    </w:p>
    <w:p>
      <w:pPr>
        <w:spacing w:after="0" w:line="92" w:lineRule="exact"/>
        <w:rPr>
          <w:rFonts w:ascii="MS PGothic" w:cs="MS PGothic" w:eastAsia="MS PGothic" w:hAnsi="MS PGothic"/>
          <w:sz w:val="15"/>
          <w:szCs w:val="15"/>
          <w:color w:val="0071CE"/>
        </w:rPr>
      </w:pPr>
    </w:p>
    <w:p>
      <w:pPr>
        <w:ind w:left="420" w:right="80" w:hanging="228"/>
        <w:spacing w:after="0" w:line="255" w:lineRule="auto"/>
        <w:tabs>
          <w:tab w:leader="none" w:pos="398" w:val="left"/>
        </w:tabs>
        <w:numPr>
          <w:ilvl w:val="0"/>
          <w:numId w:val="48"/>
        </w:numPr>
        <w:rPr>
          <w:rFonts w:ascii="MS PGothic" w:cs="MS PGothic" w:eastAsia="MS PGothic" w:hAnsi="MS PGothic"/>
          <w:sz w:val="15"/>
          <w:szCs w:val="15"/>
          <w:color w:val="0071CE"/>
        </w:rPr>
      </w:pPr>
      <w:r>
        <w:rPr>
          <w:rFonts w:ascii="Arial" w:cs="Arial" w:eastAsia="Arial" w:hAnsi="Arial"/>
          <w:sz w:val="15"/>
          <w:szCs w:val="15"/>
          <w:b w:val="1"/>
          <w:bCs w:val="1"/>
          <w:i w:val="1"/>
          <w:iCs w:val="1"/>
          <w:color w:val="0071CE"/>
        </w:rPr>
        <w:t xml:space="preserve">Stock Ownership Policy. </w:t>
      </w:r>
      <w:r>
        <w:rPr>
          <w:rFonts w:ascii="Arial" w:cs="Arial" w:eastAsia="Arial" w:hAnsi="Arial"/>
          <w:sz w:val="15"/>
          <w:szCs w:val="15"/>
          <w:color w:val="000000"/>
        </w:rPr>
        <w:t>We maintain a stock ownership policy that</w:t>
      </w:r>
      <w:r>
        <w:rPr>
          <w:rFonts w:ascii="Arial" w:cs="Arial" w:eastAsia="Arial" w:hAnsi="Arial"/>
          <w:sz w:val="15"/>
          <w:szCs w:val="15"/>
          <w:b w:val="1"/>
          <w:bCs w:val="1"/>
          <w:i w:val="1"/>
          <w:iCs w:val="1"/>
          <w:color w:val="0071CE"/>
        </w:rPr>
        <w:t xml:space="preserve"> </w:t>
      </w:r>
      <w:r>
        <w:rPr>
          <w:rFonts w:ascii="Arial" w:cs="Arial" w:eastAsia="Arial" w:hAnsi="Arial"/>
          <w:sz w:val="15"/>
          <w:szCs w:val="15"/>
          <w:color w:val="000000"/>
        </w:rPr>
        <w:t>requires our CEO and CFO to maintain a minimum ownership level of our common stock.</w:t>
      </w:r>
    </w:p>
    <w:p>
      <w:pPr>
        <w:spacing w:after="0" w:line="84" w:lineRule="exact"/>
        <w:rPr>
          <w:rFonts w:ascii="MS PGothic" w:cs="MS PGothic" w:eastAsia="MS PGothic" w:hAnsi="MS PGothic"/>
          <w:sz w:val="15"/>
          <w:szCs w:val="15"/>
          <w:color w:val="0071CE"/>
        </w:rPr>
      </w:pPr>
    </w:p>
    <w:p>
      <w:pPr>
        <w:ind w:left="420" w:right="60" w:hanging="228"/>
        <w:spacing w:after="0"/>
        <w:tabs>
          <w:tab w:leader="none" w:pos="398" w:val="left"/>
        </w:tabs>
        <w:numPr>
          <w:ilvl w:val="0"/>
          <w:numId w:val="48"/>
        </w:numPr>
        <w:rPr>
          <w:rFonts w:ascii="MS PGothic" w:cs="MS PGothic" w:eastAsia="MS PGothic" w:hAnsi="MS PGothic"/>
          <w:sz w:val="15"/>
          <w:szCs w:val="15"/>
          <w:color w:val="0071CE"/>
        </w:rPr>
      </w:pPr>
      <w:r>
        <w:rPr>
          <w:rFonts w:ascii="Arial" w:cs="Arial" w:eastAsia="Arial" w:hAnsi="Arial"/>
          <w:sz w:val="15"/>
          <w:szCs w:val="15"/>
          <w:b w:val="1"/>
          <w:bCs w:val="1"/>
          <w:i w:val="1"/>
          <w:iCs w:val="1"/>
          <w:color w:val="0071CE"/>
        </w:rPr>
        <w:t xml:space="preserve">Compensation Recovery (“Clawback”) Policy. </w:t>
      </w:r>
      <w:r>
        <w:rPr>
          <w:rFonts w:ascii="Arial" w:cs="Arial" w:eastAsia="Arial" w:hAnsi="Arial"/>
          <w:sz w:val="15"/>
          <w:szCs w:val="15"/>
          <w:color w:val="000000"/>
        </w:rPr>
        <w:t>We have established a</w:t>
      </w:r>
      <w:r>
        <w:rPr>
          <w:rFonts w:ascii="Arial" w:cs="Arial" w:eastAsia="Arial" w:hAnsi="Arial"/>
          <w:sz w:val="15"/>
          <w:szCs w:val="15"/>
          <w:b w:val="1"/>
          <w:bCs w:val="1"/>
          <w:i w:val="1"/>
          <w:iCs w:val="1"/>
          <w:color w:val="0071CE"/>
        </w:rPr>
        <w:t xml:space="preserve"> </w:t>
      </w:r>
      <w:r>
        <w:rPr>
          <w:rFonts w:ascii="Arial" w:cs="Arial" w:eastAsia="Arial" w:hAnsi="Arial"/>
          <w:sz w:val="15"/>
          <w:szCs w:val="15"/>
          <w:color w:val="000000"/>
        </w:rPr>
        <w:t>clawback policy allowing us to recover compensation should our Board of Directors determine that a material misstatement of our financial statements was due to fraud, negligence or intentional misconduct by any executive officer of the Company.</w:t>
      </w:r>
    </w:p>
    <w:p>
      <w:pPr>
        <w:spacing w:after="0" w:line="96" w:lineRule="exact"/>
        <w:rPr>
          <w:rFonts w:ascii="MS PGothic" w:cs="MS PGothic" w:eastAsia="MS PGothic" w:hAnsi="MS PGothic"/>
          <w:sz w:val="15"/>
          <w:szCs w:val="15"/>
          <w:color w:val="0071CE"/>
        </w:rPr>
      </w:pPr>
    </w:p>
    <w:p>
      <w:pPr>
        <w:ind w:left="420" w:right="140" w:hanging="228"/>
        <w:spacing w:after="0" w:line="255" w:lineRule="auto"/>
        <w:tabs>
          <w:tab w:leader="none" w:pos="398" w:val="left"/>
        </w:tabs>
        <w:numPr>
          <w:ilvl w:val="0"/>
          <w:numId w:val="48"/>
        </w:numPr>
        <w:rPr>
          <w:rFonts w:ascii="MS PGothic" w:cs="MS PGothic" w:eastAsia="MS PGothic" w:hAnsi="MS PGothic"/>
          <w:sz w:val="15"/>
          <w:szCs w:val="15"/>
          <w:color w:val="0071CE"/>
        </w:rPr>
      </w:pPr>
      <w:r>
        <w:rPr>
          <w:rFonts w:ascii="Arial" w:cs="Arial" w:eastAsia="Arial" w:hAnsi="Arial"/>
          <w:sz w:val="15"/>
          <w:szCs w:val="15"/>
          <w:b w:val="1"/>
          <w:bCs w:val="1"/>
          <w:i w:val="1"/>
          <w:iCs w:val="1"/>
          <w:color w:val="0071CE"/>
        </w:rPr>
        <w:t xml:space="preserve">Conduct an Annual Stockholder Advisory Vote on NEO Compensation. </w:t>
      </w:r>
      <w:r>
        <w:rPr>
          <w:rFonts w:ascii="Arial" w:cs="Arial" w:eastAsia="Arial" w:hAnsi="Arial"/>
          <w:sz w:val="15"/>
          <w:szCs w:val="15"/>
          <w:color w:val="000000"/>
        </w:rPr>
        <w:t>We conduct an annual stockholder advisory vote on the</w:t>
      </w:r>
      <w:r>
        <w:rPr>
          <w:rFonts w:ascii="Arial" w:cs="Arial" w:eastAsia="Arial" w:hAnsi="Arial"/>
          <w:sz w:val="15"/>
          <w:szCs w:val="15"/>
          <w:b w:val="1"/>
          <w:bCs w:val="1"/>
          <w:i w:val="1"/>
          <w:iCs w:val="1"/>
          <w:color w:val="0071CE"/>
        </w:rPr>
        <w:t xml:space="preserve"> </w:t>
      </w:r>
      <w:r>
        <w:rPr>
          <w:rFonts w:ascii="Arial" w:cs="Arial" w:eastAsia="Arial" w:hAnsi="Arial"/>
          <w:sz w:val="15"/>
          <w:szCs w:val="15"/>
          <w:color w:val="000000"/>
        </w:rPr>
        <w:t>compensation of our NEOs.</w:t>
      </w:r>
    </w:p>
    <w:p>
      <w:pPr>
        <w:spacing w:after="0" w:line="84" w:lineRule="exact"/>
        <w:rPr>
          <w:rFonts w:ascii="MS PGothic" w:cs="MS PGothic" w:eastAsia="MS PGothic" w:hAnsi="MS PGothic"/>
          <w:sz w:val="15"/>
          <w:szCs w:val="15"/>
          <w:color w:val="0071CE"/>
        </w:rPr>
      </w:pPr>
    </w:p>
    <w:p>
      <w:pPr>
        <w:ind w:left="420" w:right="240" w:hanging="228"/>
        <w:spacing w:after="0" w:line="236" w:lineRule="auto"/>
        <w:tabs>
          <w:tab w:leader="none" w:pos="398" w:val="left"/>
        </w:tabs>
        <w:numPr>
          <w:ilvl w:val="0"/>
          <w:numId w:val="48"/>
        </w:numPr>
        <w:rPr>
          <w:rFonts w:ascii="MS PGothic" w:cs="MS PGothic" w:eastAsia="MS PGothic" w:hAnsi="MS PGothic"/>
          <w:sz w:val="15"/>
          <w:szCs w:val="15"/>
          <w:color w:val="0071CE"/>
        </w:rPr>
      </w:pPr>
      <w:r>
        <w:rPr>
          <w:rFonts w:ascii="Arial" w:cs="Arial" w:eastAsia="Arial" w:hAnsi="Arial"/>
          <w:sz w:val="15"/>
          <w:szCs w:val="15"/>
          <w:b w:val="1"/>
          <w:bCs w:val="1"/>
          <w:i w:val="1"/>
          <w:iCs w:val="1"/>
          <w:color w:val="0071CE"/>
        </w:rPr>
        <w:t xml:space="preserve">Use a Pay-for-Performance Philosophy. </w:t>
      </w:r>
      <w:r>
        <w:rPr>
          <w:rFonts w:ascii="Arial" w:cs="Arial" w:eastAsia="Arial" w:hAnsi="Arial"/>
          <w:sz w:val="15"/>
          <w:szCs w:val="15"/>
          <w:color w:val="000000"/>
        </w:rPr>
        <w:t>The majority of our CEO’s</w:t>
      </w:r>
      <w:r>
        <w:rPr>
          <w:rFonts w:ascii="Arial" w:cs="Arial" w:eastAsia="Arial" w:hAnsi="Arial"/>
          <w:sz w:val="15"/>
          <w:szCs w:val="15"/>
          <w:b w:val="1"/>
          <w:bCs w:val="1"/>
          <w:i w:val="1"/>
          <w:iCs w:val="1"/>
          <w:color w:val="0071CE"/>
        </w:rPr>
        <w:t xml:space="preserve"> </w:t>
      </w:r>
      <w:r>
        <w:rPr>
          <w:rFonts w:ascii="Arial" w:cs="Arial" w:eastAsia="Arial" w:hAnsi="Arial"/>
          <w:sz w:val="15"/>
          <w:szCs w:val="15"/>
          <w:color w:val="000000"/>
        </w:rPr>
        <w:t>compensation is directly linked to demonstrating stockholder return; we also structure target total direct compensation opportunities with a significant long-term equity component, thereby making a substantial portion of our CEO’s and each additional executive officer’s target total direct compensation dependent upon our stock price and/or total stockholder return.</w:t>
      </w:r>
    </w:p>
    <w:p>
      <w:pPr>
        <w:spacing w:after="0" w:line="95" w:lineRule="exact"/>
        <w:rPr>
          <w:rFonts w:ascii="MS PGothic" w:cs="MS PGothic" w:eastAsia="MS PGothic" w:hAnsi="MS PGothic"/>
          <w:sz w:val="15"/>
          <w:szCs w:val="15"/>
          <w:color w:val="0071CE"/>
        </w:rPr>
      </w:pPr>
    </w:p>
    <w:p>
      <w:pPr>
        <w:ind w:left="420" w:right="80" w:hanging="228"/>
        <w:spacing w:after="0" w:line="237" w:lineRule="auto"/>
        <w:tabs>
          <w:tab w:leader="none" w:pos="398" w:val="left"/>
        </w:tabs>
        <w:numPr>
          <w:ilvl w:val="0"/>
          <w:numId w:val="48"/>
        </w:numPr>
        <w:rPr>
          <w:rFonts w:ascii="MS PGothic" w:cs="MS PGothic" w:eastAsia="MS PGothic" w:hAnsi="MS PGothic"/>
          <w:sz w:val="15"/>
          <w:szCs w:val="15"/>
          <w:color w:val="0071CE"/>
        </w:rPr>
      </w:pPr>
      <w:r>
        <w:rPr>
          <w:rFonts w:ascii="Arial" w:cs="Arial" w:eastAsia="Arial" w:hAnsi="Arial"/>
          <w:sz w:val="15"/>
          <w:szCs w:val="15"/>
          <w:b w:val="1"/>
          <w:bCs w:val="1"/>
          <w:i w:val="1"/>
          <w:iCs w:val="1"/>
          <w:color w:val="0071CE"/>
        </w:rPr>
        <w:t xml:space="preserve">“Double Trigger” Feature for Acceleration of CEO Equity Awards </w:t>
      </w:r>
      <w:r>
        <w:rPr>
          <w:rFonts w:ascii="Arial" w:cs="Arial" w:eastAsia="Arial" w:hAnsi="Arial"/>
          <w:sz w:val="15"/>
          <w:szCs w:val="15"/>
          <w:color w:val="000000"/>
        </w:rPr>
        <w:t>—</w:t>
      </w:r>
      <w:r>
        <w:rPr>
          <w:rFonts w:ascii="Arial" w:cs="Arial" w:eastAsia="Arial" w:hAnsi="Arial"/>
          <w:sz w:val="15"/>
          <w:szCs w:val="15"/>
          <w:b w:val="1"/>
          <w:bCs w:val="1"/>
          <w:i w:val="1"/>
          <w:iCs w:val="1"/>
          <w:color w:val="0071CE"/>
        </w:rPr>
        <w:t xml:space="preserve"> </w:t>
      </w:r>
      <w:r>
        <w:rPr>
          <w:rFonts w:ascii="Arial" w:cs="Arial" w:eastAsia="Arial" w:hAnsi="Arial"/>
          <w:sz w:val="15"/>
          <w:szCs w:val="15"/>
          <w:color w:val="000000"/>
        </w:rPr>
        <w:t>The outstanding equity awards granted to our CEO pursuant to our 2013 Incentive Plan and 2021 Incentive Plan provide that, upon a change in control of the Company, the vesting of such awards will accelerate only in the event of a subsequent involuntary termination of employment (a “double-trigger” arrangement).</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ind w:left="1818"/>
        <w:spacing w:after="0"/>
        <w:rPr>
          <w:sz w:val="20"/>
          <w:szCs w:val="20"/>
          <w:color w:val="auto"/>
        </w:rPr>
      </w:pPr>
      <w:r>
        <w:rPr>
          <w:rFonts w:ascii="Arial" w:cs="Arial" w:eastAsia="Arial" w:hAnsi="Arial"/>
          <w:sz w:val="16"/>
          <w:szCs w:val="16"/>
          <w:b w:val="1"/>
          <w:bCs w:val="1"/>
          <w:color w:val="FFFFFF"/>
        </w:rPr>
        <w:t>WHAT WE DON’T DO</w:t>
      </w:r>
    </w:p>
    <w:p>
      <w:pPr>
        <w:spacing w:after="0" w:line="110" w:lineRule="exact"/>
        <w:rPr>
          <w:sz w:val="20"/>
          <w:szCs w:val="20"/>
          <w:color w:val="auto"/>
        </w:rPr>
      </w:pPr>
    </w:p>
    <w:p>
      <w:pPr>
        <w:ind w:left="238" w:right="140" w:hanging="238"/>
        <w:spacing w:after="0" w:line="255" w:lineRule="auto"/>
        <w:tabs>
          <w:tab w:leader="none" w:pos="216" w:val="left"/>
        </w:tabs>
        <w:numPr>
          <w:ilvl w:val="0"/>
          <w:numId w:val="49"/>
        </w:numPr>
        <w:rPr>
          <w:rFonts w:ascii="MS PGothic" w:cs="MS PGothic" w:eastAsia="MS PGothic" w:hAnsi="MS PGothic"/>
          <w:sz w:val="15"/>
          <w:szCs w:val="15"/>
          <w:color w:val="3FAE2A"/>
        </w:rPr>
      </w:pPr>
      <w:r>
        <w:rPr>
          <w:rFonts w:ascii="Arial" w:cs="Arial" w:eastAsia="Arial" w:hAnsi="Arial"/>
          <w:sz w:val="15"/>
          <w:szCs w:val="15"/>
          <w:b w:val="1"/>
          <w:bCs w:val="1"/>
          <w:i w:val="1"/>
          <w:iCs w:val="1"/>
          <w:color w:val="3FAE2A"/>
        </w:rPr>
        <w:t xml:space="preserve">No Executive Retirement Plans. </w:t>
      </w:r>
      <w:r>
        <w:rPr>
          <w:rFonts w:ascii="Arial" w:cs="Arial" w:eastAsia="Arial" w:hAnsi="Arial"/>
          <w:sz w:val="15"/>
          <w:szCs w:val="15"/>
          <w:color w:val="000000"/>
        </w:rPr>
        <w:t>We do not offer pension arrangements</w:t>
      </w:r>
      <w:r>
        <w:rPr>
          <w:rFonts w:ascii="Arial" w:cs="Arial" w:eastAsia="Arial" w:hAnsi="Arial"/>
          <w:sz w:val="15"/>
          <w:szCs w:val="15"/>
          <w:b w:val="1"/>
          <w:bCs w:val="1"/>
          <w:i w:val="1"/>
          <w:iCs w:val="1"/>
          <w:color w:val="3FAE2A"/>
        </w:rPr>
        <w:t xml:space="preserve"> </w:t>
      </w:r>
      <w:r>
        <w:rPr>
          <w:rFonts w:ascii="Arial" w:cs="Arial" w:eastAsia="Arial" w:hAnsi="Arial"/>
          <w:sz w:val="15"/>
          <w:szCs w:val="15"/>
          <w:color w:val="000000"/>
        </w:rPr>
        <w:t>or retirement plans or arrangements to our executive officers that are different from or in addition to those offered to our other employees.</w:t>
      </w:r>
    </w:p>
    <w:p>
      <w:pPr>
        <w:spacing w:after="0" w:line="84" w:lineRule="exact"/>
        <w:rPr>
          <w:rFonts w:ascii="MS PGothic" w:cs="MS PGothic" w:eastAsia="MS PGothic" w:hAnsi="MS PGothic"/>
          <w:sz w:val="15"/>
          <w:szCs w:val="15"/>
          <w:color w:val="3FAE2A"/>
        </w:rPr>
      </w:pPr>
    </w:p>
    <w:p>
      <w:pPr>
        <w:ind w:left="238" w:right="60" w:hanging="238"/>
        <w:spacing w:after="0" w:line="285" w:lineRule="auto"/>
        <w:tabs>
          <w:tab w:leader="none" w:pos="216" w:val="left"/>
        </w:tabs>
        <w:numPr>
          <w:ilvl w:val="0"/>
          <w:numId w:val="49"/>
        </w:numPr>
        <w:rPr>
          <w:rFonts w:ascii="MS PGothic" w:cs="MS PGothic" w:eastAsia="MS PGothic" w:hAnsi="MS PGothic"/>
          <w:sz w:val="15"/>
          <w:szCs w:val="15"/>
          <w:color w:val="3FAE2A"/>
        </w:rPr>
      </w:pPr>
      <w:r>
        <w:rPr>
          <w:rFonts w:ascii="Arial" w:cs="Arial" w:eastAsia="Arial" w:hAnsi="Arial"/>
          <w:sz w:val="15"/>
          <w:szCs w:val="15"/>
          <w:b w:val="1"/>
          <w:bCs w:val="1"/>
          <w:i w:val="1"/>
          <w:iCs w:val="1"/>
          <w:color w:val="3FAE2A"/>
        </w:rPr>
        <w:t xml:space="preserve">No Perquisites. </w:t>
      </w:r>
      <w:r>
        <w:rPr>
          <w:rFonts w:ascii="Arial" w:cs="Arial" w:eastAsia="Arial" w:hAnsi="Arial"/>
          <w:sz w:val="15"/>
          <w:szCs w:val="15"/>
          <w:color w:val="000000"/>
        </w:rPr>
        <w:t>Currently, we do not provide perquisites or other personal</w:t>
      </w:r>
      <w:r>
        <w:rPr>
          <w:rFonts w:ascii="Arial" w:cs="Arial" w:eastAsia="Arial" w:hAnsi="Arial"/>
          <w:sz w:val="15"/>
          <w:szCs w:val="15"/>
          <w:b w:val="1"/>
          <w:bCs w:val="1"/>
          <w:i w:val="1"/>
          <w:iCs w:val="1"/>
          <w:color w:val="3FAE2A"/>
        </w:rPr>
        <w:t xml:space="preserve"> </w:t>
      </w:r>
      <w:r>
        <w:rPr>
          <w:rFonts w:ascii="Arial" w:cs="Arial" w:eastAsia="Arial" w:hAnsi="Arial"/>
          <w:sz w:val="15"/>
          <w:szCs w:val="15"/>
          <w:color w:val="000000"/>
        </w:rPr>
        <w:t>benefits to our executive officers.</w:t>
      </w:r>
    </w:p>
    <w:p>
      <w:pPr>
        <w:spacing w:after="0" w:line="62" w:lineRule="exact"/>
        <w:rPr>
          <w:rFonts w:ascii="MS PGothic" w:cs="MS PGothic" w:eastAsia="MS PGothic" w:hAnsi="MS PGothic"/>
          <w:sz w:val="15"/>
          <w:szCs w:val="15"/>
          <w:color w:val="3FAE2A"/>
        </w:rPr>
      </w:pPr>
    </w:p>
    <w:p>
      <w:pPr>
        <w:ind w:left="238" w:right="20" w:hanging="238"/>
        <w:spacing w:after="0" w:line="245" w:lineRule="auto"/>
        <w:tabs>
          <w:tab w:leader="none" w:pos="216" w:val="left"/>
        </w:tabs>
        <w:numPr>
          <w:ilvl w:val="0"/>
          <w:numId w:val="49"/>
        </w:numPr>
        <w:rPr>
          <w:rFonts w:ascii="MS PGothic" w:cs="MS PGothic" w:eastAsia="MS PGothic" w:hAnsi="MS PGothic"/>
          <w:sz w:val="15"/>
          <w:szCs w:val="15"/>
          <w:color w:val="3FAE2A"/>
        </w:rPr>
      </w:pPr>
      <w:r>
        <w:rPr>
          <w:rFonts w:ascii="Arial" w:cs="Arial" w:eastAsia="Arial" w:hAnsi="Arial"/>
          <w:sz w:val="15"/>
          <w:szCs w:val="15"/>
          <w:b w:val="1"/>
          <w:bCs w:val="1"/>
          <w:i w:val="1"/>
          <w:iCs w:val="1"/>
          <w:color w:val="3FAE2A"/>
        </w:rPr>
        <w:t xml:space="preserve">No Special Welfare or Health Benefits. </w:t>
      </w:r>
      <w:r>
        <w:rPr>
          <w:rFonts w:ascii="Arial" w:cs="Arial" w:eastAsia="Arial" w:hAnsi="Arial"/>
          <w:sz w:val="15"/>
          <w:szCs w:val="15"/>
          <w:color w:val="000000"/>
        </w:rPr>
        <w:t>Our executive officers participate</w:t>
      </w:r>
      <w:r>
        <w:rPr>
          <w:rFonts w:ascii="Arial" w:cs="Arial" w:eastAsia="Arial" w:hAnsi="Arial"/>
          <w:sz w:val="15"/>
          <w:szCs w:val="15"/>
          <w:b w:val="1"/>
          <w:bCs w:val="1"/>
          <w:i w:val="1"/>
          <w:iCs w:val="1"/>
          <w:color w:val="3FAE2A"/>
        </w:rPr>
        <w:t xml:space="preserve"> </w:t>
      </w:r>
      <w:r>
        <w:rPr>
          <w:rFonts w:ascii="Arial" w:cs="Arial" w:eastAsia="Arial" w:hAnsi="Arial"/>
          <w:sz w:val="15"/>
          <w:szCs w:val="15"/>
          <w:color w:val="000000"/>
        </w:rPr>
        <w:t>in broad-based Company-sponsored health and welfare benefits programs on the same basis as our other full-time, salaried employees, except for a premium for life insurance for our CEO.</w:t>
      </w:r>
    </w:p>
    <w:p>
      <w:pPr>
        <w:spacing w:after="0" w:line="92" w:lineRule="exact"/>
        <w:rPr>
          <w:rFonts w:ascii="MS PGothic" w:cs="MS PGothic" w:eastAsia="MS PGothic" w:hAnsi="MS PGothic"/>
          <w:sz w:val="15"/>
          <w:szCs w:val="15"/>
          <w:color w:val="3FAE2A"/>
        </w:rPr>
      </w:pPr>
    </w:p>
    <w:p>
      <w:pPr>
        <w:jc w:val="both"/>
        <w:ind w:left="238" w:hanging="238"/>
        <w:spacing w:after="0" w:line="255" w:lineRule="auto"/>
        <w:tabs>
          <w:tab w:leader="none" w:pos="216" w:val="left"/>
        </w:tabs>
        <w:numPr>
          <w:ilvl w:val="0"/>
          <w:numId w:val="49"/>
        </w:numPr>
        <w:rPr>
          <w:rFonts w:ascii="MS PGothic" w:cs="MS PGothic" w:eastAsia="MS PGothic" w:hAnsi="MS PGothic"/>
          <w:sz w:val="15"/>
          <w:szCs w:val="15"/>
          <w:color w:val="3FAE2A"/>
        </w:rPr>
      </w:pPr>
      <w:r>
        <w:rPr>
          <w:rFonts w:ascii="Arial" w:cs="Arial" w:eastAsia="Arial" w:hAnsi="Arial"/>
          <w:sz w:val="15"/>
          <w:szCs w:val="15"/>
          <w:b w:val="1"/>
          <w:bCs w:val="1"/>
          <w:i w:val="1"/>
          <w:iCs w:val="1"/>
          <w:color w:val="3FAE2A"/>
        </w:rPr>
        <w:t xml:space="preserve">No Post-Employment Tax Payment Reimbursement. </w:t>
      </w:r>
      <w:r>
        <w:rPr>
          <w:rFonts w:ascii="Arial" w:cs="Arial" w:eastAsia="Arial" w:hAnsi="Arial"/>
          <w:sz w:val="15"/>
          <w:szCs w:val="15"/>
          <w:color w:val="000000"/>
        </w:rPr>
        <w:t>We do not provide</w:t>
      </w:r>
      <w:r>
        <w:rPr>
          <w:rFonts w:ascii="Arial" w:cs="Arial" w:eastAsia="Arial" w:hAnsi="Arial"/>
          <w:sz w:val="15"/>
          <w:szCs w:val="15"/>
          <w:b w:val="1"/>
          <w:bCs w:val="1"/>
          <w:i w:val="1"/>
          <w:iCs w:val="1"/>
          <w:color w:val="3FAE2A"/>
        </w:rPr>
        <w:t xml:space="preserve"> </w:t>
      </w:r>
      <w:r>
        <w:rPr>
          <w:rFonts w:ascii="Arial" w:cs="Arial" w:eastAsia="Arial" w:hAnsi="Arial"/>
          <w:sz w:val="15"/>
          <w:szCs w:val="15"/>
          <w:color w:val="000000"/>
        </w:rPr>
        <w:t>any tax reimbursement payments (including “gross-ups”) on any severance or change-in-control payments or benefits.</w:t>
      </w:r>
    </w:p>
    <w:p>
      <w:pPr>
        <w:spacing w:after="0" w:line="84" w:lineRule="exact"/>
        <w:rPr>
          <w:rFonts w:ascii="MS PGothic" w:cs="MS PGothic" w:eastAsia="MS PGothic" w:hAnsi="MS PGothic"/>
          <w:sz w:val="15"/>
          <w:szCs w:val="15"/>
          <w:color w:val="3FAE2A"/>
        </w:rPr>
      </w:pPr>
    </w:p>
    <w:p>
      <w:pPr>
        <w:ind w:left="238" w:right="20" w:hanging="238"/>
        <w:spacing w:after="0"/>
        <w:tabs>
          <w:tab w:leader="none" w:pos="216" w:val="left"/>
        </w:tabs>
        <w:numPr>
          <w:ilvl w:val="0"/>
          <w:numId w:val="49"/>
        </w:numPr>
        <w:rPr>
          <w:rFonts w:ascii="MS PGothic" w:cs="MS PGothic" w:eastAsia="MS PGothic" w:hAnsi="MS PGothic"/>
          <w:sz w:val="15"/>
          <w:szCs w:val="15"/>
          <w:color w:val="3FAE2A"/>
        </w:rPr>
      </w:pPr>
      <w:r>
        <w:rPr>
          <w:rFonts w:ascii="Arial" w:cs="Arial" w:eastAsia="Arial" w:hAnsi="Arial"/>
          <w:sz w:val="15"/>
          <w:szCs w:val="15"/>
          <w:b w:val="1"/>
          <w:bCs w:val="1"/>
          <w:i w:val="1"/>
          <w:iCs w:val="1"/>
          <w:color w:val="3FAE2A"/>
        </w:rPr>
        <w:t xml:space="preserve">No Hedging and Limit on Pledging of Our Equity Securities. </w:t>
      </w:r>
      <w:r>
        <w:rPr>
          <w:rFonts w:ascii="Arial" w:cs="Arial" w:eastAsia="Arial" w:hAnsi="Arial"/>
          <w:sz w:val="15"/>
          <w:szCs w:val="15"/>
          <w:color w:val="000000"/>
        </w:rPr>
        <w:t>We</w:t>
      </w:r>
      <w:r>
        <w:rPr>
          <w:rFonts w:ascii="Arial" w:cs="Arial" w:eastAsia="Arial" w:hAnsi="Arial"/>
          <w:sz w:val="15"/>
          <w:szCs w:val="15"/>
          <w:b w:val="1"/>
          <w:bCs w:val="1"/>
          <w:i w:val="1"/>
          <w:iCs w:val="1"/>
          <w:color w:val="3FAE2A"/>
        </w:rPr>
        <w:t xml:space="preserve"> </w:t>
      </w:r>
      <w:r>
        <w:rPr>
          <w:rFonts w:ascii="Arial" w:cs="Arial" w:eastAsia="Arial" w:hAnsi="Arial"/>
          <w:sz w:val="15"/>
          <w:szCs w:val="15"/>
          <w:color w:val="000000"/>
        </w:rPr>
        <w:t>prohibit our employees, executive officers and the non-employee members of our Board of Directors from hedging our equity securities. Our board members and executive officers may pledge up to 50% of owned and vested shares with the approval of our Board of Directors.</w:t>
      </w:r>
    </w:p>
    <w:p>
      <w:pPr>
        <w:spacing w:after="0" w:line="96" w:lineRule="exact"/>
        <w:rPr>
          <w:rFonts w:ascii="MS PGothic" w:cs="MS PGothic" w:eastAsia="MS PGothic" w:hAnsi="MS PGothic"/>
          <w:sz w:val="15"/>
          <w:szCs w:val="15"/>
          <w:color w:val="3FAE2A"/>
        </w:rPr>
      </w:pPr>
    </w:p>
    <w:p>
      <w:pPr>
        <w:jc w:val="both"/>
        <w:ind w:left="238" w:right="240" w:hanging="238"/>
        <w:spacing w:after="0" w:line="255" w:lineRule="auto"/>
        <w:tabs>
          <w:tab w:leader="none" w:pos="216" w:val="left"/>
        </w:tabs>
        <w:numPr>
          <w:ilvl w:val="0"/>
          <w:numId w:val="49"/>
        </w:numPr>
        <w:rPr>
          <w:rFonts w:ascii="MS PGothic" w:cs="MS PGothic" w:eastAsia="MS PGothic" w:hAnsi="MS PGothic"/>
          <w:sz w:val="15"/>
          <w:szCs w:val="15"/>
          <w:color w:val="3FAE2A"/>
        </w:rPr>
      </w:pPr>
      <w:r>
        <w:rPr>
          <w:rFonts w:ascii="Arial" w:cs="Arial" w:eastAsia="Arial" w:hAnsi="Arial"/>
          <w:sz w:val="15"/>
          <w:szCs w:val="15"/>
          <w:b w:val="1"/>
          <w:bCs w:val="1"/>
          <w:i w:val="1"/>
          <w:iCs w:val="1"/>
          <w:color w:val="3FAE2A"/>
        </w:rPr>
        <w:t xml:space="preserve">No Dividends or Dividend Equivalents Payable on Unvested Equity Awards. </w:t>
      </w:r>
      <w:r>
        <w:rPr>
          <w:rFonts w:ascii="Arial" w:cs="Arial" w:eastAsia="Arial" w:hAnsi="Arial"/>
          <w:sz w:val="15"/>
          <w:szCs w:val="15"/>
          <w:color w:val="000000"/>
        </w:rPr>
        <w:t>We do not pay dividends or dividend equivalents on unvested</w:t>
      </w:r>
      <w:r>
        <w:rPr>
          <w:rFonts w:ascii="Arial" w:cs="Arial" w:eastAsia="Arial" w:hAnsi="Arial"/>
          <w:sz w:val="15"/>
          <w:szCs w:val="15"/>
          <w:b w:val="1"/>
          <w:bCs w:val="1"/>
          <w:i w:val="1"/>
          <w:iCs w:val="1"/>
          <w:color w:val="3FAE2A"/>
        </w:rPr>
        <w:t xml:space="preserve"> </w:t>
      </w:r>
      <w:r>
        <w:rPr>
          <w:rFonts w:ascii="Arial" w:cs="Arial" w:eastAsia="Arial" w:hAnsi="Arial"/>
          <w:sz w:val="15"/>
          <w:szCs w:val="15"/>
          <w:color w:val="000000"/>
        </w:rPr>
        <w:t>RSU awards or PRSU awards.</w:t>
      </w:r>
    </w:p>
    <w:p>
      <w:pPr>
        <w:spacing w:after="0" w:line="84" w:lineRule="exact"/>
        <w:rPr>
          <w:rFonts w:ascii="MS PGothic" w:cs="MS PGothic" w:eastAsia="MS PGothic" w:hAnsi="MS PGothic"/>
          <w:sz w:val="15"/>
          <w:szCs w:val="15"/>
          <w:color w:val="3FAE2A"/>
        </w:rPr>
      </w:pPr>
    </w:p>
    <w:p>
      <w:pPr>
        <w:ind w:left="238" w:right="80" w:hanging="238"/>
        <w:spacing w:after="0" w:line="255" w:lineRule="auto"/>
        <w:tabs>
          <w:tab w:leader="none" w:pos="216" w:val="left"/>
        </w:tabs>
        <w:numPr>
          <w:ilvl w:val="0"/>
          <w:numId w:val="49"/>
        </w:numPr>
        <w:rPr>
          <w:rFonts w:ascii="MS PGothic" w:cs="MS PGothic" w:eastAsia="MS PGothic" w:hAnsi="MS PGothic"/>
          <w:sz w:val="15"/>
          <w:szCs w:val="15"/>
          <w:color w:val="3FAE2A"/>
        </w:rPr>
      </w:pPr>
      <w:r>
        <w:rPr>
          <w:rFonts w:ascii="Arial" w:cs="Arial" w:eastAsia="Arial" w:hAnsi="Arial"/>
          <w:sz w:val="15"/>
          <w:szCs w:val="15"/>
          <w:b w:val="1"/>
          <w:bCs w:val="1"/>
          <w:i w:val="1"/>
          <w:iCs w:val="1"/>
          <w:color w:val="3FAE2A"/>
        </w:rPr>
        <w:t xml:space="preserve">No Stock Option Re-pricing. </w:t>
      </w:r>
      <w:r>
        <w:rPr>
          <w:rFonts w:ascii="Arial" w:cs="Arial" w:eastAsia="Arial" w:hAnsi="Arial"/>
          <w:sz w:val="15"/>
          <w:szCs w:val="15"/>
          <w:color w:val="000000"/>
        </w:rPr>
        <w:t>Our employee stock plan does not permit</w:t>
      </w:r>
      <w:r>
        <w:rPr>
          <w:rFonts w:ascii="Arial" w:cs="Arial" w:eastAsia="Arial" w:hAnsi="Arial"/>
          <w:sz w:val="15"/>
          <w:szCs w:val="15"/>
          <w:b w:val="1"/>
          <w:bCs w:val="1"/>
          <w:i w:val="1"/>
          <w:iCs w:val="1"/>
          <w:color w:val="3FAE2A"/>
        </w:rPr>
        <w:t xml:space="preserve"> </w:t>
      </w:r>
      <w:r>
        <w:rPr>
          <w:rFonts w:ascii="Arial" w:cs="Arial" w:eastAsia="Arial" w:hAnsi="Arial"/>
          <w:sz w:val="15"/>
          <w:szCs w:val="15"/>
          <w:color w:val="000000"/>
        </w:rPr>
        <w:t>options to purchase shares of our common stock to be repriced to a lower exercise or strike price without the approval of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2836545</wp:posOffset>
            </wp:positionV>
            <wp:extent cx="986155" cy="2057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4497" w:lineRule="exact"/>
        <w:rPr>
          <w:sz w:val="20"/>
          <w:szCs w:val="20"/>
          <w:color w:val="auto"/>
        </w:rPr>
      </w:pPr>
    </w:p>
    <w:p>
      <w:pPr>
        <w:sectPr>
          <w:pgSz w:w="11900" w:h="16838" w:orient="portrait"/>
          <w:cols w:equalWidth="0" w:num="2">
            <w:col w:w="5460" w:space="362"/>
            <w:col w:w="5298"/>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7"/>
          <w:szCs w:val="17"/>
          <w:b w:val="1"/>
          <w:bCs w:val="1"/>
          <w:color w:val="0071CE"/>
        </w:rPr>
        <w:t>26</w:t>
      </w:r>
    </w:p>
    <w:p>
      <w:pPr>
        <w:sectPr>
          <w:pgSz w:w="11900" w:h="16838" w:orient="portrait"/>
          <w:cols w:equalWidth="0" w:num="1">
            <w:col w:w="11120"/>
          </w:cols>
          <w:pgMar w:left="320" w:top="459" w:right="45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2022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4C4C4C"/>
        </w:rPr>
        <w:t>Executive Compensation Philosophy</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executive compensation philosophy reflects our two fundamental objectives:</w:t>
      </w:r>
    </w:p>
    <w:p>
      <w:pPr>
        <w:spacing w:after="0" w:line="127" w:lineRule="exact"/>
        <w:rPr>
          <w:sz w:val="20"/>
          <w:szCs w:val="20"/>
          <w:color w:val="auto"/>
        </w:rPr>
      </w:pPr>
    </w:p>
    <w:p>
      <w:pPr>
        <w:ind w:left="440" w:hanging="216"/>
        <w:spacing w:after="0"/>
        <w:tabs>
          <w:tab w:leader="none" w:pos="440" w:val="left"/>
        </w:tabs>
        <w:numPr>
          <w:ilvl w:val="0"/>
          <w:numId w:val="50"/>
        </w:numPr>
        <w:rPr>
          <w:rFonts w:ascii="Arial" w:cs="Arial" w:eastAsia="Arial" w:hAnsi="Arial"/>
          <w:sz w:val="16"/>
          <w:szCs w:val="16"/>
          <w:color w:val="0071CE"/>
        </w:rPr>
      </w:pPr>
      <w:r>
        <w:rPr>
          <w:rFonts w:ascii="Arial" w:cs="Arial" w:eastAsia="Arial" w:hAnsi="Arial"/>
          <w:sz w:val="16"/>
          <w:szCs w:val="16"/>
          <w:color w:val="auto"/>
        </w:rPr>
        <w:t>to attract, motivate and retain a highly skilled team of executives; and</w:t>
      </w:r>
    </w:p>
    <w:p>
      <w:pPr>
        <w:spacing w:after="0" w:line="126" w:lineRule="exact"/>
        <w:rPr>
          <w:rFonts w:ascii="Arial" w:cs="Arial" w:eastAsia="Arial" w:hAnsi="Arial"/>
          <w:sz w:val="16"/>
          <w:szCs w:val="16"/>
          <w:color w:val="0071CE"/>
        </w:rPr>
      </w:pPr>
    </w:p>
    <w:p>
      <w:pPr>
        <w:ind w:left="440" w:right="1060" w:hanging="216"/>
        <w:spacing w:after="0" w:line="260" w:lineRule="auto"/>
        <w:tabs>
          <w:tab w:leader="none" w:pos="440" w:val="left"/>
        </w:tabs>
        <w:numPr>
          <w:ilvl w:val="0"/>
          <w:numId w:val="50"/>
        </w:numPr>
        <w:rPr>
          <w:rFonts w:ascii="Arial" w:cs="Arial" w:eastAsia="Arial" w:hAnsi="Arial"/>
          <w:sz w:val="16"/>
          <w:szCs w:val="16"/>
          <w:color w:val="0071CE"/>
        </w:rPr>
      </w:pPr>
      <w:r>
        <w:rPr>
          <w:rFonts w:ascii="Arial" w:cs="Arial" w:eastAsia="Arial" w:hAnsi="Arial"/>
          <w:sz w:val="16"/>
          <w:szCs w:val="16"/>
          <w:color w:val="auto"/>
        </w:rPr>
        <w:t>to align our executive officers’ interests with those of our stockholders by rewarding short-term and long-term performance and aligning compensation to increases in stockholder value.</w:t>
      </w:r>
    </w:p>
    <w:p>
      <w:pPr>
        <w:spacing w:after="0" w:line="195" w:lineRule="exact"/>
        <w:rPr>
          <w:sz w:val="20"/>
          <w:szCs w:val="20"/>
          <w:color w:val="auto"/>
        </w:rPr>
      </w:pPr>
    </w:p>
    <w:p>
      <w:pPr>
        <w:jc w:val="both"/>
        <w:ind w:left="120" w:right="640"/>
        <w:spacing w:after="0" w:line="253" w:lineRule="auto"/>
        <w:rPr>
          <w:sz w:val="20"/>
          <w:szCs w:val="20"/>
          <w:color w:val="auto"/>
        </w:rPr>
      </w:pPr>
      <w:r>
        <w:rPr>
          <w:rFonts w:ascii="Arial" w:cs="Arial" w:eastAsia="Arial" w:hAnsi="Arial"/>
          <w:sz w:val="16"/>
          <w:szCs w:val="16"/>
          <w:color w:val="auto"/>
        </w:rPr>
        <w:t>We believe that the compensation of our executive officers should be directly linked to the achievement of specific objectives that are expected to increase stockholder value. In furtherance of this goal, the Compensation Committee has established the following guidelines as a foundation for compensation decisions:</w:t>
      </w:r>
    </w:p>
    <w:p>
      <w:pPr>
        <w:spacing w:after="0" w:line="107" w:lineRule="exact"/>
        <w:rPr>
          <w:sz w:val="20"/>
          <w:szCs w:val="20"/>
          <w:color w:val="auto"/>
        </w:rPr>
      </w:pPr>
    </w:p>
    <w:p>
      <w:pPr>
        <w:ind w:left="440" w:right="580" w:hanging="216"/>
        <w:spacing w:after="0" w:line="260" w:lineRule="auto"/>
        <w:tabs>
          <w:tab w:leader="none" w:pos="440" w:val="left"/>
        </w:tabs>
        <w:numPr>
          <w:ilvl w:val="0"/>
          <w:numId w:val="51"/>
        </w:numPr>
        <w:rPr>
          <w:rFonts w:ascii="Arial" w:cs="Arial" w:eastAsia="Arial" w:hAnsi="Arial"/>
          <w:sz w:val="16"/>
          <w:szCs w:val="16"/>
          <w:color w:val="0071CE"/>
        </w:rPr>
      </w:pPr>
      <w:r>
        <w:rPr>
          <w:rFonts w:ascii="Arial" w:cs="Arial" w:eastAsia="Arial" w:hAnsi="Arial"/>
          <w:sz w:val="16"/>
          <w:szCs w:val="16"/>
          <w:color w:val="auto"/>
        </w:rPr>
        <w:t>provide a competitive total compensation package that enables us to attract, retain and motivate highly-qualified executives with the skills and experience required for the achievement of business goals;</w:t>
      </w:r>
    </w:p>
    <w:p>
      <w:pPr>
        <w:spacing w:after="0" w:line="100" w:lineRule="exact"/>
        <w:rPr>
          <w:rFonts w:ascii="Arial" w:cs="Arial" w:eastAsia="Arial" w:hAnsi="Arial"/>
          <w:sz w:val="16"/>
          <w:szCs w:val="16"/>
          <w:color w:val="0071CE"/>
        </w:rPr>
      </w:pPr>
    </w:p>
    <w:p>
      <w:pPr>
        <w:ind w:left="440" w:right="60" w:hanging="216"/>
        <w:spacing w:after="0" w:line="260" w:lineRule="auto"/>
        <w:tabs>
          <w:tab w:leader="none" w:pos="440" w:val="left"/>
        </w:tabs>
        <w:numPr>
          <w:ilvl w:val="0"/>
          <w:numId w:val="51"/>
        </w:numPr>
        <w:rPr>
          <w:rFonts w:ascii="Arial" w:cs="Arial" w:eastAsia="Arial" w:hAnsi="Arial"/>
          <w:sz w:val="16"/>
          <w:szCs w:val="16"/>
          <w:color w:val="0071CE"/>
        </w:rPr>
      </w:pPr>
      <w:r>
        <w:rPr>
          <w:rFonts w:ascii="Arial" w:cs="Arial" w:eastAsia="Arial" w:hAnsi="Arial"/>
          <w:sz w:val="16"/>
          <w:szCs w:val="16"/>
          <w:color w:val="auto"/>
        </w:rPr>
        <w:t>promote the achievement of key strategic and financial performance measures by linking short-term and long-term compensation to the achievement of measurable goals;</w:t>
      </w:r>
    </w:p>
    <w:p>
      <w:pPr>
        <w:spacing w:after="0" w:line="100" w:lineRule="exact"/>
        <w:rPr>
          <w:rFonts w:ascii="Arial" w:cs="Arial" w:eastAsia="Arial" w:hAnsi="Arial"/>
          <w:sz w:val="16"/>
          <w:szCs w:val="16"/>
          <w:color w:val="0071CE"/>
        </w:rPr>
      </w:pPr>
    </w:p>
    <w:p>
      <w:pPr>
        <w:ind w:left="440" w:hanging="216"/>
        <w:spacing w:after="0"/>
        <w:tabs>
          <w:tab w:leader="none" w:pos="440" w:val="left"/>
        </w:tabs>
        <w:numPr>
          <w:ilvl w:val="0"/>
          <w:numId w:val="51"/>
        </w:numPr>
        <w:rPr>
          <w:rFonts w:ascii="Arial" w:cs="Arial" w:eastAsia="Arial" w:hAnsi="Arial"/>
          <w:sz w:val="16"/>
          <w:szCs w:val="16"/>
          <w:color w:val="0071CE"/>
        </w:rPr>
      </w:pPr>
      <w:r>
        <w:rPr>
          <w:rFonts w:ascii="Arial" w:cs="Arial" w:eastAsia="Arial" w:hAnsi="Arial"/>
          <w:sz w:val="16"/>
          <w:szCs w:val="16"/>
          <w:color w:val="auto"/>
        </w:rPr>
        <w:t>reward significant achievements outside of pre-established goals;</w:t>
      </w:r>
    </w:p>
    <w:p>
      <w:pPr>
        <w:spacing w:after="0" w:line="126" w:lineRule="exact"/>
        <w:rPr>
          <w:rFonts w:ascii="Arial" w:cs="Arial" w:eastAsia="Arial" w:hAnsi="Arial"/>
          <w:sz w:val="16"/>
          <w:szCs w:val="16"/>
          <w:color w:val="0071CE"/>
        </w:rPr>
      </w:pPr>
    </w:p>
    <w:p>
      <w:pPr>
        <w:ind w:left="440" w:right="280" w:hanging="216"/>
        <w:spacing w:after="0" w:line="260" w:lineRule="auto"/>
        <w:tabs>
          <w:tab w:leader="none" w:pos="440" w:val="left"/>
        </w:tabs>
        <w:numPr>
          <w:ilvl w:val="0"/>
          <w:numId w:val="51"/>
        </w:numPr>
        <w:rPr>
          <w:rFonts w:ascii="Arial" w:cs="Arial" w:eastAsia="Arial" w:hAnsi="Arial"/>
          <w:sz w:val="16"/>
          <w:szCs w:val="16"/>
          <w:color w:val="0071CE"/>
        </w:rPr>
      </w:pPr>
      <w:r>
        <w:rPr>
          <w:rFonts w:ascii="Arial" w:cs="Arial" w:eastAsia="Arial" w:hAnsi="Arial"/>
          <w:sz w:val="16"/>
          <w:szCs w:val="16"/>
          <w:color w:val="auto"/>
        </w:rPr>
        <w:t>recognize that pharmaceutical research, development and commercialization require sustained and focused effort over many years, and involve a high degree of risk and therefore balance incentives for short-term and long-term compensation;</w:t>
      </w:r>
    </w:p>
    <w:p>
      <w:pPr>
        <w:spacing w:after="0" w:line="100" w:lineRule="exact"/>
        <w:rPr>
          <w:rFonts w:ascii="Arial" w:cs="Arial" w:eastAsia="Arial" w:hAnsi="Arial"/>
          <w:sz w:val="16"/>
          <w:szCs w:val="16"/>
          <w:color w:val="0071CE"/>
        </w:rPr>
      </w:pPr>
    </w:p>
    <w:p>
      <w:pPr>
        <w:ind w:left="440" w:right="620" w:hanging="216"/>
        <w:spacing w:after="0" w:line="260" w:lineRule="auto"/>
        <w:tabs>
          <w:tab w:leader="none" w:pos="440" w:val="left"/>
        </w:tabs>
        <w:numPr>
          <w:ilvl w:val="0"/>
          <w:numId w:val="51"/>
        </w:numPr>
        <w:rPr>
          <w:rFonts w:ascii="Arial" w:cs="Arial" w:eastAsia="Arial" w:hAnsi="Arial"/>
          <w:sz w:val="16"/>
          <w:szCs w:val="16"/>
          <w:color w:val="0071CE"/>
        </w:rPr>
      </w:pPr>
      <w:r>
        <w:rPr>
          <w:rFonts w:ascii="Arial" w:cs="Arial" w:eastAsia="Arial" w:hAnsi="Arial"/>
          <w:sz w:val="16"/>
          <w:szCs w:val="16"/>
          <w:color w:val="auto"/>
        </w:rPr>
        <w:t>employ outside compensation expertise and market data from industry peers to help assure that our compensation policies and practices are consistent with industry practice and meet our goals for our compensation program;</w:t>
      </w:r>
    </w:p>
    <w:p>
      <w:pPr>
        <w:spacing w:after="0" w:line="100" w:lineRule="exact"/>
        <w:rPr>
          <w:rFonts w:ascii="Arial" w:cs="Arial" w:eastAsia="Arial" w:hAnsi="Arial"/>
          <w:sz w:val="16"/>
          <w:szCs w:val="16"/>
          <w:color w:val="0071CE"/>
        </w:rPr>
      </w:pPr>
    </w:p>
    <w:p>
      <w:pPr>
        <w:ind w:left="440" w:hanging="216"/>
        <w:spacing w:after="0"/>
        <w:tabs>
          <w:tab w:leader="none" w:pos="440" w:val="left"/>
        </w:tabs>
        <w:numPr>
          <w:ilvl w:val="0"/>
          <w:numId w:val="51"/>
        </w:numPr>
        <w:rPr>
          <w:rFonts w:ascii="Arial" w:cs="Arial" w:eastAsia="Arial" w:hAnsi="Arial"/>
          <w:sz w:val="16"/>
          <w:szCs w:val="16"/>
          <w:color w:val="0071CE"/>
        </w:rPr>
      </w:pPr>
      <w:r>
        <w:rPr>
          <w:rFonts w:ascii="Arial" w:cs="Arial" w:eastAsia="Arial" w:hAnsi="Arial"/>
          <w:sz w:val="16"/>
          <w:szCs w:val="16"/>
          <w:color w:val="auto"/>
        </w:rPr>
        <w:t>consider our cash resources and cost of capital to balance cash and equity compensation; and</w:t>
      </w:r>
    </w:p>
    <w:p>
      <w:pPr>
        <w:spacing w:after="0" w:line="126" w:lineRule="exact"/>
        <w:rPr>
          <w:rFonts w:ascii="Arial" w:cs="Arial" w:eastAsia="Arial" w:hAnsi="Arial"/>
          <w:sz w:val="16"/>
          <w:szCs w:val="16"/>
          <w:color w:val="0071CE"/>
        </w:rPr>
      </w:pPr>
    </w:p>
    <w:p>
      <w:pPr>
        <w:ind w:left="440" w:hanging="216"/>
        <w:spacing w:after="0"/>
        <w:tabs>
          <w:tab w:leader="none" w:pos="440" w:val="left"/>
        </w:tabs>
        <w:numPr>
          <w:ilvl w:val="0"/>
          <w:numId w:val="51"/>
        </w:numPr>
        <w:rPr>
          <w:rFonts w:ascii="Arial" w:cs="Arial" w:eastAsia="Arial" w:hAnsi="Arial"/>
          <w:sz w:val="16"/>
          <w:szCs w:val="16"/>
          <w:color w:val="0071CE"/>
        </w:rPr>
      </w:pPr>
      <w:r>
        <w:rPr>
          <w:rFonts w:ascii="Arial" w:cs="Arial" w:eastAsia="Arial" w:hAnsi="Arial"/>
          <w:sz w:val="16"/>
          <w:szCs w:val="16"/>
          <w:color w:val="auto"/>
        </w:rPr>
        <w:t>align our executives’ incentives with the creation of stockholder value.</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4C4C4C"/>
        </w:rPr>
        <w:t>Executive Compensation Program Design</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practice is to combine a mixture of compensation elements that balance achievement of our short-term goals with our longer-term performance.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Currently, our executive compensation program consists of three principal elements:</w:t>
      </w:r>
    </w:p>
    <w:p>
      <w:pPr>
        <w:spacing w:after="0" w:line="127" w:lineRule="exact"/>
        <w:rPr>
          <w:sz w:val="20"/>
          <w:szCs w:val="20"/>
          <w:color w:val="auto"/>
        </w:rPr>
      </w:pPr>
    </w:p>
    <w:p>
      <w:pPr>
        <w:ind w:left="440" w:hanging="216"/>
        <w:spacing w:after="0"/>
        <w:tabs>
          <w:tab w:leader="none" w:pos="440" w:val="left"/>
        </w:tabs>
        <w:numPr>
          <w:ilvl w:val="0"/>
          <w:numId w:val="52"/>
        </w:numPr>
        <w:rPr>
          <w:rFonts w:ascii="Arial" w:cs="Arial" w:eastAsia="Arial" w:hAnsi="Arial"/>
          <w:sz w:val="16"/>
          <w:szCs w:val="16"/>
          <w:color w:val="0071CE"/>
        </w:rPr>
      </w:pPr>
      <w:r>
        <w:rPr>
          <w:rFonts w:ascii="Arial" w:cs="Arial" w:eastAsia="Arial" w:hAnsi="Arial"/>
          <w:sz w:val="16"/>
          <w:szCs w:val="16"/>
          <w:color w:val="auto"/>
        </w:rPr>
        <w:t>base salary;</w:t>
      </w:r>
    </w:p>
    <w:p>
      <w:pPr>
        <w:spacing w:after="0" w:line="126" w:lineRule="exact"/>
        <w:rPr>
          <w:rFonts w:ascii="Arial" w:cs="Arial" w:eastAsia="Arial" w:hAnsi="Arial"/>
          <w:sz w:val="16"/>
          <w:szCs w:val="16"/>
          <w:color w:val="0071CE"/>
        </w:rPr>
      </w:pPr>
    </w:p>
    <w:p>
      <w:pPr>
        <w:ind w:left="440" w:hanging="216"/>
        <w:spacing w:after="0"/>
        <w:tabs>
          <w:tab w:leader="none" w:pos="440" w:val="left"/>
        </w:tabs>
        <w:numPr>
          <w:ilvl w:val="0"/>
          <w:numId w:val="52"/>
        </w:numPr>
        <w:rPr>
          <w:rFonts w:ascii="Arial" w:cs="Arial" w:eastAsia="Arial" w:hAnsi="Arial"/>
          <w:sz w:val="16"/>
          <w:szCs w:val="16"/>
          <w:color w:val="0071CE"/>
        </w:rPr>
      </w:pPr>
      <w:r>
        <w:rPr>
          <w:rFonts w:ascii="Arial" w:cs="Arial" w:eastAsia="Arial" w:hAnsi="Arial"/>
          <w:sz w:val="16"/>
          <w:szCs w:val="16"/>
          <w:color w:val="auto"/>
        </w:rPr>
        <w:t>an annual incentive compensation opportunity; and</w:t>
      </w:r>
    </w:p>
    <w:p>
      <w:pPr>
        <w:spacing w:after="0" w:line="126" w:lineRule="exact"/>
        <w:rPr>
          <w:rFonts w:ascii="Arial" w:cs="Arial" w:eastAsia="Arial" w:hAnsi="Arial"/>
          <w:sz w:val="16"/>
          <w:szCs w:val="16"/>
          <w:color w:val="0071CE"/>
        </w:rPr>
      </w:pPr>
    </w:p>
    <w:p>
      <w:pPr>
        <w:ind w:left="440" w:hanging="216"/>
        <w:spacing w:after="0"/>
        <w:tabs>
          <w:tab w:leader="none" w:pos="440" w:val="left"/>
        </w:tabs>
        <w:numPr>
          <w:ilvl w:val="0"/>
          <w:numId w:val="52"/>
        </w:numPr>
        <w:rPr>
          <w:rFonts w:ascii="Arial" w:cs="Arial" w:eastAsia="Arial" w:hAnsi="Arial"/>
          <w:sz w:val="16"/>
          <w:szCs w:val="16"/>
          <w:color w:val="0071CE"/>
        </w:rPr>
      </w:pPr>
      <w:r>
        <w:rPr>
          <w:rFonts w:ascii="Arial" w:cs="Arial" w:eastAsia="Arial" w:hAnsi="Arial"/>
          <w:sz w:val="16"/>
          <w:szCs w:val="16"/>
          <w:color w:val="auto"/>
        </w:rPr>
        <w:t>long-term incentive compensation in the form of equity awards.</w:t>
      </w:r>
    </w:p>
    <w:p>
      <w:pPr>
        <w:spacing w:after="0" w:line="221" w:lineRule="exact"/>
        <w:rPr>
          <w:sz w:val="20"/>
          <w:szCs w:val="20"/>
          <w:color w:val="auto"/>
        </w:rPr>
      </w:pPr>
    </w:p>
    <w:p>
      <w:pPr>
        <w:ind w:left="120" w:right="200"/>
        <w:spacing w:after="0" w:line="250" w:lineRule="auto"/>
        <w:rPr>
          <w:sz w:val="20"/>
          <w:szCs w:val="20"/>
          <w:color w:val="auto"/>
        </w:rPr>
      </w:pPr>
      <w:r>
        <w:rPr>
          <w:rFonts w:ascii="Arial" w:cs="Arial" w:eastAsia="Arial" w:hAnsi="Arial"/>
          <w:sz w:val="16"/>
          <w:szCs w:val="16"/>
          <w:color w:val="auto"/>
        </w:rPr>
        <w:t>We believe that cash compensation in the form of base salary and an annual incentive compensation opportunity provides our executive officers with short-term rewards for success in operations, and that long-term incentive compensation in the form of RSU and PRSU awards that may be settled for shares of our common stock, and options to purchase shares of our common stock, align the objectives of our executive officers with those of our stockholders with respect to long-term performance and success. We have agreed with our CEO that certification of all outstanding CEO PRSU awards will only occur if our market capitalization has increased from the date of the award.</w:t>
      </w:r>
    </w:p>
    <w:p>
      <w:pPr>
        <w:spacing w:after="0" w:line="203" w:lineRule="exact"/>
        <w:rPr>
          <w:sz w:val="20"/>
          <w:szCs w:val="20"/>
          <w:color w:val="auto"/>
        </w:rPr>
      </w:pPr>
    </w:p>
    <w:p>
      <w:pPr>
        <w:ind w:left="120" w:right="40"/>
        <w:spacing w:after="0" w:line="250" w:lineRule="auto"/>
        <w:rPr>
          <w:sz w:val="20"/>
          <w:szCs w:val="20"/>
          <w:color w:val="auto"/>
        </w:rPr>
      </w:pPr>
      <w:r>
        <w:rPr>
          <w:rFonts w:ascii="Arial" w:cs="Arial" w:eastAsia="Arial" w:hAnsi="Arial"/>
          <w:sz w:val="16"/>
          <w:szCs w:val="16"/>
          <w:color w:val="auto"/>
        </w:rPr>
        <w:t>The Compensation Committee takes into consideration, among other things, our financial and working capital condition when approving performance objectives and making compensation decisions for our executive officers. Since we seek to invest our cash prudently and do not have marketed products, overall target total direct compensation opportunities are weighted more heavily toward long-term incentive compensation in the form of equity awards. Thus, a significant portion of each executive officer’s target total direct compensation is “at risk,” and dependent on the increase in the value of our common stock. The Compensation Committee periodically reassesses the appropriate weighting of cash and equity compensation.</w:t>
      </w:r>
    </w:p>
    <w:p>
      <w:pPr>
        <w:spacing w:after="0" w:line="203" w:lineRule="exact"/>
        <w:rPr>
          <w:sz w:val="20"/>
          <w:szCs w:val="20"/>
          <w:color w:val="auto"/>
        </w:rPr>
      </w:pPr>
    </w:p>
    <w:p>
      <w:pPr>
        <w:ind w:left="120" w:right="20"/>
        <w:spacing w:after="0" w:line="253" w:lineRule="auto"/>
        <w:rPr>
          <w:sz w:val="20"/>
          <w:szCs w:val="20"/>
          <w:color w:val="auto"/>
        </w:rPr>
      </w:pPr>
      <w:r>
        <w:rPr>
          <w:rFonts w:ascii="Arial" w:cs="Arial" w:eastAsia="Arial" w:hAnsi="Arial"/>
          <w:sz w:val="16"/>
          <w:szCs w:val="16"/>
          <w:color w:val="auto"/>
        </w:rPr>
        <w:t>In the case of long-term incentive compensation, typically the Compensation Committee designs these awards to vest, or be earned, over a multi-year period, meaning that long-term value creation, contrasted with short-term gain, presents the best opportunity for our executive officers to benefit from their awards.</w:t>
      </w:r>
    </w:p>
    <w:p>
      <w:pPr>
        <w:spacing w:after="0" w:line="20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do not maintain a specific policy on the percentage allocation between short-term and long-term incentive compensation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96520</wp:posOffset>
            </wp:positionV>
            <wp:extent cx="986155" cy="2057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63" w:lineRule="exact"/>
        <w:rPr>
          <w:sz w:val="20"/>
          <w:szCs w:val="20"/>
          <w:color w:val="auto"/>
        </w:rPr>
      </w:pPr>
    </w:p>
    <w:p>
      <w:pPr>
        <w:ind w:left="10880"/>
        <w:spacing w:after="0"/>
        <w:rPr>
          <w:sz w:val="20"/>
          <w:szCs w:val="20"/>
          <w:color w:val="auto"/>
        </w:rPr>
      </w:pPr>
      <w:r>
        <w:rPr>
          <w:rFonts w:ascii="Arial" w:cs="Arial" w:eastAsia="Arial" w:hAnsi="Arial"/>
          <w:sz w:val="18"/>
          <w:szCs w:val="18"/>
          <w:b w:val="1"/>
          <w:bCs w:val="1"/>
          <w:color w:val="0071CE"/>
        </w:rPr>
        <w:t>27</w:t>
      </w:r>
    </w:p>
    <w:p>
      <w:pPr>
        <w:sectPr>
          <w:pgSz w:w="11900" w:h="16838" w:orient="portrait"/>
          <w:cols w:equalWidth="0" w:num="1">
            <w:col w:w="11140"/>
          </w:cols>
          <w:pgMar w:left="32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20"/>
        <w:spacing w:after="0"/>
        <w:tabs>
          <w:tab w:leader="none" w:pos="2020" w:val="left"/>
        </w:tabs>
        <w:rPr>
          <w:sz w:val="20"/>
          <w:szCs w:val="20"/>
          <w:color w:val="auto"/>
        </w:rPr>
      </w:pPr>
      <w:r>
        <w:rPr>
          <w:rFonts w:ascii="Arial" w:cs="Arial" w:eastAsia="Arial" w:hAnsi="Arial"/>
          <w:sz w:val="14"/>
          <w:szCs w:val="14"/>
          <w:b w:val="1"/>
          <w:bCs w:val="1"/>
          <w:color w:val="0071CE"/>
        </w:rPr>
        <w:t>2022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4C4C4C"/>
        </w:rPr>
        <w:t>Governance of Executive Compensation Program</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Role of the Compensation Committee</w:t>
      </w:r>
    </w:p>
    <w:p>
      <w:pPr>
        <w:spacing w:after="0" w:line="124" w:lineRule="exact"/>
        <w:rPr>
          <w:sz w:val="20"/>
          <w:szCs w:val="20"/>
          <w:color w:val="auto"/>
        </w:rPr>
      </w:pPr>
    </w:p>
    <w:p>
      <w:pPr>
        <w:ind w:left="120" w:right="20"/>
        <w:spacing w:after="0" w:line="250" w:lineRule="auto"/>
        <w:rPr>
          <w:sz w:val="20"/>
          <w:szCs w:val="20"/>
          <w:color w:val="auto"/>
        </w:rPr>
      </w:pPr>
      <w:r>
        <w:rPr>
          <w:rFonts w:ascii="Arial" w:cs="Arial" w:eastAsia="Arial" w:hAnsi="Arial"/>
          <w:sz w:val="16"/>
          <w:szCs w:val="16"/>
          <w:color w:val="auto"/>
        </w:rPr>
        <w:t>The Compensation Committee discharges many of the responsibilities of our Board of Directors relating to the compensation of our executive officers, including our NEOs, and the non-employee members of our Board of Directors. The Compensation Committee has overall responsibility for overseeing our compensation and benefits philosophy and policies generally, overseeing and evaluating the compensation plans, policies and practices applicable to our CEO and our other executive officers, and ensuring that the target total direct compensation opportunities of our executive officers, including our NEOs, are consistent with our compensation philosophy, policies and objectives.</w:t>
      </w:r>
    </w:p>
    <w:p>
      <w:pPr>
        <w:spacing w:after="0" w:line="203" w:lineRule="exact"/>
        <w:rPr>
          <w:sz w:val="20"/>
          <w:szCs w:val="20"/>
          <w:color w:val="auto"/>
        </w:rPr>
      </w:pPr>
    </w:p>
    <w:p>
      <w:pPr>
        <w:ind w:left="120"/>
        <w:spacing w:after="0" w:line="253" w:lineRule="auto"/>
        <w:rPr>
          <w:sz w:val="20"/>
          <w:szCs w:val="20"/>
          <w:color w:val="auto"/>
        </w:rPr>
      </w:pPr>
      <w:r>
        <w:rPr>
          <w:rFonts w:ascii="Arial" w:cs="Arial" w:eastAsia="Arial" w:hAnsi="Arial"/>
          <w:sz w:val="16"/>
          <w:szCs w:val="16"/>
          <w:color w:val="auto"/>
        </w:rPr>
        <w:t>The members of the Compensation Committee are appointed by our Board of Directors, and each member is an independent director (as “independence” is currently defined in Rule 5605(a)(2) of the Nasdaq listing standards). Currently, the members of the Compensation Committee are William Waddill (Committee Chair), Marianne De Backer, Mauro Ferrari, Adeoye Olukoton and Michael Perry.</w:t>
      </w:r>
    </w:p>
    <w:p>
      <w:pPr>
        <w:spacing w:after="0" w:line="201" w:lineRule="exact"/>
        <w:rPr>
          <w:sz w:val="20"/>
          <w:szCs w:val="20"/>
          <w:color w:val="auto"/>
        </w:rPr>
      </w:pPr>
    </w:p>
    <w:p>
      <w:pPr>
        <w:ind w:left="120" w:right="40"/>
        <w:spacing w:after="0" w:line="250" w:lineRule="auto"/>
        <w:rPr>
          <w:sz w:val="20"/>
          <w:szCs w:val="20"/>
          <w:color w:val="auto"/>
        </w:rPr>
      </w:pPr>
      <w:r>
        <w:rPr>
          <w:rFonts w:ascii="Arial" w:cs="Arial" w:eastAsia="Arial" w:hAnsi="Arial"/>
          <w:sz w:val="16"/>
          <w:szCs w:val="16"/>
          <w:color w:val="auto"/>
        </w:rPr>
        <w:t>The Compensation Committee reviews our executive compensation program annually on a calendar year basis, generally in December. The Compensation Committee draws on a number of resources to assist in the evaluation of the various components of our executive compensation program including, but not limited to, input from our CEO, the advice of an external compensation consultant (as identified below) retained by the Compensation Committee, information provided in the public filings of industry peers and industry data compiled yearly by Radford in its Global Life Sciences Survey, which represents a nationally-based assessment of executive compensation widely used within the pharmaceutical and biotechnology industry sectors.</w:t>
      </w:r>
    </w:p>
    <w:p>
      <w:pPr>
        <w:spacing w:after="0" w:line="203" w:lineRule="exact"/>
        <w:rPr>
          <w:sz w:val="20"/>
          <w:szCs w:val="20"/>
          <w:color w:val="auto"/>
        </w:rPr>
      </w:pPr>
    </w:p>
    <w:p>
      <w:pPr>
        <w:jc w:val="both"/>
        <w:ind w:left="120" w:right="240"/>
        <w:spacing w:after="0" w:line="253" w:lineRule="auto"/>
        <w:rPr>
          <w:sz w:val="20"/>
          <w:szCs w:val="20"/>
          <w:color w:val="auto"/>
        </w:rPr>
      </w:pPr>
      <w:r>
        <w:rPr>
          <w:rFonts w:ascii="Arial" w:cs="Arial" w:eastAsia="Arial" w:hAnsi="Arial"/>
          <w:sz w:val="16"/>
          <w:szCs w:val="16"/>
          <w:color w:val="auto"/>
        </w:rPr>
        <w:t>The Compensation Committee relies upon the judgment of its members in making compensation decisions. In addition, the Compensation Committee incorporates judgment in the assessment process to respond to and adjust for the evolving business environment. The members of the Compensation Committee have extensive experience in executive management, as well as compensation practices and policies.</w:t>
      </w:r>
    </w:p>
    <w:p>
      <w:pPr>
        <w:spacing w:after="0" w:line="2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Compensation-Setting Process</w:t>
      </w:r>
    </w:p>
    <w:p>
      <w:pPr>
        <w:spacing w:after="0" w:line="124" w:lineRule="exact"/>
        <w:rPr>
          <w:sz w:val="20"/>
          <w:szCs w:val="20"/>
          <w:color w:val="auto"/>
        </w:rPr>
      </w:pPr>
    </w:p>
    <w:p>
      <w:pPr>
        <w:ind w:left="120" w:right="20"/>
        <w:spacing w:after="0" w:line="250" w:lineRule="auto"/>
        <w:rPr>
          <w:sz w:val="20"/>
          <w:szCs w:val="20"/>
          <w:color w:val="auto"/>
        </w:rPr>
      </w:pPr>
      <w:r>
        <w:rPr>
          <w:rFonts w:ascii="Arial" w:cs="Arial" w:eastAsia="Arial" w:hAnsi="Arial"/>
          <w:sz w:val="16"/>
          <w:szCs w:val="16"/>
          <w:color w:val="auto"/>
        </w:rPr>
        <w:t>The Compensation Committee develops recommendations for the target total direct compensation opportunities for our executive officers, including our NEOs. The Compensation Committee does not use a single method or measure in making its compensation decisions, nor does it position compensation levels based upon a specific or target level relative to a peer group or other companies. Nonetheless, the pay practices at other companies are an important factor that the Compensation Committee considers in assessing the reasonableness of compensation and ensuring that our compensation practices are competitive in the marketplace.</w:t>
      </w:r>
    </w:p>
    <w:p>
      <w:pPr>
        <w:spacing w:after="0" w:line="203" w:lineRule="exact"/>
        <w:rPr>
          <w:sz w:val="20"/>
          <w:szCs w:val="20"/>
          <w:color w:val="auto"/>
        </w:rPr>
      </w:pPr>
    </w:p>
    <w:p>
      <w:pPr>
        <w:ind w:left="120" w:right="40"/>
        <w:spacing w:after="0" w:line="250" w:lineRule="auto"/>
        <w:rPr>
          <w:sz w:val="20"/>
          <w:szCs w:val="20"/>
          <w:color w:val="auto"/>
        </w:rPr>
      </w:pPr>
      <w:r>
        <w:rPr>
          <w:rFonts w:ascii="Arial" w:cs="Arial" w:eastAsia="Arial" w:hAnsi="Arial"/>
          <w:sz w:val="16"/>
          <w:szCs w:val="16"/>
          <w:color w:val="auto"/>
        </w:rPr>
        <w:t>Generally, the Compensation Committee evaluates the compensation of our executive officers relative to the median of the competitive market. However, as discussed hereafter, various other factors are taken into consideration in determining our executive officers’ compensation and the Compensation Committee does not target compensation at any specific level relative to the competitive market. When reviewing our current executive compensation arrangements and approving each compensation element and the target total direct compensation opportunity for our executive officers, the Compensation Committee considers the following factors:</w:t>
      </w:r>
    </w:p>
    <w:p>
      <w:pPr>
        <w:spacing w:after="0" w:line="108" w:lineRule="exact"/>
        <w:rPr>
          <w:sz w:val="20"/>
          <w:szCs w:val="20"/>
          <w:color w:val="auto"/>
        </w:rPr>
      </w:pPr>
    </w:p>
    <w:p>
      <w:pPr>
        <w:ind w:left="440" w:hanging="216"/>
        <w:spacing w:after="0"/>
        <w:tabs>
          <w:tab w:leader="none" w:pos="440" w:val="left"/>
        </w:tabs>
        <w:numPr>
          <w:ilvl w:val="0"/>
          <w:numId w:val="53"/>
        </w:numPr>
        <w:rPr>
          <w:rFonts w:ascii="Arial" w:cs="Arial" w:eastAsia="Arial" w:hAnsi="Arial"/>
          <w:sz w:val="16"/>
          <w:szCs w:val="16"/>
          <w:color w:val="0071CE"/>
        </w:rPr>
      </w:pPr>
      <w:r>
        <w:rPr>
          <w:rFonts w:ascii="Arial" w:cs="Arial" w:eastAsia="Arial" w:hAnsi="Arial"/>
          <w:sz w:val="16"/>
          <w:szCs w:val="16"/>
          <w:color w:val="auto"/>
        </w:rPr>
        <w:t>Our performance against the financial and operational objectives established by the Compensation Committee and our Board of Directors;</w:t>
      </w:r>
    </w:p>
    <w:p>
      <w:pPr>
        <w:spacing w:after="0" w:line="126" w:lineRule="exact"/>
        <w:rPr>
          <w:rFonts w:ascii="Arial" w:cs="Arial" w:eastAsia="Arial" w:hAnsi="Arial"/>
          <w:sz w:val="16"/>
          <w:szCs w:val="16"/>
          <w:color w:val="0071CE"/>
        </w:rPr>
      </w:pPr>
    </w:p>
    <w:p>
      <w:pPr>
        <w:ind w:left="440" w:right="720" w:hanging="216"/>
        <w:spacing w:after="0" w:line="260" w:lineRule="auto"/>
        <w:tabs>
          <w:tab w:leader="none" w:pos="440" w:val="left"/>
        </w:tabs>
        <w:numPr>
          <w:ilvl w:val="0"/>
          <w:numId w:val="53"/>
        </w:numPr>
        <w:rPr>
          <w:rFonts w:ascii="Arial" w:cs="Arial" w:eastAsia="Arial" w:hAnsi="Arial"/>
          <w:sz w:val="16"/>
          <w:szCs w:val="16"/>
          <w:color w:val="0071CE"/>
        </w:rPr>
      </w:pPr>
      <w:r>
        <w:rPr>
          <w:rFonts w:ascii="Arial" w:cs="Arial" w:eastAsia="Arial" w:hAnsi="Arial"/>
          <w:sz w:val="16"/>
          <w:szCs w:val="16"/>
          <w:color w:val="auto"/>
        </w:rPr>
        <w:t>Each individual executive officer’s skills, experience and qualifications relative to other similarly-situated executives at the companies in our compensation peer group and in selected broad-based compensation surveys;</w:t>
      </w:r>
    </w:p>
    <w:p>
      <w:pPr>
        <w:spacing w:after="0" w:line="100" w:lineRule="exact"/>
        <w:rPr>
          <w:rFonts w:ascii="Arial" w:cs="Arial" w:eastAsia="Arial" w:hAnsi="Arial"/>
          <w:sz w:val="16"/>
          <w:szCs w:val="16"/>
          <w:color w:val="0071CE"/>
        </w:rPr>
      </w:pPr>
    </w:p>
    <w:p>
      <w:pPr>
        <w:ind w:left="440" w:right="160" w:hanging="216"/>
        <w:spacing w:after="0" w:line="260" w:lineRule="auto"/>
        <w:tabs>
          <w:tab w:leader="none" w:pos="440" w:val="left"/>
        </w:tabs>
        <w:numPr>
          <w:ilvl w:val="0"/>
          <w:numId w:val="53"/>
        </w:numPr>
        <w:rPr>
          <w:rFonts w:ascii="Arial" w:cs="Arial" w:eastAsia="Arial" w:hAnsi="Arial"/>
          <w:sz w:val="16"/>
          <w:szCs w:val="16"/>
          <w:color w:val="0071CE"/>
        </w:rPr>
      </w:pPr>
      <w:r>
        <w:rPr>
          <w:rFonts w:ascii="Arial" w:cs="Arial" w:eastAsia="Arial" w:hAnsi="Arial"/>
          <w:sz w:val="16"/>
          <w:szCs w:val="16"/>
          <w:color w:val="auto"/>
        </w:rPr>
        <w:t>The scope of each executive officer’s role compared to other similarly-situated executives at the companies in our compensation peer group and in selected broad-based compensation surveys;</w:t>
      </w:r>
    </w:p>
    <w:p>
      <w:pPr>
        <w:spacing w:after="0" w:line="100" w:lineRule="exact"/>
        <w:rPr>
          <w:rFonts w:ascii="Arial" w:cs="Arial" w:eastAsia="Arial" w:hAnsi="Arial"/>
          <w:sz w:val="16"/>
          <w:szCs w:val="16"/>
          <w:color w:val="0071CE"/>
        </w:rPr>
      </w:pPr>
    </w:p>
    <w:p>
      <w:pPr>
        <w:ind w:left="440" w:right="60" w:hanging="216"/>
        <w:spacing w:after="0" w:line="260" w:lineRule="auto"/>
        <w:tabs>
          <w:tab w:leader="none" w:pos="440" w:val="left"/>
        </w:tabs>
        <w:numPr>
          <w:ilvl w:val="0"/>
          <w:numId w:val="53"/>
        </w:numPr>
        <w:rPr>
          <w:rFonts w:ascii="Arial" w:cs="Arial" w:eastAsia="Arial" w:hAnsi="Arial"/>
          <w:sz w:val="16"/>
          <w:szCs w:val="16"/>
          <w:color w:val="0071CE"/>
        </w:rPr>
      </w:pPr>
      <w:r>
        <w:rPr>
          <w:rFonts w:ascii="Arial" w:cs="Arial" w:eastAsia="Arial" w:hAnsi="Arial"/>
          <w:sz w:val="16"/>
          <w:szCs w:val="16"/>
          <w:color w:val="auto"/>
        </w:rPr>
        <w:t>The performance of each individual executive officer, based on a subjective assessment of his or her contributions to our overall performance, ability to lead his or her business unit or function and work as part of a team, all of which reflect our core values;</w:t>
      </w:r>
    </w:p>
    <w:p>
      <w:pPr>
        <w:spacing w:after="0" w:line="100" w:lineRule="exact"/>
        <w:rPr>
          <w:rFonts w:ascii="Arial" w:cs="Arial" w:eastAsia="Arial" w:hAnsi="Arial"/>
          <w:sz w:val="16"/>
          <w:szCs w:val="16"/>
          <w:color w:val="0071CE"/>
        </w:rPr>
      </w:pPr>
    </w:p>
    <w:p>
      <w:pPr>
        <w:ind w:left="440" w:right="40" w:hanging="216"/>
        <w:spacing w:after="0" w:line="260" w:lineRule="auto"/>
        <w:tabs>
          <w:tab w:leader="none" w:pos="440" w:val="left"/>
        </w:tabs>
        <w:numPr>
          <w:ilvl w:val="0"/>
          <w:numId w:val="53"/>
        </w:numPr>
        <w:rPr>
          <w:rFonts w:ascii="Arial" w:cs="Arial" w:eastAsia="Arial" w:hAnsi="Arial"/>
          <w:sz w:val="16"/>
          <w:szCs w:val="16"/>
          <w:color w:val="0071CE"/>
        </w:rPr>
      </w:pPr>
      <w:r>
        <w:rPr>
          <w:rFonts w:ascii="Arial" w:cs="Arial" w:eastAsia="Arial" w:hAnsi="Arial"/>
          <w:sz w:val="16"/>
          <w:szCs w:val="16"/>
          <w:color w:val="auto"/>
        </w:rPr>
        <w:t>The compensation practices of our compensation peer group and the companies in selected broad-based compensation surveys and the positioning of each executive officer’s compensation in a ranking of peer company compensation levels; and</w:t>
      </w:r>
    </w:p>
    <w:p>
      <w:pPr>
        <w:spacing w:after="0" w:line="100" w:lineRule="exact"/>
        <w:rPr>
          <w:rFonts w:ascii="Arial" w:cs="Arial" w:eastAsia="Arial" w:hAnsi="Arial"/>
          <w:sz w:val="16"/>
          <w:szCs w:val="16"/>
          <w:color w:val="0071CE"/>
        </w:rPr>
      </w:pPr>
    </w:p>
    <w:p>
      <w:pPr>
        <w:ind w:left="440" w:hanging="216"/>
        <w:spacing w:after="0"/>
        <w:tabs>
          <w:tab w:leader="none" w:pos="440" w:val="left"/>
        </w:tabs>
        <w:numPr>
          <w:ilvl w:val="0"/>
          <w:numId w:val="53"/>
        </w:numPr>
        <w:rPr>
          <w:rFonts w:ascii="Arial" w:cs="Arial" w:eastAsia="Arial" w:hAnsi="Arial"/>
          <w:sz w:val="16"/>
          <w:szCs w:val="16"/>
          <w:color w:val="0071CE"/>
        </w:rPr>
      </w:pPr>
      <w:r>
        <w:rPr>
          <w:rFonts w:ascii="Arial" w:cs="Arial" w:eastAsia="Arial" w:hAnsi="Arial"/>
          <w:sz w:val="16"/>
          <w:szCs w:val="16"/>
          <w:color w:val="auto"/>
        </w:rPr>
        <w:t>The recommendations provided by our CEO with respect to the compensation of our other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96520</wp:posOffset>
            </wp:positionV>
            <wp:extent cx="986155" cy="2057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1CE"/>
        </w:rPr>
        <w:t>28</w:t>
      </w:r>
    </w:p>
    <w:p>
      <w:pPr>
        <w:sectPr>
          <w:pgSz w:w="11900" w:h="16838" w:orient="portrait"/>
          <w:cols w:equalWidth="0" w:num="1">
            <w:col w:w="11100"/>
          </w:cols>
          <w:pgMar w:left="32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7500"/>
        <w:spacing w:after="0"/>
        <w:tabs>
          <w:tab w:leader="none" w:pos="9400" w:val="left"/>
        </w:tabs>
        <w:rPr>
          <w:sz w:val="20"/>
          <w:szCs w:val="20"/>
          <w:color w:val="auto"/>
        </w:rPr>
      </w:pPr>
      <w:r>
        <w:rPr>
          <w:rFonts w:ascii="Arial" w:cs="Arial" w:eastAsia="Arial" w:hAnsi="Arial"/>
          <w:sz w:val="14"/>
          <w:szCs w:val="14"/>
          <w:b w:val="1"/>
          <w:bCs w:val="1"/>
          <w:color w:val="0071CE"/>
        </w:rPr>
        <w:t>2022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65" w:lineRule="exact"/>
        <w:rPr>
          <w:sz w:val="20"/>
          <w:szCs w:val="20"/>
          <w:color w:val="auto"/>
        </w:rPr>
      </w:pPr>
    </w:p>
    <w:p>
      <w:pPr>
        <w:ind w:left="120" w:right="260"/>
        <w:spacing w:after="0" w:line="260" w:lineRule="auto"/>
        <w:rPr>
          <w:sz w:val="20"/>
          <w:szCs w:val="20"/>
          <w:color w:val="auto"/>
        </w:rPr>
      </w:pPr>
      <w:r>
        <w:rPr>
          <w:rFonts w:ascii="Arial" w:cs="Arial" w:eastAsia="Arial" w:hAnsi="Arial"/>
          <w:sz w:val="16"/>
          <w:szCs w:val="16"/>
          <w:color w:val="auto"/>
        </w:rPr>
        <w:t>These factors provide the framework for compensation decision-making and final decisions regarding the compensation opportunity for each executive officer. No single factor is determinative in setting pay levels, nor was the impact of any factor on the determination of pay levels quantifiable.</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Role of Chief Executive Officer</w:t>
      </w:r>
    </w:p>
    <w:p>
      <w:pPr>
        <w:spacing w:after="0" w:line="124" w:lineRule="exact"/>
        <w:rPr>
          <w:sz w:val="20"/>
          <w:szCs w:val="20"/>
          <w:color w:val="auto"/>
        </w:rPr>
      </w:pPr>
    </w:p>
    <w:p>
      <w:pPr>
        <w:ind w:left="120" w:right="60"/>
        <w:spacing w:after="0" w:line="251" w:lineRule="auto"/>
        <w:rPr>
          <w:sz w:val="20"/>
          <w:szCs w:val="20"/>
          <w:color w:val="auto"/>
        </w:rPr>
      </w:pPr>
      <w:r>
        <w:rPr>
          <w:rFonts w:ascii="Arial" w:cs="Arial" w:eastAsia="Arial" w:hAnsi="Arial"/>
          <w:sz w:val="16"/>
          <w:szCs w:val="16"/>
          <w:color w:val="auto"/>
        </w:rPr>
        <w:t>In discharging its responsibilities, the Compensation Committee works with members of our management, including our CEO. Our management assists the Compensation Committee by providing information on corporate and individual performance, market compensation data and management’s perspective on compensation matters. The Compensation Committee solicits and reviews our CEO’s recommendations with respect to the compensation levels for individual executive officers other than himself based on his performance evaluation of each executive officer.</w:t>
      </w:r>
    </w:p>
    <w:p>
      <w:pPr>
        <w:spacing w:after="0" w:line="202" w:lineRule="exact"/>
        <w:rPr>
          <w:sz w:val="20"/>
          <w:szCs w:val="20"/>
          <w:color w:val="auto"/>
        </w:rPr>
      </w:pPr>
    </w:p>
    <w:p>
      <w:pPr>
        <w:ind w:left="120" w:right="120"/>
        <w:spacing w:after="0" w:line="253" w:lineRule="auto"/>
        <w:rPr>
          <w:sz w:val="20"/>
          <w:szCs w:val="20"/>
          <w:color w:val="auto"/>
        </w:rPr>
      </w:pPr>
      <w:r>
        <w:rPr>
          <w:rFonts w:ascii="Arial" w:cs="Arial" w:eastAsia="Arial" w:hAnsi="Arial"/>
          <w:sz w:val="16"/>
          <w:szCs w:val="16"/>
          <w:color w:val="auto"/>
        </w:rPr>
        <w:t>The Compensation Committee reviews and discusses these recommendations and proposals with our CEO and considers them as one factor in determining the compensation for our executive officers, including our other NEOs. Our CEO recuses himself from all discussions and recommendations regarding his own compensation.</w:t>
      </w:r>
    </w:p>
    <w:p>
      <w:pPr>
        <w:spacing w:after="0" w:line="2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Role of Compensation Consultant</w:t>
      </w:r>
    </w:p>
    <w:p>
      <w:pPr>
        <w:spacing w:after="0" w:line="124" w:lineRule="exact"/>
        <w:rPr>
          <w:sz w:val="20"/>
          <w:szCs w:val="20"/>
          <w:color w:val="auto"/>
        </w:rPr>
      </w:pPr>
    </w:p>
    <w:p>
      <w:pPr>
        <w:ind w:left="120" w:right="140"/>
        <w:spacing w:after="0" w:line="253" w:lineRule="auto"/>
        <w:rPr>
          <w:sz w:val="20"/>
          <w:szCs w:val="20"/>
          <w:color w:val="auto"/>
        </w:rPr>
      </w:pPr>
      <w:r>
        <w:rPr>
          <w:rFonts w:ascii="Arial" w:cs="Arial" w:eastAsia="Arial" w:hAnsi="Arial"/>
          <w:sz w:val="16"/>
          <w:szCs w:val="16"/>
          <w:color w:val="auto"/>
        </w:rPr>
        <w:t>The Compensation Committee engages an external compensation consultant to assist it by providing information, analysis and other advice relating to our executive compensation program and the decisions resulting from its annual executive compensation review. The Compensation Committee has the final authority to engage and terminate the engagement of any compensation consultant that it retains.</w:t>
      </w:r>
    </w:p>
    <w:p>
      <w:pPr>
        <w:spacing w:after="0" w:line="201" w:lineRule="exact"/>
        <w:rPr>
          <w:sz w:val="20"/>
          <w:szCs w:val="20"/>
          <w:color w:val="auto"/>
        </w:rPr>
      </w:pPr>
    </w:p>
    <w:p>
      <w:pPr>
        <w:ind w:left="120" w:right="120"/>
        <w:spacing w:after="0" w:line="251" w:lineRule="auto"/>
        <w:rPr>
          <w:sz w:val="20"/>
          <w:szCs w:val="20"/>
          <w:color w:val="auto"/>
        </w:rPr>
      </w:pPr>
      <w:r>
        <w:rPr>
          <w:rFonts w:ascii="Arial" w:cs="Arial" w:eastAsia="Arial" w:hAnsi="Arial"/>
          <w:sz w:val="16"/>
          <w:szCs w:val="16"/>
          <w:color w:val="auto"/>
        </w:rPr>
        <w:t>For the period from October 2018 through the present, the Compensation Committee has engaged Compensia, Inc., a national compensation consulting firm, as its external compensation consultant (“</w:t>
      </w:r>
      <w:r>
        <w:rPr>
          <w:rFonts w:ascii="Arial" w:cs="Arial" w:eastAsia="Arial" w:hAnsi="Arial"/>
          <w:sz w:val="16"/>
          <w:szCs w:val="16"/>
          <w:b w:val="1"/>
          <w:bCs w:val="1"/>
          <w:color w:val="auto"/>
        </w:rPr>
        <w:t>Compensia</w:t>
      </w:r>
      <w:r>
        <w:rPr>
          <w:rFonts w:ascii="Arial" w:cs="Arial" w:eastAsia="Arial" w:hAnsi="Arial"/>
          <w:sz w:val="16"/>
          <w:szCs w:val="16"/>
          <w:color w:val="auto"/>
        </w:rPr>
        <w:t>”). Compensia assisted the Compensation Committee in its review of executive officer and non-employee director compensation practices for fiscal 2021, including the competitiveness of compensation levels, executive compensation design, comparisons with our industry peers, and other technical considerations. Such assistance included:</w:t>
      </w:r>
    </w:p>
    <w:p>
      <w:pPr>
        <w:spacing w:after="0" w:line="108" w:lineRule="exact"/>
        <w:rPr>
          <w:sz w:val="20"/>
          <w:szCs w:val="20"/>
          <w:color w:val="auto"/>
        </w:rPr>
      </w:pPr>
    </w:p>
    <w:p>
      <w:pPr>
        <w:ind w:left="440" w:hanging="216"/>
        <w:spacing w:after="0"/>
        <w:tabs>
          <w:tab w:leader="none" w:pos="440" w:val="left"/>
        </w:tabs>
        <w:numPr>
          <w:ilvl w:val="0"/>
          <w:numId w:val="54"/>
        </w:numPr>
        <w:rPr>
          <w:rFonts w:ascii="Arial" w:cs="Arial" w:eastAsia="Arial" w:hAnsi="Arial"/>
          <w:sz w:val="16"/>
          <w:szCs w:val="16"/>
          <w:color w:val="0071CE"/>
        </w:rPr>
      </w:pPr>
      <w:r>
        <w:rPr>
          <w:rFonts w:ascii="Arial" w:cs="Arial" w:eastAsia="Arial" w:hAnsi="Arial"/>
          <w:sz w:val="16"/>
          <w:szCs w:val="16"/>
          <w:color w:val="auto"/>
        </w:rPr>
        <w:t>Review and update of our compensation peer group;</w:t>
      </w:r>
    </w:p>
    <w:p>
      <w:pPr>
        <w:spacing w:after="0" w:line="126" w:lineRule="exact"/>
        <w:rPr>
          <w:rFonts w:ascii="Arial" w:cs="Arial" w:eastAsia="Arial" w:hAnsi="Arial"/>
          <w:sz w:val="16"/>
          <w:szCs w:val="16"/>
          <w:color w:val="0071CE"/>
        </w:rPr>
      </w:pPr>
    </w:p>
    <w:p>
      <w:pPr>
        <w:ind w:left="440" w:hanging="216"/>
        <w:spacing w:after="0"/>
        <w:tabs>
          <w:tab w:leader="none" w:pos="440" w:val="left"/>
        </w:tabs>
        <w:numPr>
          <w:ilvl w:val="0"/>
          <w:numId w:val="54"/>
        </w:numPr>
        <w:rPr>
          <w:rFonts w:ascii="Arial" w:cs="Arial" w:eastAsia="Arial" w:hAnsi="Arial"/>
          <w:sz w:val="16"/>
          <w:szCs w:val="16"/>
          <w:color w:val="0071CE"/>
        </w:rPr>
      </w:pPr>
      <w:r>
        <w:rPr>
          <w:rFonts w:ascii="Arial" w:cs="Arial" w:eastAsia="Arial" w:hAnsi="Arial"/>
          <w:sz w:val="16"/>
          <w:szCs w:val="16"/>
          <w:color w:val="auto"/>
        </w:rPr>
        <w:t>Review and analysis of the compensation arrangements for our executive officers, including our NEOs;</w:t>
      </w:r>
    </w:p>
    <w:p>
      <w:pPr>
        <w:spacing w:after="0" w:line="126" w:lineRule="exact"/>
        <w:rPr>
          <w:rFonts w:ascii="Arial" w:cs="Arial" w:eastAsia="Arial" w:hAnsi="Arial"/>
          <w:sz w:val="16"/>
          <w:szCs w:val="16"/>
          <w:color w:val="0071CE"/>
        </w:rPr>
      </w:pPr>
    </w:p>
    <w:p>
      <w:pPr>
        <w:ind w:left="440" w:hanging="216"/>
        <w:spacing w:after="0"/>
        <w:tabs>
          <w:tab w:leader="none" w:pos="440" w:val="left"/>
        </w:tabs>
        <w:numPr>
          <w:ilvl w:val="0"/>
          <w:numId w:val="54"/>
        </w:numPr>
        <w:rPr>
          <w:rFonts w:ascii="Arial" w:cs="Arial" w:eastAsia="Arial" w:hAnsi="Arial"/>
          <w:sz w:val="16"/>
          <w:szCs w:val="16"/>
          <w:color w:val="0071CE"/>
        </w:rPr>
      </w:pPr>
      <w:r>
        <w:rPr>
          <w:rFonts w:ascii="Arial" w:cs="Arial" w:eastAsia="Arial" w:hAnsi="Arial"/>
          <w:sz w:val="16"/>
          <w:szCs w:val="16"/>
          <w:color w:val="auto"/>
        </w:rPr>
        <w:t>Review and analysis of the compensation arrangements for the non-employee members of our Board of Directors;</w:t>
      </w:r>
    </w:p>
    <w:p>
      <w:pPr>
        <w:spacing w:after="0" w:line="126" w:lineRule="exact"/>
        <w:rPr>
          <w:rFonts w:ascii="Arial" w:cs="Arial" w:eastAsia="Arial" w:hAnsi="Arial"/>
          <w:sz w:val="16"/>
          <w:szCs w:val="16"/>
          <w:color w:val="0071CE"/>
        </w:rPr>
      </w:pPr>
    </w:p>
    <w:p>
      <w:pPr>
        <w:ind w:left="440" w:hanging="216"/>
        <w:spacing w:after="0"/>
        <w:tabs>
          <w:tab w:leader="none" w:pos="440" w:val="left"/>
        </w:tabs>
        <w:numPr>
          <w:ilvl w:val="0"/>
          <w:numId w:val="54"/>
        </w:numPr>
        <w:rPr>
          <w:rFonts w:ascii="Arial" w:cs="Arial" w:eastAsia="Arial" w:hAnsi="Arial"/>
          <w:sz w:val="16"/>
          <w:szCs w:val="16"/>
          <w:color w:val="0071CE"/>
        </w:rPr>
      </w:pPr>
      <w:r>
        <w:rPr>
          <w:rFonts w:ascii="Arial" w:cs="Arial" w:eastAsia="Arial" w:hAnsi="Arial"/>
          <w:sz w:val="16"/>
          <w:szCs w:val="16"/>
          <w:color w:val="auto"/>
        </w:rPr>
        <w:t>Review and update of the Compensation Discussion and Analysis section of our proxy statement for our 2022 Annual Meeting of Stockholders; and</w:t>
      </w:r>
    </w:p>
    <w:p>
      <w:pPr>
        <w:spacing w:after="0" w:line="110" w:lineRule="exact"/>
        <w:rPr>
          <w:rFonts w:ascii="Arial" w:cs="Arial" w:eastAsia="Arial" w:hAnsi="Arial"/>
          <w:sz w:val="16"/>
          <w:szCs w:val="16"/>
          <w:color w:val="0071CE"/>
        </w:rPr>
      </w:pPr>
    </w:p>
    <w:p>
      <w:pPr>
        <w:ind w:left="440" w:hanging="216"/>
        <w:spacing w:after="0"/>
        <w:tabs>
          <w:tab w:leader="none" w:pos="440" w:val="left"/>
        </w:tabs>
        <w:numPr>
          <w:ilvl w:val="0"/>
          <w:numId w:val="54"/>
        </w:numPr>
        <w:rPr>
          <w:rFonts w:ascii="Arial" w:cs="Arial" w:eastAsia="Arial" w:hAnsi="Arial"/>
          <w:sz w:val="16"/>
          <w:szCs w:val="16"/>
          <w:color w:val="0071CE"/>
        </w:rPr>
      </w:pPr>
      <w:r>
        <w:rPr>
          <w:rFonts w:ascii="Arial" w:cs="Arial" w:eastAsia="Arial" w:hAnsi="Arial"/>
          <w:sz w:val="16"/>
          <w:szCs w:val="16"/>
          <w:color w:val="auto"/>
        </w:rPr>
        <w:t xml:space="preserve">Support on other </w:t>
      </w:r>
      <w:r>
        <w:rPr>
          <w:rFonts w:ascii="Arial" w:cs="Arial" w:eastAsia="Arial" w:hAnsi="Arial"/>
          <w:sz w:val="16"/>
          <w:szCs w:val="16"/>
          <w:i w:val="1"/>
          <w:iCs w:val="1"/>
          <w:color w:val="auto"/>
        </w:rPr>
        <w:t>ad hoc</w:t>
      </w:r>
      <w:r>
        <w:rPr>
          <w:rFonts w:ascii="Arial" w:cs="Arial" w:eastAsia="Arial" w:hAnsi="Arial"/>
          <w:sz w:val="16"/>
          <w:szCs w:val="16"/>
          <w:color w:val="auto"/>
        </w:rPr>
        <w:t xml:space="preserve"> matters.</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terms of Compensia’s engagement include reporting directly to the Compensation Committee and to the Compensation Committee Chair.</w:t>
      </w:r>
    </w:p>
    <w:p>
      <w:pPr>
        <w:spacing w:after="0" w:line="221" w:lineRule="exact"/>
        <w:rPr>
          <w:sz w:val="20"/>
          <w:szCs w:val="20"/>
          <w:color w:val="auto"/>
        </w:rPr>
      </w:pPr>
    </w:p>
    <w:p>
      <w:pPr>
        <w:ind w:left="120" w:right="80"/>
        <w:spacing w:after="0" w:line="253" w:lineRule="auto"/>
        <w:rPr>
          <w:sz w:val="20"/>
          <w:szCs w:val="20"/>
          <w:color w:val="auto"/>
        </w:rPr>
      </w:pPr>
      <w:r>
        <w:rPr>
          <w:rFonts w:ascii="Arial" w:cs="Arial" w:eastAsia="Arial" w:hAnsi="Arial"/>
          <w:sz w:val="16"/>
          <w:szCs w:val="16"/>
          <w:color w:val="auto"/>
        </w:rPr>
        <w:t>In 2021, Compensia did not provide any other services to us. The Compensation Committee has evaluated Compensia’s independence pursuant to the listing standards of the Nasdaq and the relevant SEC rules and has determined that no conflict of interest has arisen as a result of the work performed by Compensia.</w:t>
      </w:r>
    </w:p>
    <w:p>
      <w:pPr>
        <w:spacing w:after="0" w:line="2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Competitive Positioning</w:t>
      </w:r>
    </w:p>
    <w:p>
      <w:pPr>
        <w:spacing w:after="0" w:line="124" w:lineRule="exact"/>
        <w:rPr>
          <w:sz w:val="20"/>
          <w:szCs w:val="20"/>
          <w:color w:val="auto"/>
        </w:rPr>
      </w:pPr>
    </w:p>
    <w:p>
      <w:pPr>
        <w:jc w:val="both"/>
        <w:ind w:left="120" w:right="240"/>
        <w:spacing w:after="0" w:line="246" w:lineRule="auto"/>
        <w:rPr>
          <w:sz w:val="20"/>
          <w:szCs w:val="20"/>
          <w:color w:val="auto"/>
        </w:rPr>
      </w:pPr>
      <w:r>
        <w:rPr>
          <w:rFonts w:ascii="Arial" w:cs="Arial" w:eastAsia="Arial" w:hAnsi="Arial"/>
          <w:sz w:val="16"/>
          <w:szCs w:val="16"/>
          <w:color w:val="auto"/>
        </w:rPr>
        <w:t>For each of the past eight years, the Compensation Committee has directed its external compensation consultant to conduct a comparative study and report on compensation levels and practices relative to industry peers, including a competitive assessment of our executive compensation program as compared to the market data for base salaries, target total cash compensation, long-term incentive compensation and target total direct compensation.</w:t>
      </w:r>
    </w:p>
    <w:p>
      <w:pPr>
        <w:spacing w:after="0" w:line="1" w:lineRule="exact"/>
        <w:rPr>
          <w:sz w:val="20"/>
          <w:szCs w:val="20"/>
          <w:color w:val="auto"/>
        </w:rPr>
      </w:pPr>
    </w:p>
    <w:p>
      <w:pPr>
        <w:ind w:left="120" w:right="120"/>
        <w:spacing w:after="0" w:line="260" w:lineRule="auto"/>
        <w:rPr>
          <w:sz w:val="20"/>
          <w:szCs w:val="20"/>
          <w:color w:val="auto"/>
        </w:rPr>
      </w:pPr>
      <w:r>
        <w:rPr>
          <w:rFonts w:ascii="Arial" w:cs="Arial" w:eastAsia="Arial" w:hAnsi="Arial"/>
          <w:sz w:val="16"/>
          <w:szCs w:val="16"/>
          <w:color w:val="auto"/>
        </w:rPr>
        <w:t>Typically, the findings of this study are presented to the Compensation Committee by the compensation consultant in conjunction with the Compensation Committee’s annual review of our executive compensation program.</w:t>
      </w:r>
    </w:p>
    <w:p>
      <w:pPr>
        <w:spacing w:after="0" w:line="195" w:lineRule="exact"/>
        <w:rPr>
          <w:sz w:val="20"/>
          <w:szCs w:val="20"/>
          <w:color w:val="auto"/>
        </w:rPr>
      </w:pPr>
    </w:p>
    <w:p>
      <w:pPr>
        <w:ind w:left="120" w:right="140"/>
        <w:spacing w:after="0" w:line="251" w:lineRule="auto"/>
        <w:rPr>
          <w:sz w:val="20"/>
          <w:szCs w:val="20"/>
          <w:color w:val="auto"/>
        </w:rPr>
      </w:pPr>
      <w:r>
        <w:rPr>
          <w:rFonts w:ascii="Arial" w:cs="Arial" w:eastAsia="Arial" w:hAnsi="Arial"/>
          <w:sz w:val="16"/>
          <w:szCs w:val="16"/>
          <w:color w:val="auto"/>
        </w:rPr>
        <w:t>Because the biotechnology sector is dynamic, the comparator group used by the Compensation Committee to assess the competitive positioning of the compensation of our executive officers is updated annually to ensure that peer companies continue to meet the established criteria. For purposes of its review of our executive compensation program in fiscal 2021, the Compensation Committee directed Compensia to update its compensation peer group reflecting the competitive market for executive talent based on the following criteria:</w:t>
      </w:r>
    </w:p>
    <w:p>
      <w:pPr>
        <w:spacing w:after="0" w:line="108" w:lineRule="exact"/>
        <w:rPr>
          <w:sz w:val="20"/>
          <w:szCs w:val="20"/>
          <w:color w:val="auto"/>
        </w:rPr>
      </w:pPr>
    </w:p>
    <w:p>
      <w:pPr>
        <w:ind w:left="440" w:hanging="216"/>
        <w:spacing w:after="0"/>
        <w:tabs>
          <w:tab w:leader="none" w:pos="440" w:val="left"/>
        </w:tabs>
        <w:numPr>
          <w:ilvl w:val="0"/>
          <w:numId w:val="55"/>
        </w:numPr>
        <w:rPr>
          <w:rFonts w:ascii="Arial" w:cs="Arial" w:eastAsia="Arial" w:hAnsi="Arial"/>
          <w:sz w:val="16"/>
          <w:szCs w:val="16"/>
          <w:color w:val="0071CE"/>
        </w:rPr>
      </w:pPr>
      <w:r>
        <w:rPr>
          <w:rFonts w:ascii="Arial" w:cs="Arial" w:eastAsia="Arial" w:hAnsi="Arial"/>
          <w:sz w:val="16"/>
          <w:szCs w:val="16"/>
          <w:color w:val="auto"/>
        </w:rPr>
        <w:t>Publicly-held, pre-commercial U.S. biotechnology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96520</wp:posOffset>
            </wp:positionV>
            <wp:extent cx="986155" cy="2057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63" w:lineRule="exact"/>
        <w:rPr>
          <w:sz w:val="20"/>
          <w:szCs w:val="20"/>
          <w:color w:val="auto"/>
        </w:rPr>
      </w:pPr>
    </w:p>
    <w:p>
      <w:pPr>
        <w:ind w:left="10880"/>
        <w:spacing w:after="0"/>
        <w:rPr>
          <w:sz w:val="20"/>
          <w:szCs w:val="20"/>
          <w:color w:val="auto"/>
        </w:rPr>
      </w:pPr>
      <w:r>
        <w:rPr>
          <w:rFonts w:ascii="Arial" w:cs="Arial" w:eastAsia="Arial" w:hAnsi="Arial"/>
          <w:sz w:val="18"/>
          <w:szCs w:val="18"/>
          <w:b w:val="1"/>
          <w:bCs w:val="1"/>
          <w:color w:val="0071CE"/>
        </w:rPr>
        <w:t>29</w:t>
      </w:r>
    </w:p>
    <w:p>
      <w:pPr>
        <w:sectPr>
          <w:pgSz w:w="11900" w:h="16838" w:orient="portrait"/>
          <w:cols w:equalWidth="0" w:num="1">
            <w:col w:w="11140"/>
          </w:cols>
          <w:pgMar w:left="32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20"/>
        <w:spacing w:after="0"/>
        <w:tabs>
          <w:tab w:leader="none" w:pos="2020" w:val="left"/>
        </w:tabs>
        <w:rPr>
          <w:sz w:val="20"/>
          <w:szCs w:val="20"/>
          <w:color w:val="auto"/>
        </w:rPr>
      </w:pPr>
      <w:r>
        <w:rPr>
          <w:rFonts w:ascii="Arial" w:cs="Arial" w:eastAsia="Arial" w:hAnsi="Arial"/>
          <w:sz w:val="14"/>
          <w:szCs w:val="14"/>
          <w:b w:val="1"/>
          <w:bCs w:val="1"/>
          <w:color w:val="0071CE"/>
        </w:rPr>
        <w:t>2022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65" w:lineRule="exact"/>
        <w:rPr>
          <w:sz w:val="20"/>
          <w:szCs w:val="20"/>
          <w:color w:val="auto"/>
        </w:rPr>
      </w:pPr>
    </w:p>
    <w:p>
      <w:pPr>
        <w:ind w:left="440" w:hanging="216"/>
        <w:spacing w:after="0"/>
        <w:tabs>
          <w:tab w:leader="none" w:pos="440" w:val="left"/>
        </w:tabs>
        <w:numPr>
          <w:ilvl w:val="0"/>
          <w:numId w:val="56"/>
        </w:numPr>
        <w:rPr>
          <w:rFonts w:ascii="Arial" w:cs="Arial" w:eastAsia="Arial" w:hAnsi="Arial"/>
          <w:sz w:val="16"/>
          <w:szCs w:val="16"/>
          <w:color w:val="0071CE"/>
        </w:rPr>
      </w:pPr>
      <w:r>
        <w:rPr>
          <w:rFonts w:ascii="Arial" w:cs="Arial" w:eastAsia="Arial" w:hAnsi="Arial"/>
          <w:sz w:val="16"/>
          <w:szCs w:val="16"/>
          <w:color w:val="auto"/>
        </w:rPr>
        <w:t>Companies with market capitalizations between 0.33x to 3.0x our market capitalization at the time of the peer selection; and</w:t>
      </w:r>
    </w:p>
    <w:p>
      <w:pPr>
        <w:spacing w:after="0" w:line="126" w:lineRule="exact"/>
        <w:rPr>
          <w:rFonts w:ascii="Arial" w:cs="Arial" w:eastAsia="Arial" w:hAnsi="Arial"/>
          <w:sz w:val="16"/>
          <w:szCs w:val="16"/>
          <w:color w:val="0071CE"/>
        </w:rPr>
      </w:pPr>
    </w:p>
    <w:p>
      <w:pPr>
        <w:ind w:left="440" w:hanging="216"/>
        <w:spacing w:after="0"/>
        <w:tabs>
          <w:tab w:leader="none" w:pos="440" w:val="left"/>
        </w:tabs>
        <w:numPr>
          <w:ilvl w:val="0"/>
          <w:numId w:val="56"/>
        </w:numPr>
        <w:rPr>
          <w:rFonts w:ascii="Arial" w:cs="Arial" w:eastAsia="Arial" w:hAnsi="Arial"/>
          <w:sz w:val="16"/>
          <w:szCs w:val="16"/>
          <w:color w:val="0071CE"/>
        </w:rPr>
      </w:pPr>
      <w:r>
        <w:rPr>
          <w:rFonts w:ascii="Arial" w:cs="Arial" w:eastAsia="Arial" w:hAnsi="Arial"/>
          <w:sz w:val="16"/>
          <w:szCs w:val="16"/>
          <w:color w:val="auto"/>
        </w:rPr>
        <w:t>Companies with between 50 to 500 employees.</w:t>
      </w:r>
    </w:p>
    <w:p>
      <w:pPr>
        <w:spacing w:after="0" w:line="221" w:lineRule="exact"/>
        <w:rPr>
          <w:sz w:val="20"/>
          <w:szCs w:val="20"/>
          <w:color w:val="auto"/>
        </w:rPr>
      </w:pPr>
    </w:p>
    <w:p>
      <w:pPr>
        <w:ind w:left="120" w:right="100"/>
        <w:spacing w:after="0" w:line="253" w:lineRule="auto"/>
        <w:rPr>
          <w:sz w:val="20"/>
          <w:szCs w:val="20"/>
          <w:color w:val="auto"/>
        </w:rPr>
      </w:pPr>
      <w:r>
        <w:rPr>
          <w:rFonts w:ascii="Arial" w:cs="Arial" w:eastAsia="Arial" w:hAnsi="Arial"/>
          <w:sz w:val="16"/>
          <w:szCs w:val="16"/>
          <w:color w:val="auto"/>
        </w:rPr>
        <w:t>The compensation peer group was selected in such a manner that our market capitalization was very near the median for all peer companies. Consideration was also given to the frequency or infrequency with which a company was identified as a peer with other peer companies. The increase in the Company’s market capitalization indicated significant redesign of the peer group for 2021.</w:t>
      </w:r>
    </w:p>
    <w:p>
      <w:pPr>
        <w:spacing w:after="0" w:line="20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2021, the compensation peer group consisted of the following companies:</w:t>
      </w:r>
    </w:p>
    <w:p>
      <w:pPr>
        <w:sectPr>
          <w:pgSz w:w="11900" w:h="16838" w:orient="portrait"/>
          <w:cols w:equalWidth="0" w:num="1">
            <w:col w:w="11120"/>
          </w:cols>
          <w:pgMar w:left="320" w:top="459" w:right="459" w:bottom="1440" w:gutter="0" w:footer="0" w:header="0"/>
        </w:sectPr>
      </w:pPr>
    </w:p>
    <w:p>
      <w:pPr>
        <w:spacing w:after="0" w:line="248" w:lineRule="exact"/>
        <w:rPr>
          <w:sz w:val="20"/>
          <w:szCs w:val="20"/>
          <w:color w:val="auto"/>
        </w:rPr>
      </w:pPr>
    </w:p>
    <w:p>
      <w:pPr>
        <w:ind w:left="2320"/>
        <w:spacing w:after="0"/>
        <w:rPr>
          <w:sz w:val="20"/>
          <w:szCs w:val="20"/>
          <w:color w:val="auto"/>
        </w:rPr>
      </w:pPr>
      <w:r>
        <w:rPr>
          <w:rFonts w:ascii="Arial" w:cs="Arial" w:eastAsia="Arial" w:hAnsi="Arial"/>
          <w:sz w:val="16"/>
          <w:szCs w:val="16"/>
          <w:color w:val="auto"/>
        </w:rPr>
        <w:t>ACADIA Pharmaceuticals</w:t>
      </w:r>
    </w:p>
    <w:p>
      <w:pPr>
        <w:spacing w:after="0" w:line="5" w:lineRule="exact"/>
        <w:rPr>
          <w:sz w:val="20"/>
          <w:szCs w:val="20"/>
          <w:color w:val="auto"/>
        </w:rPr>
      </w:pPr>
    </w:p>
    <w:p>
      <w:pPr>
        <w:ind w:left="2320"/>
        <w:spacing w:after="0"/>
        <w:rPr>
          <w:sz w:val="20"/>
          <w:szCs w:val="20"/>
          <w:color w:val="auto"/>
        </w:rPr>
      </w:pPr>
      <w:r>
        <w:rPr>
          <w:rFonts w:ascii="Arial" w:cs="Arial" w:eastAsia="Arial" w:hAnsi="Arial"/>
          <w:sz w:val="16"/>
          <w:szCs w:val="16"/>
          <w:color w:val="auto"/>
        </w:rPr>
        <w:t>Acceleron Pharma</w:t>
      </w:r>
    </w:p>
    <w:p>
      <w:pPr>
        <w:spacing w:after="0" w:line="5" w:lineRule="exact"/>
        <w:rPr>
          <w:sz w:val="20"/>
          <w:szCs w:val="20"/>
          <w:color w:val="auto"/>
        </w:rPr>
      </w:pPr>
    </w:p>
    <w:p>
      <w:pPr>
        <w:ind w:left="2320"/>
        <w:spacing w:after="0"/>
        <w:rPr>
          <w:sz w:val="20"/>
          <w:szCs w:val="20"/>
          <w:color w:val="auto"/>
        </w:rPr>
      </w:pPr>
      <w:r>
        <w:rPr>
          <w:rFonts w:ascii="Arial" w:cs="Arial" w:eastAsia="Arial" w:hAnsi="Arial"/>
          <w:sz w:val="16"/>
          <w:szCs w:val="16"/>
          <w:color w:val="auto"/>
        </w:rPr>
        <w:t>Allakos</w:t>
      </w:r>
    </w:p>
    <w:p>
      <w:pPr>
        <w:spacing w:after="0" w:line="5" w:lineRule="exact"/>
        <w:rPr>
          <w:sz w:val="20"/>
          <w:szCs w:val="20"/>
          <w:color w:val="auto"/>
        </w:rPr>
      </w:pPr>
    </w:p>
    <w:p>
      <w:pPr>
        <w:ind w:left="2320"/>
        <w:spacing w:after="0"/>
        <w:rPr>
          <w:sz w:val="20"/>
          <w:szCs w:val="20"/>
          <w:color w:val="auto"/>
        </w:rPr>
      </w:pPr>
      <w:r>
        <w:rPr>
          <w:rFonts w:ascii="Arial" w:cs="Arial" w:eastAsia="Arial" w:hAnsi="Arial"/>
          <w:sz w:val="16"/>
          <w:szCs w:val="16"/>
          <w:color w:val="auto"/>
        </w:rPr>
        <w:t>Alnylam Pharmaceuticals</w:t>
      </w:r>
    </w:p>
    <w:p>
      <w:pPr>
        <w:spacing w:after="0" w:line="5" w:lineRule="exact"/>
        <w:rPr>
          <w:sz w:val="20"/>
          <w:szCs w:val="20"/>
          <w:color w:val="auto"/>
        </w:rPr>
      </w:pPr>
    </w:p>
    <w:p>
      <w:pPr>
        <w:ind w:left="2320"/>
        <w:spacing w:after="0"/>
        <w:rPr>
          <w:sz w:val="20"/>
          <w:szCs w:val="20"/>
          <w:color w:val="auto"/>
        </w:rPr>
      </w:pPr>
      <w:r>
        <w:rPr>
          <w:rFonts w:ascii="Arial" w:cs="Arial" w:eastAsia="Arial" w:hAnsi="Arial"/>
          <w:sz w:val="16"/>
          <w:szCs w:val="16"/>
          <w:color w:val="auto"/>
        </w:rPr>
        <w:t>Arena Pharmaceuticals</w:t>
      </w:r>
    </w:p>
    <w:p>
      <w:pPr>
        <w:spacing w:after="0" w:line="5" w:lineRule="exact"/>
        <w:rPr>
          <w:sz w:val="20"/>
          <w:szCs w:val="20"/>
          <w:color w:val="auto"/>
        </w:rPr>
      </w:pPr>
    </w:p>
    <w:p>
      <w:pPr>
        <w:ind w:left="2320"/>
        <w:spacing w:after="0"/>
        <w:rPr>
          <w:sz w:val="20"/>
          <w:szCs w:val="20"/>
          <w:color w:val="auto"/>
        </w:rPr>
      </w:pPr>
      <w:r>
        <w:rPr>
          <w:rFonts w:ascii="Arial" w:cs="Arial" w:eastAsia="Arial" w:hAnsi="Arial"/>
          <w:sz w:val="16"/>
          <w:szCs w:val="16"/>
          <w:color w:val="auto"/>
        </w:rPr>
        <w:t>bluebird bio</w:t>
      </w:r>
    </w:p>
    <w:p>
      <w:pPr>
        <w:spacing w:after="0" w:line="5" w:lineRule="exact"/>
        <w:rPr>
          <w:sz w:val="20"/>
          <w:szCs w:val="20"/>
          <w:color w:val="auto"/>
        </w:rPr>
      </w:pPr>
    </w:p>
    <w:p>
      <w:pPr>
        <w:ind w:left="2320"/>
        <w:spacing w:after="0"/>
        <w:rPr>
          <w:sz w:val="20"/>
          <w:szCs w:val="20"/>
          <w:color w:val="auto"/>
        </w:rPr>
      </w:pPr>
      <w:r>
        <w:rPr>
          <w:rFonts w:ascii="Arial" w:cs="Arial" w:eastAsia="Arial" w:hAnsi="Arial"/>
          <w:sz w:val="16"/>
          <w:szCs w:val="16"/>
          <w:color w:val="auto"/>
        </w:rPr>
        <w:t>BridgeBio Pharma</w:t>
      </w:r>
    </w:p>
    <w:p>
      <w:pPr>
        <w:spacing w:after="0" w:line="5" w:lineRule="exact"/>
        <w:rPr>
          <w:sz w:val="20"/>
          <w:szCs w:val="20"/>
          <w:color w:val="auto"/>
        </w:rPr>
      </w:pPr>
    </w:p>
    <w:p>
      <w:pPr>
        <w:ind w:left="2320"/>
        <w:spacing w:after="0"/>
        <w:rPr>
          <w:sz w:val="20"/>
          <w:szCs w:val="20"/>
          <w:color w:val="auto"/>
        </w:rPr>
      </w:pPr>
      <w:r>
        <w:rPr>
          <w:rFonts w:ascii="Arial" w:cs="Arial" w:eastAsia="Arial" w:hAnsi="Arial"/>
          <w:sz w:val="16"/>
          <w:szCs w:val="16"/>
          <w:color w:val="auto"/>
        </w:rPr>
        <w:t>Blueprint Medicines</w:t>
      </w:r>
    </w:p>
    <w:p>
      <w:pPr>
        <w:spacing w:after="0" w:line="5" w:lineRule="exact"/>
        <w:rPr>
          <w:sz w:val="20"/>
          <w:szCs w:val="20"/>
          <w:color w:val="auto"/>
        </w:rPr>
      </w:pPr>
    </w:p>
    <w:p>
      <w:pPr>
        <w:ind w:left="2320"/>
        <w:spacing w:after="0"/>
        <w:rPr>
          <w:sz w:val="20"/>
          <w:szCs w:val="20"/>
          <w:color w:val="auto"/>
        </w:rPr>
      </w:pPr>
      <w:r>
        <w:rPr>
          <w:rFonts w:ascii="Arial" w:cs="Arial" w:eastAsia="Arial" w:hAnsi="Arial"/>
          <w:sz w:val="16"/>
          <w:szCs w:val="16"/>
          <w:color w:val="auto"/>
        </w:rPr>
        <w:t>ChemoCentryx</w:t>
      </w:r>
    </w:p>
    <w:p>
      <w:pPr>
        <w:spacing w:after="0" w:line="5" w:lineRule="exact"/>
        <w:rPr>
          <w:sz w:val="20"/>
          <w:szCs w:val="20"/>
          <w:color w:val="auto"/>
        </w:rPr>
      </w:pPr>
    </w:p>
    <w:p>
      <w:pPr>
        <w:ind w:left="2320"/>
        <w:spacing w:after="0"/>
        <w:rPr>
          <w:sz w:val="20"/>
          <w:szCs w:val="20"/>
          <w:color w:val="auto"/>
        </w:rPr>
      </w:pPr>
      <w:r>
        <w:rPr>
          <w:rFonts w:ascii="Arial" w:cs="Arial" w:eastAsia="Arial" w:hAnsi="Arial"/>
          <w:sz w:val="16"/>
          <w:szCs w:val="16"/>
          <w:color w:val="auto"/>
        </w:rPr>
        <w:t>CRISPR Therapeutics AG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FibroGen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Global Blood Therapeutics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Ionis Pharmaceuticals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Momenta Pharmaceuticals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Novavax</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Reata Pharmaceuticals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Sarepta Therapeutics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Twist Bioscience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Ultragenyx Pharmaceuticals</w:t>
      </w:r>
    </w:p>
    <w:p>
      <w:pPr>
        <w:spacing w:after="0" w:line="200" w:lineRule="exact"/>
        <w:rPr>
          <w:sz w:val="20"/>
          <w:szCs w:val="20"/>
          <w:color w:val="auto"/>
        </w:rPr>
      </w:pPr>
    </w:p>
    <w:p>
      <w:pPr>
        <w:sectPr>
          <w:pgSz w:w="11900" w:h="16838" w:orient="portrait"/>
          <w:cols w:equalWidth="0" w:num="2">
            <w:col w:w="5120" w:space="720"/>
            <w:col w:w="5280"/>
          </w:cols>
          <w:pgMar w:left="320" w:top="459" w:right="459" w:bottom="1440" w:gutter="0" w:footer="0" w:header="0"/>
          <w:type w:val="continuous"/>
        </w:sectPr>
      </w:pPr>
    </w:p>
    <w:p>
      <w:pPr>
        <w:spacing w:after="0" w:line="21" w:lineRule="exact"/>
        <w:rPr>
          <w:sz w:val="20"/>
          <w:szCs w:val="20"/>
          <w:color w:val="auto"/>
        </w:rPr>
      </w:pPr>
    </w:p>
    <w:p>
      <w:pPr>
        <w:ind w:left="120" w:right="20"/>
        <w:spacing w:after="0" w:line="249" w:lineRule="auto"/>
        <w:rPr>
          <w:sz w:val="20"/>
          <w:szCs w:val="20"/>
          <w:color w:val="auto"/>
        </w:rPr>
      </w:pPr>
      <w:r>
        <w:rPr>
          <w:rFonts w:ascii="Arial" w:cs="Arial" w:eastAsia="Arial" w:hAnsi="Arial"/>
          <w:sz w:val="16"/>
          <w:szCs w:val="16"/>
          <w:color w:val="auto"/>
        </w:rPr>
        <w:t>Allogene Therapeutics, Atara Biotherapeutics, Audentes Therapeutics, Cytokinetics, Dicerna Pharmaceuticals, Iovance Biotherapeutics, Mirata Therapeutics, MyoKardia, Sangamo Therapeutics, Tricida, Voyager Therapeutics, Xencor and Zogenix were eliminated from the peer group and ACADIA Pharmaceuticals, Alnylam Pharmaceuticals, bluebird bio, BridgeBio Pharma, ChemoCentryx, CRISPR Therapeutics AG, FibroGen, Ionis Pharmaceuticals, Momenta Pharmaceuticals, Novavax, Reata Pharmaceuticals, Sarepta Therapeutics, Twist Bioscience and Ultragenyx Pharmaceuticals were added to the peer group due to changes in our business complexity, employee base and market capitalization, as well as mergers, changes to business complexity, employee base and market capitalization among our prior peer group.</w:t>
      </w:r>
    </w:p>
    <w:p>
      <w:pPr>
        <w:spacing w:after="0" w:line="205" w:lineRule="exact"/>
        <w:rPr>
          <w:sz w:val="20"/>
          <w:szCs w:val="20"/>
          <w:color w:val="auto"/>
        </w:rPr>
      </w:pPr>
    </w:p>
    <w:p>
      <w:pPr>
        <w:ind w:left="120" w:right="20"/>
        <w:spacing w:after="0" w:line="253" w:lineRule="auto"/>
        <w:rPr>
          <w:sz w:val="20"/>
          <w:szCs w:val="20"/>
          <w:color w:val="auto"/>
        </w:rPr>
      </w:pPr>
      <w:r>
        <w:rPr>
          <w:rFonts w:ascii="Arial" w:cs="Arial" w:eastAsia="Arial" w:hAnsi="Arial"/>
          <w:sz w:val="16"/>
          <w:szCs w:val="16"/>
          <w:color w:val="auto"/>
        </w:rPr>
        <w:t>The compensation study prepared by Compensia and presented in December 2020 provided an assessment of our compensation practices as compared to industry peers. Compensation levels for our executive officers, in the aggregate, were determined to be within the range of compensation provided to similarly placed executives and consistent with our compensation philosophy.</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4C4C4C"/>
        </w:rPr>
        <w:t>Individual Compensation Elements</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2021, the principal elements of our executive compensation program were as follows:</w:t>
      </w:r>
    </w:p>
    <w:p>
      <w:pPr>
        <w:spacing w:after="0" w:line="127" w:lineRule="exact"/>
        <w:rPr>
          <w:sz w:val="20"/>
          <w:szCs w:val="20"/>
          <w:color w:val="auto"/>
        </w:rPr>
      </w:pPr>
    </w:p>
    <w:p>
      <w:pPr>
        <w:ind w:left="440" w:hanging="216"/>
        <w:spacing w:after="0"/>
        <w:tabs>
          <w:tab w:leader="none" w:pos="440" w:val="left"/>
        </w:tabs>
        <w:numPr>
          <w:ilvl w:val="0"/>
          <w:numId w:val="57"/>
        </w:numPr>
        <w:rPr>
          <w:rFonts w:ascii="Arial" w:cs="Arial" w:eastAsia="Arial" w:hAnsi="Arial"/>
          <w:sz w:val="16"/>
          <w:szCs w:val="16"/>
          <w:color w:val="0071CE"/>
        </w:rPr>
      </w:pPr>
      <w:r>
        <w:rPr>
          <w:rFonts w:ascii="Arial" w:cs="Arial" w:eastAsia="Arial" w:hAnsi="Arial"/>
          <w:sz w:val="16"/>
          <w:szCs w:val="16"/>
          <w:color w:val="auto"/>
        </w:rPr>
        <w:t>base salary;</w:t>
      </w:r>
    </w:p>
    <w:p>
      <w:pPr>
        <w:spacing w:after="0" w:line="126" w:lineRule="exact"/>
        <w:rPr>
          <w:rFonts w:ascii="Arial" w:cs="Arial" w:eastAsia="Arial" w:hAnsi="Arial"/>
          <w:sz w:val="16"/>
          <w:szCs w:val="16"/>
          <w:color w:val="0071CE"/>
        </w:rPr>
      </w:pPr>
    </w:p>
    <w:p>
      <w:pPr>
        <w:ind w:left="440" w:hanging="216"/>
        <w:spacing w:after="0"/>
        <w:tabs>
          <w:tab w:leader="none" w:pos="440" w:val="left"/>
        </w:tabs>
        <w:numPr>
          <w:ilvl w:val="0"/>
          <w:numId w:val="57"/>
        </w:numPr>
        <w:rPr>
          <w:rFonts w:ascii="Arial" w:cs="Arial" w:eastAsia="Arial" w:hAnsi="Arial"/>
          <w:sz w:val="16"/>
          <w:szCs w:val="16"/>
          <w:color w:val="0071CE"/>
        </w:rPr>
      </w:pPr>
      <w:r>
        <w:rPr>
          <w:rFonts w:ascii="Arial" w:cs="Arial" w:eastAsia="Arial" w:hAnsi="Arial"/>
          <w:sz w:val="16"/>
          <w:szCs w:val="16"/>
          <w:color w:val="auto"/>
        </w:rPr>
        <w:t>an annual incentive compensation opportunity;</w:t>
      </w:r>
    </w:p>
    <w:p>
      <w:pPr>
        <w:spacing w:after="0" w:line="126" w:lineRule="exact"/>
        <w:rPr>
          <w:rFonts w:ascii="Arial" w:cs="Arial" w:eastAsia="Arial" w:hAnsi="Arial"/>
          <w:sz w:val="16"/>
          <w:szCs w:val="16"/>
          <w:color w:val="0071CE"/>
        </w:rPr>
      </w:pPr>
    </w:p>
    <w:p>
      <w:pPr>
        <w:ind w:left="440" w:hanging="216"/>
        <w:spacing w:after="0"/>
        <w:tabs>
          <w:tab w:leader="none" w:pos="440" w:val="left"/>
        </w:tabs>
        <w:numPr>
          <w:ilvl w:val="0"/>
          <w:numId w:val="57"/>
        </w:numPr>
        <w:rPr>
          <w:rFonts w:ascii="Arial" w:cs="Arial" w:eastAsia="Arial" w:hAnsi="Arial"/>
          <w:sz w:val="16"/>
          <w:szCs w:val="16"/>
          <w:color w:val="0071CE"/>
        </w:rPr>
      </w:pPr>
      <w:r>
        <w:rPr>
          <w:rFonts w:ascii="Arial" w:cs="Arial" w:eastAsia="Arial" w:hAnsi="Arial"/>
          <w:sz w:val="16"/>
          <w:szCs w:val="16"/>
          <w:color w:val="auto"/>
        </w:rPr>
        <w:t>long-term incentive compensation in the form of equity awards;</w:t>
      </w:r>
    </w:p>
    <w:p>
      <w:pPr>
        <w:spacing w:after="0" w:line="126" w:lineRule="exact"/>
        <w:rPr>
          <w:rFonts w:ascii="Arial" w:cs="Arial" w:eastAsia="Arial" w:hAnsi="Arial"/>
          <w:sz w:val="16"/>
          <w:szCs w:val="16"/>
          <w:color w:val="0071CE"/>
        </w:rPr>
      </w:pPr>
    </w:p>
    <w:p>
      <w:pPr>
        <w:ind w:left="440" w:hanging="216"/>
        <w:spacing w:after="0"/>
        <w:tabs>
          <w:tab w:leader="none" w:pos="440" w:val="left"/>
        </w:tabs>
        <w:numPr>
          <w:ilvl w:val="0"/>
          <w:numId w:val="57"/>
        </w:numPr>
        <w:rPr>
          <w:rFonts w:ascii="Arial" w:cs="Arial" w:eastAsia="Arial" w:hAnsi="Arial"/>
          <w:sz w:val="16"/>
          <w:szCs w:val="16"/>
          <w:color w:val="0071CE"/>
        </w:rPr>
      </w:pPr>
      <w:r>
        <w:rPr>
          <w:rFonts w:ascii="Arial" w:cs="Arial" w:eastAsia="Arial" w:hAnsi="Arial"/>
          <w:sz w:val="16"/>
          <w:szCs w:val="16"/>
          <w:color w:val="auto"/>
        </w:rPr>
        <w:t>welfare and health benefits; and</w:t>
      </w:r>
    </w:p>
    <w:p>
      <w:pPr>
        <w:spacing w:after="0" w:line="126" w:lineRule="exact"/>
        <w:rPr>
          <w:rFonts w:ascii="Arial" w:cs="Arial" w:eastAsia="Arial" w:hAnsi="Arial"/>
          <w:sz w:val="16"/>
          <w:szCs w:val="16"/>
          <w:color w:val="0071CE"/>
        </w:rPr>
      </w:pPr>
    </w:p>
    <w:p>
      <w:pPr>
        <w:ind w:left="440" w:hanging="216"/>
        <w:spacing w:after="0"/>
        <w:tabs>
          <w:tab w:leader="none" w:pos="440" w:val="left"/>
        </w:tabs>
        <w:numPr>
          <w:ilvl w:val="0"/>
          <w:numId w:val="57"/>
        </w:numPr>
        <w:rPr>
          <w:rFonts w:ascii="Arial" w:cs="Arial" w:eastAsia="Arial" w:hAnsi="Arial"/>
          <w:sz w:val="16"/>
          <w:szCs w:val="16"/>
          <w:color w:val="0071CE"/>
        </w:rPr>
      </w:pPr>
      <w:r>
        <w:rPr>
          <w:rFonts w:ascii="Arial" w:cs="Arial" w:eastAsia="Arial" w:hAnsi="Arial"/>
          <w:sz w:val="16"/>
          <w:szCs w:val="16"/>
          <w:color w:val="auto"/>
        </w:rPr>
        <w:t>post-employment compensation arrangements.</w:t>
      </w:r>
    </w:p>
    <w:p>
      <w:pPr>
        <w:spacing w:after="0" w:line="30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Base Salary</w:t>
      </w:r>
    </w:p>
    <w:p>
      <w:pPr>
        <w:spacing w:after="0" w:line="124" w:lineRule="exact"/>
        <w:rPr>
          <w:sz w:val="20"/>
          <w:szCs w:val="20"/>
          <w:color w:val="auto"/>
        </w:rPr>
      </w:pPr>
    </w:p>
    <w:p>
      <w:pPr>
        <w:ind w:left="120" w:right="80"/>
        <w:spacing w:after="0" w:line="260" w:lineRule="auto"/>
        <w:rPr>
          <w:sz w:val="20"/>
          <w:szCs w:val="20"/>
          <w:color w:val="auto"/>
        </w:rPr>
      </w:pPr>
      <w:r>
        <w:rPr>
          <w:rFonts w:ascii="Arial" w:cs="Arial" w:eastAsia="Arial" w:hAnsi="Arial"/>
          <w:sz w:val="16"/>
          <w:szCs w:val="16"/>
          <w:color w:val="auto"/>
        </w:rPr>
        <w:t>Base salary represents the fixed portion of the compensation of our executive officers, including our NEOs, and is an important element of compensation intended to attract and retain highly-talented individuals.</w:t>
      </w:r>
    </w:p>
    <w:p>
      <w:pPr>
        <w:spacing w:after="0" w:line="195" w:lineRule="exact"/>
        <w:rPr>
          <w:sz w:val="20"/>
          <w:szCs w:val="20"/>
          <w:color w:val="auto"/>
        </w:rPr>
      </w:pPr>
    </w:p>
    <w:p>
      <w:pPr>
        <w:ind w:left="120"/>
        <w:spacing w:after="0" w:line="249" w:lineRule="auto"/>
        <w:rPr>
          <w:sz w:val="20"/>
          <w:szCs w:val="20"/>
          <w:color w:val="auto"/>
        </w:rPr>
      </w:pPr>
      <w:r>
        <w:rPr>
          <w:rFonts w:ascii="Arial" w:cs="Arial" w:eastAsia="Arial" w:hAnsi="Arial"/>
          <w:sz w:val="16"/>
          <w:szCs w:val="16"/>
          <w:color w:val="auto"/>
        </w:rPr>
        <w:t>The initial base salaries for our executive officers were negotiated on an individual basis at the time of hire. Thereafter, using the competitive market data provided by its compensation consultant, the Compensation Committee reviews and determines adjustments to the base salaries for each of our executive officers, including our NEOs, as part of its annual executive compensation review. In addition, the base salaries of our executive officers may be adjusted by the Compensation Committee in the event of a promotion or significant change in responsibilities. Generally, the Compensation Committee sets base salaries with reference to the competitive range of the market median of our compensation peer group and applicable executive compensation survey data, as well as its assessment of the factors described in “Governance of Executive Compensation Program — Compensation-Setting Process”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205740</wp:posOffset>
            </wp:positionV>
            <wp:extent cx="986155" cy="2057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33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1CE"/>
        </w:rPr>
        <w:t>30</w:t>
      </w:r>
    </w:p>
    <w:p>
      <w:pPr>
        <w:sectPr>
          <w:pgSz w:w="11900" w:h="16838" w:orient="portrait"/>
          <w:cols w:equalWidth="0" w:num="1">
            <w:col w:w="11120"/>
          </w:cols>
          <w:pgMar w:left="320" w:top="459" w:right="45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7500"/>
        <w:spacing w:after="0"/>
        <w:tabs>
          <w:tab w:leader="none" w:pos="9400" w:val="left"/>
        </w:tabs>
        <w:rPr>
          <w:sz w:val="20"/>
          <w:szCs w:val="20"/>
          <w:color w:val="auto"/>
        </w:rPr>
      </w:pPr>
      <w:r>
        <w:rPr>
          <w:rFonts w:ascii="Arial" w:cs="Arial" w:eastAsia="Arial" w:hAnsi="Arial"/>
          <w:sz w:val="14"/>
          <w:szCs w:val="14"/>
          <w:b w:val="1"/>
          <w:bCs w:val="1"/>
          <w:color w:val="0071CE"/>
        </w:rPr>
        <w:t>2022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base salaries of our NEOs for fiscal 2020 and fiscal 2021 were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6"/>
        </w:trPr>
        <w:tc>
          <w:tcPr>
            <w:tcW w:w="5580" w:type="dxa"/>
            <w:vAlign w:val="bottom"/>
            <w:shd w:val="clear" w:color="auto" w:fill="0071CE"/>
          </w:tcPr>
          <w:p>
            <w:pPr>
              <w:ind w:left="60"/>
              <w:spacing w:after="0"/>
              <w:rPr>
                <w:sz w:val="20"/>
                <w:szCs w:val="20"/>
                <w:color w:val="auto"/>
              </w:rPr>
            </w:pPr>
            <w:r>
              <w:rPr>
                <w:rFonts w:ascii="Arial" w:cs="Arial" w:eastAsia="Arial" w:hAnsi="Arial"/>
                <w:sz w:val="14"/>
                <w:szCs w:val="14"/>
                <w:b w:val="1"/>
                <w:bCs w:val="1"/>
                <w:color w:val="FFFFFF"/>
              </w:rPr>
              <w:t>Named Executive</w:t>
            </w:r>
          </w:p>
        </w:tc>
        <w:tc>
          <w:tcPr>
            <w:tcW w:w="2220" w:type="dxa"/>
            <w:vAlign w:val="bottom"/>
            <w:shd w:val="clear" w:color="auto" w:fill="0071CE"/>
          </w:tcPr>
          <w:p>
            <w:pPr>
              <w:jc w:val="center"/>
              <w:ind w:left="161"/>
              <w:spacing w:after="0"/>
              <w:rPr>
                <w:sz w:val="20"/>
                <w:szCs w:val="20"/>
                <w:color w:val="auto"/>
              </w:rPr>
            </w:pPr>
            <w:r>
              <w:rPr>
                <w:rFonts w:ascii="Arial" w:cs="Arial" w:eastAsia="Arial" w:hAnsi="Arial"/>
                <w:sz w:val="14"/>
                <w:szCs w:val="14"/>
                <w:b w:val="1"/>
                <w:bCs w:val="1"/>
                <w:color w:val="FFFFFF"/>
              </w:rPr>
              <w:t>Fiscal 2021</w:t>
            </w:r>
          </w:p>
        </w:tc>
        <w:tc>
          <w:tcPr>
            <w:tcW w:w="1820" w:type="dxa"/>
            <w:vAlign w:val="bottom"/>
            <w:shd w:val="clear" w:color="auto" w:fill="0071CE"/>
          </w:tcPr>
          <w:p>
            <w:pPr>
              <w:jc w:val="center"/>
              <w:ind w:left="61"/>
              <w:spacing w:after="0"/>
              <w:rPr>
                <w:sz w:val="20"/>
                <w:szCs w:val="20"/>
                <w:color w:val="auto"/>
              </w:rPr>
            </w:pPr>
            <w:r>
              <w:rPr>
                <w:rFonts w:ascii="Arial" w:cs="Arial" w:eastAsia="Arial" w:hAnsi="Arial"/>
                <w:sz w:val="14"/>
                <w:szCs w:val="14"/>
                <w:b w:val="1"/>
                <w:bCs w:val="1"/>
                <w:color w:val="FFFFFF"/>
              </w:rPr>
              <w:t>Fiscal 2020</w:t>
            </w:r>
          </w:p>
        </w:tc>
        <w:tc>
          <w:tcPr>
            <w:tcW w:w="1400" w:type="dxa"/>
            <w:vAlign w:val="bottom"/>
            <w:shd w:val="clear" w:color="auto" w:fill="0071CE"/>
          </w:tcPr>
          <w:p>
            <w:pPr>
              <w:jc w:val="right"/>
              <w:ind w:right="81"/>
              <w:spacing w:after="0"/>
              <w:rPr>
                <w:sz w:val="20"/>
                <w:szCs w:val="20"/>
                <w:color w:val="auto"/>
              </w:rPr>
            </w:pPr>
            <w:r>
              <w:rPr>
                <w:rFonts w:ascii="Arial" w:cs="Arial" w:eastAsia="Arial" w:hAnsi="Arial"/>
                <w:sz w:val="14"/>
                <w:szCs w:val="14"/>
                <w:b w:val="1"/>
                <w:bCs w:val="1"/>
                <w:color w:val="FFFFFF"/>
              </w:rPr>
              <w:t>Percentage</w:t>
            </w:r>
          </w:p>
        </w:tc>
      </w:tr>
      <w:tr>
        <w:trPr>
          <w:trHeight w:val="209"/>
        </w:trPr>
        <w:tc>
          <w:tcPr>
            <w:tcW w:w="5580" w:type="dxa"/>
            <w:vAlign w:val="bottom"/>
            <w:tcBorders>
              <w:bottom w:val="single" w:sz="8" w:color="0071CE"/>
            </w:tcBorders>
            <w:shd w:val="clear" w:color="auto" w:fill="0071CE"/>
          </w:tcPr>
          <w:p>
            <w:pPr>
              <w:ind w:left="60"/>
              <w:spacing w:after="0"/>
              <w:rPr>
                <w:sz w:val="20"/>
                <w:szCs w:val="20"/>
                <w:color w:val="auto"/>
              </w:rPr>
            </w:pPr>
            <w:r>
              <w:rPr>
                <w:rFonts w:ascii="Arial" w:cs="Arial" w:eastAsia="Arial" w:hAnsi="Arial"/>
                <w:sz w:val="14"/>
                <w:szCs w:val="14"/>
                <w:b w:val="1"/>
                <w:bCs w:val="1"/>
                <w:color w:val="FFFFFF"/>
              </w:rPr>
              <w:t>Officer</w:t>
            </w:r>
          </w:p>
        </w:tc>
        <w:tc>
          <w:tcPr>
            <w:tcW w:w="2220" w:type="dxa"/>
            <w:vAlign w:val="bottom"/>
            <w:tcBorders>
              <w:bottom w:val="single" w:sz="8" w:color="0071CE"/>
            </w:tcBorders>
            <w:shd w:val="clear" w:color="auto" w:fill="0071CE"/>
          </w:tcPr>
          <w:p>
            <w:pPr>
              <w:jc w:val="center"/>
              <w:ind w:left="161"/>
              <w:spacing w:after="0"/>
              <w:rPr>
                <w:sz w:val="20"/>
                <w:szCs w:val="20"/>
                <w:color w:val="auto"/>
              </w:rPr>
            </w:pPr>
            <w:r>
              <w:rPr>
                <w:rFonts w:ascii="Arial" w:cs="Arial" w:eastAsia="Arial" w:hAnsi="Arial"/>
                <w:sz w:val="14"/>
                <w:szCs w:val="14"/>
                <w:b w:val="1"/>
                <w:bCs w:val="1"/>
                <w:color w:val="FFFFFF"/>
              </w:rPr>
              <w:t>Base Salary</w:t>
            </w:r>
          </w:p>
        </w:tc>
        <w:tc>
          <w:tcPr>
            <w:tcW w:w="1820" w:type="dxa"/>
            <w:vAlign w:val="bottom"/>
            <w:tcBorders>
              <w:bottom w:val="single" w:sz="8" w:color="0071CE"/>
            </w:tcBorders>
            <w:shd w:val="clear" w:color="auto" w:fill="0071CE"/>
          </w:tcPr>
          <w:p>
            <w:pPr>
              <w:jc w:val="center"/>
              <w:ind w:left="41"/>
              <w:spacing w:after="0"/>
              <w:rPr>
                <w:sz w:val="20"/>
                <w:szCs w:val="20"/>
                <w:color w:val="auto"/>
              </w:rPr>
            </w:pPr>
            <w:r>
              <w:rPr>
                <w:rFonts w:ascii="Arial" w:cs="Arial" w:eastAsia="Arial" w:hAnsi="Arial"/>
                <w:sz w:val="14"/>
                <w:szCs w:val="14"/>
                <w:b w:val="1"/>
                <w:bCs w:val="1"/>
                <w:color w:val="FFFFFF"/>
              </w:rPr>
              <w:t>Base Salary</w:t>
            </w:r>
          </w:p>
        </w:tc>
        <w:tc>
          <w:tcPr>
            <w:tcW w:w="1400" w:type="dxa"/>
            <w:vAlign w:val="bottom"/>
            <w:tcBorders>
              <w:bottom w:val="single" w:sz="8" w:color="0071CE"/>
            </w:tcBorders>
            <w:shd w:val="clear" w:color="auto" w:fill="0071CE"/>
          </w:tcPr>
          <w:p>
            <w:pPr>
              <w:jc w:val="right"/>
              <w:ind w:right="81"/>
              <w:spacing w:after="0"/>
              <w:rPr>
                <w:sz w:val="20"/>
                <w:szCs w:val="20"/>
                <w:color w:val="auto"/>
              </w:rPr>
            </w:pPr>
            <w:r>
              <w:rPr>
                <w:rFonts w:ascii="Arial" w:cs="Arial" w:eastAsia="Arial" w:hAnsi="Arial"/>
                <w:sz w:val="14"/>
                <w:szCs w:val="14"/>
                <w:b w:val="1"/>
                <w:bCs w:val="1"/>
                <w:color w:val="FFFFFF"/>
              </w:rPr>
              <w:t>Adjustment</w:t>
            </w:r>
          </w:p>
        </w:tc>
      </w:tr>
      <w:tr>
        <w:trPr>
          <w:trHeight w:val="231"/>
        </w:trPr>
        <w:tc>
          <w:tcPr>
            <w:tcW w:w="558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0071CE"/>
              </w:rPr>
              <w:t>Christopher Anzalone</w:t>
            </w:r>
          </w:p>
        </w:tc>
        <w:tc>
          <w:tcPr>
            <w:tcW w:w="2220" w:type="dxa"/>
            <w:vAlign w:val="bottom"/>
            <w:shd w:val="clear" w:color="auto" w:fill="E5E5E5"/>
          </w:tcPr>
          <w:p>
            <w:pPr>
              <w:spacing w:after="0"/>
              <w:rPr>
                <w:sz w:val="20"/>
                <w:szCs w:val="20"/>
                <w:color w:val="auto"/>
              </w:rPr>
            </w:pPr>
          </w:p>
        </w:tc>
        <w:tc>
          <w:tcPr>
            <w:tcW w:w="1820" w:type="dxa"/>
            <w:vAlign w:val="bottom"/>
            <w:shd w:val="clear" w:color="auto" w:fill="E5E5E5"/>
          </w:tcPr>
          <w:p>
            <w:pPr>
              <w:spacing w:after="0"/>
              <w:rPr>
                <w:sz w:val="20"/>
                <w:szCs w:val="20"/>
                <w:color w:val="auto"/>
              </w:rPr>
            </w:pPr>
          </w:p>
        </w:tc>
        <w:tc>
          <w:tcPr>
            <w:tcW w:w="1400" w:type="dxa"/>
            <w:vAlign w:val="bottom"/>
            <w:shd w:val="clear" w:color="auto" w:fill="E5E5E5"/>
          </w:tcPr>
          <w:p>
            <w:pPr>
              <w:spacing w:after="0"/>
              <w:rPr>
                <w:sz w:val="20"/>
                <w:szCs w:val="20"/>
                <w:color w:val="auto"/>
              </w:rPr>
            </w:pPr>
          </w:p>
        </w:tc>
      </w:tr>
      <w:tr>
        <w:trPr>
          <w:trHeight w:val="235"/>
        </w:trPr>
        <w:tc>
          <w:tcPr>
            <w:tcW w:w="558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President &amp; CEO</w:t>
            </w:r>
          </w:p>
        </w:tc>
        <w:tc>
          <w:tcPr>
            <w:tcW w:w="2220" w:type="dxa"/>
            <w:vAlign w:val="bottom"/>
            <w:tcBorders>
              <w:bottom w:val="single" w:sz="8" w:color="E5E5E5"/>
            </w:tcBorders>
            <w:shd w:val="clear" w:color="auto" w:fill="E5E5E5"/>
          </w:tcPr>
          <w:p>
            <w:pPr>
              <w:jc w:val="center"/>
              <w:ind w:left="161"/>
              <w:spacing w:after="0"/>
              <w:rPr>
                <w:sz w:val="20"/>
                <w:szCs w:val="20"/>
                <w:color w:val="auto"/>
              </w:rPr>
            </w:pPr>
            <w:r>
              <w:rPr>
                <w:rFonts w:ascii="Arial" w:cs="Arial" w:eastAsia="Arial" w:hAnsi="Arial"/>
                <w:sz w:val="16"/>
                <w:szCs w:val="16"/>
                <w:color w:val="auto"/>
              </w:rPr>
              <w:t>$844,600</w:t>
            </w:r>
          </w:p>
        </w:tc>
        <w:tc>
          <w:tcPr>
            <w:tcW w:w="1820" w:type="dxa"/>
            <w:vAlign w:val="bottom"/>
            <w:tcBorders>
              <w:bottom w:val="single" w:sz="8" w:color="E5E5E5"/>
            </w:tcBorders>
            <w:shd w:val="clear" w:color="auto" w:fill="E5E5E5"/>
          </w:tcPr>
          <w:p>
            <w:pPr>
              <w:jc w:val="center"/>
              <w:ind w:left="61"/>
              <w:spacing w:after="0"/>
              <w:rPr>
                <w:sz w:val="20"/>
                <w:szCs w:val="20"/>
                <w:color w:val="auto"/>
              </w:rPr>
            </w:pPr>
            <w:r>
              <w:rPr>
                <w:rFonts w:ascii="Arial" w:cs="Arial" w:eastAsia="Arial" w:hAnsi="Arial"/>
                <w:sz w:val="16"/>
                <w:szCs w:val="16"/>
                <w:color w:val="auto"/>
              </w:rPr>
              <w:t>$820,000</w:t>
            </w:r>
          </w:p>
        </w:tc>
        <w:tc>
          <w:tcPr>
            <w:tcW w:w="1400" w:type="dxa"/>
            <w:vAlign w:val="bottom"/>
            <w:tcBorders>
              <w:bottom w:val="single" w:sz="8" w:color="E5E5E5"/>
            </w:tcBorders>
            <w:shd w:val="clear" w:color="auto" w:fill="E5E5E5"/>
          </w:tcPr>
          <w:p>
            <w:pPr>
              <w:jc w:val="right"/>
              <w:ind w:right="221"/>
              <w:spacing w:after="0"/>
              <w:rPr>
                <w:sz w:val="20"/>
                <w:szCs w:val="20"/>
                <w:color w:val="auto"/>
              </w:rPr>
            </w:pPr>
            <w:r>
              <w:rPr>
                <w:rFonts w:ascii="Arial" w:cs="Arial" w:eastAsia="Arial" w:hAnsi="Arial"/>
                <w:sz w:val="16"/>
                <w:szCs w:val="16"/>
                <w:color w:val="auto"/>
              </w:rPr>
              <w:t>3%</w:t>
            </w:r>
          </w:p>
        </w:tc>
      </w:tr>
      <w:tr>
        <w:trPr>
          <w:trHeight w:val="245"/>
        </w:trPr>
        <w:tc>
          <w:tcPr>
            <w:tcW w:w="5580" w:type="dxa"/>
            <w:vAlign w:val="bottom"/>
          </w:tcPr>
          <w:p>
            <w:pPr>
              <w:ind w:left="60"/>
              <w:spacing w:after="0"/>
              <w:rPr>
                <w:sz w:val="20"/>
                <w:szCs w:val="20"/>
                <w:color w:val="auto"/>
              </w:rPr>
            </w:pPr>
            <w:r>
              <w:rPr>
                <w:rFonts w:ascii="Arial" w:cs="Arial" w:eastAsia="Arial" w:hAnsi="Arial"/>
                <w:sz w:val="16"/>
                <w:szCs w:val="16"/>
                <w:b w:val="1"/>
                <w:bCs w:val="1"/>
                <w:color w:val="0071CE"/>
              </w:rPr>
              <w:t>Kenneth Myszkowski</w:t>
            </w:r>
          </w:p>
        </w:tc>
        <w:tc>
          <w:tcPr>
            <w:tcW w:w="22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08"/>
        </w:trPr>
        <w:tc>
          <w:tcPr>
            <w:tcW w:w="5580" w:type="dxa"/>
            <w:vAlign w:val="bottom"/>
          </w:tcPr>
          <w:p>
            <w:pPr>
              <w:ind w:left="60"/>
              <w:spacing w:after="0"/>
              <w:rPr>
                <w:sz w:val="20"/>
                <w:szCs w:val="20"/>
                <w:color w:val="auto"/>
              </w:rPr>
            </w:pPr>
            <w:r>
              <w:rPr>
                <w:rFonts w:ascii="Arial" w:cs="Arial" w:eastAsia="Arial" w:hAnsi="Arial"/>
                <w:sz w:val="16"/>
                <w:szCs w:val="16"/>
                <w:color w:val="auto"/>
              </w:rPr>
              <w:t>Chief Financial Officer</w:t>
            </w:r>
          </w:p>
        </w:tc>
        <w:tc>
          <w:tcPr>
            <w:tcW w:w="2220" w:type="dxa"/>
            <w:vAlign w:val="bottom"/>
          </w:tcPr>
          <w:p>
            <w:pPr>
              <w:jc w:val="center"/>
              <w:ind w:left="161"/>
              <w:spacing w:after="0"/>
              <w:rPr>
                <w:sz w:val="20"/>
                <w:szCs w:val="20"/>
                <w:color w:val="auto"/>
              </w:rPr>
            </w:pPr>
            <w:r>
              <w:rPr>
                <w:rFonts w:ascii="Arial" w:cs="Arial" w:eastAsia="Arial" w:hAnsi="Arial"/>
                <w:sz w:val="16"/>
                <w:szCs w:val="16"/>
                <w:color w:val="auto"/>
              </w:rPr>
              <w:t>$489,250</w:t>
            </w:r>
          </w:p>
        </w:tc>
        <w:tc>
          <w:tcPr>
            <w:tcW w:w="1820" w:type="dxa"/>
            <w:vAlign w:val="bottom"/>
          </w:tcPr>
          <w:p>
            <w:pPr>
              <w:jc w:val="center"/>
              <w:ind w:left="61"/>
              <w:spacing w:after="0"/>
              <w:rPr>
                <w:sz w:val="20"/>
                <w:szCs w:val="20"/>
                <w:color w:val="auto"/>
              </w:rPr>
            </w:pPr>
            <w:r>
              <w:rPr>
                <w:rFonts w:ascii="Arial" w:cs="Arial" w:eastAsia="Arial" w:hAnsi="Arial"/>
                <w:sz w:val="16"/>
                <w:szCs w:val="16"/>
                <w:color w:val="auto"/>
              </w:rPr>
              <w:t>$475,000</w:t>
            </w:r>
          </w:p>
        </w:tc>
        <w:tc>
          <w:tcPr>
            <w:tcW w:w="1400" w:type="dxa"/>
            <w:vAlign w:val="bottom"/>
          </w:tcPr>
          <w:p>
            <w:pPr>
              <w:jc w:val="right"/>
              <w:ind w:right="221"/>
              <w:spacing w:after="0"/>
              <w:rPr>
                <w:sz w:val="20"/>
                <w:szCs w:val="20"/>
                <w:color w:val="auto"/>
              </w:rPr>
            </w:pPr>
            <w:r>
              <w:rPr>
                <w:rFonts w:ascii="Arial" w:cs="Arial" w:eastAsia="Arial" w:hAnsi="Arial"/>
                <w:sz w:val="16"/>
                <w:szCs w:val="16"/>
                <w:color w:val="auto"/>
              </w:rPr>
              <w:t>3%</w:t>
            </w:r>
          </w:p>
        </w:tc>
      </w:tr>
      <w:tr>
        <w:trPr>
          <w:trHeight w:val="46"/>
        </w:trPr>
        <w:tc>
          <w:tcPr>
            <w:tcW w:w="5580" w:type="dxa"/>
            <w:vAlign w:val="bottom"/>
          </w:tcPr>
          <w:p>
            <w:pPr>
              <w:spacing w:after="0"/>
              <w:rPr>
                <w:sz w:val="4"/>
                <w:szCs w:val="4"/>
                <w:color w:val="auto"/>
              </w:rPr>
            </w:pPr>
          </w:p>
        </w:tc>
        <w:tc>
          <w:tcPr>
            <w:tcW w:w="22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45"/>
        </w:trPr>
        <w:tc>
          <w:tcPr>
            <w:tcW w:w="558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0071CE"/>
              </w:rPr>
              <w:t>Patrick O’Brien</w:t>
            </w:r>
          </w:p>
        </w:tc>
        <w:tc>
          <w:tcPr>
            <w:tcW w:w="2220" w:type="dxa"/>
            <w:vAlign w:val="bottom"/>
            <w:shd w:val="clear" w:color="auto" w:fill="E5E5E5"/>
          </w:tcPr>
          <w:p>
            <w:pPr>
              <w:spacing w:after="0"/>
              <w:rPr>
                <w:sz w:val="21"/>
                <w:szCs w:val="21"/>
                <w:color w:val="auto"/>
              </w:rPr>
            </w:pPr>
          </w:p>
        </w:tc>
        <w:tc>
          <w:tcPr>
            <w:tcW w:w="1820" w:type="dxa"/>
            <w:vAlign w:val="bottom"/>
            <w:shd w:val="clear" w:color="auto" w:fill="E5E5E5"/>
          </w:tcPr>
          <w:p>
            <w:pPr>
              <w:spacing w:after="0"/>
              <w:rPr>
                <w:sz w:val="21"/>
                <w:szCs w:val="21"/>
                <w:color w:val="auto"/>
              </w:rPr>
            </w:pPr>
          </w:p>
        </w:tc>
        <w:tc>
          <w:tcPr>
            <w:tcW w:w="1400" w:type="dxa"/>
            <w:vAlign w:val="bottom"/>
            <w:shd w:val="clear" w:color="auto" w:fill="E5E5E5"/>
          </w:tcPr>
          <w:p>
            <w:pPr>
              <w:spacing w:after="0"/>
              <w:rPr>
                <w:sz w:val="21"/>
                <w:szCs w:val="21"/>
                <w:color w:val="auto"/>
              </w:rPr>
            </w:pPr>
          </w:p>
        </w:tc>
      </w:tr>
      <w:tr>
        <w:trPr>
          <w:trHeight w:val="235"/>
        </w:trPr>
        <w:tc>
          <w:tcPr>
            <w:tcW w:w="558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General Counsel, Corp. Secretary, and Chief Compliance Officer</w:t>
            </w:r>
          </w:p>
        </w:tc>
        <w:tc>
          <w:tcPr>
            <w:tcW w:w="2220" w:type="dxa"/>
            <w:vAlign w:val="bottom"/>
            <w:tcBorders>
              <w:bottom w:val="single" w:sz="8" w:color="E5E5E5"/>
            </w:tcBorders>
            <w:shd w:val="clear" w:color="auto" w:fill="E5E5E5"/>
          </w:tcPr>
          <w:p>
            <w:pPr>
              <w:jc w:val="center"/>
              <w:ind w:left="161"/>
              <w:spacing w:after="0"/>
              <w:rPr>
                <w:sz w:val="20"/>
                <w:szCs w:val="20"/>
                <w:color w:val="auto"/>
              </w:rPr>
            </w:pPr>
            <w:r>
              <w:rPr>
                <w:rFonts w:ascii="Arial" w:cs="Arial" w:eastAsia="Arial" w:hAnsi="Arial"/>
                <w:sz w:val="16"/>
                <w:szCs w:val="16"/>
                <w:color w:val="auto"/>
              </w:rPr>
              <w:t>$484,100</w:t>
            </w:r>
          </w:p>
        </w:tc>
        <w:tc>
          <w:tcPr>
            <w:tcW w:w="1820" w:type="dxa"/>
            <w:vAlign w:val="bottom"/>
            <w:tcBorders>
              <w:bottom w:val="single" w:sz="8" w:color="E5E5E5"/>
            </w:tcBorders>
            <w:shd w:val="clear" w:color="auto" w:fill="E5E5E5"/>
          </w:tcPr>
          <w:p>
            <w:pPr>
              <w:jc w:val="center"/>
              <w:ind w:left="61"/>
              <w:spacing w:after="0"/>
              <w:rPr>
                <w:sz w:val="20"/>
                <w:szCs w:val="20"/>
                <w:color w:val="auto"/>
              </w:rPr>
            </w:pPr>
            <w:r>
              <w:rPr>
                <w:rFonts w:ascii="Arial" w:cs="Arial" w:eastAsia="Arial" w:hAnsi="Arial"/>
                <w:sz w:val="16"/>
                <w:szCs w:val="16"/>
                <w:color w:val="auto"/>
              </w:rPr>
              <w:t>$470,000</w:t>
            </w:r>
          </w:p>
        </w:tc>
        <w:tc>
          <w:tcPr>
            <w:tcW w:w="1400" w:type="dxa"/>
            <w:vAlign w:val="bottom"/>
            <w:tcBorders>
              <w:bottom w:val="single" w:sz="8" w:color="E5E5E5"/>
            </w:tcBorders>
            <w:shd w:val="clear" w:color="auto" w:fill="E5E5E5"/>
          </w:tcPr>
          <w:p>
            <w:pPr>
              <w:jc w:val="right"/>
              <w:ind w:right="221"/>
              <w:spacing w:after="0"/>
              <w:rPr>
                <w:sz w:val="20"/>
                <w:szCs w:val="20"/>
                <w:color w:val="auto"/>
              </w:rPr>
            </w:pPr>
            <w:r>
              <w:rPr>
                <w:rFonts w:ascii="Arial" w:cs="Arial" w:eastAsia="Arial" w:hAnsi="Arial"/>
                <w:sz w:val="16"/>
                <w:szCs w:val="16"/>
                <w:color w:val="auto"/>
              </w:rPr>
              <w:t>3%</w:t>
            </w:r>
          </w:p>
        </w:tc>
      </w:tr>
      <w:tr>
        <w:trPr>
          <w:trHeight w:val="245"/>
        </w:trPr>
        <w:tc>
          <w:tcPr>
            <w:tcW w:w="5580" w:type="dxa"/>
            <w:vAlign w:val="bottom"/>
          </w:tcPr>
          <w:p>
            <w:pPr>
              <w:ind w:left="60"/>
              <w:spacing w:after="0"/>
              <w:rPr>
                <w:sz w:val="20"/>
                <w:szCs w:val="20"/>
                <w:color w:val="auto"/>
              </w:rPr>
            </w:pPr>
            <w:r>
              <w:rPr>
                <w:rFonts w:ascii="Arial" w:cs="Arial" w:eastAsia="Arial" w:hAnsi="Arial"/>
                <w:sz w:val="16"/>
                <w:szCs w:val="16"/>
                <w:b w:val="1"/>
                <w:bCs w:val="1"/>
                <w:color w:val="0071CE"/>
              </w:rPr>
              <w:t>Javier San Martin</w:t>
            </w:r>
          </w:p>
        </w:tc>
        <w:tc>
          <w:tcPr>
            <w:tcW w:w="22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08"/>
        </w:trPr>
        <w:tc>
          <w:tcPr>
            <w:tcW w:w="5580" w:type="dxa"/>
            <w:vAlign w:val="bottom"/>
          </w:tcPr>
          <w:p>
            <w:pPr>
              <w:ind w:left="60"/>
              <w:spacing w:after="0"/>
              <w:rPr>
                <w:sz w:val="20"/>
                <w:szCs w:val="20"/>
                <w:color w:val="auto"/>
              </w:rPr>
            </w:pPr>
            <w:r>
              <w:rPr>
                <w:rFonts w:ascii="Arial" w:cs="Arial" w:eastAsia="Arial" w:hAnsi="Arial"/>
                <w:sz w:val="16"/>
                <w:szCs w:val="16"/>
                <w:color w:val="auto"/>
              </w:rPr>
              <w:t>Chief Medical Officer</w:t>
            </w:r>
          </w:p>
        </w:tc>
        <w:tc>
          <w:tcPr>
            <w:tcW w:w="2220" w:type="dxa"/>
            <w:vAlign w:val="bottom"/>
          </w:tcPr>
          <w:p>
            <w:pPr>
              <w:jc w:val="center"/>
              <w:ind w:left="161"/>
              <w:spacing w:after="0"/>
              <w:rPr>
                <w:sz w:val="20"/>
                <w:szCs w:val="20"/>
                <w:color w:val="auto"/>
              </w:rPr>
            </w:pPr>
            <w:r>
              <w:rPr>
                <w:rFonts w:ascii="Arial" w:cs="Arial" w:eastAsia="Arial" w:hAnsi="Arial"/>
                <w:sz w:val="16"/>
                <w:szCs w:val="16"/>
                <w:color w:val="auto"/>
              </w:rPr>
              <w:t>$463,500</w:t>
            </w:r>
          </w:p>
        </w:tc>
        <w:tc>
          <w:tcPr>
            <w:tcW w:w="1820" w:type="dxa"/>
            <w:vAlign w:val="bottom"/>
          </w:tcPr>
          <w:p>
            <w:pPr>
              <w:jc w:val="center"/>
              <w:ind w:left="61"/>
              <w:spacing w:after="0"/>
              <w:rPr>
                <w:sz w:val="20"/>
                <w:szCs w:val="20"/>
                <w:color w:val="auto"/>
              </w:rPr>
            </w:pPr>
            <w:r>
              <w:rPr>
                <w:rFonts w:ascii="Arial" w:cs="Arial" w:eastAsia="Arial" w:hAnsi="Arial"/>
                <w:sz w:val="16"/>
                <w:szCs w:val="16"/>
                <w:color w:val="auto"/>
              </w:rPr>
              <w:t>$450,000</w:t>
            </w:r>
          </w:p>
        </w:tc>
        <w:tc>
          <w:tcPr>
            <w:tcW w:w="1400" w:type="dxa"/>
            <w:vAlign w:val="bottom"/>
          </w:tcPr>
          <w:p>
            <w:pPr>
              <w:jc w:val="right"/>
              <w:ind w:right="221"/>
              <w:spacing w:after="0"/>
              <w:rPr>
                <w:sz w:val="20"/>
                <w:szCs w:val="20"/>
                <w:color w:val="auto"/>
              </w:rPr>
            </w:pPr>
            <w:r>
              <w:rPr>
                <w:rFonts w:ascii="Arial" w:cs="Arial" w:eastAsia="Arial" w:hAnsi="Arial"/>
                <w:sz w:val="16"/>
                <w:szCs w:val="16"/>
                <w:color w:val="auto"/>
              </w:rPr>
              <w:t>3%</w:t>
            </w:r>
          </w:p>
        </w:tc>
      </w:tr>
      <w:tr>
        <w:trPr>
          <w:trHeight w:val="47"/>
        </w:trPr>
        <w:tc>
          <w:tcPr>
            <w:tcW w:w="5580" w:type="dxa"/>
            <w:vAlign w:val="bottom"/>
          </w:tcPr>
          <w:p>
            <w:pPr>
              <w:spacing w:after="0"/>
              <w:rPr>
                <w:sz w:val="4"/>
                <w:szCs w:val="4"/>
                <w:color w:val="auto"/>
              </w:rPr>
            </w:pPr>
          </w:p>
        </w:tc>
        <w:tc>
          <w:tcPr>
            <w:tcW w:w="22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45"/>
        </w:trPr>
        <w:tc>
          <w:tcPr>
            <w:tcW w:w="558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0071CE"/>
              </w:rPr>
              <w:t>James Hamilton</w:t>
            </w:r>
          </w:p>
        </w:tc>
        <w:tc>
          <w:tcPr>
            <w:tcW w:w="2220" w:type="dxa"/>
            <w:vAlign w:val="bottom"/>
            <w:shd w:val="clear" w:color="auto" w:fill="E5E5E5"/>
          </w:tcPr>
          <w:p>
            <w:pPr>
              <w:spacing w:after="0"/>
              <w:rPr>
                <w:sz w:val="21"/>
                <w:szCs w:val="21"/>
                <w:color w:val="auto"/>
              </w:rPr>
            </w:pPr>
          </w:p>
        </w:tc>
        <w:tc>
          <w:tcPr>
            <w:tcW w:w="1820" w:type="dxa"/>
            <w:vAlign w:val="bottom"/>
            <w:shd w:val="clear" w:color="auto" w:fill="E5E5E5"/>
          </w:tcPr>
          <w:p>
            <w:pPr>
              <w:spacing w:after="0"/>
              <w:rPr>
                <w:sz w:val="21"/>
                <w:szCs w:val="21"/>
                <w:color w:val="auto"/>
              </w:rPr>
            </w:pPr>
          </w:p>
        </w:tc>
        <w:tc>
          <w:tcPr>
            <w:tcW w:w="1400" w:type="dxa"/>
            <w:vAlign w:val="bottom"/>
            <w:shd w:val="clear" w:color="auto" w:fill="E5E5E5"/>
          </w:tcPr>
          <w:p>
            <w:pPr>
              <w:spacing w:after="0"/>
              <w:rPr>
                <w:sz w:val="21"/>
                <w:szCs w:val="21"/>
                <w:color w:val="auto"/>
              </w:rPr>
            </w:pPr>
          </w:p>
        </w:tc>
      </w:tr>
      <w:tr>
        <w:trPr>
          <w:trHeight w:val="235"/>
        </w:trPr>
        <w:tc>
          <w:tcPr>
            <w:tcW w:w="558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Senior VP, Discovery and Translational Medicine</w:t>
            </w:r>
          </w:p>
        </w:tc>
        <w:tc>
          <w:tcPr>
            <w:tcW w:w="2220" w:type="dxa"/>
            <w:vAlign w:val="bottom"/>
            <w:tcBorders>
              <w:bottom w:val="single" w:sz="8" w:color="E5E5E5"/>
            </w:tcBorders>
            <w:shd w:val="clear" w:color="auto" w:fill="E5E5E5"/>
          </w:tcPr>
          <w:p>
            <w:pPr>
              <w:jc w:val="center"/>
              <w:ind w:left="161"/>
              <w:spacing w:after="0"/>
              <w:rPr>
                <w:sz w:val="20"/>
                <w:szCs w:val="20"/>
                <w:color w:val="auto"/>
              </w:rPr>
            </w:pPr>
            <w:r>
              <w:rPr>
                <w:rFonts w:ascii="Arial" w:cs="Arial" w:eastAsia="Arial" w:hAnsi="Arial"/>
                <w:sz w:val="16"/>
                <w:szCs w:val="16"/>
                <w:color w:val="auto"/>
              </w:rPr>
              <w:t>$432,600</w:t>
            </w:r>
          </w:p>
        </w:tc>
        <w:tc>
          <w:tcPr>
            <w:tcW w:w="1820" w:type="dxa"/>
            <w:vAlign w:val="bottom"/>
            <w:tcBorders>
              <w:bottom w:val="single" w:sz="8" w:color="E5E5E5"/>
            </w:tcBorders>
            <w:shd w:val="clear" w:color="auto" w:fill="E5E5E5"/>
          </w:tcPr>
          <w:p>
            <w:pPr>
              <w:jc w:val="center"/>
              <w:ind w:left="61"/>
              <w:spacing w:after="0"/>
              <w:rPr>
                <w:sz w:val="20"/>
                <w:szCs w:val="20"/>
                <w:color w:val="auto"/>
              </w:rPr>
            </w:pPr>
            <w:r>
              <w:rPr>
                <w:rFonts w:ascii="Arial" w:cs="Arial" w:eastAsia="Arial" w:hAnsi="Arial"/>
                <w:sz w:val="16"/>
                <w:szCs w:val="16"/>
                <w:color w:val="auto"/>
              </w:rPr>
              <w:t>$420,000</w:t>
            </w:r>
          </w:p>
        </w:tc>
        <w:tc>
          <w:tcPr>
            <w:tcW w:w="1400" w:type="dxa"/>
            <w:vAlign w:val="bottom"/>
            <w:tcBorders>
              <w:bottom w:val="single" w:sz="8" w:color="E5E5E5"/>
            </w:tcBorders>
            <w:shd w:val="clear" w:color="auto" w:fill="E5E5E5"/>
          </w:tcPr>
          <w:p>
            <w:pPr>
              <w:jc w:val="right"/>
              <w:ind w:right="221"/>
              <w:spacing w:after="0"/>
              <w:rPr>
                <w:sz w:val="20"/>
                <w:szCs w:val="20"/>
                <w:color w:val="auto"/>
              </w:rPr>
            </w:pPr>
            <w:r>
              <w:rPr>
                <w:rFonts w:ascii="Arial" w:cs="Arial" w:eastAsia="Arial" w:hAnsi="Arial"/>
                <w:sz w:val="16"/>
                <w:szCs w:val="16"/>
                <w:color w:val="auto"/>
              </w:rPr>
              <w:t>3%</w:t>
            </w:r>
          </w:p>
        </w:tc>
      </w:tr>
      <w:tr>
        <w:trPr>
          <w:trHeight w:val="245"/>
        </w:trPr>
        <w:tc>
          <w:tcPr>
            <w:tcW w:w="5580" w:type="dxa"/>
            <w:vAlign w:val="bottom"/>
          </w:tcPr>
          <w:p>
            <w:pPr>
              <w:ind w:left="60"/>
              <w:spacing w:after="0"/>
              <w:rPr>
                <w:sz w:val="20"/>
                <w:szCs w:val="20"/>
                <w:color w:val="auto"/>
              </w:rPr>
            </w:pPr>
            <w:r>
              <w:rPr>
                <w:rFonts w:ascii="Arial" w:cs="Arial" w:eastAsia="Arial" w:hAnsi="Arial"/>
                <w:sz w:val="16"/>
                <w:szCs w:val="16"/>
                <w:b w:val="1"/>
                <w:bCs w:val="1"/>
                <w:color w:val="0071CE"/>
              </w:rPr>
              <w:t>James Hassard (1)</w:t>
            </w:r>
          </w:p>
        </w:tc>
        <w:tc>
          <w:tcPr>
            <w:tcW w:w="22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08"/>
        </w:trPr>
        <w:tc>
          <w:tcPr>
            <w:tcW w:w="5580" w:type="dxa"/>
            <w:vAlign w:val="bottom"/>
          </w:tcPr>
          <w:p>
            <w:pPr>
              <w:ind w:left="60"/>
              <w:spacing w:after="0"/>
              <w:rPr>
                <w:sz w:val="20"/>
                <w:szCs w:val="20"/>
                <w:color w:val="auto"/>
              </w:rPr>
            </w:pPr>
            <w:r>
              <w:rPr>
                <w:rFonts w:ascii="Arial" w:cs="Arial" w:eastAsia="Arial" w:hAnsi="Arial"/>
                <w:sz w:val="16"/>
                <w:szCs w:val="16"/>
                <w:color w:val="auto"/>
              </w:rPr>
              <w:t>Former Chief Commercial Officer</w:t>
            </w:r>
          </w:p>
        </w:tc>
        <w:tc>
          <w:tcPr>
            <w:tcW w:w="2220" w:type="dxa"/>
            <w:vAlign w:val="bottom"/>
          </w:tcPr>
          <w:p>
            <w:pPr>
              <w:jc w:val="center"/>
              <w:ind w:left="161"/>
              <w:spacing w:after="0"/>
              <w:rPr>
                <w:sz w:val="20"/>
                <w:szCs w:val="20"/>
                <w:color w:val="auto"/>
              </w:rPr>
            </w:pPr>
            <w:r>
              <w:rPr>
                <w:rFonts w:ascii="Arial" w:cs="Arial" w:eastAsia="Arial" w:hAnsi="Arial"/>
                <w:sz w:val="16"/>
                <w:szCs w:val="16"/>
                <w:color w:val="auto"/>
              </w:rPr>
              <w:t>$437,750</w:t>
            </w:r>
          </w:p>
        </w:tc>
        <w:tc>
          <w:tcPr>
            <w:tcW w:w="1820" w:type="dxa"/>
            <w:vAlign w:val="bottom"/>
          </w:tcPr>
          <w:p>
            <w:pPr>
              <w:jc w:val="center"/>
              <w:ind w:left="61"/>
              <w:spacing w:after="0"/>
              <w:rPr>
                <w:sz w:val="20"/>
                <w:szCs w:val="20"/>
                <w:color w:val="auto"/>
              </w:rPr>
            </w:pPr>
            <w:r>
              <w:rPr>
                <w:rFonts w:ascii="Arial" w:cs="Arial" w:eastAsia="Arial" w:hAnsi="Arial"/>
                <w:sz w:val="16"/>
                <w:szCs w:val="16"/>
                <w:color w:val="auto"/>
              </w:rPr>
              <w:t>$425,000</w:t>
            </w:r>
          </w:p>
        </w:tc>
        <w:tc>
          <w:tcPr>
            <w:tcW w:w="1400" w:type="dxa"/>
            <w:vAlign w:val="bottom"/>
          </w:tcPr>
          <w:p>
            <w:pPr>
              <w:jc w:val="right"/>
              <w:ind w:right="221"/>
              <w:spacing w:after="0"/>
              <w:rPr>
                <w:sz w:val="20"/>
                <w:szCs w:val="20"/>
                <w:color w:val="auto"/>
              </w:rPr>
            </w:pPr>
            <w:r>
              <w:rPr>
                <w:rFonts w:ascii="Arial" w:cs="Arial" w:eastAsia="Arial" w:hAnsi="Arial"/>
                <w:sz w:val="16"/>
                <w:szCs w:val="16"/>
                <w:color w:val="auto"/>
              </w:rPr>
              <w:t>3%</w:t>
            </w:r>
          </w:p>
        </w:tc>
      </w:tr>
      <w:tr>
        <w:trPr>
          <w:trHeight w:val="47"/>
        </w:trPr>
        <w:tc>
          <w:tcPr>
            <w:tcW w:w="5580" w:type="dxa"/>
            <w:vAlign w:val="bottom"/>
            <w:tcBorders>
              <w:bottom w:val="single" w:sz="8" w:color="0071CE"/>
            </w:tcBorders>
          </w:tcPr>
          <w:p>
            <w:pPr>
              <w:spacing w:after="0"/>
              <w:rPr>
                <w:sz w:val="4"/>
                <w:szCs w:val="4"/>
                <w:color w:val="auto"/>
              </w:rPr>
            </w:pPr>
          </w:p>
        </w:tc>
        <w:tc>
          <w:tcPr>
            <w:tcW w:w="2220" w:type="dxa"/>
            <w:vAlign w:val="bottom"/>
            <w:tcBorders>
              <w:bottom w:val="single" w:sz="8" w:color="0071CE"/>
            </w:tcBorders>
          </w:tcPr>
          <w:p>
            <w:pPr>
              <w:spacing w:after="0"/>
              <w:rPr>
                <w:sz w:val="4"/>
                <w:szCs w:val="4"/>
                <w:color w:val="auto"/>
              </w:rPr>
            </w:pPr>
          </w:p>
        </w:tc>
        <w:tc>
          <w:tcPr>
            <w:tcW w:w="1820" w:type="dxa"/>
            <w:vAlign w:val="bottom"/>
            <w:tcBorders>
              <w:bottom w:val="single" w:sz="8" w:color="0071CE"/>
            </w:tcBorders>
          </w:tcPr>
          <w:p>
            <w:pPr>
              <w:spacing w:after="0"/>
              <w:rPr>
                <w:sz w:val="4"/>
                <w:szCs w:val="4"/>
                <w:color w:val="auto"/>
              </w:rPr>
            </w:pPr>
          </w:p>
        </w:tc>
        <w:tc>
          <w:tcPr>
            <w:tcW w:w="1400" w:type="dxa"/>
            <w:vAlign w:val="bottom"/>
            <w:tcBorders>
              <w:bottom w:val="single" w:sz="8" w:color="0071CE"/>
            </w:tcBorders>
          </w:tcPr>
          <w:p>
            <w:pPr>
              <w:spacing w:after="0"/>
              <w:rPr>
                <w:sz w:val="4"/>
                <w:szCs w:val="4"/>
                <w:color w:val="auto"/>
              </w:rPr>
            </w:pPr>
          </w:p>
        </w:tc>
      </w:tr>
    </w:tbl>
    <w:p>
      <w:pPr>
        <w:spacing w:after="0" w:line="86" w:lineRule="exact"/>
        <w:rPr>
          <w:sz w:val="20"/>
          <w:szCs w:val="20"/>
          <w:color w:val="auto"/>
        </w:rPr>
      </w:pPr>
    </w:p>
    <w:p>
      <w:pPr>
        <w:ind w:left="540" w:hanging="424"/>
        <w:spacing w:after="0"/>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Mr. Hassard’s employment with us terminated in August 2021.</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actual base salaries paid to our NEOs in fiscal 2021 are set forth in the “Fiscal 2021 Summary Compensation Table” below.</w:t>
      </w:r>
    </w:p>
    <w:p>
      <w:pPr>
        <w:spacing w:after="0" w:line="30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Annual Incentive Compensation</w:t>
      </w:r>
    </w:p>
    <w:p>
      <w:pPr>
        <w:spacing w:after="0" w:line="124" w:lineRule="exact"/>
        <w:rPr>
          <w:sz w:val="20"/>
          <w:szCs w:val="20"/>
          <w:color w:val="auto"/>
        </w:rPr>
      </w:pPr>
    </w:p>
    <w:p>
      <w:pPr>
        <w:ind w:left="120" w:right="40"/>
        <w:spacing w:after="0" w:line="250" w:lineRule="auto"/>
        <w:rPr>
          <w:sz w:val="20"/>
          <w:szCs w:val="20"/>
          <w:color w:val="auto"/>
        </w:rPr>
      </w:pPr>
      <w:r>
        <w:rPr>
          <w:rFonts w:ascii="Arial" w:cs="Arial" w:eastAsia="Arial" w:hAnsi="Arial"/>
          <w:sz w:val="16"/>
          <w:szCs w:val="16"/>
          <w:color w:val="auto"/>
        </w:rPr>
        <w:t>We provide our executive officers, including our NEOs, with the opportunity to earn performance-based annual incentive awards, payable in cash, which are designed to reward them for our overall corporate performance as well as their individual performance. Generally, our executive officers are evaluated each year for eligibility to receive an annual incentive compensation opportunity. Through a collaborative planning process involving our Board of Directors and management, corporate performance objectives are established at the beginning of each year and evaluated regularly by our Board of Directors for their continued relevance to our status.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Target Annual Incentive Award Opportunities</w:t>
      </w:r>
    </w:p>
    <w:p>
      <w:pPr>
        <w:spacing w:after="0" w:line="106" w:lineRule="exact"/>
        <w:rPr>
          <w:sz w:val="20"/>
          <w:szCs w:val="20"/>
          <w:color w:val="auto"/>
        </w:rPr>
      </w:pPr>
    </w:p>
    <w:p>
      <w:pPr>
        <w:ind w:left="120" w:right="60"/>
        <w:spacing w:after="0" w:line="249" w:lineRule="auto"/>
        <w:rPr>
          <w:sz w:val="20"/>
          <w:szCs w:val="20"/>
          <w:color w:val="auto"/>
        </w:rPr>
      </w:pPr>
      <w:r>
        <w:rPr>
          <w:rFonts w:ascii="Arial" w:cs="Arial" w:eastAsia="Arial" w:hAnsi="Arial"/>
          <w:sz w:val="16"/>
          <w:szCs w:val="16"/>
          <w:color w:val="auto"/>
        </w:rPr>
        <w:t>For purposes of the fiscal 2021 performance-based incentive awards, each of our NEOs was assigned a target annual incentive award opportunity based upon a percentage of his or her base salary. The target annual incentive award opportunities for our executive officers, including our NEOs, were recommended by our CEO (except with respect to his own target annual incentive award opportunity) based on each executive officer’s accountability, scope of responsibilities, and potential impact on our performance, and approved by the Compensation Committee. The determination of target annual incentive award opportunities was based on the factors described in “Governance of Executive Compensation Program — Compensation-Setting Process” above. Target annual incentive award opportunities did not change in fiscal 2021.</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target annual incentive award opportunities for our NEOs were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6"/>
        </w:trPr>
        <w:tc>
          <w:tcPr>
            <w:tcW w:w="4460" w:type="dxa"/>
            <w:vAlign w:val="bottom"/>
            <w:shd w:val="clear" w:color="auto" w:fill="0071CE"/>
          </w:tcPr>
          <w:p>
            <w:pPr>
              <w:spacing w:after="0"/>
              <w:rPr>
                <w:sz w:val="15"/>
                <w:szCs w:val="15"/>
                <w:color w:val="auto"/>
              </w:rPr>
            </w:pPr>
          </w:p>
        </w:tc>
        <w:tc>
          <w:tcPr>
            <w:tcW w:w="3860" w:type="dxa"/>
            <w:vAlign w:val="bottom"/>
            <w:shd w:val="clear" w:color="auto" w:fill="0071CE"/>
          </w:tcPr>
          <w:p>
            <w:pPr>
              <w:jc w:val="center"/>
              <w:ind w:left="498"/>
              <w:spacing w:after="0"/>
              <w:rPr>
                <w:sz w:val="20"/>
                <w:szCs w:val="20"/>
                <w:color w:val="auto"/>
              </w:rPr>
            </w:pPr>
            <w:r>
              <w:rPr>
                <w:rFonts w:ascii="Arial" w:cs="Arial" w:eastAsia="Arial" w:hAnsi="Arial"/>
                <w:sz w:val="14"/>
                <w:szCs w:val="14"/>
                <w:b w:val="1"/>
                <w:bCs w:val="1"/>
                <w:color w:val="FFFFFF"/>
              </w:rPr>
              <w:t>Fiscal 2021 Target Annual</w:t>
            </w:r>
          </w:p>
        </w:tc>
        <w:tc>
          <w:tcPr>
            <w:tcW w:w="2700" w:type="dxa"/>
            <w:vAlign w:val="bottom"/>
            <w:shd w:val="clear" w:color="auto" w:fill="0071CE"/>
          </w:tcPr>
          <w:p>
            <w:pPr>
              <w:jc w:val="center"/>
              <w:ind w:left="498"/>
              <w:spacing w:after="0"/>
              <w:rPr>
                <w:sz w:val="20"/>
                <w:szCs w:val="20"/>
                <w:color w:val="auto"/>
              </w:rPr>
            </w:pPr>
            <w:r>
              <w:rPr>
                <w:rFonts w:ascii="Arial" w:cs="Arial" w:eastAsia="Arial" w:hAnsi="Arial"/>
                <w:sz w:val="14"/>
                <w:szCs w:val="14"/>
                <w:b w:val="1"/>
                <w:bCs w:val="1"/>
                <w:color w:val="FFFFFF"/>
              </w:rPr>
              <w:t>Fiscal 2020 Target Annual</w:t>
            </w:r>
          </w:p>
        </w:tc>
      </w:tr>
      <w:tr>
        <w:trPr>
          <w:trHeight w:val="162"/>
        </w:trPr>
        <w:tc>
          <w:tcPr>
            <w:tcW w:w="4460" w:type="dxa"/>
            <w:vAlign w:val="bottom"/>
            <w:shd w:val="clear" w:color="auto" w:fill="0071CE"/>
          </w:tcPr>
          <w:p>
            <w:pPr>
              <w:spacing w:after="0"/>
              <w:rPr>
                <w:sz w:val="14"/>
                <w:szCs w:val="14"/>
                <w:color w:val="auto"/>
              </w:rPr>
            </w:pPr>
          </w:p>
        </w:tc>
        <w:tc>
          <w:tcPr>
            <w:tcW w:w="3860" w:type="dxa"/>
            <w:vAlign w:val="bottom"/>
            <w:shd w:val="clear" w:color="auto" w:fill="0071CE"/>
          </w:tcPr>
          <w:p>
            <w:pPr>
              <w:jc w:val="center"/>
              <w:ind w:left="518"/>
              <w:spacing w:after="0"/>
              <w:rPr>
                <w:sz w:val="20"/>
                <w:szCs w:val="20"/>
                <w:color w:val="auto"/>
              </w:rPr>
            </w:pPr>
            <w:r>
              <w:rPr>
                <w:rFonts w:ascii="Arial" w:cs="Arial" w:eastAsia="Arial" w:hAnsi="Arial"/>
                <w:sz w:val="14"/>
                <w:szCs w:val="14"/>
                <w:b w:val="1"/>
                <w:bCs w:val="1"/>
                <w:color w:val="FFFFFF"/>
              </w:rPr>
              <w:t>Incentive Award</w:t>
            </w:r>
          </w:p>
        </w:tc>
        <w:tc>
          <w:tcPr>
            <w:tcW w:w="2700" w:type="dxa"/>
            <w:vAlign w:val="bottom"/>
            <w:shd w:val="clear" w:color="auto" w:fill="0071CE"/>
          </w:tcPr>
          <w:p>
            <w:pPr>
              <w:jc w:val="center"/>
              <w:ind w:left="478"/>
              <w:spacing w:after="0"/>
              <w:rPr>
                <w:sz w:val="20"/>
                <w:szCs w:val="20"/>
                <w:color w:val="auto"/>
              </w:rPr>
            </w:pPr>
            <w:r>
              <w:rPr>
                <w:rFonts w:ascii="Arial" w:cs="Arial" w:eastAsia="Arial" w:hAnsi="Arial"/>
                <w:sz w:val="14"/>
                <w:szCs w:val="14"/>
                <w:b w:val="1"/>
                <w:bCs w:val="1"/>
                <w:color w:val="FFFFFF"/>
              </w:rPr>
              <w:t>Incentive Award</w:t>
            </w:r>
          </w:p>
        </w:tc>
      </w:tr>
      <w:tr>
        <w:trPr>
          <w:trHeight w:val="162"/>
        </w:trPr>
        <w:tc>
          <w:tcPr>
            <w:tcW w:w="4460" w:type="dxa"/>
            <w:vAlign w:val="bottom"/>
            <w:shd w:val="clear" w:color="auto" w:fill="0071CE"/>
          </w:tcPr>
          <w:p>
            <w:pPr>
              <w:spacing w:after="0"/>
              <w:rPr>
                <w:sz w:val="14"/>
                <w:szCs w:val="14"/>
                <w:color w:val="auto"/>
              </w:rPr>
            </w:pPr>
          </w:p>
        </w:tc>
        <w:tc>
          <w:tcPr>
            <w:tcW w:w="3860" w:type="dxa"/>
            <w:vAlign w:val="bottom"/>
            <w:shd w:val="clear" w:color="auto" w:fill="0071CE"/>
          </w:tcPr>
          <w:p>
            <w:pPr>
              <w:jc w:val="center"/>
              <w:ind w:left="498"/>
              <w:spacing w:after="0"/>
              <w:rPr>
                <w:sz w:val="20"/>
                <w:szCs w:val="20"/>
                <w:color w:val="auto"/>
              </w:rPr>
            </w:pPr>
            <w:r>
              <w:rPr>
                <w:rFonts w:ascii="Arial" w:cs="Arial" w:eastAsia="Arial" w:hAnsi="Arial"/>
                <w:sz w:val="14"/>
                <w:szCs w:val="14"/>
                <w:b w:val="1"/>
                <w:bCs w:val="1"/>
                <w:color w:val="FFFFFF"/>
              </w:rPr>
              <w:t>Opportunity (as a</w:t>
            </w:r>
          </w:p>
        </w:tc>
        <w:tc>
          <w:tcPr>
            <w:tcW w:w="2700" w:type="dxa"/>
            <w:vAlign w:val="bottom"/>
            <w:shd w:val="clear" w:color="auto" w:fill="0071CE"/>
          </w:tcPr>
          <w:p>
            <w:pPr>
              <w:jc w:val="center"/>
              <w:ind w:left="478"/>
              <w:spacing w:after="0"/>
              <w:rPr>
                <w:sz w:val="20"/>
                <w:szCs w:val="20"/>
                <w:color w:val="auto"/>
              </w:rPr>
            </w:pPr>
            <w:r>
              <w:rPr>
                <w:rFonts w:ascii="Arial" w:cs="Arial" w:eastAsia="Arial" w:hAnsi="Arial"/>
                <w:sz w:val="14"/>
                <w:szCs w:val="14"/>
                <w:b w:val="1"/>
                <w:bCs w:val="1"/>
                <w:color w:val="FFFFFF"/>
              </w:rPr>
              <w:t>Opportunity (as a</w:t>
            </w:r>
          </w:p>
        </w:tc>
      </w:tr>
      <w:tr>
        <w:trPr>
          <w:trHeight w:val="162"/>
        </w:trPr>
        <w:tc>
          <w:tcPr>
            <w:tcW w:w="4460" w:type="dxa"/>
            <w:vAlign w:val="bottom"/>
            <w:shd w:val="clear" w:color="auto" w:fill="0071CE"/>
          </w:tcPr>
          <w:p>
            <w:pPr>
              <w:ind w:left="60"/>
              <w:spacing w:after="0"/>
              <w:rPr>
                <w:sz w:val="20"/>
                <w:szCs w:val="20"/>
                <w:color w:val="auto"/>
              </w:rPr>
            </w:pPr>
            <w:r>
              <w:rPr>
                <w:rFonts w:ascii="Arial" w:cs="Arial" w:eastAsia="Arial" w:hAnsi="Arial"/>
                <w:sz w:val="14"/>
                <w:szCs w:val="14"/>
                <w:b w:val="1"/>
                <w:bCs w:val="1"/>
                <w:color w:val="FFFFFF"/>
              </w:rPr>
              <w:t>Named Executive</w:t>
            </w:r>
          </w:p>
        </w:tc>
        <w:tc>
          <w:tcPr>
            <w:tcW w:w="3860" w:type="dxa"/>
            <w:vAlign w:val="bottom"/>
            <w:shd w:val="clear" w:color="auto" w:fill="0071CE"/>
          </w:tcPr>
          <w:p>
            <w:pPr>
              <w:jc w:val="center"/>
              <w:ind w:left="498"/>
              <w:spacing w:after="0"/>
              <w:rPr>
                <w:sz w:val="20"/>
                <w:szCs w:val="20"/>
                <w:color w:val="auto"/>
              </w:rPr>
            </w:pPr>
            <w:r>
              <w:rPr>
                <w:rFonts w:ascii="Arial" w:cs="Arial" w:eastAsia="Arial" w:hAnsi="Arial"/>
                <w:sz w:val="14"/>
                <w:szCs w:val="14"/>
                <w:b w:val="1"/>
                <w:bCs w:val="1"/>
                <w:color w:val="FFFFFF"/>
              </w:rPr>
              <w:t>percentage of base</w:t>
            </w:r>
          </w:p>
        </w:tc>
        <w:tc>
          <w:tcPr>
            <w:tcW w:w="2700" w:type="dxa"/>
            <w:vAlign w:val="bottom"/>
            <w:shd w:val="clear" w:color="auto" w:fill="0071CE"/>
          </w:tcPr>
          <w:p>
            <w:pPr>
              <w:jc w:val="center"/>
              <w:ind w:left="478"/>
              <w:spacing w:after="0"/>
              <w:rPr>
                <w:sz w:val="20"/>
                <w:szCs w:val="20"/>
                <w:color w:val="auto"/>
              </w:rPr>
            </w:pPr>
            <w:r>
              <w:rPr>
                <w:rFonts w:ascii="Arial" w:cs="Arial" w:eastAsia="Arial" w:hAnsi="Arial"/>
                <w:sz w:val="14"/>
                <w:szCs w:val="14"/>
                <w:b w:val="1"/>
                <w:bCs w:val="1"/>
                <w:color w:val="FFFFFF"/>
              </w:rPr>
              <w:t>percentage of base</w:t>
            </w:r>
          </w:p>
        </w:tc>
      </w:tr>
      <w:tr>
        <w:trPr>
          <w:trHeight w:val="209"/>
        </w:trPr>
        <w:tc>
          <w:tcPr>
            <w:tcW w:w="4460" w:type="dxa"/>
            <w:vAlign w:val="bottom"/>
            <w:tcBorders>
              <w:bottom w:val="single" w:sz="8" w:color="0071CE"/>
            </w:tcBorders>
            <w:shd w:val="clear" w:color="auto" w:fill="0071CE"/>
          </w:tcPr>
          <w:p>
            <w:pPr>
              <w:ind w:left="60"/>
              <w:spacing w:after="0"/>
              <w:rPr>
                <w:sz w:val="20"/>
                <w:szCs w:val="20"/>
                <w:color w:val="auto"/>
              </w:rPr>
            </w:pPr>
            <w:r>
              <w:rPr>
                <w:rFonts w:ascii="Arial" w:cs="Arial" w:eastAsia="Arial" w:hAnsi="Arial"/>
                <w:sz w:val="14"/>
                <w:szCs w:val="14"/>
                <w:b w:val="1"/>
                <w:bCs w:val="1"/>
                <w:color w:val="FFFFFF"/>
              </w:rPr>
              <w:t>Officer</w:t>
            </w:r>
          </w:p>
        </w:tc>
        <w:tc>
          <w:tcPr>
            <w:tcW w:w="3860" w:type="dxa"/>
            <w:vAlign w:val="bottom"/>
            <w:tcBorders>
              <w:bottom w:val="single" w:sz="8" w:color="0071CE"/>
            </w:tcBorders>
            <w:shd w:val="clear" w:color="auto" w:fill="0071CE"/>
          </w:tcPr>
          <w:p>
            <w:pPr>
              <w:jc w:val="center"/>
              <w:ind w:left="518"/>
              <w:spacing w:after="0"/>
              <w:rPr>
                <w:sz w:val="20"/>
                <w:szCs w:val="20"/>
                <w:color w:val="auto"/>
              </w:rPr>
            </w:pPr>
            <w:r>
              <w:rPr>
                <w:rFonts w:ascii="Arial" w:cs="Arial" w:eastAsia="Arial" w:hAnsi="Arial"/>
                <w:sz w:val="14"/>
                <w:szCs w:val="14"/>
                <w:b w:val="1"/>
                <w:bCs w:val="1"/>
                <w:color w:val="FFFFFF"/>
              </w:rPr>
              <w:t>salary)</w:t>
            </w:r>
          </w:p>
        </w:tc>
        <w:tc>
          <w:tcPr>
            <w:tcW w:w="2700" w:type="dxa"/>
            <w:vAlign w:val="bottom"/>
            <w:tcBorders>
              <w:bottom w:val="single" w:sz="8" w:color="0071CE"/>
            </w:tcBorders>
            <w:shd w:val="clear" w:color="auto" w:fill="0071CE"/>
          </w:tcPr>
          <w:p>
            <w:pPr>
              <w:jc w:val="center"/>
              <w:ind w:left="478"/>
              <w:spacing w:after="0"/>
              <w:rPr>
                <w:sz w:val="20"/>
                <w:szCs w:val="20"/>
                <w:color w:val="auto"/>
              </w:rPr>
            </w:pPr>
            <w:r>
              <w:rPr>
                <w:rFonts w:ascii="Arial" w:cs="Arial" w:eastAsia="Arial" w:hAnsi="Arial"/>
                <w:sz w:val="14"/>
                <w:szCs w:val="14"/>
                <w:b w:val="1"/>
                <w:bCs w:val="1"/>
                <w:color w:val="FFFFFF"/>
              </w:rPr>
              <w:t>salary)</w:t>
            </w:r>
          </w:p>
        </w:tc>
      </w:tr>
      <w:tr>
        <w:trPr>
          <w:trHeight w:val="291"/>
        </w:trPr>
        <w:tc>
          <w:tcPr>
            <w:tcW w:w="446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8"/>
                <w:szCs w:val="18"/>
                <w:color w:val="auto"/>
              </w:rPr>
              <w:t>Dr. Anzalone</w:t>
            </w:r>
          </w:p>
        </w:tc>
        <w:tc>
          <w:tcPr>
            <w:tcW w:w="3860" w:type="dxa"/>
            <w:vAlign w:val="bottom"/>
            <w:tcBorders>
              <w:bottom w:val="single" w:sz="8" w:color="E5E5E5"/>
            </w:tcBorders>
            <w:shd w:val="clear" w:color="auto" w:fill="E5E5E5"/>
          </w:tcPr>
          <w:p>
            <w:pPr>
              <w:jc w:val="right"/>
              <w:ind w:right="1218"/>
              <w:spacing w:after="0"/>
              <w:rPr>
                <w:sz w:val="20"/>
                <w:szCs w:val="20"/>
                <w:color w:val="auto"/>
              </w:rPr>
            </w:pPr>
            <w:r>
              <w:rPr>
                <w:rFonts w:ascii="Arial" w:cs="Arial" w:eastAsia="Arial" w:hAnsi="Arial"/>
                <w:sz w:val="18"/>
                <w:szCs w:val="18"/>
                <w:color w:val="auto"/>
              </w:rPr>
              <w:t>100%</w:t>
            </w:r>
          </w:p>
        </w:tc>
        <w:tc>
          <w:tcPr>
            <w:tcW w:w="2700" w:type="dxa"/>
            <w:vAlign w:val="bottom"/>
            <w:tcBorders>
              <w:bottom w:val="single" w:sz="8" w:color="E5E5E5"/>
            </w:tcBorders>
            <w:shd w:val="clear" w:color="auto" w:fill="E5E5E5"/>
          </w:tcPr>
          <w:p>
            <w:pPr>
              <w:jc w:val="right"/>
              <w:ind w:right="638"/>
              <w:spacing w:after="0"/>
              <w:rPr>
                <w:sz w:val="20"/>
                <w:szCs w:val="20"/>
                <w:color w:val="auto"/>
              </w:rPr>
            </w:pPr>
            <w:r>
              <w:rPr>
                <w:rFonts w:ascii="Arial" w:cs="Arial" w:eastAsia="Arial" w:hAnsi="Arial"/>
                <w:sz w:val="18"/>
                <w:szCs w:val="18"/>
                <w:color w:val="auto"/>
              </w:rPr>
              <w:t>100%</w:t>
            </w:r>
          </w:p>
        </w:tc>
      </w:tr>
      <w:tr>
        <w:trPr>
          <w:trHeight w:val="270"/>
        </w:trPr>
        <w:tc>
          <w:tcPr>
            <w:tcW w:w="4460" w:type="dxa"/>
            <w:vAlign w:val="bottom"/>
          </w:tcPr>
          <w:p>
            <w:pPr>
              <w:ind w:left="60"/>
              <w:spacing w:after="0"/>
              <w:rPr>
                <w:sz w:val="20"/>
                <w:szCs w:val="20"/>
                <w:color w:val="auto"/>
              </w:rPr>
            </w:pPr>
            <w:r>
              <w:rPr>
                <w:rFonts w:ascii="Arial" w:cs="Arial" w:eastAsia="Arial" w:hAnsi="Arial"/>
                <w:sz w:val="18"/>
                <w:szCs w:val="18"/>
                <w:color w:val="auto"/>
              </w:rPr>
              <w:t>Mr. Myszkowski</w:t>
            </w:r>
          </w:p>
        </w:tc>
        <w:tc>
          <w:tcPr>
            <w:tcW w:w="3860" w:type="dxa"/>
            <w:vAlign w:val="bottom"/>
          </w:tcPr>
          <w:p>
            <w:pPr>
              <w:jc w:val="right"/>
              <w:ind w:right="1218"/>
              <w:spacing w:after="0"/>
              <w:rPr>
                <w:sz w:val="20"/>
                <w:szCs w:val="20"/>
                <w:color w:val="auto"/>
              </w:rPr>
            </w:pPr>
            <w:r>
              <w:rPr>
                <w:rFonts w:ascii="Arial" w:cs="Arial" w:eastAsia="Arial" w:hAnsi="Arial"/>
                <w:sz w:val="18"/>
                <w:szCs w:val="18"/>
                <w:color w:val="auto"/>
              </w:rPr>
              <w:t>45%</w:t>
            </w:r>
          </w:p>
        </w:tc>
        <w:tc>
          <w:tcPr>
            <w:tcW w:w="2700" w:type="dxa"/>
            <w:vAlign w:val="bottom"/>
          </w:tcPr>
          <w:p>
            <w:pPr>
              <w:jc w:val="right"/>
              <w:ind w:right="638"/>
              <w:spacing w:after="0"/>
              <w:rPr>
                <w:sz w:val="20"/>
                <w:szCs w:val="20"/>
                <w:color w:val="auto"/>
              </w:rPr>
            </w:pPr>
            <w:r>
              <w:rPr>
                <w:rFonts w:ascii="Arial" w:cs="Arial" w:eastAsia="Arial" w:hAnsi="Arial"/>
                <w:sz w:val="18"/>
                <w:szCs w:val="18"/>
                <w:color w:val="auto"/>
              </w:rPr>
              <w:t>45%</w:t>
            </w:r>
          </w:p>
        </w:tc>
      </w:tr>
      <w:tr>
        <w:trPr>
          <w:trHeight w:val="54"/>
        </w:trPr>
        <w:tc>
          <w:tcPr>
            <w:tcW w:w="4460" w:type="dxa"/>
            <w:vAlign w:val="bottom"/>
          </w:tcPr>
          <w:p>
            <w:pPr>
              <w:spacing w:after="0"/>
              <w:rPr>
                <w:sz w:val="4"/>
                <w:szCs w:val="4"/>
                <w:color w:val="auto"/>
              </w:rPr>
            </w:pPr>
          </w:p>
        </w:tc>
        <w:tc>
          <w:tcPr>
            <w:tcW w:w="3860" w:type="dxa"/>
            <w:vAlign w:val="bottom"/>
          </w:tcPr>
          <w:p>
            <w:pPr>
              <w:spacing w:after="0"/>
              <w:rPr>
                <w:sz w:val="4"/>
                <w:szCs w:val="4"/>
                <w:color w:val="auto"/>
              </w:rPr>
            </w:pPr>
          </w:p>
        </w:tc>
        <w:tc>
          <w:tcPr>
            <w:tcW w:w="2700" w:type="dxa"/>
            <w:vAlign w:val="bottom"/>
          </w:tcPr>
          <w:p>
            <w:pPr>
              <w:spacing w:after="0"/>
              <w:rPr>
                <w:sz w:val="4"/>
                <w:szCs w:val="4"/>
                <w:color w:val="auto"/>
              </w:rPr>
            </w:pPr>
          </w:p>
        </w:tc>
      </w:tr>
      <w:tr>
        <w:trPr>
          <w:trHeight w:val="304"/>
        </w:trPr>
        <w:tc>
          <w:tcPr>
            <w:tcW w:w="446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8"/>
                <w:szCs w:val="18"/>
                <w:color w:val="auto"/>
              </w:rPr>
              <w:t>Mr. O’Brien</w:t>
            </w:r>
          </w:p>
        </w:tc>
        <w:tc>
          <w:tcPr>
            <w:tcW w:w="3860" w:type="dxa"/>
            <w:vAlign w:val="bottom"/>
            <w:tcBorders>
              <w:bottom w:val="single" w:sz="8" w:color="E5E5E5"/>
            </w:tcBorders>
            <w:shd w:val="clear" w:color="auto" w:fill="E5E5E5"/>
          </w:tcPr>
          <w:p>
            <w:pPr>
              <w:jc w:val="right"/>
              <w:ind w:right="1218"/>
              <w:spacing w:after="0"/>
              <w:rPr>
                <w:sz w:val="20"/>
                <w:szCs w:val="20"/>
                <w:color w:val="auto"/>
              </w:rPr>
            </w:pPr>
            <w:r>
              <w:rPr>
                <w:rFonts w:ascii="Arial" w:cs="Arial" w:eastAsia="Arial" w:hAnsi="Arial"/>
                <w:sz w:val="18"/>
                <w:szCs w:val="18"/>
                <w:color w:val="auto"/>
              </w:rPr>
              <w:t>45%</w:t>
            </w:r>
          </w:p>
        </w:tc>
        <w:tc>
          <w:tcPr>
            <w:tcW w:w="2700" w:type="dxa"/>
            <w:vAlign w:val="bottom"/>
            <w:tcBorders>
              <w:bottom w:val="single" w:sz="8" w:color="E5E5E5"/>
            </w:tcBorders>
            <w:shd w:val="clear" w:color="auto" w:fill="E5E5E5"/>
          </w:tcPr>
          <w:p>
            <w:pPr>
              <w:jc w:val="right"/>
              <w:ind w:right="638"/>
              <w:spacing w:after="0"/>
              <w:rPr>
                <w:sz w:val="20"/>
                <w:szCs w:val="20"/>
                <w:color w:val="auto"/>
              </w:rPr>
            </w:pPr>
            <w:r>
              <w:rPr>
                <w:rFonts w:ascii="Arial" w:cs="Arial" w:eastAsia="Arial" w:hAnsi="Arial"/>
                <w:sz w:val="18"/>
                <w:szCs w:val="18"/>
                <w:color w:val="auto"/>
              </w:rPr>
              <w:t>45%</w:t>
            </w:r>
          </w:p>
        </w:tc>
      </w:tr>
      <w:tr>
        <w:trPr>
          <w:trHeight w:val="270"/>
        </w:trPr>
        <w:tc>
          <w:tcPr>
            <w:tcW w:w="4460" w:type="dxa"/>
            <w:vAlign w:val="bottom"/>
          </w:tcPr>
          <w:p>
            <w:pPr>
              <w:ind w:left="60"/>
              <w:spacing w:after="0"/>
              <w:rPr>
                <w:sz w:val="20"/>
                <w:szCs w:val="20"/>
                <w:color w:val="auto"/>
              </w:rPr>
            </w:pPr>
            <w:r>
              <w:rPr>
                <w:rFonts w:ascii="Arial" w:cs="Arial" w:eastAsia="Arial" w:hAnsi="Arial"/>
                <w:sz w:val="18"/>
                <w:szCs w:val="18"/>
                <w:color w:val="auto"/>
              </w:rPr>
              <w:t>Dr. San Martin</w:t>
            </w:r>
          </w:p>
        </w:tc>
        <w:tc>
          <w:tcPr>
            <w:tcW w:w="3860" w:type="dxa"/>
            <w:vAlign w:val="bottom"/>
          </w:tcPr>
          <w:p>
            <w:pPr>
              <w:jc w:val="right"/>
              <w:ind w:right="1218"/>
              <w:spacing w:after="0"/>
              <w:rPr>
                <w:sz w:val="20"/>
                <w:szCs w:val="20"/>
                <w:color w:val="auto"/>
              </w:rPr>
            </w:pPr>
            <w:r>
              <w:rPr>
                <w:rFonts w:ascii="Arial" w:cs="Arial" w:eastAsia="Arial" w:hAnsi="Arial"/>
                <w:sz w:val="18"/>
                <w:szCs w:val="18"/>
                <w:color w:val="auto"/>
              </w:rPr>
              <w:t>40%</w:t>
            </w:r>
          </w:p>
        </w:tc>
        <w:tc>
          <w:tcPr>
            <w:tcW w:w="2700" w:type="dxa"/>
            <w:vAlign w:val="bottom"/>
          </w:tcPr>
          <w:p>
            <w:pPr>
              <w:jc w:val="right"/>
              <w:ind w:right="638"/>
              <w:spacing w:after="0"/>
              <w:rPr>
                <w:sz w:val="20"/>
                <w:szCs w:val="20"/>
                <w:color w:val="auto"/>
              </w:rPr>
            </w:pPr>
            <w:r>
              <w:rPr>
                <w:rFonts w:ascii="Arial" w:cs="Arial" w:eastAsia="Arial" w:hAnsi="Arial"/>
                <w:sz w:val="18"/>
                <w:szCs w:val="18"/>
                <w:color w:val="auto"/>
              </w:rPr>
              <w:t>40%</w:t>
            </w:r>
          </w:p>
        </w:tc>
      </w:tr>
      <w:tr>
        <w:trPr>
          <w:trHeight w:val="54"/>
        </w:trPr>
        <w:tc>
          <w:tcPr>
            <w:tcW w:w="4460" w:type="dxa"/>
            <w:vAlign w:val="bottom"/>
          </w:tcPr>
          <w:p>
            <w:pPr>
              <w:spacing w:after="0"/>
              <w:rPr>
                <w:sz w:val="4"/>
                <w:szCs w:val="4"/>
                <w:color w:val="auto"/>
              </w:rPr>
            </w:pPr>
          </w:p>
        </w:tc>
        <w:tc>
          <w:tcPr>
            <w:tcW w:w="3860" w:type="dxa"/>
            <w:vAlign w:val="bottom"/>
          </w:tcPr>
          <w:p>
            <w:pPr>
              <w:spacing w:after="0"/>
              <w:rPr>
                <w:sz w:val="4"/>
                <w:szCs w:val="4"/>
                <w:color w:val="auto"/>
              </w:rPr>
            </w:pPr>
          </w:p>
        </w:tc>
        <w:tc>
          <w:tcPr>
            <w:tcW w:w="2700" w:type="dxa"/>
            <w:vAlign w:val="bottom"/>
          </w:tcPr>
          <w:p>
            <w:pPr>
              <w:spacing w:after="0"/>
              <w:rPr>
                <w:sz w:val="4"/>
                <w:szCs w:val="4"/>
                <w:color w:val="auto"/>
              </w:rPr>
            </w:pPr>
          </w:p>
        </w:tc>
      </w:tr>
      <w:tr>
        <w:trPr>
          <w:trHeight w:val="304"/>
        </w:trPr>
        <w:tc>
          <w:tcPr>
            <w:tcW w:w="446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8"/>
                <w:szCs w:val="18"/>
                <w:color w:val="auto"/>
              </w:rPr>
              <w:t>Dr. Hamilton</w:t>
            </w:r>
          </w:p>
        </w:tc>
        <w:tc>
          <w:tcPr>
            <w:tcW w:w="3860" w:type="dxa"/>
            <w:vAlign w:val="bottom"/>
            <w:tcBorders>
              <w:bottom w:val="single" w:sz="8" w:color="E5E5E5"/>
            </w:tcBorders>
            <w:shd w:val="clear" w:color="auto" w:fill="E5E5E5"/>
          </w:tcPr>
          <w:p>
            <w:pPr>
              <w:jc w:val="right"/>
              <w:ind w:right="1218"/>
              <w:spacing w:after="0"/>
              <w:rPr>
                <w:sz w:val="20"/>
                <w:szCs w:val="20"/>
                <w:color w:val="auto"/>
              </w:rPr>
            </w:pPr>
            <w:r>
              <w:rPr>
                <w:rFonts w:ascii="Arial" w:cs="Arial" w:eastAsia="Arial" w:hAnsi="Arial"/>
                <w:sz w:val="18"/>
                <w:szCs w:val="18"/>
                <w:color w:val="auto"/>
              </w:rPr>
              <w:t>45%</w:t>
            </w:r>
          </w:p>
        </w:tc>
        <w:tc>
          <w:tcPr>
            <w:tcW w:w="2700" w:type="dxa"/>
            <w:vAlign w:val="bottom"/>
            <w:tcBorders>
              <w:bottom w:val="single" w:sz="8" w:color="E5E5E5"/>
            </w:tcBorders>
            <w:shd w:val="clear" w:color="auto" w:fill="E5E5E5"/>
          </w:tcPr>
          <w:p>
            <w:pPr>
              <w:jc w:val="right"/>
              <w:ind w:right="638"/>
              <w:spacing w:after="0"/>
              <w:rPr>
                <w:sz w:val="20"/>
                <w:szCs w:val="20"/>
                <w:color w:val="auto"/>
              </w:rPr>
            </w:pPr>
            <w:r>
              <w:rPr>
                <w:rFonts w:ascii="Arial" w:cs="Arial" w:eastAsia="Arial" w:hAnsi="Arial"/>
                <w:sz w:val="18"/>
                <w:szCs w:val="18"/>
                <w:color w:val="auto"/>
              </w:rPr>
              <w:t>45%</w:t>
            </w:r>
          </w:p>
        </w:tc>
      </w:tr>
      <w:tr>
        <w:trPr>
          <w:trHeight w:val="270"/>
        </w:trPr>
        <w:tc>
          <w:tcPr>
            <w:tcW w:w="4460" w:type="dxa"/>
            <w:vAlign w:val="bottom"/>
          </w:tcPr>
          <w:p>
            <w:pPr>
              <w:ind w:left="60"/>
              <w:spacing w:after="0"/>
              <w:rPr>
                <w:sz w:val="20"/>
                <w:szCs w:val="20"/>
                <w:color w:val="auto"/>
              </w:rPr>
            </w:pPr>
            <w:r>
              <w:rPr>
                <w:rFonts w:ascii="Arial" w:cs="Arial" w:eastAsia="Arial" w:hAnsi="Arial"/>
                <w:sz w:val="18"/>
                <w:szCs w:val="18"/>
                <w:color w:val="auto"/>
              </w:rPr>
              <w:t>Mr. Hassard (1)</w:t>
            </w:r>
          </w:p>
        </w:tc>
        <w:tc>
          <w:tcPr>
            <w:tcW w:w="3860" w:type="dxa"/>
            <w:vAlign w:val="bottom"/>
          </w:tcPr>
          <w:p>
            <w:pPr>
              <w:jc w:val="right"/>
              <w:ind w:right="1218"/>
              <w:spacing w:after="0"/>
              <w:rPr>
                <w:sz w:val="20"/>
                <w:szCs w:val="20"/>
                <w:color w:val="auto"/>
              </w:rPr>
            </w:pPr>
            <w:r>
              <w:rPr>
                <w:rFonts w:ascii="Arial" w:cs="Arial" w:eastAsia="Arial" w:hAnsi="Arial"/>
                <w:sz w:val="18"/>
                <w:szCs w:val="18"/>
                <w:color w:val="auto"/>
              </w:rPr>
              <w:t>40%</w:t>
            </w:r>
          </w:p>
        </w:tc>
        <w:tc>
          <w:tcPr>
            <w:tcW w:w="2700" w:type="dxa"/>
            <w:vAlign w:val="bottom"/>
          </w:tcPr>
          <w:p>
            <w:pPr>
              <w:jc w:val="right"/>
              <w:ind w:right="638"/>
              <w:spacing w:after="0"/>
              <w:rPr>
                <w:sz w:val="20"/>
                <w:szCs w:val="20"/>
                <w:color w:val="auto"/>
              </w:rPr>
            </w:pPr>
            <w:r>
              <w:rPr>
                <w:rFonts w:ascii="Arial" w:cs="Arial" w:eastAsia="Arial" w:hAnsi="Arial"/>
                <w:sz w:val="18"/>
                <w:szCs w:val="18"/>
                <w:color w:val="auto"/>
              </w:rPr>
              <w:t>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34290</wp:posOffset>
            </wp:positionV>
            <wp:extent cx="69951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3" w:lineRule="exact"/>
        <w:rPr>
          <w:sz w:val="20"/>
          <w:szCs w:val="20"/>
          <w:color w:val="auto"/>
        </w:rPr>
      </w:pPr>
    </w:p>
    <w:p>
      <w:pPr>
        <w:ind w:left="540" w:hanging="424"/>
        <w:spacing w:after="0"/>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Mr. Hassard’s employment with us terminated in August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92075</wp:posOffset>
            </wp:positionV>
            <wp:extent cx="986155" cy="2057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56" w:lineRule="exact"/>
        <w:rPr>
          <w:sz w:val="20"/>
          <w:szCs w:val="20"/>
          <w:color w:val="auto"/>
        </w:rPr>
      </w:pPr>
    </w:p>
    <w:p>
      <w:pPr>
        <w:ind w:left="10880"/>
        <w:spacing w:after="0"/>
        <w:rPr>
          <w:sz w:val="20"/>
          <w:szCs w:val="20"/>
          <w:color w:val="auto"/>
        </w:rPr>
      </w:pPr>
      <w:r>
        <w:rPr>
          <w:rFonts w:ascii="Arial" w:cs="Arial" w:eastAsia="Arial" w:hAnsi="Arial"/>
          <w:sz w:val="18"/>
          <w:szCs w:val="18"/>
          <w:b w:val="1"/>
          <w:bCs w:val="1"/>
          <w:color w:val="0071CE"/>
        </w:rPr>
        <w:t>31</w:t>
      </w:r>
    </w:p>
    <w:p>
      <w:pPr>
        <w:sectPr>
          <w:pgSz w:w="11900" w:h="16838" w:orient="portrait"/>
          <w:cols w:equalWidth="0" w:num="1">
            <w:col w:w="11140"/>
          </w:cols>
          <w:pgMar w:left="32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20"/>
        <w:spacing w:after="0"/>
        <w:tabs>
          <w:tab w:leader="none" w:pos="2020" w:val="left"/>
        </w:tabs>
        <w:rPr>
          <w:sz w:val="20"/>
          <w:szCs w:val="20"/>
          <w:color w:val="auto"/>
        </w:rPr>
      </w:pPr>
      <w:r>
        <w:rPr>
          <w:rFonts w:ascii="Arial" w:cs="Arial" w:eastAsia="Arial" w:hAnsi="Arial"/>
          <w:sz w:val="14"/>
          <w:szCs w:val="14"/>
          <w:b w:val="1"/>
          <w:bCs w:val="1"/>
          <w:color w:val="0071CE"/>
        </w:rPr>
        <w:t>2022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Performance Objectives</w:t>
      </w:r>
    </w:p>
    <w:p>
      <w:pPr>
        <w:spacing w:after="0" w:line="106" w:lineRule="exact"/>
        <w:rPr>
          <w:sz w:val="20"/>
          <w:szCs w:val="20"/>
          <w:color w:val="auto"/>
        </w:rPr>
      </w:pPr>
    </w:p>
    <w:p>
      <w:pPr>
        <w:ind w:left="120" w:right="100"/>
        <w:spacing w:after="0" w:line="250" w:lineRule="auto"/>
        <w:rPr>
          <w:sz w:val="20"/>
          <w:szCs w:val="20"/>
          <w:color w:val="auto"/>
        </w:rPr>
      </w:pPr>
      <w:r>
        <w:rPr>
          <w:rFonts w:ascii="Arial" w:cs="Arial" w:eastAsia="Arial" w:hAnsi="Arial"/>
          <w:sz w:val="16"/>
          <w:szCs w:val="16"/>
          <w:color w:val="auto"/>
        </w:rPr>
        <w:t>In determining the amount of the annual incentive award for each of our executive officers, including each of our NEOs, the Compensation Committee evaluated the corporate performance objectives that had been established at the beginning of the calendar year (as set forth below) as well as other corporate and individual achievements and performance throughout the year. These performance objectives addressed milestones for our lead products, research and development milestones for our drug pipeline and business development objectives. In December 2021, the Compensation Committee determined that we had largely achieved or exceeded our primary business objectives set for calendar 2021, as described below.</w:t>
      </w: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237"/>
        </w:trPr>
        <w:tc>
          <w:tcPr>
            <w:tcW w:w="1200" w:type="dxa"/>
            <w:vAlign w:val="bottom"/>
            <w:tcBorders>
              <w:bottom w:val="single" w:sz="8" w:color="0071CE"/>
            </w:tcBorders>
            <w:shd w:val="clear" w:color="auto" w:fill="0071CE"/>
          </w:tcPr>
          <w:p>
            <w:pPr>
              <w:ind w:left="60"/>
              <w:spacing w:after="0"/>
              <w:rPr>
                <w:sz w:val="20"/>
                <w:szCs w:val="20"/>
                <w:color w:val="auto"/>
              </w:rPr>
            </w:pPr>
            <w:r>
              <w:rPr>
                <w:rFonts w:ascii="Arial" w:cs="Arial" w:eastAsia="Arial" w:hAnsi="Arial"/>
                <w:sz w:val="14"/>
                <w:szCs w:val="14"/>
                <w:b w:val="1"/>
                <w:bCs w:val="1"/>
                <w:color w:val="FFFFFF"/>
              </w:rPr>
              <w:t>Goal</w:t>
            </w:r>
          </w:p>
        </w:tc>
        <w:tc>
          <w:tcPr>
            <w:tcW w:w="680" w:type="dxa"/>
            <w:vAlign w:val="bottom"/>
            <w:tcBorders>
              <w:bottom w:val="single" w:sz="8" w:color="0071CE"/>
            </w:tcBorders>
            <w:shd w:val="clear" w:color="auto" w:fill="0071CE"/>
          </w:tcPr>
          <w:p>
            <w:pPr>
              <w:spacing w:after="0"/>
              <w:rPr>
                <w:sz w:val="20"/>
                <w:szCs w:val="20"/>
                <w:color w:val="auto"/>
              </w:rPr>
            </w:pPr>
          </w:p>
        </w:tc>
        <w:tc>
          <w:tcPr>
            <w:tcW w:w="640" w:type="dxa"/>
            <w:vAlign w:val="bottom"/>
            <w:tcBorders>
              <w:bottom w:val="single" w:sz="8" w:color="0071CE"/>
            </w:tcBorders>
            <w:shd w:val="clear" w:color="auto" w:fill="0071CE"/>
          </w:tcPr>
          <w:p>
            <w:pPr>
              <w:spacing w:after="0"/>
              <w:rPr>
                <w:sz w:val="20"/>
                <w:szCs w:val="20"/>
                <w:color w:val="auto"/>
              </w:rPr>
            </w:pPr>
          </w:p>
        </w:tc>
        <w:tc>
          <w:tcPr>
            <w:tcW w:w="480" w:type="dxa"/>
            <w:vAlign w:val="bottom"/>
            <w:tcBorders>
              <w:bottom w:val="single" w:sz="8" w:color="0071CE"/>
            </w:tcBorders>
            <w:shd w:val="clear" w:color="auto" w:fill="0071CE"/>
          </w:tcPr>
          <w:p>
            <w:pPr>
              <w:spacing w:after="0"/>
              <w:rPr>
                <w:sz w:val="20"/>
                <w:szCs w:val="20"/>
                <w:color w:val="auto"/>
              </w:rPr>
            </w:pPr>
          </w:p>
        </w:tc>
        <w:tc>
          <w:tcPr>
            <w:tcW w:w="2620" w:type="dxa"/>
            <w:vAlign w:val="bottom"/>
            <w:tcBorders>
              <w:bottom w:val="single" w:sz="8" w:color="0071CE"/>
            </w:tcBorders>
            <w:shd w:val="clear" w:color="auto" w:fill="0071CE"/>
          </w:tcPr>
          <w:p>
            <w:pPr>
              <w:spacing w:after="0"/>
              <w:rPr>
                <w:sz w:val="20"/>
                <w:szCs w:val="20"/>
                <w:color w:val="auto"/>
              </w:rPr>
            </w:pPr>
          </w:p>
        </w:tc>
        <w:tc>
          <w:tcPr>
            <w:tcW w:w="5400" w:type="dxa"/>
            <w:vAlign w:val="bottom"/>
            <w:tcBorders>
              <w:bottom w:val="single" w:sz="8" w:color="0071CE"/>
            </w:tcBorders>
            <w:shd w:val="clear" w:color="auto" w:fill="0071CE"/>
          </w:tcPr>
          <w:p>
            <w:pPr>
              <w:ind w:left="1920"/>
              <w:spacing w:after="0"/>
              <w:rPr>
                <w:sz w:val="20"/>
                <w:szCs w:val="20"/>
                <w:color w:val="auto"/>
              </w:rPr>
            </w:pPr>
            <w:r>
              <w:rPr>
                <w:rFonts w:ascii="Arial" w:cs="Arial" w:eastAsia="Arial" w:hAnsi="Arial"/>
                <w:sz w:val="14"/>
                <w:szCs w:val="14"/>
                <w:b w:val="1"/>
                <w:bCs w:val="1"/>
                <w:color w:val="FFFFFF"/>
              </w:rPr>
              <w:t>Achievement Highlights</w:t>
            </w:r>
          </w:p>
        </w:tc>
      </w:tr>
      <w:tr>
        <w:trPr>
          <w:trHeight w:val="237"/>
        </w:trPr>
        <w:tc>
          <w:tcPr>
            <w:tcW w:w="120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Corporate</w:t>
            </w:r>
          </w:p>
        </w:tc>
        <w:tc>
          <w:tcPr>
            <w:tcW w:w="1320" w:type="dxa"/>
            <w:vAlign w:val="bottom"/>
            <w:gridSpan w:val="2"/>
            <w:shd w:val="clear" w:color="auto" w:fill="E5E5E5"/>
          </w:tcPr>
          <w:p>
            <w:pPr>
              <w:spacing w:after="0"/>
              <w:rPr>
                <w:sz w:val="20"/>
                <w:szCs w:val="20"/>
                <w:color w:val="auto"/>
              </w:rPr>
            </w:pPr>
            <w:r>
              <w:rPr>
                <w:rFonts w:ascii="Arial" w:cs="Arial" w:eastAsia="Arial" w:hAnsi="Arial"/>
                <w:sz w:val="16"/>
                <w:szCs w:val="16"/>
                <w:color w:val="auto"/>
              </w:rPr>
              <w:t>Weight: 20%</w:t>
            </w:r>
          </w:p>
        </w:tc>
        <w:tc>
          <w:tcPr>
            <w:tcW w:w="480" w:type="dxa"/>
            <w:vAlign w:val="bottom"/>
            <w:shd w:val="clear" w:color="auto" w:fill="E5E5E5"/>
          </w:tcPr>
          <w:p>
            <w:pPr>
              <w:spacing w:after="0"/>
              <w:rPr>
                <w:sz w:val="20"/>
                <w:szCs w:val="20"/>
                <w:color w:val="auto"/>
              </w:rPr>
            </w:pPr>
          </w:p>
        </w:tc>
        <w:tc>
          <w:tcPr>
            <w:tcW w:w="2620" w:type="dxa"/>
            <w:vAlign w:val="bottom"/>
            <w:shd w:val="clear" w:color="auto" w:fill="E5E5E5"/>
          </w:tcPr>
          <w:p>
            <w:pPr>
              <w:spacing w:after="0"/>
              <w:rPr>
                <w:sz w:val="20"/>
                <w:szCs w:val="20"/>
                <w:color w:val="auto"/>
              </w:rPr>
            </w:pPr>
          </w:p>
        </w:tc>
        <w:tc>
          <w:tcPr>
            <w:tcW w:w="5400" w:type="dxa"/>
            <w:vAlign w:val="bottom"/>
            <w:shd w:val="clear" w:color="auto" w:fill="E5E5E5"/>
          </w:tcPr>
          <w:p>
            <w:pPr>
              <w:ind w:left="120"/>
              <w:spacing w:after="0"/>
              <w:rPr>
                <w:sz w:val="20"/>
                <w:szCs w:val="20"/>
                <w:color w:val="auto"/>
              </w:rPr>
            </w:pPr>
            <w:r>
              <w:rPr>
                <w:rFonts w:ascii="Arial" w:cs="Arial" w:eastAsia="Arial" w:hAnsi="Arial"/>
                <w:sz w:val="16"/>
                <w:szCs w:val="16"/>
                <w:color w:val="auto"/>
              </w:rPr>
              <w:t>Met, including some stretch goals</w:t>
            </w:r>
          </w:p>
        </w:tc>
      </w:tr>
      <w:tr>
        <w:trPr>
          <w:trHeight w:val="410"/>
        </w:trPr>
        <w:tc>
          <w:tcPr>
            <w:tcW w:w="5620" w:type="dxa"/>
            <w:vAlign w:val="bottom"/>
            <w:gridSpan w:val="5"/>
            <w:shd w:val="clear" w:color="auto" w:fill="E5E5E5"/>
          </w:tcPr>
          <w:p>
            <w:pPr>
              <w:ind w:left="60"/>
              <w:spacing w:after="0"/>
              <w:rPr>
                <w:sz w:val="20"/>
                <w:szCs w:val="20"/>
                <w:color w:val="auto"/>
              </w:rPr>
            </w:pPr>
            <w:r>
              <w:rPr>
                <w:rFonts w:ascii="Arial" w:cs="Arial" w:eastAsia="Arial" w:hAnsi="Arial"/>
                <w:sz w:val="16"/>
                <w:szCs w:val="16"/>
                <w:i w:val="1"/>
                <w:iCs w:val="1"/>
                <w:color w:val="auto"/>
              </w:rPr>
              <w:t>Meet certain goals related to capital formation, market capitalization; board</w:t>
            </w:r>
          </w:p>
        </w:tc>
        <w:tc>
          <w:tcPr>
            <w:tcW w:w="5400" w:type="dxa"/>
            <w:vAlign w:val="bottom"/>
            <w:shd w:val="clear" w:color="auto" w:fill="E5E5E5"/>
          </w:tcPr>
          <w:p>
            <w:pPr>
              <w:ind w:left="120"/>
              <w:spacing w:after="0"/>
              <w:rPr>
                <w:sz w:val="20"/>
                <w:szCs w:val="20"/>
                <w:color w:val="auto"/>
              </w:rPr>
            </w:pPr>
            <w:r>
              <w:rPr>
                <w:rFonts w:ascii="Arial" w:cs="Arial" w:eastAsia="Arial" w:hAnsi="Arial"/>
                <w:sz w:val="16"/>
                <w:szCs w:val="16"/>
                <w:color w:val="auto"/>
              </w:rPr>
              <w:t>Ended fiscal 2021 with more than $600 million cash</w:t>
            </w:r>
          </w:p>
        </w:tc>
      </w:tr>
      <w:tr>
        <w:trPr>
          <w:trHeight w:val="211"/>
        </w:trPr>
        <w:tc>
          <w:tcPr>
            <w:tcW w:w="2520" w:type="dxa"/>
            <w:vAlign w:val="bottom"/>
            <w:gridSpan w:val="3"/>
            <w:shd w:val="clear" w:color="auto" w:fill="E5E5E5"/>
          </w:tcPr>
          <w:p>
            <w:pPr>
              <w:ind w:left="60"/>
              <w:spacing w:after="0"/>
              <w:rPr>
                <w:sz w:val="20"/>
                <w:szCs w:val="20"/>
                <w:color w:val="auto"/>
              </w:rPr>
            </w:pPr>
            <w:r>
              <w:rPr>
                <w:rFonts w:ascii="Arial" w:cs="Arial" w:eastAsia="Arial" w:hAnsi="Arial"/>
                <w:sz w:val="16"/>
                <w:szCs w:val="16"/>
                <w:i w:val="1"/>
                <w:iCs w:val="1"/>
                <w:color w:val="auto"/>
              </w:rPr>
              <w:t>interface with scientific leaders</w:t>
            </w:r>
          </w:p>
        </w:tc>
        <w:tc>
          <w:tcPr>
            <w:tcW w:w="480" w:type="dxa"/>
            <w:vAlign w:val="bottom"/>
            <w:shd w:val="clear" w:color="auto" w:fill="E5E5E5"/>
          </w:tcPr>
          <w:p>
            <w:pPr>
              <w:spacing w:after="0"/>
              <w:rPr>
                <w:sz w:val="18"/>
                <w:szCs w:val="18"/>
                <w:color w:val="auto"/>
              </w:rPr>
            </w:pPr>
          </w:p>
        </w:tc>
        <w:tc>
          <w:tcPr>
            <w:tcW w:w="2620" w:type="dxa"/>
            <w:vAlign w:val="bottom"/>
            <w:shd w:val="clear" w:color="auto" w:fill="E5E5E5"/>
          </w:tcPr>
          <w:p>
            <w:pPr>
              <w:spacing w:after="0"/>
              <w:rPr>
                <w:sz w:val="18"/>
                <w:szCs w:val="18"/>
                <w:color w:val="auto"/>
              </w:rPr>
            </w:pPr>
          </w:p>
        </w:tc>
        <w:tc>
          <w:tcPr>
            <w:tcW w:w="5400" w:type="dxa"/>
            <w:vAlign w:val="bottom"/>
            <w:shd w:val="clear" w:color="auto" w:fill="E5E5E5"/>
          </w:tcPr>
          <w:p>
            <w:pPr>
              <w:spacing w:after="0"/>
              <w:rPr>
                <w:sz w:val="18"/>
                <w:szCs w:val="18"/>
                <w:color w:val="auto"/>
              </w:rPr>
            </w:pPr>
          </w:p>
        </w:tc>
      </w:tr>
      <w:tr>
        <w:trPr>
          <w:trHeight w:val="87"/>
        </w:trPr>
        <w:tc>
          <w:tcPr>
            <w:tcW w:w="2520" w:type="dxa"/>
            <w:vAlign w:val="bottom"/>
            <w:gridSpan w:val="3"/>
            <w:shd w:val="clear" w:color="auto" w:fill="E5E5E5"/>
          </w:tcPr>
          <w:p>
            <w:pPr>
              <w:spacing w:after="0"/>
              <w:rPr>
                <w:sz w:val="7"/>
                <w:szCs w:val="7"/>
                <w:color w:val="auto"/>
              </w:rPr>
            </w:pPr>
          </w:p>
        </w:tc>
        <w:tc>
          <w:tcPr>
            <w:tcW w:w="3100" w:type="dxa"/>
            <w:vAlign w:val="bottom"/>
            <w:gridSpan w:val="2"/>
            <w:shd w:val="clear" w:color="auto" w:fill="E5E5E5"/>
          </w:tcPr>
          <w:p>
            <w:pPr>
              <w:spacing w:after="0"/>
              <w:rPr>
                <w:sz w:val="7"/>
                <w:szCs w:val="7"/>
                <w:color w:val="auto"/>
              </w:rPr>
            </w:pPr>
          </w:p>
        </w:tc>
        <w:tc>
          <w:tcPr>
            <w:tcW w:w="5400" w:type="dxa"/>
            <w:vAlign w:val="bottom"/>
            <w:shd w:val="clear" w:color="auto" w:fill="E5E5E5"/>
          </w:tcPr>
          <w:p>
            <w:pPr>
              <w:spacing w:after="0"/>
              <w:rPr>
                <w:sz w:val="7"/>
                <w:szCs w:val="7"/>
                <w:color w:val="auto"/>
              </w:rPr>
            </w:pPr>
          </w:p>
        </w:tc>
      </w:tr>
      <w:tr>
        <w:trPr>
          <w:trHeight w:val="237"/>
        </w:trPr>
        <w:tc>
          <w:tcPr>
            <w:tcW w:w="2520" w:type="dxa"/>
            <w:vAlign w:val="bottom"/>
            <w:gridSpan w:val="3"/>
          </w:tcPr>
          <w:p>
            <w:pPr>
              <w:ind w:left="60"/>
              <w:spacing w:after="0"/>
              <w:rPr>
                <w:sz w:val="20"/>
                <w:szCs w:val="20"/>
                <w:color w:val="auto"/>
              </w:rPr>
            </w:pPr>
            <w:r>
              <w:rPr>
                <w:rFonts w:ascii="Arial" w:cs="Arial" w:eastAsia="Arial" w:hAnsi="Arial"/>
                <w:sz w:val="16"/>
                <w:szCs w:val="16"/>
                <w:b w:val="1"/>
                <w:bCs w:val="1"/>
                <w:color w:val="auto"/>
              </w:rPr>
              <w:t>New Business Development</w:t>
            </w:r>
          </w:p>
        </w:tc>
        <w:tc>
          <w:tcPr>
            <w:tcW w:w="3100" w:type="dxa"/>
            <w:vAlign w:val="bottom"/>
            <w:gridSpan w:val="2"/>
          </w:tcPr>
          <w:p>
            <w:pPr>
              <w:ind w:left="60"/>
              <w:spacing w:after="0"/>
              <w:rPr>
                <w:sz w:val="20"/>
                <w:szCs w:val="20"/>
                <w:color w:val="auto"/>
              </w:rPr>
            </w:pPr>
            <w:r>
              <w:rPr>
                <w:rFonts w:ascii="Arial" w:cs="Arial" w:eastAsia="Arial" w:hAnsi="Arial"/>
                <w:sz w:val="16"/>
                <w:szCs w:val="16"/>
                <w:color w:val="auto"/>
              </w:rPr>
              <w:t>Weight: 10%</w:t>
            </w:r>
          </w:p>
        </w:tc>
        <w:tc>
          <w:tcPr>
            <w:tcW w:w="5400" w:type="dxa"/>
            <w:vAlign w:val="bottom"/>
          </w:tcPr>
          <w:p>
            <w:pPr>
              <w:ind w:left="120"/>
              <w:spacing w:after="0"/>
              <w:rPr>
                <w:sz w:val="20"/>
                <w:szCs w:val="20"/>
                <w:color w:val="auto"/>
              </w:rPr>
            </w:pPr>
            <w:r>
              <w:rPr>
                <w:rFonts w:ascii="Arial" w:cs="Arial" w:eastAsia="Arial" w:hAnsi="Arial"/>
                <w:sz w:val="16"/>
                <w:szCs w:val="16"/>
                <w:color w:val="auto"/>
              </w:rPr>
              <w:t>Met</w:t>
            </w:r>
          </w:p>
        </w:tc>
      </w:tr>
      <w:tr>
        <w:trPr>
          <w:trHeight w:val="426"/>
        </w:trPr>
        <w:tc>
          <w:tcPr>
            <w:tcW w:w="5620" w:type="dxa"/>
            <w:vAlign w:val="bottom"/>
            <w:gridSpan w:val="5"/>
          </w:tcPr>
          <w:p>
            <w:pPr>
              <w:ind w:left="60"/>
              <w:spacing w:after="0"/>
              <w:rPr>
                <w:sz w:val="20"/>
                <w:szCs w:val="20"/>
                <w:color w:val="auto"/>
              </w:rPr>
            </w:pPr>
            <w:r>
              <w:rPr>
                <w:rFonts w:ascii="Arial" w:cs="Arial" w:eastAsia="Arial" w:hAnsi="Arial"/>
                <w:sz w:val="16"/>
                <w:szCs w:val="16"/>
                <w:i w:val="1"/>
                <w:iCs w:val="1"/>
                <w:color w:val="auto"/>
              </w:rPr>
              <w:t>Meet certain goals with regard to new pharma collaborations</w:t>
            </w:r>
          </w:p>
        </w:tc>
        <w:tc>
          <w:tcPr>
            <w:tcW w:w="5400" w:type="dxa"/>
            <w:vAlign w:val="bottom"/>
          </w:tcPr>
          <w:p>
            <w:pPr>
              <w:ind w:left="120"/>
              <w:spacing w:after="0"/>
              <w:rPr>
                <w:sz w:val="20"/>
                <w:szCs w:val="20"/>
                <w:color w:val="auto"/>
              </w:rPr>
            </w:pPr>
            <w:r>
              <w:rPr>
                <w:rFonts w:ascii="Arial" w:cs="Arial" w:eastAsia="Arial" w:hAnsi="Arial"/>
                <w:sz w:val="16"/>
                <w:szCs w:val="16"/>
                <w:color w:val="auto"/>
              </w:rPr>
              <w:t>Entered a licensing agreement with GSK relating to ARO-HSD; Entered</w:t>
            </w:r>
          </w:p>
        </w:tc>
      </w:tr>
      <w:tr>
        <w:trPr>
          <w:trHeight w:val="195"/>
        </w:trPr>
        <w:tc>
          <w:tcPr>
            <w:tcW w:w="1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400" w:type="dxa"/>
            <w:vAlign w:val="bottom"/>
          </w:tcPr>
          <w:p>
            <w:pPr>
              <w:ind w:left="120"/>
              <w:spacing w:after="0"/>
              <w:rPr>
                <w:sz w:val="20"/>
                <w:szCs w:val="20"/>
                <w:color w:val="auto"/>
              </w:rPr>
            </w:pPr>
            <w:r>
              <w:rPr>
                <w:rFonts w:ascii="Arial" w:cs="Arial" w:eastAsia="Arial" w:hAnsi="Arial"/>
                <w:sz w:val="16"/>
                <w:szCs w:val="16"/>
                <w:color w:val="auto"/>
              </w:rPr>
              <w:t>collaboration and licensing agreement with Horizon Therapeutics</w:t>
            </w:r>
          </w:p>
        </w:tc>
      </w:tr>
      <w:tr>
        <w:trPr>
          <w:trHeight w:val="87"/>
        </w:trPr>
        <w:tc>
          <w:tcPr>
            <w:tcW w:w="1200" w:type="dxa"/>
            <w:vAlign w:val="bottom"/>
          </w:tcPr>
          <w:p>
            <w:pPr>
              <w:spacing w:after="0"/>
              <w:rPr>
                <w:sz w:val="7"/>
                <w:szCs w:val="7"/>
                <w:color w:val="auto"/>
              </w:rPr>
            </w:pPr>
          </w:p>
        </w:tc>
        <w:tc>
          <w:tcPr>
            <w:tcW w:w="1320" w:type="dxa"/>
            <w:vAlign w:val="bottom"/>
            <w:gridSpan w:val="2"/>
          </w:tcPr>
          <w:p>
            <w:pPr>
              <w:spacing w:after="0"/>
              <w:rPr>
                <w:sz w:val="7"/>
                <w:szCs w:val="7"/>
                <w:color w:val="auto"/>
              </w:rPr>
            </w:pPr>
          </w:p>
        </w:tc>
        <w:tc>
          <w:tcPr>
            <w:tcW w:w="480" w:type="dxa"/>
            <w:vAlign w:val="bottom"/>
          </w:tcPr>
          <w:p>
            <w:pPr>
              <w:spacing w:after="0"/>
              <w:rPr>
                <w:sz w:val="7"/>
                <w:szCs w:val="7"/>
                <w:color w:val="auto"/>
              </w:rPr>
            </w:pPr>
          </w:p>
        </w:tc>
        <w:tc>
          <w:tcPr>
            <w:tcW w:w="2620" w:type="dxa"/>
            <w:vAlign w:val="bottom"/>
          </w:tcPr>
          <w:p>
            <w:pPr>
              <w:spacing w:after="0"/>
              <w:rPr>
                <w:sz w:val="7"/>
                <w:szCs w:val="7"/>
                <w:color w:val="auto"/>
              </w:rPr>
            </w:pPr>
          </w:p>
        </w:tc>
        <w:tc>
          <w:tcPr>
            <w:tcW w:w="5400" w:type="dxa"/>
            <w:vAlign w:val="bottom"/>
          </w:tcPr>
          <w:p>
            <w:pPr>
              <w:spacing w:after="0"/>
              <w:rPr>
                <w:sz w:val="7"/>
                <w:szCs w:val="7"/>
                <w:color w:val="auto"/>
              </w:rPr>
            </w:pPr>
          </w:p>
        </w:tc>
      </w:tr>
      <w:tr>
        <w:trPr>
          <w:trHeight w:val="237"/>
        </w:trPr>
        <w:tc>
          <w:tcPr>
            <w:tcW w:w="120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Manufacturing</w:t>
            </w:r>
          </w:p>
        </w:tc>
        <w:tc>
          <w:tcPr>
            <w:tcW w:w="1320" w:type="dxa"/>
            <w:vAlign w:val="bottom"/>
            <w:gridSpan w:val="2"/>
            <w:shd w:val="clear" w:color="auto" w:fill="E5E5E5"/>
          </w:tcPr>
          <w:p>
            <w:pPr>
              <w:ind w:left="340"/>
              <w:spacing w:after="0"/>
              <w:rPr>
                <w:sz w:val="20"/>
                <w:szCs w:val="20"/>
                <w:color w:val="auto"/>
              </w:rPr>
            </w:pPr>
            <w:r>
              <w:rPr>
                <w:rFonts w:ascii="Arial" w:cs="Arial" w:eastAsia="Arial" w:hAnsi="Arial"/>
                <w:sz w:val="16"/>
                <w:szCs w:val="16"/>
                <w:color w:val="auto"/>
              </w:rPr>
              <w:t>Weight: 10%</w:t>
            </w:r>
          </w:p>
        </w:tc>
        <w:tc>
          <w:tcPr>
            <w:tcW w:w="480" w:type="dxa"/>
            <w:vAlign w:val="bottom"/>
            <w:shd w:val="clear" w:color="auto" w:fill="E5E5E5"/>
          </w:tcPr>
          <w:p>
            <w:pPr>
              <w:spacing w:after="0"/>
              <w:rPr>
                <w:sz w:val="20"/>
                <w:szCs w:val="20"/>
                <w:color w:val="auto"/>
              </w:rPr>
            </w:pPr>
          </w:p>
        </w:tc>
        <w:tc>
          <w:tcPr>
            <w:tcW w:w="2620" w:type="dxa"/>
            <w:vAlign w:val="bottom"/>
            <w:shd w:val="clear" w:color="auto" w:fill="E5E5E5"/>
          </w:tcPr>
          <w:p>
            <w:pPr>
              <w:spacing w:after="0"/>
              <w:rPr>
                <w:sz w:val="20"/>
                <w:szCs w:val="20"/>
                <w:color w:val="auto"/>
              </w:rPr>
            </w:pPr>
          </w:p>
        </w:tc>
        <w:tc>
          <w:tcPr>
            <w:tcW w:w="5400" w:type="dxa"/>
            <w:vAlign w:val="bottom"/>
            <w:shd w:val="clear" w:color="auto" w:fill="E5E5E5"/>
          </w:tcPr>
          <w:p>
            <w:pPr>
              <w:ind w:left="120"/>
              <w:spacing w:after="0"/>
              <w:rPr>
                <w:sz w:val="20"/>
                <w:szCs w:val="20"/>
                <w:color w:val="auto"/>
              </w:rPr>
            </w:pPr>
            <w:r>
              <w:rPr>
                <w:rFonts w:ascii="Arial" w:cs="Arial" w:eastAsia="Arial" w:hAnsi="Arial"/>
                <w:sz w:val="16"/>
                <w:szCs w:val="16"/>
                <w:color w:val="auto"/>
              </w:rPr>
              <w:t>Met, including stretch goals</w:t>
            </w:r>
          </w:p>
        </w:tc>
      </w:tr>
      <w:tr>
        <w:trPr>
          <w:trHeight w:val="432"/>
        </w:trPr>
        <w:tc>
          <w:tcPr>
            <w:tcW w:w="5620" w:type="dxa"/>
            <w:vAlign w:val="bottom"/>
            <w:gridSpan w:val="5"/>
            <w:shd w:val="clear" w:color="auto" w:fill="E5E5E5"/>
          </w:tcPr>
          <w:p>
            <w:pPr>
              <w:ind w:left="60"/>
              <w:spacing w:after="0"/>
              <w:rPr>
                <w:sz w:val="20"/>
                <w:szCs w:val="20"/>
                <w:color w:val="auto"/>
              </w:rPr>
            </w:pPr>
            <w:r>
              <w:rPr>
                <w:rFonts w:ascii="Arial" w:cs="Arial" w:eastAsia="Arial" w:hAnsi="Arial"/>
                <w:sz w:val="16"/>
                <w:szCs w:val="16"/>
                <w:i w:val="1"/>
                <w:iCs w:val="1"/>
                <w:color w:val="auto"/>
              </w:rPr>
              <w:t>Meet certain requirements pursuant to manufacturing capabilities</w:t>
            </w:r>
          </w:p>
        </w:tc>
        <w:tc>
          <w:tcPr>
            <w:tcW w:w="5400" w:type="dxa"/>
            <w:vAlign w:val="bottom"/>
            <w:shd w:val="clear" w:color="auto" w:fill="E5E5E5"/>
          </w:tcPr>
          <w:p>
            <w:pPr>
              <w:ind w:left="120"/>
              <w:spacing w:after="0"/>
              <w:rPr>
                <w:sz w:val="20"/>
                <w:szCs w:val="20"/>
                <w:color w:val="auto"/>
              </w:rPr>
            </w:pPr>
            <w:r>
              <w:rPr>
                <w:rFonts w:ascii="Arial" w:cs="Arial" w:eastAsia="Arial" w:hAnsi="Arial"/>
                <w:sz w:val="16"/>
                <w:szCs w:val="16"/>
                <w:color w:val="auto"/>
              </w:rPr>
              <w:t>Manufactured significant percentage of needs in-house</w:t>
            </w:r>
          </w:p>
        </w:tc>
      </w:tr>
      <w:tr>
        <w:trPr>
          <w:trHeight w:val="87"/>
        </w:trPr>
        <w:tc>
          <w:tcPr>
            <w:tcW w:w="3000" w:type="dxa"/>
            <w:vAlign w:val="bottom"/>
            <w:gridSpan w:val="4"/>
            <w:shd w:val="clear" w:color="auto" w:fill="E5E5E5"/>
          </w:tcPr>
          <w:p>
            <w:pPr>
              <w:spacing w:after="0"/>
              <w:rPr>
                <w:sz w:val="7"/>
                <w:szCs w:val="7"/>
                <w:color w:val="auto"/>
              </w:rPr>
            </w:pPr>
          </w:p>
        </w:tc>
        <w:tc>
          <w:tcPr>
            <w:tcW w:w="2620" w:type="dxa"/>
            <w:vAlign w:val="bottom"/>
            <w:shd w:val="clear" w:color="auto" w:fill="E5E5E5"/>
          </w:tcPr>
          <w:p>
            <w:pPr>
              <w:spacing w:after="0"/>
              <w:rPr>
                <w:sz w:val="7"/>
                <w:szCs w:val="7"/>
                <w:color w:val="auto"/>
              </w:rPr>
            </w:pPr>
          </w:p>
        </w:tc>
        <w:tc>
          <w:tcPr>
            <w:tcW w:w="5400" w:type="dxa"/>
            <w:vAlign w:val="bottom"/>
            <w:shd w:val="clear" w:color="auto" w:fill="E5E5E5"/>
          </w:tcPr>
          <w:p>
            <w:pPr>
              <w:spacing w:after="0"/>
              <w:rPr>
                <w:sz w:val="7"/>
                <w:szCs w:val="7"/>
                <w:color w:val="auto"/>
              </w:rPr>
            </w:pPr>
          </w:p>
        </w:tc>
      </w:tr>
      <w:tr>
        <w:trPr>
          <w:trHeight w:val="237"/>
        </w:trPr>
        <w:tc>
          <w:tcPr>
            <w:tcW w:w="3000" w:type="dxa"/>
            <w:vAlign w:val="bottom"/>
            <w:gridSpan w:val="4"/>
          </w:tcPr>
          <w:p>
            <w:pPr>
              <w:ind w:left="60"/>
              <w:spacing w:after="0"/>
              <w:rPr>
                <w:sz w:val="20"/>
                <w:szCs w:val="20"/>
                <w:color w:val="auto"/>
              </w:rPr>
            </w:pPr>
            <w:r>
              <w:rPr>
                <w:rFonts w:ascii="Arial" w:cs="Arial" w:eastAsia="Arial" w:hAnsi="Arial"/>
                <w:sz w:val="16"/>
                <w:szCs w:val="16"/>
                <w:b w:val="1"/>
                <w:bCs w:val="1"/>
                <w:color w:val="auto"/>
              </w:rPr>
              <w:t>Discovery and Early Development</w:t>
            </w:r>
          </w:p>
        </w:tc>
        <w:tc>
          <w:tcPr>
            <w:tcW w:w="2620" w:type="dxa"/>
            <w:vAlign w:val="bottom"/>
          </w:tcPr>
          <w:p>
            <w:pPr>
              <w:ind w:left="40"/>
              <w:spacing w:after="0"/>
              <w:rPr>
                <w:sz w:val="20"/>
                <w:szCs w:val="20"/>
                <w:color w:val="auto"/>
              </w:rPr>
            </w:pPr>
            <w:r>
              <w:rPr>
                <w:rFonts w:ascii="Arial" w:cs="Arial" w:eastAsia="Arial" w:hAnsi="Arial"/>
                <w:sz w:val="16"/>
                <w:szCs w:val="16"/>
                <w:color w:val="auto"/>
              </w:rPr>
              <w:t>Weight: 25%</w:t>
            </w:r>
          </w:p>
        </w:tc>
        <w:tc>
          <w:tcPr>
            <w:tcW w:w="5400" w:type="dxa"/>
            <w:vAlign w:val="bottom"/>
          </w:tcPr>
          <w:p>
            <w:pPr>
              <w:ind w:left="120"/>
              <w:spacing w:after="0"/>
              <w:rPr>
                <w:sz w:val="20"/>
                <w:szCs w:val="20"/>
                <w:color w:val="auto"/>
              </w:rPr>
            </w:pPr>
            <w:r>
              <w:rPr>
                <w:rFonts w:ascii="Arial" w:cs="Arial" w:eastAsia="Arial" w:hAnsi="Arial"/>
                <w:sz w:val="16"/>
                <w:szCs w:val="16"/>
                <w:color w:val="auto"/>
              </w:rPr>
              <w:t>Met, including some stretch goals</w:t>
            </w:r>
          </w:p>
        </w:tc>
      </w:tr>
      <w:tr>
        <w:trPr>
          <w:trHeight w:val="410"/>
        </w:trPr>
        <w:tc>
          <w:tcPr>
            <w:tcW w:w="5620" w:type="dxa"/>
            <w:vAlign w:val="bottom"/>
            <w:gridSpan w:val="5"/>
          </w:tcPr>
          <w:p>
            <w:pPr>
              <w:ind w:left="60"/>
              <w:spacing w:after="0"/>
              <w:rPr>
                <w:sz w:val="20"/>
                <w:szCs w:val="20"/>
                <w:color w:val="auto"/>
              </w:rPr>
            </w:pPr>
            <w:r>
              <w:rPr>
                <w:rFonts w:ascii="Arial" w:cs="Arial" w:eastAsia="Arial" w:hAnsi="Arial"/>
                <w:sz w:val="16"/>
                <w:szCs w:val="16"/>
                <w:i w:val="1"/>
                <w:iCs w:val="1"/>
                <w:color w:val="auto"/>
              </w:rPr>
              <w:t>Meet certain goals with regard to progress on our pre-clinical and early</w:t>
            </w:r>
          </w:p>
        </w:tc>
        <w:tc>
          <w:tcPr>
            <w:tcW w:w="5400" w:type="dxa"/>
            <w:vAlign w:val="bottom"/>
          </w:tcPr>
          <w:p>
            <w:pPr>
              <w:spacing w:after="0"/>
              <w:rPr>
                <w:sz w:val="24"/>
                <w:szCs w:val="24"/>
                <w:color w:val="auto"/>
              </w:rPr>
            </w:pPr>
          </w:p>
        </w:tc>
      </w:tr>
      <w:tr>
        <w:trPr>
          <w:trHeight w:val="211"/>
        </w:trPr>
        <w:tc>
          <w:tcPr>
            <w:tcW w:w="1880" w:type="dxa"/>
            <w:vAlign w:val="bottom"/>
            <w:gridSpan w:val="2"/>
          </w:tcPr>
          <w:p>
            <w:pPr>
              <w:ind w:left="60"/>
              <w:spacing w:after="0"/>
              <w:rPr>
                <w:sz w:val="20"/>
                <w:szCs w:val="20"/>
                <w:color w:val="auto"/>
              </w:rPr>
            </w:pPr>
            <w:r>
              <w:rPr>
                <w:rFonts w:ascii="Arial" w:cs="Arial" w:eastAsia="Arial" w:hAnsi="Arial"/>
                <w:sz w:val="16"/>
                <w:szCs w:val="16"/>
                <w:i w:val="1"/>
                <w:iCs w:val="1"/>
                <w:color w:val="auto"/>
              </w:rPr>
              <w:t>clinical programs</w:t>
            </w: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400" w:type="dxa"/>
            <w:vAlign w:val="bottom"/>
          </w:tcPr>
          <w:p>
            <w:pPr>
              <w:spacing w:after="0"/>
              <w:rPr>
                <w:sz w:val="18"/>
                <w:szCs w:val="18"/>
                <w:color w:val="auto"/>
              </w:rPr>
            </w:pPr>
          </w:p>
        </w:tc>
      </w:tr>
      <w:tr>
        <w:trPr>
          <w:trHeight w:val="87"/>
        </w:trPr>
        <w:tc>
          <w:tcPr>
            <w:tcW w:w="1880" w:type="dxa"/>
            <w:vAlign w:val="bottom"/>
            <w:gridSpan w:val="2"/>
          </w:tcPr>
          <w:p>
            <w:pPr>
              <w:spacing w:after="0"/>
              <w:rPr>
                <w:sz w:val="7"/>
                <w:szCs w:val="7"/>
                <w:color w:val="auto"/>
              </w:rPr>
            </w:pPr>
          </w:p>
        </w:tc>
        <w:tc>
          <w:tcPr>
            <w:tcW w:w="1120" w:type="dxa"/>
            <w:vAlign w:val="bottom"/>
            <w:gridSpan w:val="2"/>
          </w:tcPr>
          <w:p>
            <w:pPr>
              <w:spacing w:after="0"/>
              <w:rPr>
                <w:sz w:val="7"/>
                <w:szCs w:val="7"/>
                <w:color w:val="auto"/>
              </w:rPr>
            </w:pPr>
          </w:p>
        </w:tc>
        <w:tc>
          <w:tcPr>
            <w:tcW w:w="2620" w:type="dxa"/>
            <w:vAlign w:val="bottom"/>
          </w:tcPr>
          <w:p>
            <w:pPr>
              <w:spacing w:after="0"/>
              <w:rPr>
                <w:sz w:val="7"/>
                <w:szCs w:val="7"/>
                <w:color w:val="auto"/>
              </w:rPr>
            </w:pPr>
          </w:p>
        </w:tc>
        <w:tc>
          <w:tcPr>
            <w:tcW w:w="5400" w:type="dxa"/>
            <w:vAlign w:val="bottom"/>
          </w:tcPr>
          <w:p>
            <w:pPr>
              <w:spacing w:after="0"/>
              <w:rPr>
                <w:sz w:val="7"/>
                <w:szCs w:val="7"/>
                <w:color w:val="auto"/>
              </w:rPr>
            </w:pPr>
          </w:p>
        </w:tc>
      </w:tr>
      <w:tr>
        <w:trPr>
          <w:trHeight w:val="237"/>
        </w:trPr>
        <w:tc>
          <w:tcPr>
            <w:tcW w:w="1880" w:type="dxa"/>
            <w:vAlign w:val="bottom"/>
            <w:gridSpan w:val="2"/>
            <w:shd w:val="clear" w:color="auto" w:fill="E5E5E5"/>
          </w:tcPr>
          <w:p>
            <w:pPr>
              <w:ind w:left="60"/>
              <w:spacing w:after="0"/>
              <w:rPr>
                <w:sz w:val="20"/>
                <w:szCs w:val="20"/>
                <w:color w:val="auto"/>
              </w:rPr>
            </w:pPr>
            <w:r>
              <w:rPr>
                <w:rFonts w:ascii="Arial" w:cs="Arial" w:eastAsia="Arial" w:hAnsi="Arial"/>
                <w:sz w:val="16"/>
                <w:szCs w:val="16"/>
                <w:b w:val="1"/>
                <w:bCs w:val="1"/>
                <w:color w:val="auto"/>
              </w:rPr>
              <w:t>Clinical Development</w:t>
            </w:r>
          </w:p>
        </w:tc>
        <w:tc>
          <w:tcPr>
            <w:tcW w:w="1120" w:type="dxa"/>
            <w:vAlign w:val="bottom"/>
            <w:gridSpan w:val="2"/>
            <w:shd w:val="clear" w:color="auto" w:fill="E5E5E5"/>
          </w:tcPr>
          <w:p>
            <w:pPr>
              <w:ind w:left="180"/>
              <w:spacing w:after="0"/>
              <w:rPr>
                <w:sz w:val="20"/>
                <w:szCs w:val="20"/>
                <w:color w:val="auto"/>
              </w:rPr>
            </w:pPr>
            <w:r>
              <w:rPr>
                <w:rFonts w:ascii="Arial" w:cs="Arial" w:eastAsia="Arial" w:hAnsi="Arial"/>
                <w:sz w:val="16"/>
                <w:szCs w:val="16"/>
                <w:color w:val="auto"/>
              </w:rPr>
              <w:t>Weight: 25%</w:t>
            </w:r>
          </w:p>
        </w:tc>
        <w:tc>
          <w:tcPr>
            <w:tcW w:w="2620" w:type="dxa"/>
            <w:vAlign w:val="bottom"/>
            <w:shd w:val="clear" w:color="auto" w:fill="E5E5E5"/>
          </w:tcPr>
          <w:p>
            <w:pPr>
              <w:spacing w:after="0"/>
              <w:rPr>
                <w:sz w:val="20"/>
                <w:szCs w:val="20"/>
                <w:color w:val="auto"/>
              </w:rPr>
            </w:pPr>
          </w:p>
        </w:tc>
        <w:tc>
          <w:tcPr>
            <w:tcW w:w="5400" w:type="dxa"/>
            <w:vAlign w:val="bottom"/>
            <w:shd w:val="clear" w:color="auto" w:fill="E5E5E5"/>
          </w:tcPr>
          <w:p>
            <w:pPr>
              <w:ind w:left="120"/>
              <w:spacing w:after="0"/>
              <w:rPr>
                <w:sz w:val="20"/>
                <w:szCs w:val="20"/>
                <w:color w:val="auto"/>
              </w:rPr>
            </w:pPr>
            <w:r>
              <w:rPr>
                <w:rFonts w:ascii="Arial" w:cs="Arial" w:eastAsia="Arial" w:hAnsi="Arial"/>
                <w:sz w:val="16"/>
                <w:szCs w:val="16"/>
                <w:color w:val="auto"/>
              </w:rPr>
              <w:t>Met, including some stretch goals</w:t>
            </w:r>
          </w:p>
        </w:tc>
      </w:tr>
      <w:tr>
        <w:trPr>
          <w:trHeight w:val="432"/>
        </w:trPr>
        <w:tc>
          <w:tcPr>
            <w:tcW w:w="5620" w:type="dxa"/>
            <w:vAlign w:val="bottom"/>
            <w:gridSpan w:val="5"/>
            <w:shd w:val="clear" w:color="auto" w:fill="E5E5E5"/>
          </w:tcPr>
          <w:p>
            <w:pPr>
              <w:ind w:left="60"/>
              <w:spacing w:after="0"/>
              <w:rPr>
                <w:sz w:val="20"/>
                <w:szCs w:val="20"/>
                <w:color w:val="auto"/>
              </w:rPr>
            </w:pPr>
            <w:r>
              <w:rPr>
                <w:rFonts w:ascii="Arial" w:cs="Arial" w:eastAsia="Arial" w:hAnsi="Arial"/>
                <w:sz w:val="16"/>
                <w:szCs w:val="16"/>
                <w:i w:val="1"/>
                <w:iCs w:val="1"/>
                <w:color w:val="auto"/>
              </w:rPr>
              <w:t>Meet certain goals relating to Phase 2 and 3 studies in our clinical programs.</w:t>
            </w:r>
          </w:p>
        </w:tc>
        <w:tc>
          <w:tcPr>
            <w:tcW w:w="5400" w:type="dxa"/>
            <w:vAlign w:val="bottom"/>
            <w:shd w:val="clear" w:color="auto" w:fill="E5E5E5"/>
          </w:tcPr>
          <w:p>
            <w:pPr>
              <w:ind w:left="120"/>
              <w:spacing w:after="0"/>
              <w:rPr>
                <w:sz w:val="20"/>
                <w:szCs w:val="20"/>
                <w:color w:val="auto"/>
              </w:rPr>
            </w:pPr>
            <w:r>
              <w:rPr>
                <w:rFonts w:ascii="Arial" w:cs="Arial" w:eastAsia="Arial" w:hAnsi="Arial"/>
                <w:sz w:val="16"/>
                <w:szCs w:val="16"/>
                <w:color w:val="auto"/>
              </w:rPr>
              <w:t>Complete enrollment for ARO-AAT Phase 2 trial</w:t>
            </w:r>
          </w:p>
        </w:tc>
      </w:tr>
      <w:tr>
        <w:trPr>
          <w:trHeight w:val="432"/>
        </w:trPr>
        <w:tc>
          <w:tcPr>
            <w:tcW w:w="1200" w:type="dxa"/>
            <w:vAlign w:val="bottom"/>
            <w:shd w:val="clear" w:color="auto" w:fill="E5E5E5"/>
          </w:tcPr>
          <w:p>
            <w:pPr>
              <w:spacing w:after="0"/>
              <w:rPr>
                <w:sz w:val="24"/>
                <w:szCs w:val="24"/>
                <w:color w:val="auto"/>
              </w:rPr>
            </w:pPr>
          </w:p>
        </w:tc>
        <w:tc>
          <w:tcPr>
            <w:tcW w:w="680" w:type="dxa"/>
            <w:vAlign w:val="bottom"/>
            <w:shd w:val="clear" w:color="auto" w:fill="E5E5E5"/>
          </w:tcPr>
          <w:p>
            <w:pPr>
              <w:spacing w:after="0"/>
              <w:rPr>
                <w:sz w:val="24"/>
                <w:szCs w:val="24"/>
                <w:color w:val="auto"/>
              </w:rPr>
            </w:pPr>
          </w:p>
        </w:tc>
        <w:tc>
          <w:tcPr>
            <w:tcW w:w="640" w:type="dxa"/>
            <w:vAlign w:val="bottom"/>
            <w:shd w:val="clear" w:color="auto" w:fill="E5E5E5"/>
          </w:tcPr>
          <w:p>
            <w:pPr>
              <w:spacing w:after="0"/>
              <w:rPr>
                <w:sz w:val="24"/>
                <w:szCs w:val="24"/>
                <w:color w:val="auto"/>
              </w:rPr>
            </w:pPr>
          </w:p>
        </w:tc>
        <w:tc>
          <w:tcPr>
            <w:tcW w:w="480" w:type="dxa"/>
            <w:vAlign w:val="bottom"/>
            <w:shd w:val="clear" w:color="auto" w:fill="E5E5E5"/>
          </w:tcPr>
          <w:p>
            <w:pPr>
              <w:spacing w:after="0"/>
              <w:rPr>
                <w:sz w:val="24"/>
                <w:szCs w:val="24"/>
                <w:color w:val="auto"/>
              </w:rPr>
            </w:pPr>
          </w:p>
        </w:tc>
        <w:tc>
          <w:tcPr>
            <w:tcW w:w="2620" w:type="dxa"/>
            <w:vAlign w:val="bottom"/>
            <w:shd w:val="clear" w:color="auto" w:fill="E5E5E5"/>
          </w:tcPr>
          <w:p>
            <w:pPr>
              <w:spacing w:after="0"/>
              <w:rPr>
                <w:sz w:val="24"/>
                <w:szCs w:val="24"/>
                <w:color w:val="auto"/>
              </w:rPr>
            </w:pPr>
          </w:p>
        </w:tc>
        <w:tc>
          <w:tcPr>
            <w:tcW w:w="5400" w:type="dxa"/>
            <w:vAlign w:val="bottom"/>
            <w:shd w:val="clear" w:color="auto" w:fill="E5E5E5"/>
          </w:tcPr>
          <w:p>
            <w:pPr>
              <w:ind w:left="120"/>
              <w:spacing w:after="0"/>
              <w:rPr>
                <w:sz w:val="20"/>
                <w:szCs w:val="20"/>
                <w:color w:val="auto"/>
              </w:rPr>
            </w:pPr>
            <w:r>
              <w:rPr>
                <w:rFonts w:ascii="Arial" w:cs="Arial" w:eastAsia="Arial" w:hAnsi="Arial"/>
                <w:sz w:val="16"/>
                <w:szCs w:val="16"/>
                <w:color w:val="auto"/>
              </w:rPr>
              <w:t>Complete ARO-AAT Phase 1/2 trial</w:t>
            </w:r>
          </w:p>
        </w:tc>
      </w:tr>
      <w:tr>
        <w:trPr>
          <w:trHeight w:val="432"/>
        </w:trPr>
        <w:tc>
          <w:tcPr>
            <w:tcW w:w="1200" w:type="dxa"/>
            <w:vAlign w:val="bottom"/>
            <w:shd w:val="clear" w:color="auto" w:fill="E5E5E5"/>
          </w:tcPr>
          <w:p>
            <w:pPr>
              <w:spacing w:after="0"/>
              <w:rPr>
                <w:sz w:val="24"/>
                <w:szCs w:val="24"/>
                <w:color w:val="auto"/>
              </w:rPr>
            </w:pPr>
          </w:p>
        </w:tc>
        <w:tc>
          <w:tcPr>
            <w:tcW w:w="680" w:type="dxa"/>
            <w:vAlign w:val="bottom"/>
            <w:shd w:val="clear" w:color="auto" w:fill="E5E5E5"/>
          </w:tcPr>
          <w:p>
            <w:pPr>
              <w:spacing w:after="0"/>
              <w:rPr>
                <w:sz w:val="24"/>
                <w:szCs w:val="24"/>
                <w:color w:val="auto"/>
              </w:rPr>
            </w:pPr>
          </w:p>
        </w:tc>
        <w:tc>
          <w:tcPr>
            <w:tcW w:w="640" w:type="dxa"/>
            <w:vAlign w:val="bottom"/>
            <w:shd w:val="clear" w:color="auto" w:fill="E5E5E5"/>
          </w:tcPr>
          <w:p>
            <w:pPr>
              <w:spacing w:after="0"/>
              <w:rPr>
                <w:sz w:val="24"/>
                <w:szCs w:val="24"/>
                <w:color w:val="auto"/>
              </w:rPr>
            </w:pPr>
          </w:p>
        </w:tc>
        <w:tc>
          <w:tcPr>
            <w:tcW w:w="480" w:type="dxa"/>
            <w:vAlign w:val="bottom"/>
            <w:shd w:val="clear" w:color="auto" w:fill="E5E5E5"/>
          </w:tcPr>
          <w:p>
            <w:pPr>
              <w:spacing w:after="0"/>
              <w:rPr>
                <w:sz w:val="24"/>
                <w:szCs w:val="24"/>
                <w:color w:val="auto"/>
              </w:rPr>
            </w:pPr>
          </w:p>
        </w:tc>
        <w:tc>
          <w:tcPr>
            <w:tcW w:w="2620" w:type="dxa"/>
            <w:vAlign w:val="bottom"/>
            <w:shd w:val="clear" w:color="auto" w:fill="E5E5E5"/>
          </w:tcPr>
          <w:p>
            <w:pPr>
              <w:spacing w:after="0"/>
              <w:rPr>
                <w:sz w:val="24"/>
                <w:szCs w:val="24"/>
                <w:color w:val="auto"/>
              </w:rPr>
            </w:pPr>
          </w:p>
        </w:tc>
        <w:tc>
          <w:tcPr>
            <w:tcW w:w="5400" w:type="dxa"/>
            <w:vAlign w:val="bottom"/>
            <w:shd w:val="clear" w:color="auto" w:fill="E5E5E5"/>
          </w:tcPr>
          <w:p>
            <w:pPr>
              <w:ind w:left="120"/>
              <w:spacing w:after="0"/>
              <w:rPr>
                <w:sz w:val="20"/>
                <w:szCs w:val="20"/>
                <w:color w:val="auto"/>
              </w:rPr>
            </w:pPr>
            <w:r>
              <w:rPr>
                <w:rFonts w:ascii="Arial" w:cs="Arial" w:eastAsia="Arial" w:hAnsi="Arial"/>
                <w:sz w:val="16"/>
                <w:szCs w:val="16"/>
                <w:color w:val="auto"/>
              </w:rPr>
              <w:t>Complete enrollment of ARO-Hif2 Phase 1/2 trial</w:t>
            </w:r>
          </w:p>
        </w:tc>
      </w:tr>
      <w:tr>
        <w:trPr>
          <w:trHeight w:val="432"/>
        </w:trPr>
        <w:tc>
          <w:tcPr>
            <w:tcW w:w="1200" w:type="dxa"/>
            <w:vAlign w:val="bottom"/>
            <w:shd w:val="clear" w:color="auto" w:fill="E5E5E5"/>
          </w:tcPr>
          <w:p>
            <w:pPr>
              <w:spacing w:after="0"/>
              <w:rPr>
                <w:sz w:val="24"/>
                <w:szCs w:val="24"/>
                <w:color w:val="auto"/>
              </w:rPr>
            </w:pPr>
          </w:p>
        </w:tc>
        <w:tc>
          <w:tcPr>
            <w:tcW w:w="680" w:type="dxa"/>
            <w:vAlign w:val="bottom"/>
            <w:shd w:val="clear" w:color="auto" w:fill="E5E5E5"/>
          </w:tcPr>
          <w:p>
            <w:pPr>
              <w:spacing w:after="0"/>
              <w:rPr>
                <w:sz w:val="24"/>
                <w:szCs w:val="24"/>
                <w:color w:val="auto"/>
              </w:rPr>
            </w:pPr>
          </w:p>
        </w:tc>
        <w:tc>
          <w:tcPr>
            <w:tcW w:w="640" w:type="dxa"/>
            <w:vAlign w:val="bottom"/>
            <w:shd w:val="clear" w:color="auto" w:fill="E5E5E5"/>
          </w:tcPr>
          <w:p>
            <w:pPr>
              <w:spacing w:after="0"/>
              <w:rPr>
                <w:sz w:val="24"/>
                <w:szCs w:val="24"/>
                <w:color w:val="auto"/>
              </w:rPr>
            </w:pPr>
          </w:p>
        </w:tc>
        <w:tc>
          <w:tcPr>
            <w:tcW w:w="480" w:type="dxa"/>
            <w:vAlign w:val="bottom"/>
            <w:shd w:val="clear" w:color="auto" w:fill="E5E5E5"/>
          </w:tcPr>
          <w:p>
            <w:pPr>
              <w:spacing w:after="0"/>
              <w:rPr>
                <w:sz w:val="24"/>
                <w:szCs w:val="24"/>
                <w:color w:val="auto"/>
              </w:rPr>
            </w:pPr>
          </w:p>
        </w:tc>
        <w:tc>
          <w:tcPr>
            <w:tcW w:w="2620" w:type="dxa"/>
            <w:vAlign w:val="bottom"/>
            <w:shd w:val="clear" w:color="auto" w:fill="E5E5E5"/>
          </w:tcPr>
          <w:p>
            <w:pPr>
              <w:spacing w:after="0"/>
              <w:rPr>
                <w:sz w:val="24"/>
                <w:szCs w:val="24"/>
                <w:color w:val="auto"/>
              </w:rPr>
            </w:pPr>
          </w:p>
        </w:tc>
        <w:tc>
          <w:tcPr>
            <w:tcW w:w="5400" w:type="dxa"/>
            <w:vAlign w:val="bottom"/>
            <w:shd w:val="clear" w:color="auto" w:fill="E5E5E5"/>
          </w:tcPr>
          <w:p>
            <w:pPr>
              <w:ind w:left="120"/>
              <w:spacing w:after="0"/>
              <w:rPr>
                <w:sz w:val="20"/>
                <w:szCs w:val="20"/>
                <w:color w:val="auto"/>
              </w:rPr>
            </w:pPr>
            <w:r>
              <w:rPr>
                <w:rFonts w:ascii="Arial" w:cs="Arial" w:eastAsia="Arial" w:hAnsi="Arial"/>
                <w:sz w:val="16"/>
                <w:szCs w:val="16"/>
                <w:color w:val="auto"/>
              </w:rPr>
              <w:t>Significant number of patients dose in two cardiometabolic trials.</w:t>
            </w:r>
          </w:p>
        </w:tc>
      </w:tr>
      <w:tr>
        <w:trPr>
          <w:trHeight w:val="87"/>
        </w:trPr>
        <w:tc>
          <w:tcPr>
            <w:tcW w:w="2520" w:type="dxa"/>
            <w:vAlign w:val="bottom"/>
            <w:gridSpan w:val="3"/>
            <w:shd w:val="clear" w:color="auto" w:fill="E5E5E5"/>
          </w:tcPr>
          <w:p>
            <w:pPr>
              <w:spacing w:after="0"/>
              <w:rPr>
                <w:sz w:val="7"/>
                <w:szCs w:val="7"/>
                <w:color w:val="auto"/>
              </w:rPr>
            </w:pPr>
          </w:p>
        </w:tc>
        <w:tc>
          <w:tcPr>
            <w:tcW w:w="480" w:type="dxa"/>
            <w:vAlign w:val="bottom"/>
            <w:shd w:val="clear" w:color="auto" w:fill="E5E5E5"/>
          </w:tcPr>
          <w:p>
            <w:pPr>
              <w:spacing w:after="0"/>
              <w:rPr>
                <w:sz w:val="7"/>
                <w:szCs w:val="7"/>
                <w:color w:val="auto"/>
              </w:rPr>
            </w:pPr>
          </w:p>
        </w:tc>
        <w:tc>
          <w:tcPr>
            <w:tcW w:w="2620" w:type="dxa"/>
            <w:vAlign w:val="bottom"/>
            <w:shd w:val="clear" w:color="auto" w:fill="E5E5E5"/>
          </w:tcPr>
          <w:p>
            <w:pPr>
              <w:spacing w:after="0"/>
              <w:rPr>
                <w:sz w:val="7"/>
                <w:szCs w:val="7"/>
                <w:color w:val="auto"/>
              </w:rPr>
            </w:pPr>
          </w:p>
        </w:tc>
        <w:tc>
          <w:tcPr>
            <w:tcW w:w="5400" w:type="dxa"/>
            <w:vAlign w:val="bottom"/>
            <w:shd w:val="clear" w:color="auto" w:fill="E5E5E5"/>
          </w:tcPr>
          <w:p>
            <w:pPr>
              <w:spacing w:after="0"/>
              <w:rPr>
                <w:sz w:val="7"/>
                <w:szCs w:val="7"/>
                <w:color w:val="auto"/>
              </w:rPr>
            </w:pPr>
          </w:p>
        </w:tc>
      </w:tr>
      <w:tr>
        <w:trPr>
          <w:trHeight w:val="237"/>
        </w:trPr>
        <w:tc>
          <w:tcPr>
            <w:tcW w:w="2520" w:type="dxa"/>
            <w:vAlign w:val="bottom"/>
            <w:gridSpan w:val="3"/>
          </w:tcPr>
          <w:p>
            <w:pPr>
              <w:ind w:left="60"/>
              <w:spacing w:after="0"/>
              <w:rPr>
                <w:sz w:val="20"/>
                <w:szCs w:val="20"/>
                <w:color w:val="auto"/>
              </w:rPr>
            </w:pPr>
            <w:r>
              <w:rPr>
                <w:rFonts w:ascii="Arial" w:cs="Arial" w:eastAsia="Arial" w:hAnsi="Arial"/>
                <w:sz w:val="16"/>
                <w:szCs w:val="16"/>
                <w:b w:val="1"/>
                <w:bCs w:val="1"/>
                <w:color w:val="auto"/>
              </w:rPr>
              <w:t xml:space="preserve">Early Commercial </w:t>
            </w:r>
            <w:r>
              <w:rPr>
                <w:rFonts w:ascii="Arial" w:cs="Arial" w:eastAsia="Arial" w:hAnsi="Arial"/>
                <w:sz w:val="16"/>
                <w:szCs w:val="16"/>
                <w:color w:val="auto"/>
              </w:rPr>
              <w:t>Weight: 10%</w:t>
            </w:r>
          </w:p>
        </w:tc>
        <w:tc>
          <w:tcPr>
            <w:tcW w:w="4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400" w:type="dxa"/>
            <w:vAlign w:val="bottom"/>
          </w:tcPr>
          <w:p>
            <w:pPr>
              <w:ind w:left="120"/>
              <w:spacing w:after="0"/>
              <w:rPr>
                <w:sz w:val="20"/>
                <w:szCs w:val="20"/>
                <w:color w:val="auto"/>
              </w:rPr>
            </w:pPr>
            <w:r>
              <w:rPr>
                <w:rFonts w:ascii="Arial" w:cs="Arial" w:eastAsia="Arial" w:hAnsi="Arial"/>
                <w:sz w:val="16"/>
                <w:szCs w:val="16"/>
                <w:color w:val="auto"/>
              </w:rPr>
              <w:t>Met</w:t>
            </w:r>
          </w:p>
        </w:tc>
      </w:tr>
    </w:tbl>
    <w:p>
      <w:pPr>
        <w:spacing w:after="0" w:line="221"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Meet certain goals for our early commercial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97790</wp:posOffset>
            </wp:positionV>
            <wp:extent cx="69951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200660</wp:posOffset>
            </wp:positionV>
            <wp:extent cx="986155" cy="2057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3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1CE"/>
        </w:rPr>
        <w:t>32</w:t>
      </w:r>
    </w:p>
    <w:p>
      <w:pPr>
        <w:sectPr>
          <w:pgSz w:w="11900" w:h="16838" w:orient="portrait"/>
          <w:cols w:equalWidth="0" w:num="1">
            <w:col w:w="11140"/>
          </w:cols>
          <w:pgMar w:left="32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7500"/>
        <w:spacing w:after="0"/>
        <w:tabs>
          <w:tab w:leader="none" w:pos="9400" w:val="left"/>
        </w:tabs>
        <w:rPr>
          <w:sz w:val="20"/>
          <w:szCs w:val="20"/>
          <w:color w:val="auto"/>
        </w:rPr>
      </w:pPr>
      <w:r>
        <w:rPr>
          <w:rFonts w:ascii="Arial" w:cs="Arial" w:eastAsia="Arial" w:hAnsi="Arial"/>
          <w:sz w:val="14"/>
          <w:szCs w:val="14"/>
          <w:b w:val="1"/>
          <w:bCs w:val="1"/>
          <w:color w:val="0071CE"/>
        </w:rPr>
        <w:t>2022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Annual Incentive Award Payments</w:t>
      </w:r>
    </w:p>
    <w:p>
      <w:pPr>
        <w:spacing w:after="0" w:line="106" w:lineRule="exact"/>
        <w:rPr>
          <w:sz w:val="20"/>
          <w:szCs w:val="20"/>
          <w:color w:val="auto"/>
        </w:rPr>
      </w:pPr>
    </w:p>
    <w:p>
      <w:pPr>
        <w:ind w:left="120" w:right="220"/>
        <w:spacing w:after="0" w:line="250" w:lineRule="auto"/>
        <w:rPr>
          <w:sz w:val="20"/>
          <w:szCs w:val="20"/>
          <w:color w:val="auto"/>
        </w:rPr>
      </w:pPr>
      <w:r>
        <w:rPr>
          <w:rFonts w:ascii="Arial" w:cs="Arial" w:eastAsia="Arial" w:hAnsi="Arial"/>
          <w:sz w:val="16"/>
          <w:szCs w:val="16"/>
          <w:color w:val="auto"/>
        </w:rPr>
        <w:t>The actual annual incentive award payments earned by our incumbent NEOs was 100% or more of their target annual incentive award opportunities. Except for the award for our CEO, these awards were recommended by our CEO and approved by the Compensation Committee based on the overall achievement of our goals, their contributions to the goals and the overall performance of each executive officer during the year. The following table sets forth the target annual incentive award opportunities, the actual award payment as a percentage of each NEO’s base salary and the actual award payment made in cash to each of our NEOs based on their performance in fiscal 2021:</w:t>
      </w: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4420" w:type="dxa"/>
            <w:vAlign w:val="bottom"/>
            <w:shd w:val="clear" w:color="auto" w:fill="0071CE"/>
          </w:tcPr>
          <w:p>
            <w:pPr>
              <w:spacing w:after="0"/>
              <w:rPr>
                <w:sz w:val="16"/>
                <w:szCs w:val="16"/>
                <w:color w:val="auto"/>
              </w:rPr>
            </w:pPr>
          </w:p>
        </w:tc>
        <w:tc>
          <w:tcPr>
            <w:tcW w:w="2560" w:type="dxa"/>
            <w:vAlign w:val="bottom"/>
            <w:shd w:val="clear" w:color="auto" w:fill="0071CE"/>
          </w:tcPr>
          <w:p>
            <w:pPr>
              <w:jc w:val="center"/>
              <w:ind w:left="239"/>
              <w:spacing w:after="0"/>
              <w:rPr>
                <w:sz w:val="20"/>
                <w:szCs w:val="20"/>
                <w:color w:val="auto"/>
              </w:rPr>
            </w:pPr>
            <w:r>
              <w:rPr>
                <w:rFonts w:ascii="Arial" w:cs="Arial" w:eastAsia="Arial" w:hAnsi="Arial"/>
                <w:sz w:val="14"/>
                <w:szCs w:val="14"/>
                <w:b w:val="1"/>
                <w:bCs w:val="1"/>
                <w:color w:val="FFFFFF"/>
              </w:rPr>
              <w:t>Target Annual</w:t>
            </w:r>
          </w:p>
        </w:tc>
        <w:tc>
          <w:tcPr>
            <w:tcW w:w="2340" w:type="dxa"/>
            <w:vAlign w:val="bottom"/>
            <w:shd w:val="clear" w:color="auto" w:fill="0071CE"/>
          </w:tcPr>
          <w:p>
            <w:pPr>
              <w:spacing w:after="0"/>
              <w:rPr>
                <w:sz w:val="16"/>
                <w:szCs w:val="16"/>
                <w:color w:val="auto"/>
              </w:rPr>
            </w:pPr>
          </w:p>
        </w:tc>
        <w:tc>
          <w:tcPr>
            <w:tcW w:w="1300" w:type="dxa"/>
            <w:vAlign w:val="bottom"/>
            <w:shd w:val="clear" w:color="auto" w:fill="0071CE"/>
          </w:tcPr>
          <w:p>
            <w:pPr>
              <w:spacing w:after="0"/>
              <w:rPr>
                <w:sz w:val="16"/>
                <w:szCs w:val="16"/>
                <w:color w:val="auto"/>
              </w:rPr>
            </w:pPr>
          </w:p>
        </w:tc>
        <w:tc>
          <w:tcPr>
            <w:tcW w:w="400" w:type="dxa"/>
            <w:vAlign w:val="bottom"/>
            <w:shd w:val="clear" w:color="auto" w:fill="0071CE"/>
          </w:tcPr>
          <w:p>
            <w:pPr>
              <w:spacing w:after="0"/>
              <w:rPr>
                <w:sz w:val="16"/>
                <w:szCs w:val="16"/>
                <w:color w:val="auto"/>
              </w:rPr>
            </w:pPr>
          </w:p>
        </w:tc>
      </w:tr>
      <w:tr>
        <w:trPr>
          <w:trHeight w:val="162"/>
        </w:trPr>
        <w:tc>
          <w:tcPr>
            <w:tcW w:w="4420" w:type="dxa"/>
            <w:vAlign w:val="bottom"/>
            <w:shd w:val="clear" w:color="auto" w:fill="0071CE"/>
          </w:tcPr>
          <w:p>
            <w:pPr>
              <w:spacing w:after="0"/>
              <w:rPr>
                <w:sz w:val="14"/>
                <w:szCs w:val="14"/>
                <w:color w:val="auto"/>
              </w:rPr>
            </w:pPr>
          </w:p>
        </w:tc>
        <w:tc>
          <w:tcPr>
            <w:tcW w:w="2560" w:type="dxa"/>
            <w:vAlign w:val="bottom"/>
            <w:shd w:val="clear" w:color="auto" w:fill="0071CE"/>
          </w:tcPr>
          <w:p>
            <w:pPr>
              <w:jc w:val="center"/>
              <w:ind w:left="239"/>
              <w:spacing w:after="0"/>
              <w:rPr>
                <w:sz w:val="20"/>
                <w:szCs w:val="20"/>
                <w:color w:val="auto"/>
              </w:rPr>
            </w:pPr>
            <w:r>
              <w:rPr>
                <w:rFonts w:ascii="Arial" w:cs="Arial" w:eastAsia="Arial" w:hAnsi="Arial"/>
                <w:sz w:val="14"/>
                <w:szCs w:val="14"/>
                <w:b w:val="1"/>
                <w:bCs w:val="1"/>
                <w:color w:val="FFFFFF"/>
              </w:rPr>
              <w:t>Incentive Award</w:t>
            </w:r>
          </w:p>
        </w:tc>
        <w:tc>
          <w:tcPr>
            <w:tcW w:w="2340" w:type="dxa"/>
            <w:vAlign w:val="bottom"/>
            <w:shd w:val="clear" w:color="auto" w:fill="0071CE"/>
          </w:tcPr>
          <w:p>
            <w:pPr>
              <w:spacing w:after="0"/>
              <w:rPr>
                <w:sz w:val="14"/>
                <w:szCs w:val="14"/>
                <w:color w:val="auto"/>
              </w:rPr>
            </w:pPr>
          </w:p>
        </w:tc>
        <w:tc>
          <w:tcPr>
            <w:tcW w:w="1300" w:type="dxa"/>
            <w:vAlign w:val="bottom"/>
            <w:shd w:val="clear" w:color="auto" w:fill="0071CE"/>
          </w:tcPr>
          <w:p>
            <w:pPr>
              <w:spacing w:after="0"/>
              <w:rPr>
                <w:sz w:val="14"/>
                <w:szCs w:val="14"/>
                <w:color w:val="auto"/>
              </w:rPr>
            </w:pPr>
          </w:p>
        </w:tc>
        <w:tc>
          <w:tcPr>
            <w:tcW w:w="400" w:type="dxa"/>
            <w:vAlign w:val="bottom"/>
            <w:shd w:val="clear" w:color="auto" w:fill="0071CE"/>
          </w:tcPr>
          <w:p>
            <w:pPr>
              <w:spacing w:after="0"/>
              <w:rPr>
                <w:sz w:val="14"/>
                <w:szCs w:val="14"/>
                <w:color w:val="auto"/>
              </w:rPr>
            </w:pPr>
          </w:p>
        </w:tc>
      </w:tr>
      <w:tr>
        <w:trPr>
          <w:trHeight w:val="162"/>
        </w:trPr>
        <w:tc>
          <w:tcPr>
            <w:tcW w:w="4420" w:type="dxa"/>
            <w:vAlign w:val="bottom"/>
            <w:shd w:val="clear" w:color="auto" w:fill="0071CE"/>
          </w:tcPr>
          <w:p>
            <w:pPr>
              <w:spacing w:after="0"/>
              <w:rPr>
                <w:sz w:val="14"/>
                <w:szCs w:val="14"/>
                <w:color w:val="auto"/>
              </w:rPr>
            </w:pPr>
          </w:p>
        </w:tc>
        <w:tc>
          <w:tcPr>
            <w:tcW w:w="2560" w:type="dxa"/>
            <w:vAlign w:val="bottom"/>
            <w:shd w:val="clear" w:color="auto" w:fill="0071CE"/>
          </w:tcPr>
          <w:p>
            <w:pPr>
              <w:jc w:val="center"/>
              <w:ind w:left="239"/>
              <w:spacing w:after="0"/>
              <w:rPr>
                <w:sz w:val="20"/>
                <w:szCs w:val="20"/>
                <w:color w:val="auto"/>
              </w:rPr>
            </w:pPr>
            <w:r>
              <w:rPr>
                <w:rFonts w:ascii="Arial" w:cs="Arial" w:eastAsia="Arial" w:hAnsi="Arial"/>
                <w:sz w:val="14"/>
                <w:szCs w:val="14"/>
                <w:b w:val="1"/>
                <w:bCs w:val="1"/>
                <w:color w:val="FFFFFF"/>
              </w:rPr>
              <w:t>Opportunity (as a</w:t>
            </w:r>
          </w:p>
        </w:tc>
        <w:tc>
          <w:tcPr>
            <w:tcW w:w="23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Actual Annual</w:t>
            </w:r>
          </w:p>
        </w:tc>
        <w:tc>
          <w:tcPr>
            <w:tcW w:w="1300" w:type="dxa"/>
            <w:vAlign w:val="bottom"/>
            <w:shd w:val="clear" w:color="auto" w:fill="0071CE"/>
          </w:tcPr>
          <w:p>
            <w:pPr>
              <w:spacing w:after="0"/>
              <w:rPr>
                <w:sz w:val="14"/>
                <w:szCs w:val="14"/>
                <w:color w:val="auto"/>
              </w:rPr>
            </w:pPr>
          </w:p>
        </w:tc>
        <w:tc>
          <w:tcPr>
            <w:tcW w:w="400" w:type="dxa"/>
            <w:vAlign w:val="bottom"/>
            <w:shd w:val="clear" w:color="auto" w:fill="0071CE"/>
          </w:tcPr>
          <w:p>
            <w:pPr>
              <w:spacing w:after="0"/>
              <w:rPr>
                <w:sz w:val="14"/>
                <w:szCs w:val="14"/>
                <w:color w:val="auto"/>
              </w:rPr>
            </w:pPr>
          </w:p>
        </w:tc>
      </w:tr>
      <w:tr>
        <w:trPr>
          <w:trHeight w:val="162"/>
        </w:trPr>
        <w:tc>
          <w:tcPr>
            <w:tcW w:w="4420" w:type="dxa"/>
            <w:vAlign w:val="bottom"/>
            <w:shd w:val="clear" w:color="auto" w:fill="0071CE"/>
          </w:tcPr>
          <w:p>
            <w:pPr>
              <w:spacing w:after="0"/>
              <w:rPr>
                <w:sz w:val="14"/>
                <w:szCs w:val="14"/>
                <w:color w:val="auto"/>
              </w:rPr>
            </w:pPr>
          </w:p>
        </w:tc>
        <w:tc>
          <w:tcPr>
            <w:tcW w:w="2560" w:type="dxa"/>
            <w:vAlign w:val="bottom"/>
            <w:shd w:val="clear" w:color="auto" w:fill="0071CE"/>
          </w:tcPr>
          <w:p>
            <w:pPr>
              <w:jc w:val="center"/>
              <w:ind w:left="219"/>
              <w:spacing w:after="0"/>
              <w:rPr>
                <w:sz w:val="20"/>
                <w:szCs w:val="20"/>
                <w:color w:val="auto"/>
              </w:rPr>
            </w:pPr>
            <w:r>
              <w:rPr>
                <w:rFonts w:ascii="Arial" w:cs="Arial" w:eastAsia="Arial" w:hAnsi="Arial"/>
                <w:sz w:val="14"/>
                <w:szCs w:val="14"/>
                <w:b w:val="1"/>
                <w:bCs w:val="1"/>
                <w:color w:val="FFFFFF"/>
              </w:rPr>
              <w:t>percentage of</w:t>
            </w:r>
          </w:p>
        </w:tc>
        <w:tc>
          <w:tcPr>
            <w:tcW w:w="23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Incentive Award</w:t>
            </w:r>
          </w:p>
        </w:tc>
        <w:tc>
          <w:tcPr>
            <w:tcW w:w="1700" w:type="dxa"/>
            <w:vAlign w:val="bottom"/>
            <w:gridSpan w:val="2"/>
            <w:shd w:val="clear" w:color="auto" w:fill="0071CE"/>
          </w:tcPr>
          <w:p>
            <w:pPr>
              <w:jc w:val="center"/>
              <w:ind w:left="336"/>
              <w:spacing w:after="0"/>
              <w:rPr>
                <w:sz w:val="20"/>
                <w:szCs w:val="20"/>
                <w:color w:val="auto"/>
              </w:rPr>
            </w:pPr>
            <w:r>
              <w:rPr>
                <w:rFonts w:ascii="Arial" w:cs="Arial" w:eastAsia="Arial" w:hAnsi="Arial"/>
                <w:sz w:val="14"/>
                <w:szCs w:val="14"/>
                <w:b w:val="1"/>
                <w:bCs w:val="1"/>
                <w:color w:val="FFFFFF"/>
              </w:rPr>
              <w:t>Actual Annual</w:t>
            </w:r>
          </w:p>
        </w:tc>
      </w:tr>
      <w:tr>
        <w:trPr>
          <w:trHeight w:val="162"/>
        </w:trPr>
        <w:tc>
          <w:tcPr>
            <w:tcW w:w="4420" w:type="dxa"/>
            <w:vAlign w:val="bottom"/>
            <w:shd w:val="clear" w:color="auto" w:fill="0071CE"/>
          </w:tcPr>
          <w:p>
            <w:pPr>
              <w:ind w:left="60"/>
              <w:spacing w:after="0"/>
              <w:rPr>
                <w:sz w:val="20"/>
                <w:szCs w:val="20"/>
                <w:color w:val="auto"/>
              </w:rPr>
            </w:pPr>
            <w:r>
              <w:rPr>
                <w:rFonts w:ascii="Arial" w:cs="Arial" w:eastAsia="Arial" w:hAnsi="Arial"/>
                <w:sz w:val="14"/>
                <w:szCs w:val="14"/>
                <w:b w:val="1"/>
                <w:bCs w:val="1"/>
                <w:color w:val="FFFFFF"/>
              </w:rPr>
              <w:t>Named Executive</w:t>
            </w:r>
          </w:p>
        </w:tc>
        <w:tc>
          <w:tcPr>
            <w:tcW w:w="2560" w:type="dxa"/>
            <w:vAlign w:val="bottom"/>
            <w:shd w:val="clear" w:color="auto" w:fill="0071CE"/>
          </w:tcPr>
          <w:p>
            <w:pPr>
              <w:jc w:val="center"/>
              <w:ind w:left="239"/>
              <w:spacing w:after="0"/>
              <w:rPr>
                <w:sz w:val="20"/>
                <w:szCs w:val="20"/>
                <w:color w:val="auto"/>
              </w:rPr>
            </w:pPr>
            <w:r>
              <w:rPr>
                <w:rFonts w:ascii="Arial" w:cs="Arial" w:eastAsia="Arial" w:hAnsi="Arial"/>
                <w:sz w:val="14"/>
                <w:szCs w:val="14"/>
                <w:b w:val="1"/>
                <w:bCs w:val="1"/>
                <w:color w:val="FFFFFF"/>
              </w:rPr>
              <w:t>base</w:t>
            </w:r>
          </w:p>
        </w:tc>
        <w:tc>
          <w:tcPr>
            <w:tcW w:w="23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(as a percentage of</w:t>
            </w:r>
          </w:p>
        </w:tc>
        <w:tc>
          <w:tcPr>
            <w:tcW w:w="1700" w:type="dxa"/>
            <w:vAlign w:val="bottom"/>
            <w:gridSpan w:val="2"/>
            <w:shd w:val="clear" w:color="auto" w:fill="0071CE"/>
          </w:tcPr>
          <w:p>
            <w:pPr>
              <w:jc w:val="center"/>
              <w:ind w:left="336"/>
              <w:spacing w:after="0"/>
              <w:rPr>
                <w:sz w:val="20"/>
                <w:szCs w:val="20"/>
                <w:color w:val="auto"/>
              </w:rPr>
            </w:pPr>
            <w:r>
              <w:rPr>
                <w:rFonts w:ascii="Arial" w:cs="Arial" w:eastAsia="Arial" w:hAnsi="Arial"/>
                <w:sz w:val="14"/>
                <w:szCs w:val="14"/>
                <w:b w:val="1"/>
                <w:bCs w:val="1"/>
                <w:color w:val="FFFFFF"/>
              </w:rPr>
              <w:t>Incentive Award</w:t>
            </w:r>
          </w:p>
        </w:tc>
      </w:tr>
      <w:tr>
        <w:trPr>
          <w:trHeight w:val="209"/>
        </w:trPr>
        <w:tc>
          <w:tcPr>
            <w:tcW w:w="4420" w:type="dxa"/>
            <w:vAlign w:val="bottom"/>
            <w:tcBorders>
              <w:bottom w:val="single" w:sz="8" w:color="0071CE"/>
            </w:tcBorders>
            <w:shd w:val="clear" w:color="auto" w:fill="0071CE"/>
          </w:tcPr>
          <w:p>
            <w:pPr>
              <w:ind w:left="60"/>
              <w:spacing w:after="0"/>
              <w:rPr>
                <w:sz w:val="20"/>
                <w:szCs w:val="20"/>
                <w:color w:val="auto"/>
              </w:rPr>
            </w:pPr>
            <w:r>
              <w:rPr>
                <w:rFonts w:ascii="Arial" w:cs="Arial" w:eastAsia="Arial" w:hAnsi="Arial"/>
                <w:sz w:val="14"/>
                <w:szCs w:val="14"/>
                <w:b w:val="1"/>
                <w:bCs w:val="1"/>
                <w:color w:val="FFFFFF"/>
              </w:rPr>
              <w:t>Officer</w:t>
            </w:r>
          </w:p>
        </w:tc>
        <w:tc>
          <w:tcPr>
            <w:tcW w:w="2560" w:type="dxa"/>
            <w:vAlign w:val="bottom"/>
            <w:tcBorders>
              <w:bottom w:val="single" w:sz="8" w:color="0071CE"/>
            </w:tcBorders>
            <w:shd w:val="clear" w:color="auto" w:fill="0071CE"/>
          </w:tcPr>
          <w:p>
            <w:pPr>
              <w:jc w:val="center"/>
              <w:ind w:left="239"/>
              <w:spacing w:after="0"/>
              <w:rPr>
                <w:sz w:val="20"/>
                <w:szCs w:val="20"/>
                <w:color w:val="auto"/>
              </w:rPr>
            </w:pPr>
            <w:r>
              <w:rPr>
                <w:rFonts w:ascii="Arial" w:cs="Arial" w:eastAsia="Arial" w:hAnsi="Arial"/>
                <w:sz w:val="14"/>
                <w:szCs w:val="14"/>
                <w:b w:val="1"/>
                <w:bCs w:val="1"/>
                <w:color w:val="FFFFFF"/>
              </w:rPr>
              <w:t>salary)</w:t>
            </w:r>
          </w:p>
        </w:tc>
        <w:tc>
          <w:tcPr>
            <w:tcW w:w="234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rPr>
              <w:t>base salary)</w:t>
            </w:r>
          </w:p>
        </w:tc>
        <w:tc>
          <w:tcPr>
            <w:tcW w:w="1300" w:type="dxa"/>
            <w:vAlign w:val="bottom"/>
            <w:tcBorders>
              <w:bottom w:val="single" w:sz="8" w:color="0071CE"/>
            </w:tcBorders>
            <w:shd w:val="clear" w:color="auto" w:fill="0071CE"/>
          </w:tcPr>
          <w:p>
            <w:pPr>
              <w:jc w:val="center"/>
              <w:ind w:left="736"/>
              <w:spacing w:after="0"/>
              <w:rPr>
                <w:sz w:val="20"/>
                <w:szCs w:val="20"/>
                <w:color w:val="auto"/>
              </w:rPr>
            </w:pPr>
            <w:r>
              <w:rPr>
                <w:rFonts w:ascii="Arial" w:cs="Arial" w:eastAsia="Arial" w:hAnsi="Arial"/>
                <w:sz w:val="14"/>
                <w:szCs w:val="14"/>
                <w:b w:val="1"/>
                <w:bCs w:val="1"/>
                <w:color w:val="FFFFFF"/>
                <w:w w:val="93"/>
              </w:rPr>
              <w:t>($)</w:t>
            </w:r>
          </w:p>
        </w:tc>
        <w:tc>
          <w:tcPr>
            <w:tcW w:w="400" w:type="dxa"/>
            <w:vAlign w:val="bottom"/>
            <w:tcBorders>
              <w:bottom w:val="single" w:sz="8" w:color="0071CE"/>
            </w:tcBorders>
            <w:shd w:val="clear" w:color="auto" w:fill="0071CE"/>
          </w:tcPr>
          <w:p>
            <w:pPr>
              <w:spacing w:after="0"/>
              <w:rPr>
                <w:sz w:val="18"/>
                <w:szCs w:val="18"/>
                <w:color w:val="auto"/>
              </w:rPr>
            </w:pPr>
          </w:p>
        </w:tc>
      </w:tr>
      <w:tr>
        <w:trPr>
          <w:trHeight w:val="291"/>
        </w:trPr>
        <w:tc>
          <w:tcPr>
            <w:tcW w:w="442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8"/>
                <w:szCs w:val="18"/>
                <w:color w:val="auto"/>
              </w:rPr>
              <w:t>Dr. Anzalone</w:t>
            </w:r>
          </w:p>
        </w:tc>
        <w:tc>
          <w:tcPr>
            <w:tcW w:w="2560" w:type="dxa"/>
            <w:vAlign w:val="bottom"/>
            <w:tcBorders>
              <w:bottom w:val="single" w:sz="8" w:color="E5E5E5"/>
            </w:tcBorders>
            <w:shd w:val="clear" w:color="auto" w:fill="E5E5E5"/>
          </w:tcPr>
          <w:p>
            <w:pPr>
              <w:jc w:val="right"/>
              <w:ind w:right="619"/>
              <w:spacing w:after="0"/>
              <w:rPr>
                <w:sz w:val="20"/>
                <w:szCs w:val="20"/>
                <w:color w:val="auto"/>
              </w:rPr>
            </w:pPr>
            <w:r>
              <w:rPr>
                <w:rFonts w:ascii="Arial" w:cs="Arial" w:eastAsia="Arial" w:hAnsi="Arial"/>
                <w:sz w:val="18"/>
                <w:szCs w:val="18"/>
                <w:color w:val="auto"/>
              </w:rPr>
              <w:t>100%</w:t>
            </w:r>
          </w:p>
        </w:tc>
        <w:tc>
          <w:tcPr>
            <w:tcW w:w="2340" w:type="dxa"/>
            <w:vAlign w:val="bottom"/>
            <w:tcBorders>
              <w:bottom w:val="single" w:sz="8" w:color="E5E5E5"/>
            </w:tcBorders>
            <w:shd w:val="clear" w:color="auto" w:fill="E5E5E5"/>
          </w:tcPr>
          <w:p>
            <w:pPr>
              <w:jc w:val="right"/>
              <w:ind w:right="757"/>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E5E5E5"/>
            </w:tcBorders>
            <w:gridSpan w:val="2"/>
            <w:shd w:val="clear" w:color="auto" w:fill="E5E5E5"/>
          </w:tcPr>
          <w:p>
            <w:pPr>
              <w:jc w:val="right"/>
              <w:spacing w:after="0"/>
              <w:rPr>
                <w:sz w:val="20"/>
                <w:szCs w:val="20"/>
                <w:color w:val="auto"/>
              </w:rPr>
            </w:pPr>
            <w:r>
              <w:rPr>
                <w:rFonts w:ascii="Arial" w:cs="Arial" w:eastAsia="Arial" w:hAnsi="Arial"/>
                <w:sz w:val="18"/>
                <w:szCs w:val="18"/>
                <w:color w:val="auto"/>
              </w:rPr>
              <w:t>$845,000</w:t>
            </w:r>
          </w:p>
        </w:tc>
      </w:tr>
      <w:tr>
        <w:trPr>
          <w:trHeight w:val="270"/>
        </w:trPr>
        <w:tc>
          <w:tcPr>
            <w:tcW w:w="4420" w:type="dxa"/>
            <w:vAlign w:val="bottom"/>
          </w:tcPr>
          <w:p>
            <w:pPr>
              <w:ind w:left="60"/>
              <w:spacing w:after="0"/>
              <w:rPr>
                <w:sz w:val="20"/>
                <w:szCs w:val="20"/>
                <w:color w:val="auto"/>
              </w:rPr>
            </w:pPr>
            <w:r>
              <w:rPr>
                <w:rFonts w:ascii="Arial" w:cs="Arial" w:eastAsia="Arial" w:hAnsi="Arial"/>
                <w:sz w:val="18"/>
                <w:szCs w:val="18"/>
                <w:color w:val="auto"/>
              </w:rPr>
              <w:t>Mr. Myszkowski</w:t>
            </w:r>
          </w:p>
        </w:tc>
        <w:tc>
          <w:tcPr>
            <w:tcW w:w="2560" w:type="dxa"/>
            <w:vAlign w:val="bottom"/>
          </w:tcPr>
          <w:p>
            <w:pPr>
              <w:jc w:val="right"/>
              <w:ind w:right="619"/>
              <w:spacing w:after="0"/>
              <w:rPr>
                <w:sz w:val="20"/>
                <w:szCs w:val="20"/>
                <w:color w:val="auto"/>
              </w:rPr>
            </w:pPr>
            <w:r>
              <w:rPr>
                <w:rFonts w:ascii="Arial" w:cs="Arial" w:eastAsia="Arial" w:hAnsi="Arial"/>
                <w:sz w:val="18"/>
                <w:szCs w:val="18"/>
                <w:color w:val="auto"/>
              </w:rPr>
              <w:t>45%</w:t>
            </w:r>
          </w:p>
        </w:tc>
        <w:tc>
          <w:tcPr>
            <w:tcW w:w="2340" w:type="dxa"/>
            <w:vAlign w:val="bottom"/>
          </w:tcPr>
          <w:p>
            <w:pPr>
              <w:jc w:val="right"/>
              <w:ind w:right="757"/>
              <w:spacing w:after="0"/>
              <w:rPr>
                <w:sz w:val="20"/>
                <w:szCs w:val="20"/>
                <w:color w:val="auto"/>
              </w:rPr>
            </w:pPr>
            <w:r>
              <w:rPr>
                <w:rFonts w:ascii="Arial" w:cs="Arial" w:eastAsia="Arial" w:hAnsi="Arial"/>
                <w:sz w:val="18"/>
                <w:szCs w:val="18"/>
                <w:color w:val="auto"/>
              </w:rPr>
              <w:t>47%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$231,171</w:t>
            </w:r>
          </w:p>
        </w:tc>
      </w:tr>
      <w:tr>
        <w:trPr>
          <w:trHeight w:val="54"/>
        </w:trPr>
        <w:tc>
          <w:tcPr>
            <w:tcW w:w="4420" w:type="dxa"/>
            <w:vAlign w:val="bottom"/>
          </w:tcPr>
          <w:p>
            <w:pPr>
              <w:spacing w:after="0"/>
              <w:rPr>
                <w:sz w:val="4"/>
                <w:szCs w:val="4"/>
                <w:color w:val="auto"/>
              </w:rPr>
            </w:pPr>
          </w:p>
        </w:tc>
        <w:tc>
          <w:tcPr>
            <w:tcW w:w="2560" w:type="dxa"/>
            <w:vAlign w:val="bottom"/>
          </w:tcPr>
          <w:p>
            <w:pPr>
              <w:spacing w:after="0"/>
              <w:rPr>
                <w:sz w:val="4"/>
                <w:szCs w:val="4"/>
                <w:color w:val="auto"/>
              </w:rPr>
            </w:pPr>
          </w:p>
        </w:tc>
        <w:tc>
          <w:tcPr>
            <w:tcW w:w="2340" w:type="dxa"/>
            <w:vAlign w:val="bottom"/>
          </w:tcPr>
          <w:p>
            <w:pPr>
              <w:spacing w:after="0"/>
              <w:rPr>
                <w:sz w:val="4"/>
                <w:szCs w:val="4"/>
                <w:color w:val="auto"/>
              </w:rPr>
            </w:pPr>
          </w:p>
        </w:tc>
        <w:tc>
          <w:tcPr>
            <w:tcW w:w="1700" w:type="dxa"/>
            <w:vAlign w:val="bottom"/>
            <w:gridSpan w:val="2"/>
          </w:tcPr>
          <w:p>
            <w:pPr>
              <w:spacing w:after="0"/>
              <w:rPr>
                <w:sz w:val="4"/>
                <w:szCs w:val="4"/>
                <w:color w:val="auto"/>
              </w:rPr>
            </w:pPr>
          </w:p>
        </w:tc>
      </w:tr>
      <w:tr>
        <w:trPr>
          <w:trHeight w:val="304"/>
        </w:trPr>
        <w:tc>
          <w:tcPr>
            <w:tcW w:w="442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8"/>
                <w:szCs w:val="18"/>
                <w:color w:val="auto"/>
              </w:rPr>
              <w:t>Mr. O’Brien</w:t>
            </w:r>
          </w:p>
        </w:tc>
        <w:tc>
          <w:tcPr>
            <w:tcW w:w="2560" w:type="dxa"/>
            <w:vAlign w:val="bottom"/>
            <w:tcBorders>
              <w:bottom w:val="single" w:sz="8" w:color="E5E5E5"/>
            </w:tcBorders>
            <w:shd w:val="clear" w:color="auto" w:fill="E5E5E5"/>
          </w:tcPr>
          <w:p>
            <w:pPr>
              <w:jc w:val="right"/>
              <w:ind w:right="619"/>
              <w:spacing w:after="0"/>
              <w:rPr>
                <w:sz w:val="20"/>
                <w:szCs w:val="20"/>
                <w:color w:val="auto"/>
              </w:rPr>
            </w:pPr>
            <w:r>
              <w:rPr>
                <w:rFonts w:ascii="Arial" w:cs="Arial" w:eastAsia="Arial" w:hAnsi="Arial"/>
                <w:sz w:val="18"/>
                <w:szCs w:val="18"/>
                <w:color w:val="auto"/>
              </w:rPr>
              <w:t>45%</w:t>
            </w:r>
          </w:p>
        </w:tc>
        <w:tc>
          <w:tcPr>
            <w:tcW w:w="2340" w:type="dxa"/>
            <w:vAlign w:val="bottom"/>
            <w:tcBorders>
              <w:bottom w:val="single" w:sz="8" w:color="E5E5E5"/>
            </w:tcBorders>
            <w:shd w:val="clear" w:color="auto" w:fill="E5E5E5"/>
          </w:tcPr>
          <w:p>
            <w:pPr>
              <w:jc w:val="right"/>
              <w:ind w:right="757"/>
              <w:spacing w:after="0"/>
              <w:rPr>
                <w:sz w:val="20"/>
                <w:szCs w:val="20"/>
                <w:color w:val="auto"/>
              </w:rPr>
            </w:pPr>
            <w:r>
              <w:rPr>
                <w:rFonts w:ascii="Arial" w:cs="Arial" w:eastAsia="Arial" w:hAnsi="Arial"/>
                <w:sz w:val="18"/>
                <w:szCs w:val="18"/>
                <w:color w:val="auto"/>
              </w:rPr>
              <w:t>50%</w:t>
            </w:r>
          </w:p>
        </w:tc>
        <w:tc>
          <w:tcPr>
            <w:tcW w:w="1700" w:type="dxa"/>
            <w:vAlign w:val="bottom"/>
            <w:tcBorders>
              <w:bottom w:val="single" w:sz="8" w:color="E5E5E5"/>
            </w:tcBorders>
            <w:gridSpan w:val="2"/>
            <w:shd w:val="clear" w:color="auto" w:fill="E5E5E5"/>
          </w:tcPr>
          <w:p>
            <w:pPr>
              <w:jc w:val="right"/>
              <w:spacing w:after="0"/>
              <w:rPr>
                <w:sz w:val="20"/>
                <w:szCs w:val="20"/>
                <w:color w:val="auto"/>
              </w:rPr>
            </w:pPr>
            <w:r>
              <w:rPr>
                <w:rFonts w:ascii="Arial" w:cs="Arial" w:eastAsia="Arial" w:hAnsi="Arial"/>
                <w:sz w:val="18"/>
                <w:szCs w:val="18"/>
                <w:color w:val="auto"/>
              </w:rPr>
              <w:t>$239,630</w:t>
            </w:r>
          </w:p>
        </w:tc>
      </w:tr>
      <w:tr>
        <w:trPr>
          <w:trHeight w:val="270"/>
        </w:trPr>
        <w:tc>
          <w:tcPr>
            <w:tcW w:w="4420" w:type="dxa"/>
            <w:vAlign w:val="bottom"/>
          </w:tcPr>
          <w:p>
            <w:pPr>
              <w:ind w:left="60"/>
              <w:spacing w:after="0"/>
              <w:rPr>
                <w:sz w:val="20"/>
                <w:szCs w:val="20"/>
                <w:color w:val="auto"/>
              </w:rPr>
            </w:pPr>
            <w:r>
              <w:rPr>
                <w:rFonts w:ascii="Arial" w:cs="Arial" w:eastAsia="Arial" w:hAnsi="Arial"/>
                <w:sz w:val="18"/>
                <w:szCs w:val="18"/>
                <w:color w:val="auto"/>
              </w:rPr>
              <w:t>Dr. San Martin</w:t>
            </w:r>
          </w:p>
        </w:tc>
        <w:tc>
          <w:tcPr>
            <w:tcW w:w="2560" w:type="dxa"/>
            <w:vAlign w:val="bottom"/>
          </w:tcPr>
          <w:p>
            <w:pPr>
              <w:jc w:val="right"/>
              <w:ind w:right="619"/>
              <w:spacing w:after="0"/>
              <w:rPr>
                <w:sz w:val="20"/>
                <w:szCs w:val="20"/>
                <w:color w:val="auto"/>
              </w:rPr>
            </w:pPr>
            <w:r>
              <w:rPr>
                <w:rFonts w:ascii="Arial" w:cs="Arial" w:eastAsia="Arial" w:hAnsi="Arial"/>
                <w:sz w:val="18"/>
                <w:szCs w:val="18"/>
                <w:color w:val="auto"/>
              </w:rPr>
              <w:t>40%</w:t>
            </w:r>
          </w:p>
        </w:tc>
        <w:tc>
          <w:tcPr>
            <w:tcW w:w="2340" w:type="dxa"/>
            <w:vAlign w:val="bottom"/>
          </w:tcPr>
          <w:p>
            <w:pPr>
              <w:jc w:val="right"/>
              <w:ind w:right="757"/>
              <w:spacing w:after="0"/>
              <w:rPr>
                <w:sz w:val="20"/>
                <w:szCs w:val="20"/>
                <w:color w:val="auto"/>
              </w:rPr>
            </w:pPr>
            <w:r>
              <w:rPr>
                <w:rFonts w:ascii="Arial" w:cs="Arial" w:eastAsia="Arial" w:hAnsi="Arial"/>
                <w:sz w:val="18"/>
                <w:szCs w:val="18"/>
                <w:color w:val="auto"/>
              </w:rPr>
              <w:t>40%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$185,400</w:t>
            </w:r>
          </w:p>
        </w:tc>
      </w:tr>
      <w:tr>
        <w:trPr>
          <w:trHeight w:val="54"/>
        </w:trPr>
        <w:tc>
          <w:tcPr>
            <w:tcW w:w="4420" w:type="dxa"/>
            <w:vAlign w:val="bottom"/>
          </w:tcPr>
          <w:p>
            <w:pPr>
              <w:spacing w:after="0"/>
              <w:rPr>
                <w:sz w:val="4"/>
                <w:szCs w:val="4"/>
                <w:color w:val="auto"/>
              </w:rPr>
            </w:pPr>
          </w:p>
        </w:tc>
        <w:tc>
          <w:tcPr>
            <w:tcW w:w="2560" w:type="dxa"/>
            <w:vAlign w:val="bottom"/>
          </w:tcPr>
          <w:p>
            <w:pPr>
              <w:spacing w:after="0"/>
              <w:rPr>
                <w:sz w:val="4"/>
                <w:szCs w:val="4"/>
                <w:color w:val="auto"/>
              </w:rPr>
            </w:pPr>
          </w:p>
        </w:tc>
        <w:tc>
          <w:tcPr>
            <w:tcW w:w="2340" w:type="dxa"/>
            <w:vAlign w:val="bottom"/>
          </w:tcPr>
          <w:p>
            <w:pPr>
              <w:spacing w:after="0"/>
              <w:rPr>
                <w:sz w:val="4"/>
                <w:szCs w:val="4"/>
                <w:color w:val="auto"/>
              </w:rPr>
            </w:pPr>
          </w:p>
        </w:tc>
        <w:tc>
          <w:tcPr>
            <w:tcW w:w="1700" w:type="dxa"/>
            <w:vAlign w:val="bottom"/>
            <w:gridSpan w:val="2"/>
          </w:tcPr>
          <w:p>
            <w:pPr>
              <w:spacing w:after="0"/>
              <w:rPr>
                <w:sz w:val="4"/>
                <w:szCs w:val="4"/>
                <w:color w:val="auto"/>
              </w:rPr>
            </w:pPr>
          </w:p>
        </w:tc>
      </w:tr>
      <w:tr>
        <w:trPr>
          <w:trHeight w:val="304"/>
        </w:trPr>
        <w:tc>
          <w:tcPr>
            <w:tcW w:w="442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8"/>
                <w:szCs w:val="18"/>
                <w:color w:val="auto"/>
              </w:rPr>
              <w:t>Dr. Hamilton</w:t>
            </w:r>
          </w:p>
        </w:tc>
        <w:tc>
          <w:tcPr>
            <w:tcW w:w="2560" w:type="dxa"/>
            <w:vAlign w:val="bottom"/>
            <w:tcBorders>
              <w:bottom w:val="single" w:sz="8" w:color="E5E5E5"/>
            </w:tcBorders>
            <w:shd w:val="clear" w:color="auto" w:fill="E5E5E5"/>
          </w:tcPr>
          <w:p>
            <w:pPr>
              <w:jc w:val="right"/>
              <w:ind w:right="619"/>
              <w:spacing w:after="0"/>
              <w:rPr>
                <w:sz w:val="20"/>
                <w:szCs w:val="20"/>
                <w:color w:val="auto"/>
              </w:rPr>
            </w:pPr>
            <w:r>
              <w:rPr>
                <w:rFonts w:ascii="Arial" w:cs="Arial" w:eastAsia="Arial" w:hAnsi="Arial"/>
                <w:sz w:val="18"/>
                <w:szCs w:val="18"/>
                <w:color w:val="auto"/>
              </w:rPr>
              <w:t>45%</w:t>
            </w:r>
          </w:p>
        </w:tc>
        <w:tc>
          <w:tcPr>
            <w:tcW w:w="2340" w:type="dxa"/>
            <w:vAlign w:val="bottom"/>
            <w:tcBorders>
              <w:bottom w:val="single" w:sz="8" w:color="E5E5E5"/>
            </w:tcBorders>
            <w:shd w:val="clear" w:color="auto" w:fill="E5E5E5"/>
          </w:tcPr>
          <w:p>
            <w:pPr>
              <w:jc w:val="right"/>
              <w:ind w:right="757"/>
              <w:spacing w:after="0"/>
              <w:rPr>
                <w:sz w:val="20"/>
                <w:szCs w:val="20"/>
                <w:color w:val="auto"/>
              </w:rPr>
            </w:pPr>
            <w:r>
              <w:rPr>
                <w:rFonts w:ascii="Arial" w:cs="Arial" w:eastAsia="Arial" w:hAnsi="Arial"/>
                <w:sz w:val="18"/>
                <w:szCs w:val="18"/>
                <w:color w:val="auto"/>
              </w:rPr>
              <w:t>54%</w:t>
            </w:r>
          </w:p>
        </w:tc>
        <w:tc>
          <w:tcPr>
            <w:tcW w:w="1700" w:type="dxa"/>
            <w:vAlign w:val="bottom"/>
            <w:tcBorders>
              <w:bottom w:val="single" w:sz="8" w:color="E5E5E5"/>
            </w:tcBorders>
            <w:gridSpan w:val="2"/>
            <w:shd w:val="clear" w:color="auto" w:fill="E5E5E5"/>
          </w:tcPr>
          <w:p>
            <w:pPr>
              <w:jc w:val="right"/>
              <w:spacing w:after="0"/>
              <w:rPr>
                <w:sz w:val="20"/>
                <w:szCs w:val="20"/>
                <w:color w:val="auto"/>
              </w:rPr>
            </w:pPr>
            <w:r>
              <w:rPr>
                <w:rFonts w:ascii="Arial" w:cs="Arial" w:eastAsia="Arial" w:hAnsi="Arial"/>
                <w:sz w:val="18"/>
                <w:szCs w:val="18"/>
                <w:color w:val="auto"/>
              </w:rPr>
              <w:t>$233,604</w:t>
            </w:r>
          </w:p>
        </w:tc>
      </w:tr>
      <w:tr>
        <w:trPr>
          <w:trHeight w:val="270"/>
        </w:trPr>
        <w:tc>
          <w:tcPr>
            <w:tcW w:w="4420" w:type="dxa"/>
            <w:vAlign w:val="bottom"/>
          </w:tcPr>
          <w:p>
            <w:pPr>
              <w:ind w:left="60"/>
              <w:spacing w:after="0"/>
              <w:rPr>
                <w:sz w:val="20"/>
                <w:szCs w:val="20"/>
                <w:color w:val="auto"/>
              </w:rPr>
            </w:pPr>
            <w:r>
              <w:rPr>
                <w:rFonts w:ascii="Arial" w:cs="Arial" w:eastAsia="Arial" w:hAnsi="Arial"/>
                <w:sz w:val="18"/>
                <w:szCs w:val="18"/>
                <w:color w:val="auto"/>
              </w:rPr>
              <w:t>Mr. Hassard (1)</w:t>
            </w:r>
          </w:p>
        </w:tc>
        <w:tc>
          <w:tcPr>
            <w:tcW w:w="2560" w:type="dxa"/>
            <w:vAlign w:val="bottom"/>
          </w:tcPr>
          <w:p>
            <w:pPr>
              <w:jc w:val="right"/>
              <w:ind w:right="619"/>
              <w:spacing w:after="0"/>
              <w:rPr>
                <w:sz w:val="20"/>
                <w:szCs w:val="20"/>
                <w:color w:val="auto"/>
              </w:rPr>
            </w:pPr>
            <w:r>
              <w:rPr>
                <w:rFonts w:ascii="Arial" w:cs="Arial" w:eastAsia="Arial" w:hAnsi="Arial"/>
                <w:sz w:val="18"/>
                <w:szCs w:val="18"/>
                <w:color w:val="auto"/>
              </w:rPr>
              <w:t>40%</w:t>
            </w:r>
          </w:p>
        </w:tc>
        <w:tc>
          <w:tcPr>
            <w:tcW w:w="2340" w:type="dxa"/>
            <w:vAlign w:val="bottom"/>
          </w:tcPr>
          <w:p>
            <w:pPr>
              <w:jc w:val="right"/>
              <w:ind w:right="757"/>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36"/>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34290</wp:posOffset>
            </wp:positionV>
            <wp:extent cx="69951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3" w:lineRule="exact"/>
        <w:rPr>
          <w:sz w:val="20"/>
          <w:szCs w:val="20"/>
          <w:color w:val="auto"/>
        </w:rPr>
      </w:pPr>
    </w:p>
    <w:p>
      <w:pPr>
        <w:ind w:left="540" w:hanging="424"/>
        <w:spacing w:after="0"/>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Mr. Hassard’s employment with us terminated in August 2021.</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annual incentive award payments made to our NEOs for fiscal 2021 are set forth in the “Fiscal 2021 Summary Compensation Table” below.</w:t>
      </w:r>
    </w:p>
    <w:p>
      <w:pPr>
        <w:spacing w:after="0" w:line="30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Long-Term Incentive Compensation</w:t>
      </w:r>
    </w:p>
    <w:p>
      <w:pPr>
        <w:spacing w:after="0" w:line="124" w:lineRule="exact"/>
        <w:rPr>
          <w:sz w:val="20"/>
          <w:szCs w:val="20"/>
          <w:color w:val="auto"/>
        </w:rPr>
      </w:pPr>
    </w:p>
    <w:p>
      <w:pPr>
        <w:ind w:left="120" w:right="240"/>
        <w:spacing w:after="0" w:line="253" w:lineRule="auto"/>
        <w:rPr>
          <w:sz w:val="20"/>
          <w:szCs w:val="20"/>
          <w:color w:val="auto"/>
        </w:rPr>
      </w:pPr>
      <w:r>
        <w:rPr>
          <w:rFonts w:ascii="Arial" w:cs="Arial" w:eastAsia="Arial" w:hAnsi="Arial"/>
          <w:sz w:val="16"/>
          <w:szCs w:val="16"/>
          <w:color w:val="auto"/>
        </w:rPr>
        <w:t>We view long-term incentive compensation in the form of equity awards as a critical element of our executive compensation program. The realizable value of these equity awards over time bears a direct relationship to our stock price, and, therefore, these awards are an incentive for our executive officers, including our NEOs, to create value for our stockholders. Equity awards also help us retain qualified executive officers in a competitive market.</w:t>
      </w:r>
    </w:p>
    <w:p>
      <w:pPr>
        <w:spacing w:after="0" w:line="201" w:lineRule="exact"/>
        <w:rPr>
          <w:sz w:val="20"/>
          <w:szCs w:val="20"/>
          <w:color w:val="auto"/>
        </w:rPr>
      </w:pPr>
    </w:p>
    <w:p>
      <w:pPr>
        <w:ind w:left="120" w:right="140"/>
        <w:spacing w:after="0" w:line="253" w:lineRule="auto"/>
        <w:rPr>
          <w:sz w:val="20"/>
          <w:szCs w:val="20"/>
          <w:color w:val="auto"/>
        </w:rPr>
      </w:pPr>
      <w:r>
        <w:rPr>
          <w:rFonts w:ascii="Arial" w:cs="Arial" w:eastAsia="Arial" w:hAnsi="Arial"/>
          <w:sz w:val="16"/>
          <w:szCs w:val="16"/>
          <w:color w:val="auto"/>
        </w:rPr>
        <w:t>Long-term incentive compensation opportunities in the form of equity awards are granted to our executive officers by the Compensation Committee. The amount and forms of such equity awards are determined by the Compensation Committee after considering the factors described in “Governance of Executive Compensation Program — Compensation-Setting Process” above.</w:t>
      </w:r>
    </w:p>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2021 Long-Term Incentive Awards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Performance-Based RSU Award for Chief Executive Officer</w:t>
      </w:r>
    </w:p>
    <w:p>
      <w:pPr>
        <w:spacing w:after="0" w:line="106" w:lineRule="exact"/>
        <w:rPr>
          <w:sz w:val="20"/>
          <w:szCs w:val="20"/>
          <w:color w:val="auto"/>
        </w:rPr>
      </w:pPr>
    </w:p>
    <w:p>
      <w:pPr>
        <w:jc w:val="both"/>
        <w:ind w:left="120" w:right="160"/>
        <w:spacing w:after="0" w:line="253" w:lineRule="auto"/>
        <w:rPr>
          <w:sz w:val="20"/>
          <w:szCs w:val="20"/>
          <w:color w:val="auto"/>
        </w:rPr>
      </w:pPr>
      <w:r>
        <w:rPr>
          <w:rFonts w:ascii="Arial" w:cs="Arial" w:eastAsia="Arial" w:hAnsi="Arial"/>
          <w:sz w:val="16"/>
          <w:szCs w:val="16"/>
          <w:color w:val="auto"/>
        </w:rPr>
        <w:t>Annual equity awards granted to our executive officers are solely in the form of restricted stock unit (“RSU”) awards that may be settled for shares of our common stock. In the case of our CEO, the award is entirely performance-based. On January 1, 2021, Dr. Anzalone was granted a performance-based RSU (“PRSU”) award of 800,000 shares of our common stock to be earned in three installments on the achievement of the following milestones:</w:t>
      </w:r>
    </w:p>
    <w:p>
      <w:pPr>
        <w:spacing w:after="0" w:line="107" w:lineRule="exact"/>
        <w:rPr>
          <w:sz w:val="20"/>
          <w:szCs w:val="20"/>
          <w:color w:val="auto"/>
        </w:rPr>
      </w:pPr>
    </w:p>
    <w:p>
      <w:pPr>
        <w:ind w:left="440" w:hanging="216"/>
        <w:spacing w:after="0"/>
        <w:tabs>
          <w:tab w:leader="none" w:pos="440" w:val="left"/>
        </w:tabs>
        <w:numPr>
          <w:ilvl w:val="0"/>
          <w:numId w:val="61"/>
        </w:numPr>
        <w:rPr>
          <w:rFonts w:ascii="Arial" w:cs="Arial" w:eastAsia="Arial" w:hAnsi="Arial"/>
          <w:sz w:val="16"/>
          <w:szCs w:val="16"/>
          <w:color w:val="0071CE"/>
        </w:rPr>
      </w:pPr>
      <w:r>
        <w:rPr>
          <w:rFonts w:ascii="Arial" w:cs="Arial" w:eastAsia="Arial" w:hAnsi="Arial"/>
          <w:sz w:val="16"/>
          <w:szCs w:val="16"/>
          <w:color w:val="auto"/>
        </w:rPr>
        <w:t>Achieve a $9 billion market capitalization and hold for two fiscal quarters (250,000 shares)</w:t>
      </w:r>
    </w:p>
    <w:p>
      <w:pPr>
        <w:spacing w:after="0" w:line="126" w:lineRule="exact"/>
        <w:rPr>
          <w:rFonts w:ascii="Arial" w:cs="Arial" w:eastAsia="Arial" w:hAnsi="Arial"/>
          <w:sz w:val="16"/>
          <w:szCs w:val="16"/>
          <w:color w:val="0071CE"/>
        </w:rPr>
      </w:pPr>
    </w:p>
    <w:p>
      <w:pPr>
        <w:ind w:left="440" w:hanging="216"/>
        <w:spacing w:after="0"/>
        <w:tabs>
          <w:tab w:leader="none" w:pos="440" w:val="left"/>
        </w:tabs>
        <w:numPr>
          <w:ilvl w:val="0"/>
          <w:numId w:val="61"/>
        </w:numPr>
        <w:rPr>
          <w:rFonts w:ascii="Arial" w:cs="Arial" w:eastAsia="Arial" w:hAnsi="Arial"/>
          <w:sz w:val="16"/>
          <w:szCs w:val="16"/>
          <w:color w:val="0071CE"/>
        </w:rPr>
      </w:pPr>
      <w:r>
        <w:rPr>
          <w:rFonts w:ascii="Arial" w:cs="Arial" w:eastAsia="Arial" w:hAnsi="Arial"/>
          <w:sz w:val="16"/>
          <w:szCs w:val="16"/>
          <w:color w:val="auto"/>
        </w:rPr>
        <w:t>Achieve a $10 billion market capitalization and hold for two fiscal quarters (270,000 shares)</w:t>
      </w:r>
    </w:p>
    <w:p>
      <w:pPr>
        <w:spacing w:after="0" w:line="126" w:lineRule="exact"/>
        <w:rPr>
          <w:rFonts w:ascii="Arial" w:cs="Arial" w:eastAsia="Arial" w:hAnsi="Arial"/>
          <w:sz w:val="16"/>
          <w:szCs w:val="16"/>
          <w:color w:val="0071CE"/>
        </w:rPr>
      </w:pPr>
    </w:p>
    <w:p>
      <w:pPr>
        <w:ind w:left="440" w:hanging="216"/>
        <w:spacing w:after="0"/>
        <w:tabs>
          <w:tab w:leader="none" w:pos="440" w:val="left"/>
        </w:tabs>
        <w:numPr>
          <w:ilvl w:val="0"/>
          <w:numId w:val="61"/>
        </w:numPr>
        <w:rPr>
          <w:rFonts w:ascii="Arial" w:cs="Arial" w:eastAsia="Arial" w:hAnsi="Arial"/>
          <w:sz w:val="16"/>
          <w:szCs w:val="16"/>
          <w:color w:val="0071CE"/>
        </w:rPr>
      </w:pPr>
      <w:r>
        <w:rPr>
          <w:rFonts w:ascii="Arial" w:cs="Arial" w:eastAsia="Arial" w:hAnsi="Arial"/>
          <w:sz w:val="16"/>
          <w:szCs w:val="16"/>
          <w:color w:val="auto"/>
        </w:rPr>
        <w:t>Achieve an $11 billion market capitalization and hold for two fiscal quarters (280,000 shares)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milestones must be achieved by January 1, 2025 or the portion of the PRSU tied to each specific milestone will expire.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96520</wp:posOffset>
            </wp:positionV>
            <wp:extent cx="986155" cy="2057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63" w:lineRule="exact"/>
        <w:rPr>
          <w:sz w:val="20"/>
          <w:szCs w:val="20"/>
          <w:color w:val="auto"/>
        </w:rPr>
      </w:pPr>
    </w:p>
    <w:p>
      <w:pPr>
        <w:ind w:left="10880"/>
        <w:spacing w:after="0"/>
        <w:rPr>
          <w:sz w:val="20"/>
          <w:szCs w:val="20"/>
          <w:color w:val="auto"/>
        </w:rPr>
      </w:pPr>
      <w:r>
        <w:rPr>
          <w:rFonts w:ascii="Arial" w:cs="Arial" w:eastAsia="Arial" w:hAnsi="Arial"/>
          <w:sz w:val="18"/>
          <w:szCs w:val="18"/>
          <w:b w:val="1"/>
          <w:bCs w:val="1"/>
          <w:color w:val="0071CE"/>
        </w:rPr>
        <w:t>33</w:t>
      </w:r>
    </w:p>
    <w:p>
      <w:pPr>
        <w:sectPr>
          <w:pgSz w:w="11900" w:h="16838" w:orient="portrait"/>
          <w:cols w:equalWidth="0" w:num="1">
            <w:col w:w="11140"/>
          </w:cols>
          <w:pgMar w:left="32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20"/>
        <w:spacing w:after="0"/>
        <w:tabs>
          <w:tab w:leader="none" w:pos="2020" w:val="left"/>
        </w:tabs>
        <w:rPr>
          <w:sz w:val="20"/>
          <w:szCs w:val="20"/>
          <w:color w:val="auto"/>
        </w:rPr>
      </w:pPr>
      <w:r>
        <w:rPr>
          <w:rFonts w:ascii="Arial" w:cs="Arial" w:eastAsia="Arial" w:hAnsi="Arial"/>
          <w:sz w:val="14"/>
          <w:szCs w:val="14"/>
          <w:b w:val="1"/>
          <w:bCs w:val="1"/>
          <w:color w:val="0071CE"/>
        </w:rPr>
        <w:t>2022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Results from PRSU Awards Previously Granted</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fiscal 2021, the Compensation Committee certified achievement of the performance milestones and the vesting of the following PRSU awards: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6"/>
        </w:trPr>
        <w:tc>
          <w:tcPr>
            <w:tcW w:w="3640" w:type="dxa"/>
            <w:vAlign w:val="bottom"/>
            <w:shd w:val="clear" w:color="auto" w:fill="0071CE"/>
          </w:tcPr>
          <w:p>
            <w:pPr>
              <w:spacing w:after="0"/>
              <w:rPr>
                <w:sz w:val="15"/>
                <w:szCs w:val="15"/>
                <w:color w:val="auto"/>
              </w:rPr>
            </w:pPr>
          </w:p>
        </w:tc>
        <w:tc>
          <w:tcPr>
            <w:tcW w:w="3360" w:type="dxa"/>
            <w:vAlign w:val="bottom"/>
            <w:shd w:val="clear" w:color="auto" w:fill="0071CE"/>
          </w:tcPr>
          <w:p>
            <w:pPr>
              <w:spacing w:after="0"/>
              <w:rPr>
                <w:sz w:val="15"/>
                <w:szCs w:val="15"/>
                <w:color w:val="auto"/>
              </w:rPr>
            </w:pPr>
          </w:p>
        </w:tc>
        <w:tc>
          <w:tcPr>
            <w:tcW w:w="4020" w:type="dxa"/>
            <w:vAlign w:val="bottom"/>
            <w:shd w:val="clear" w:color="auto" w:fill="0071CE"/>
          </w:tcPr>
          <w:p>
            <w:pPr>
              <w:jc w:val="center"/>
              <w:ind w:left="705"/>
              <w:spacing w:after="0"/>
              <w:rPr>
                <w:sz w:val="20"/>
                <w:szCs w:val="20"/>
                <w:color w:val="auto"/>
              </w:rPr>
            </w:pPr>
            <w:r>
              <w:rPr>
                <w:rFonts w:ascii="Arial" w:cs="Arial" w:eastAsia="Arial" w:hAnsi="Arial"/>
                <w:sz w:val="14"/>
                <w:szCs w:val="14"/>
                <w:b w:val="1"/>
                <w:bCs w:val="1"/>
                <w:color w:val="FFFFFF"/>
              </w:rPr>
              <w:t>No. of Shares</w:t>
            </w:r>
          </w:p>
        </w:tc>
      </w:tr>
      <w:tr>
        <w:trPr>
          <w:trHeight w:val="209"/>
        </w:trPr>
        <w:tc>
          <w:tcPr>
            <w:tcW w:w="3640" w:type="dxa"/>
            <w:vAlign w:val="bottom"/>
            <w:tcBorders>
              <w:bottom w:val="single" w:sz="8" w:color="0071CE"/>
            </w:tcBorders>
            <w:shd w:val="clear" w:color="auto" w:fill="0071CE"/>
          </w:tcPr>
          <w:p>
            <w:pPr>
              <w:ind w:left="60"/>
              <w:spacing w:after="0"/>
              <w:rPr>
                <w:sz w:val="20"/>
                <w:szCs w:val="20"/>
                <w:color w:val="auto"/>
              </w:rPr>
            </w:pPr>
            <w:r>
              <w:rPr>
                <w:rFonts w:ascii="Arial" w:cs="Arial" w:eastAsia="Arial" w:hAnsi="Arial"/>
                <w:sz w:val="14"/>
                <w:szCs w:val="14"/>
                <w:b w:val="1"/>
                <w:bCs w:val="1"/>
                <w:color w:val="FFFFFF"/>
              </w:rPr>
              <w:t>Performance Goal</w:t>
            </w:r>
          </w:p>
        </w:tc>
        <w:tc>
          <w:tcPr>
            <w:tcW w:w="3360" w:type="dxa"/>
            <w:vAlign w:val="bottom"/>
            <w:tcBorders>
              <w:bottom w:val="single" w:sz="8" w:color="0071CE"/>
            </w:tcBorders>
            <w:shd w:val="clear" w:color="auto" w:fill="0071CE"/>
          </w:tcPr>
          <w:p>
            <w:pPr>
              <w:ind w:left="1660"/>
              <w:spacing w:after="0"/>
              <w:rPr>
                <w:sz w:val="20"/>
                <w:szCs w:val="20"/>
                <w:color w:val="auto"/>
              </w:rPr>
            </w:pPr>
            <w:r>
              <w:rPr>
                <w:rFonts w:ascii="Arial" w:cs="Arial" w:eastAsia="Arial" w:hAnsi="Arial"/>
                <w:sz w:val="14"/>
                <w:szCs w:val="14"/>
                <w:b w:val="1"/>
                <w:bCs w:val="1"/>
                <w:color w:val="FFFFFF"/>
              </w:rPr>
              <w:t>Achievement</w:t>
            </w:r>
          </w:p>
        </w:tc>
        <w:tc>
          <w:tcPr>
            <w:tcW w:w="4020" w:type="dxa"/>
            <w:vAlign w:val="bottom"/>
            <w:tcBorders>
              <w:bottom w:val="single" w:sz="8" w:color="0071CE"/>
            </w:tcBorders>
            <w:shd w:val="clear" w:color="auto" w:fill="0071CE"/>
          </w:tcPr>
          <w:p>
            <w:pPr>
              <w:jc w:val="center"/>
              <w:ind w:left="705"/>
              <w:spacing w:after="0"/>
              <w:rPr>
                <w:sz w:val="20"/>
                <w:szCs w:val="20"/>
                <w:color w:val="auto"/>
              </w:rPr>
            </w:pPr>
            <w:r>
              <w:rPr>
                <w:rFonts w:ascii="Arial" w:cs="Arial" w:eastAsia="Arial" w:hAnsi="Arial"/>
                <w:sz w:val="14"/>
                <w:szCs w:val="14"/>
                <w:b w:val="1"/>
                <w:bCs w:val="1"/>
                <w:color w:val="FFFFFF"/>
              </w:rPr>
              <w:t>Certified as Vested</w:t>
            </w:r>
          </w:p>
        </w:tc>
      </w:tr>
      <w:tr>
        <w:trPr>
          <w:trHeight w:val="231"/>
        </w:trPr>
        <w:tc>
          <w:tcPr>
            <w:tcW w:w="3640" w:type="dxa"/>
            <w:vAlign w:val="bottom"/>
            <w:shd w:val="clear" w:color="auto" w:fill="E5E5E5"/>
          </w:tcPr>
          <w:p>
            <w:pPr>
              <w:ind w:left="60"/>
              <w:spacing w:after="0"/>
              <w:rPr>
                <w:sz w:val="20"/>
                <w:szCs w:val="20"/>
                <w:color w:val="auto"/>
              </w:rPr>
            </w:pPr>
            <w:r>
              <w:rPr>
                <w:rFonts w:ascii="Arial" w:cs="Arial" w:eastAsia="Arial" w:hAnsi="Arial"/>
                <w:sz w:val="16"/>
                <w:szCs w:val="16"/>
                <w:color w:val="auto"/>
              </w:rPr>
              <w:t>Maintain 8 TRiM – enabled candidates in clinical</w:t>
            </w:r>
          </w:p>
        </w:tc>
        <w:tc>
          <w:tcPr>
            <w:tcW w:w="3360" w:type="dxa"/>
            <w:vAlign w:val="bottom"/>
            <w:shd w:val="clear" w:color="auto" w:fill="E5E5E5"/>
          </w:tcPr>
          <w:p>
            <w:pPr>
              <w:ind w:left="240"/>
              <w:spacing w:after="0"/>
              <w:rPr>
                <w:sz w:val="20"/>
                <w:szCs w:val="20"/>
                <w:color w:val="auto"/>
              </w:rPr>
            </w:pPr>
            <w:r>
              <w:rPr>
                <w:rFonts w:ascii="Arial" w:cs="Arial" w:eastAsia="Arial" w:hAnsi="Arial"/>
                <w:sz w:val="16"/>
                <w:szCs w:val="16"/>
                <w:color w:val="auto"/>
              </w:rPr>
              <w:t>Certified in October 2020</w:t>
            </w:r>
          </w:p>
        </w:tc>
        <w:tc>
          <w:tcPr>
            <w:tcW w:w="4020" w:type="dxa"/>
            <w:vAlign w:val="bottom"/>
            <w:shd w:val="clear" w:color="auto" w:fill="E5E5E5"/>
          </w:tcPr>
          <w:p>
            <w:pPr>
              <w:ind w:left="820"/>
              <w:spacing w:after="0"/>
              <w:rPr>
                <w:sz w:val="20"/>
                <w:szCs w:val="20"/>
                <w:color w:val="auto"/>
              </w:rPr>
            </w:pPr>
            <w:r>
              <w:rPr>
                <w:rFonts w:ascii="Arial" w:cs="Arial" w:eastAsia="Arial" w:hAnsi="Arial"/>
                <w:sz w:val="16"/>
                <w:szCs w:val="16"/>
                <w:color w:val="auto"/>
              </w:rPr>
              <w:t>200,000 shares pursuant to a PRSU award</w:t>
            </w:r>
          </w:p>
        </w:tc>
      </w:tr>
      <w:tr>
        <w:trPr>
          <w:trHeight w:val="195"/>
        </w:trPr>
        <w:tc>
          <w:tcPr>
            <w:tcW w:w="3640" w:type="dxa"/>
            <w:vAlign w:val="bottom"/>
            <w:shd w:val="clear" w:color="auto" w:fill="E5E5E5"/>
          </w:tcPr>
          <w:p>
            <w:pPr>
              <w:ind w:left="60"/>
              <w:spacing w:after="0"/>
              <w:rPr>
                <w:sz w:val="20"/>
                <w:szCs w:val="20"/>
                <w:color w:val="auto"/>
              </w:rPr>
            </w:pPr>
            <w:r>
              <w:rPr>
                <w:rFonts w:ascii="Arial" w:cs="Arial" w:eastAsia="Arial" w:hAnsi="Arial"/>
                <w:sz w:val="16"/>
                <w:szCs w:val="16"/>
                <w:color w:val="auto"/>
              </w:rPr>
              <w:t>trials at same time</w:t>
            </w:r>
          </w:p>
        </w:tc>
        <w:tc>
          <w:tcPr>
            <w:tcW w:w="3360" w:type="dxa"/>
            <w:vAlign w:val="bottom"/>
            <w:shd w:val="clear" w:color="auto" w:fill="E5E5E5"/>
          </w:tcPr>
          <w:p>
            <w:pPr>
              <w:spacing w:after="0"/>
              <w:rPr>
                <w:sz w:val="16"/>
                <w:szCs w:val="16"/>
                <w:color w:val="auto"/>
              </w:rPr>
            </w:pPr>
          </w:p>
        </w:tc>
        <w:tc>
          <w:tcPr>
            <w:tcW w:w="4020" w:type="dxa"/>
            <w:vAlign w:val="bottom"/>
            <w:shd w:val="clear" w:color="auto" w:fill="E5E5E5"/>
          </w:tcPr>
          <w:p>
            <w:pPr>
              <w:spacing w:after="0"/>
              <w:rPr>
                <w:sz w:val="16"/>
                <w:szCs w:val="16"/>
                <w:color w:val="auto"/>
              </w:rPr>
            </w:pPr>
          </w:p>
        </w:tc>
      </w:tr>
      <w:tr>
        <w:trPr>
          <w:trHeight w:val="432"/>
        </w:trPr>
        <w:tc>
          <w:tcPr>
            <w:tcW w:w="3640" w:type="dxa"/>
            <w:vAlign w:val="bottom"/>
            <w:shd w:val="clear" w:color="auto" w:fill="E5E5E5"/>
          </w:tcPr>
          <w:p>
            <w:pPr>
              <w:ind w:left="60"/>
              <w:spacing w:after="0"/>
              <w:rPr>
                <w:sz w:val="20"/>
                <w:szCs w:val="20"/>
                <w:color w:val="auto"/>
              </w:rPr>
            </w:pPr>
            <w:r>
              <w:rPr>
                <w:rFonts w:ascii="Arial" w:cs="Arial" w:eastAsia="Arial" w:hAnsi="Arial"/>
                <w:sz w:val="16"/>
                <w:szCs w:val="16"/>
                <w:i w:val="1"/>
                <w:iCs w:val="1"/>
                <w:color w:val="auto"/>
              </w:rPr>
              <w:t>Granted 01/01/2019</w:t>
            </w:r>
          </w:p>
        </w:tc>
        <w:tc>
          <w:tcPr>
            <w:tcW w:w="3360" w:type="dxa"/>
            <w:vAlign w:val="bottom"/>
            <w:shd w:val="clear" w:color="auto" w:fill="E5E5E5"/>
          </w:tcPr>
          <w:p>
            <w:pPr>
              <w:spacing w:after="0"/>
              <w:rPr>
                <w:sz w:val="24"/>
                <w:szCs w:val="24"/>
                <w:color w:val="auto"/>
              </w:rPr>
            </w:pPr>
          </w:p>
        </w:tc>
        <w:tc>
          <w:tcPr>
            <w:tcW w:w="4020" w:type="dxa"/>
            <w:vAlign w:val="bottom"/>
            <w:shd w:val="clear" w:color="auto" w:fill="E5E5E5"/>
          </w:tcPr>
          <w:p>
            <w:pPr>
              <w:spacing w:after="0"/>
              <w:rPr>
                <w:sz w:val="24"/>
                <w:szCs w:val="24"/>
                <w:color w:val="auto"/>
              </w:rPr>
            </w:pPr>
          </w:p>
        </w:tc>
      </w:tr>
      <w:tr>
        <w:trPr>
          <w:trHeight w:val="47"/>
        </w:trPr>
        <w:tc>
          <w:tcPr>
            <w:tcW w:w="3640" w:type="dxa"/>
            <w:vAlign w:val="bottom"/>
            <w:shd w:val="clear" w:color="auto" w:fill="E5E5E5"/>
          </w:tcPr>
          <w:p>
            <w:pPr>
              <w:spacing w:after="0"/>
              <w:rPr>
                <w:sz w:val="4"/>
                <w:szCs w:val="4"/>
                <w:color w:val="auto"/>
              </w:rPr>
            </w:pPr>
          </w:p>
        </w:tc>
        <w:tc>
          <w:tcPr>
            <w:tcW w:w="3360" w:type="dxa"/>
            <w:vAlign w:val="bottom"/>
            <w:shd w:val="clear" w:color="auto" w:fill="E5E5E5"/>
          </w:tcPr>
          <w:p>
            <w:pPr>
              <w:spacing w:after="0"/>
              <w:rPr>
                <w:sz w:val="4"/>
                <w:szCs w:val="4"/>
                <w:color w:val="auto"/>
              </w:rPr>
            </w:pPr>
          </w:p>
        </w:tc>
        <w:tc>
          <w:tcPr>
            <w:tcW w:w="4020" w:type="dxa"/>
            <w:vAlign w:val="bottom"/>
            <w:shd w:val="clear" w:color="auto" w:fill="E5E5E5"/>
          </w:tcPr>
          <w:p>
            <w:pPr>
              <w:spacing w:after="0"/>
              <w:rPr>
                <w:sz w:val="4"/>
                <w:szCs w:val="4"/>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RSU Awards for Other Named Executive Officers</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Compensation Committee approved the following aggregate RSU awards for our NEOs for 2021:</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6"/>
        </w:trPr>
        <w:tc>
          <w:tcPr>
            <w:tcW w:w="5060" w:type="dxa"/>
            <w:vAlign w:val="bottom"/>
            <w:shd w:val="clear" w:color="auto" w:fill="0071CE"/>
          </w:tcPr>
          <w:p>
            <w:pPr>
              <w:spacing w:after="0"/>
              <w:rPr>
                <w:sz w:val="15"/>
                <w:szCs w:val="15"/>
                <w:color w:val="auto"/>
              </w:rPr>
            </w:pPr>
          </w:p>
        </w:tc>
        <w:tc>
          <w:tcPr>
            <w:tcW w:w="3220" w:type="dxa"/>
            <w:vAlign w:val="bottom"/>
            <w:shd w:val="clear" w:color="auto" w:fill="0071CE"/>
          </w:tcPr>
          <w:p>
            <w:pPr>
              <w:jc w:val="center"/>
              <w:ind w:left="217"/>
              <w:spacing w:after="0"/>
              <w:rPr>
                <w:sz w:val="20"/>
                <w:szCs w:val="20"/>
                <w:color w:val="auto"/>
              </w:rPr>
            </w:pPr>
            <w:r>
              <w:rPr>
                <w:rFonts w:ascii="Arial" w:cs="Arial" w:eastAsia="Arial" w:hAnsi="Arial"/>
                <w:sz w:val="14"/>
                <w:szCs w:val="14"/>
                <w:b w:val="1"/>
                <w:bCs w:val="1"/>
                <w:color w:val="FFFFFF"/>
              </w:rPr>
              <w:t>Restricted Stock Unit</w:t>
            </w:r>
          </w:p>
        </w:tc>
        <w:tc>
          <w:tcPr>
            <w:tcW w:w="2740" w:type="dxa"/>
            <w:vAlign w:val="bottom"/>
            <w:shd w:val="clear" w:color="auto" w:fill="0071CE"/>
          </w:tcPr>
          <w:p>
            <w:pPr>
              <w:ind w:left="740"/>
              <w:spacing w:after="0"/>
              <w:rPr>
                <w:sz w:val="20"/>
                <w:szCs w:val="20"/>
                <w:color w:val="auto"/>
              </w:rPr>
            </w:pPr>
            <w:r>
              <w:rPr>
                <w:rFonts w:ascii="Arial" w:cs="Arial" w:eastAsia="Arial" w:hAnsi="Arial"/>
                <w:sz w:val="14"/>
                <w:szCs w:val="14"/>
                <w:b w:val="1"/>
                <w:bCs w:val="1"/>
                <w:color w:val="FFFFFF"/>
              </w:rPr>
              <w:t>Restricted Stock Unit</w:t>
            </w:r>
          </w:p>
        </w:tc>
      </w:tr>
      <w:tr>
        <w:trPr>
          <w:trHeight w:val="162"/>
        </w:trPr>
        <w:tc>
          <w:tcPr>
            <w:tcW w:w="5060" w:type="dxa"/>
            <w:vAlign w:val="bottom"/>
            <w:shd w:val="clear" w:color="auto" w:fill="0071CE"/>
          </w:tcPr>
          <w:p>
            <w:pPr>
              <w:ind w:left="60"/>
              <w:spacing w:after="0"/>
              <w:rPr>
                <w:sz w:val="20"/>
                <w:szCs w:val="20"/>
                <w:color w:val="auto"/>
              </w:rPr>
            </w:pPr>
            <w:r>
              <w:rPr>
                <w:rFonts w:ascii="Arial" w:cs="Arial" w:eastAsia="Arial" w:hAnsi="Arial"/>
                <w:sz w:val="14"/>
                <w:szCs w:val="14"/>
                <w:b w:val="1"/>
                <w:bCs w:val="1"/>
                <w:color w:val="FFFFFF"/>
              </w:rPr>
              <w:t>Named Executive</w:t>
            </w:r>
          </w:p>
        </w:tc>
        <w:tc>
          <w:tcPr>
            <w:tcW w:w="3220" w:type="dxa"/>
            <w:vAlign w:val="bottom"/>
            <w:shd w:val="clear" w:color="auto" w:fill="0071CE"/>
          </w:tcPr>
          <w:p>
            <w:pPr>
              <w:jc w:val="center"/>
              <w:ind w:left="217"/>
              <w:spacing w:after="0"/>
              <w:rPr>
                <w:sz w:val="20"/>
                <w:szCs w:val="20"/>
                <w:color w:val="auto"/>
              </w:rPr>
            </w:pPr>
            <w:r>
              <w:rPr>
                <w:rFonts w:ascii="Arial" w:cs="Arial" w:eastAsia="Arial" w:hAnsi="Arial"/>
                <w:sz w:val="14"/>
                <w:szCs w:val="14"/>
                <w:b w:val="1"/>
                <w:bCs w:val="1"/>
                <w:color w:val="FFFFFF"/>
              </w:rPr>
              <w:t>Awards</w:t>
            </w:r>
          </w:p>
        </w:tc>
        <w:tc>
          <w:tcPr>
            <w:tcW w:w="2740" w:type="dxa"/>
            <w:vAlign w:val="bottom"/>
            <w:shd w:val="clear" w:color="auto" w:fill="0071CE"/>
          </w:tcPr>
          <w:p>
            <w:pPr>
              <w:ind w:left="1260"/>
              <w:spacing w:after="0"/>
              <w:rPr>
                <w:sz w:val="20"/>
                <w:szCs w:val="20"/>
                <w:color w:val="auto"/>
              </w:rPr>
            </w:pPr>
            <w:r>
              <w:rPr>
                <w:rFonts w:ascii="Arial" w:cs="Arial" w:eastAsia="Arial" w:hAnsi="Arial"/>
                <w:sz w:val="14"/>
                <w:szCs w:val="14"/>
                <w:b w:val="1"/>
                <w:bCs w:val="1"/>
                <w:color w:val="FFFFFF"/>
              </w:rPr>
              <w:t>Awards</w:t>
            </w:r>
          </w:p>
        </w:tc>
      </w:tr>
      <w:tr>
        <w:trPr>
          <w:trHeight w:val="223"/>
        </w:trPr>
        <w:tc>
          <w:tcPr>
            <w:tcW w:w="5060" w:type="dxa"/>
            <w:vAlign w:val="bottom"/>
            <w:tcBorders>
              <w:bottom w:val="single" w:sz="8" w:color="0071CE"/>
            </w:tcBorders>
            <w:shd w:val="clear" w:color="auto" w:fill="0071CE"/>
          </w:tcPr>
          <w:p>
            <w:pPr>
              <w:ind w:left="60"/>
              <w:spacing w:after="0"/>
              <w:rPr>
                <w:sz w:val="20"/>
                <w:szCs w:val="20"/>
                <w:color w:val="auto"/>
              </w:rPr>
            </w:pPr>
            <w:r>
              <w:rPr>
                <w:rFonts w:ascii="Arial" w:cs="Arial" w:eastAsia="Arial" w:hAnsi="Arial"/>
                <w:sz w:val="14"/>
                <w:szCs w:val="14"/>
                <w:b w:val="1"/>
                <w:bCs w:val="1"/>
                <w:color w:val="FFFFFF"/>
              </w:rPr>
              <w:t>Officer</w:t>
            </w:r>
          </w:p>
        </w:tc>
        <w:tc>
          <w:tcPr>
            <w:tcW w:w="3220" w:type="dxa"/>
            <w:vAlign w:val="bottom"/>
            <w:tcBorders>
              <w:bottom w:val="single" w:sz="8" w:color="0071CE"/>
            </w:tcBorders>
            <w:shd w:val="clear" w:color="auto" w:fill="0071CE"/>
          </w:tcPr>
          <w:p>
            <w:pPr>
              <w:jc w:val="center"/>
              <w:ind w:left="217"/>
              <w:spacing w:after="0"/>
              <w:rPr>
                <w:sz w:val="20"/>
                <w:szCs w:val="20"/>
                <w:color w:val="auto"/>
              </w:rPr>
            </w:pPr>
            <w:r>
              <w:rPr>
                <w:rFonts w:ascii="Arial" w:cs="Arial" w:eastAsia="Arial" w:hAnsi="Arial"/>
                <w:sz w:val="14"/>
                <w:szCs w:val="14"/>
                <w:b w:val="1"/>
                <w:bCs w:val="1"/>
                <w:color w:val="FFFFFF"/>
              </w:rPr>
              <w:t>(number of shares)</w:t>
            </w:r>
          </w:p>
        </w:tc>
        <w:tc>
          <w:tcPr>
            <w:tcW w:w="2740" w:type="dxa"/>
            <w:vAlign w:val="bottom"/>
            <w:tcBorders>
              <w:bottom w:val="single" w:sz="8" w:color="0071CE"/>
            </w:tcBorders>
            <w:shd w:val="clear" w:color="auto" w:fill="0071CE"/>
          </w:tcPr>
          <w:p>
            <w:pPr>
              <w:jc w:val="center"/>
              <w:ind w:left="197"/>
              <w:spacing w:after="0"/>
              <w:rPr>
                <w:sz w:val="20"/>
                <w:szCs w:val="20"/>
                <w:color w:val="auto"/>
              </w:rPr>
            </w:pPr>
            <w:r>
              <w:rPr>
                <w:rFonts w:ascii="Arial" w:cs="Arial" w:eastAsia="Arial" w:hAnsi="Arial"/>
                <w:sz w:val="14"/>
                <w:szCs w:val="14"/>
                <w:b w:val="1"/>
                <w:bCs w:val="1"/>
                <w:color w:val="FFFFFF"/>
              </w:rPr>
              <w:t>($)</w:t>
            </w:r>
          </w:p>
        </w:tc>
      </w:tr>
      <w:tr>
        <w:trPr>
          <w:trHeight w:val="290"/>
        </w:trPr>
        <w:tc>
          <w:tcPr>
            <w:tcW w:w="506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8"/>
                <w:szCs w:val="18"/>
                <w:color w:val="auto"/>
              </w:rPr>
              <w:t>Mr. Myszkowski</w:t>
            </w:r>
          </w:p>
        </w:tc>
        <w:tc>
          <w:tcPr>
            <w:tcW w:w="3220" w:type="dxa"/>
            <w:vAlign w:val="bottom"/>
            <w:tcBorders>
              <w:bottom w:val="single" w:sz="8" w:color="E5E5E5"/>
            </w:tcBorders>
            <w:shd w:val="clear" w:color="auto" w:fill="E5E5E5"/>
          </w:tcPr>
          <w:p>
            <w:pPr>
              <w:jc w:val="right"/>
              <w:ind w:right="1077"/>
              <w:spacing w:after="0"/>
              <w:rPr>
                <w:sz w:val="20"/>
                <w:szCs w:val="20"/>
                <w:color w:val="auto"/>
              </w:rPr>
            </w:pPr>
            <w:r>
              <w:rPr>
                <w:rFonts w:ascii="Arial" w:cs="Arial" w:eastAsia="Arial" w:hAnsi="Arial"/>
                <w:sz w:val="18"/>
                <w:szCs w:val="18"/>
                <w:color w:val="auto"/>
              </w:rPr>
              <w:t>60,000</w:t>
            </w:r>
          </w:p>
        </w:tc>
        <w:tc>
          <w:tcPr>
            <w:tcW w:w="2740" w:type="dxa"/>
            <w:vAlign w:val="bottom"/>
            <w:tcBorders>
              <w:bottom w:val="single" w:sz="8" w:color="E5E5E5"/>
            </w:tcBorders>
            <w:shd w:val="clear" w:color="auto" w:fill="E5E5E5"/>
          </w:tcPr>
          <w:p>
            <w:pPr>
              <w:jc w:val="center"/>
              <w:ind w:left="217"/>
              <w:spacing w:after="0"/>
              <w:rPr>
                <w:sz w:val="20"/>
                <w:szCs w:val="20"/>
                <w:color w:val="auto"/>
              </w:rPr>
            </w:pPr>
            <w:r>
              <w:rPr>
                <w:rFonts w:ascii="Arial" w:cs="Arial" w:eastAsia="Arial" w:hAnsi="Arial"/>
                <w:sz w:val="18"/>
                <w:szCs w:val="18"/>
                <w:color w:val="auto"/>
              </w:rPr>
              <w:t>$4,603,800</w:t>
            </w:r>
          </w:p>
        </w:tc>
      </w:tr>
      <w:tr>
        <w:trPr>
          <w:trHeight w:val="270"/>
        </w:trPr>
        <w:tc>
          <w:tcPr>
            <w:tcW w:w="5060" w:type="dxa"/>
            <w:vAlign w:val="bottom"/>
          </w:tcPr>
          <w:p>
            <w:pPr>
              <w:ind w:left="60"/>
              <w:spacing w:after="0"/>
              <w:rPr>
                <w:sz w:val="20"/>
                <w:szCs w:val="20"/>
                <w:color w:val="auto"/>
              </w:rPr>
            </w:pPr>
            <w:r>
              <w:rPr>
                <w:rFonts w:ascii="Arial" w:cs="Arial" w:eastAsia="Arial" w:hAnsi="Arial"/>
                <w:sz w:val="18"/>
                <w:szCs w:val="18"/>
                <w:color w:val="auto"/>
              </w:rPr>
              <w:t>Mr. O’Brien</w:t>
            </w:r>
          </w:p>
        </w:tc>
        <w:tc>
          <w:tcPr>
            <w:tcW w:w="3220" w:type="dxa"/>
            <w:vAlign w:val="bottom"/>
          </w:tcPr>
          <w:p>
            <w:pPr>
              <w:jc w:val="right"/>
              <w:ind w:right="1077"/>
              <w:spacing w:after="0"/>
              <w:rPr>
                <w:sz w:val="20"/>
                <w:szCs w:val="20"/>
                <w:color w:val="auto"/>
              </w:rPr>
            </w:pPr>
            <w:r>
              <w:rPr>
                <w:rFonts w:ascii="Arial" w:cs="Arial" w:eastAsia="Arial" w:hAnsi="Arial"/>
                <w:sz w:val="18"/>
                <w:szCs w:val="18"/>
                <w:color w:val="auto"/>
              </w:rPr>
              <w:t>60,000</w:t>
            </w:r>
          </w:p>
        </w:tc>
        <w:tc>
          <w:tcPr>
            <w:tcW w:w="2740" w:type="dxa"/>
            <w:vAlign w:val="bottom"/>
          </w:tcPr>
          <w:p>
            <w:pPr>
              <w:jc w:val="center"/>
              <w:ind w:left="217"/>
              <w:spacing w:after="0"/>
              <w:rPr>
                <w:sz w:val="20"/>
                <w:szCs w:val="20"/>
                <w:color w:val="auto"/>
              </w:rPr>
            </w:pPr>
            <w:r>
              <w:rPr>
                <w:rFonts w:ascii="Arial" w:cs="Arial" w:eastAsia="Arial" w:hAnsi="Arial"/>
                <w:sz w:val="18"/>
                <w:szCs w:val="18"/>
                <w:color w:val="auto"/>
              </w:rPr>
              <w:t>$4,603,800</w:t>
            </w:r>
          </w:p>
        </w:tc>
      </w:tr>
      <w:tr>
        <w:trPr>
          <w:trHeight w:val="54"/>
        </w:trPr>
        <w:tc>
          <w:tcPr>
            <w:tcW w:w="5060" w:type="dxa"/>
            <w:vAlign w:val="bottom"/>
          </w:tcPr>
          <w:p>
            <w:pPr>
              <w:spacing w:after="0"/>
              <w:rPr>
                <w:sz w:val="4"/>
                <w:szCs w:val="4"/>
                <w:color w:val="auto"/>
              </w:rPr>
            </w:pPr>
          </w:p>
        </w:tc>
        <w:tc>
          <w:tcPr>
            <w:tcW w:w="3220" w:type="dxa"/>
            <w:vAlign w:val="bottom"/>
          </w:tcPr>
          <w:p>
            <w:pPr>
              <w:spacing w:after="0"/>
              <w:rPr>
                <w:sz w:val="4"/>
                <w:szCs w:val="4"/>
                <w:color w:val="auto"/>
              </w:rPr>
            </w:pPr>
          </w:p>
        </w:tc>
        <w:tc>
          <w:tcPr>
            <w:tcW w:w="2740" w:type="dxa"/>
            <w:vAlign w:val="bottom"/>
          </w:tcPr>
          <w:p>
            <w:pPr>
              <w:spacing w:after="0"/>
              <w:rPr>
                <w:sz w:val="4"/>
                <w:szCs w:val="4"/>
                <w:color w:val="auto"/>
              </w:rPr>
            </w:pPr>
          </w:p>
        </w:tc>
      </w:tr>
      <w:tr>
        <w:trPr>
          <w:trHeight w:val="304"/>
        </w:trPr>
        <w:tc>
          <w:tcPr>
            <w:tcW w:w="506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8"/>
                <w:szCs w:val="18"/>
                <w:color w:val="auto"/>
              </w:rPr>
              <w:t>Dr. San Martin (1)</w:t>
            </w:r>
          </w:p>
        </w:tc>
        <w:tc>
          <w:tcPr>
            <w:tcW w:w="3220" w:type="dxa"/>
            <w:vAlign w:val="bottom"/>
            <w:tcBorders>
              <w:bottom w:val="single" w:sz="8" w:color="E5E5E5"/>
            </w:tcBorders>
            <w:shd w:val="clear" w:color="auto" w:fill="E5E5E5"/>
          </w:tcPr>
          <w:p>
            <w:pPr>
              <w:jc w:val="right"/>
              <w:ind w:right="1077"/>
              <w:spacing w:after="0"/>
              <w:rPr>
                <w:sz w:val="20"/>
                <w:szCs w:val="20"/>
                <w:color w:val="auto"/>
              </w:rPr>
            </w:pPr>
            <w:r>
              <w:rPr>
                <w:rFonts w:ascii="Arial" w:cs="Arial" w:eastAsia="Arial" w:hAnsi="Arial"/>
                <w:sz w:val="18"/>
                <w:szCs w:val="18"/>
                <w:color w:val="auto"/>
              </w:rPr>
              <w:t>N/A</w:t>
            </w:r>
          </w:p>
        </w:tc>
        <w:tc>
          <w:tcPr>
            <w:tcW w:w="2740" w:type="dxa"/>
            <w:vAlign w:val="bottom"/>
            <w:tcBorders>
              <w:bottom w:val="single" w:sz="8" w:color="E5E5E5"/>
            </w:tcBorders>
            <w:shd w:val="clear" w:color="auto" w:fill="E5E5E5"/>
          </w:tcPr>
          <w:p>
            <w:pPr>
              <w:ind w:left="1680"/>
              <w:spacing w:after="0"/>
              <w:rPr>
                <w:sz w:val="20"/>
                <w:szCs w:val="20"/>
                <w:color w:val="auto"/>
              </w:rPr>
            </w:pPr>
            <w:r>
              <w:rPr>
                <w:rFonts w:ascii="Arial" w:cs="Arial" w:eastAsia="Arial" w:hAnsi="Arial"/>
                <w:sz w:val="18"/>
                <w:szCs w:val="18"/>
                <w:color w:val="auto"/>
              </w:rPr>
              <w:t>N/A</w:t>
            </w:r>
          </w:p>
        </w:tc>
      </w:tr>
      <w:tr>
        <w:trPr>
          <w:trHeight w:val="270"/>
        </w:trPr>
        <w:tc>
          <w:tcPr>
            <w:tcW w:w="5060" w:type="dxa"/>
            <w:vAlign w:val="bottom"/>
          </w:tcPr>
          <w:p>
            <w:pPr>
              <w:ind w:left="60"/>
              <w:spacing w:after="0"/>
              <w:rPr>
                <w:sz w:val="20"/>
                <w:szCs w:val="20"/>
                <w:color w:val="auto"/>
              </w:rPr>
            </w:pPr>
            <w:r>
              <w:rPr>
                <w:rFonts w:ascii="Arial" w:cs="Arial" w:eastAsia="Arial" w:hAnsi="Arial"/>
                <w:sz w:val="18"/>
                <w:szCs w:val="18"/>
                <w:color w:val="auto"/>
              </w:rPr>
              <w:t>Dr. Hamilton</w:t>
            </w:r>
          </w:p>
        </w:tc>
        <w:tc>
          <w:tcPr>
            <w:tcW w:w="3220" w:type="dxa"/>
            <w:vAlign w:val="bottom"/>
          </w:tcPr>
          <w:p>
            <w:pPr>
              <w:jc w:val="right"/>
              <w:ind w:right="1077"/>
              <w:spacing w:after="0"/>
              <w:rPr>
                <w:sz w:val="20"/>
                <w:szCs w:val="20"/>
                <w:color w:val="auto"/>
              </w:rPr>
            </w:pPr>
            <w:r>
              <w:rPr>
                <w:rFonts w:ascii="Arial" w:cs="Arial" w:eastAsia="Arial" w:hAnsi="Arial"/>
                <w:sz w:val="18"/>
                <w:szCs w:val="18"/>
                <w:color w:val="auto"/>
              </w:rPr>
              <w:t>50,000</w:t>
            </w:r>
          </w:p>
        </w:tc>
        <w:tc>
          <w:tcPr>
            <w:tcW w:w="2740" w:type="dxa"/>
            <w:vAlign w:val="bottom"/>
          </w:tcPr>
          <w:p>
            <w:pPr>
              <w:jc w:val="center"/>
              <w:ind w:left="217"/>
              <w:spacing w:after="0"/>
              <w:rPr>
                <w:sz w:val="20"/>
                <w:szCs w:val="20"/>
                <w:color w:val="auto"/>
              </w:rPr>
            </w:pPr>
            <w:r>
              <w:rPr>
                <w:rFonts w:ascii="Arial" w:cs="Arial" w:eastAsia="Arial" w:hAnsi="Arial"/>
                <w:sz w:val="18"/>
                <w:szCs w:val="18"/>
                <w:color w:val="auto"/>
              </w:rPr>
              <w:t>$3,836,500</w:t>
            </w:r>
          </w:p>
        </w:tc>
      </w:tr>
      <w:tr>
        <w:trPr>
          <w:trHeight w:val="54"/>
        </w:trPr>
        <w:tc>
          <w:tcPr>
            <w:tcW w:w="5060" w:type="dxa"/>
            <w:vAlign w:val="bottom"/>
          </w:tcPr>
          <w:p>
            <w:pPr>
              <w:spacing w:after="0"/>
              <w:rPr>
                <w:sz w:val="4"/>
                <w:szCs w:val="4"/>
                <w:color w:val="auto"/>
              </w:rPr>
            </w:pPr>
          </w:p>
        </w:tc>
        <w:tc>
          <w:tcPr>
            <w:tcW w:w="3220" w:type="dxa"/>
            <w:vAlign w:val="bottom"/>
          </w:tcPr>
          <w:p>
            <w:pPr>
              <w:spacing w:after="0"/>
              <w:rPr>
                <w:sz w:val="4"/>
                <w:szCs w:val="4"/>
                <w:color w:val="auto"/>
              </w:rPr>
            </w:pPr>
          </w:p>
        </w:tc>
        <w:tc>
          <w:tcPr>
            <w:tcW w:w="2740" w:type="dxa"/>
            <w:vAlign w:val="bottom"/>
          </w:tcPr>
          <w:p>
            <w:pPr>
              <w:spacing w:after="0"/>
              <w:rPr>
                <w:sz w:val="4"/>
                <w:szCs w:val="4"/>
                <w:color w:val="auto"/>
              </w:rPr>
            </w:pPr>
          </w:p>
        </w:tc>
      </w:tr>
      <w:tr>
        <w:trPr>
          <w:trHeight w:val="304"/>
        </w:trPr>
        <w:tc>
          <w:tcPr>
            <w:tcW w:w="506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8"/>
                <w:szCs w:val="18"/>
                <w:color w:val="auto"/>
              </w:rPr>
              <w:t>Mr. Hassard (1)</w:t>
            </w:r>
          </w:p>
        </w:tc>
        <w:tc>
          <w:tcPr>
            <w:tcW w:w="3220" w:type="dxa"/>
            <w:vAlign w:val="bottom"/>
            <w:tcBorders>
              <w:bottom w:val="single" w:sz="8" w:color="E5E5E5"/>
            </w:tcBorders>
            <w:shd w:val="clear" w:color="auto" w:fill="E5E5E5"/>
          </w:tcPr>
          <w:p>
            <w:pPr>
              <w:jc w:val="right"/>
              <w:ind w:right="1077"/>
              <w:spacing w:after="0"/>
              <w:rPr>
                <w:sz w:val="20"/>
                <w:szCs w:val="20"/>
                <w:color w:val="auto"/>
              </w:rPr>
            </w:pPr>
            <w:r>
              <w:rPr>
                <w:rFonts w:ascii="Arial" w:cs="Arial" w:eastAsia="Arial" w:hAnsi="Arial"/>
                <w:sz w:val="18"/>
                <w:szCs w:val="18"/>
                <w:color w:val="auto"/>
              </w:rPr>
              <w:t>N/A</w:t>
            </w:r>
          </w:p>
        </w:tc>
        <w:tc>
          <w:tcPr>
            <w:tcW w:w="2740" w:type="dxa"/>
            <w:vAlign w:val="bottom"/>
            <w:tcBorders>
              <w:bottom w:val="single" w:sz="8" w:color="E5E5E5"/>
            </w:tcBorders>
            <w:shd w:val="clear" w:color="auto" w:fill="E5E5E5"/>
          </w:tcPr>
          <w:p>
            <w:pPr>
              <w:ind w:left="1680"/>
              <w:spacing w:after="0"/>
              <w:rPr>
                <w:sz w:val="20"/>
                <w:szCs w:val="20"/>
                <w:color w:val="auto"/>
              </w:rPr>
            </w:pPr>
            <w:r>
              <w:rPr>
                <w:rFonts w:ascii="Arial" w:cs="Arial" w:eastAsia="Arial" w:hAnsi="Arial"/>
                <w:sz w:val="18"/>
                <w:szCs w:val="18"/>
                <w:color w:val="auto"/>
              </w:rPr>
              <w:t>N/A</w:t>
            </w:r>
          </w:p>
        </w:tc>
      </w:tr>
      <w:tr>
        <w:trPr>
          <w:trHeight w:val="20"/>
        </w:trPr>
        <w:tc>
          <w:tcPr>
            <w:tcW w:w="5060" w:type="dxa"/>
            <w:vAlign w:val="bottom"/>
            <w:shd w:val="clear" w:color="auto" w:fill="0071CE"/>
          </w:tcPr>
          <w:p>
            <w:pPr>
              <w:spacing w:after="0" w:line="20" w:lineRule="exact"/>
              <w:rPr>
                <w:sz w:val="1"/>
                <w:szCs w:val="1"/>
                <w:color w:val="auto"/>
              </w:rPr>
            </w:pPr>
          </w:p>
        </w:tc>
        <w:tc>
          <w:tcPr>
            <w:tcW w:w="3220" w:type="dxa"/>
            <w:vAlign w:val="bottom"/>
            <w:shd w:val="clear" w:color="auto" w:fill="0071CE"/>
          </w:tcPr>
          <w:p>
            <w:pPr>
              <w:spacing w:after="0" w:line="20" w:lineRule="exact"/>
              <w:rPr>
                <w:sz w:val="1"/>
                <w:szCs w:val="1"/>
                <w:color w:val="auto"/>
              </w:rPr>
            </w:pPr>
          </w:p>
        </w:tc>
        <w:tc>
          <w:tcPr>
            <w:tcW w:w="2740" w:type="dxa"/>
            <w:vAlign w:val="bottom"/>
            <w:shd w:val="clear" w:color="auto" w:fill="0071CE"/>
          </w:tcPr>
          <w:p>
            <w:pPr>
              <w:spacing w:after="0" w:line="20" w:lineRule="exact"/>
              <w:rPr>
                <w:sz w:val="1"/>
                <w:szCs w:val="1"/>
                <w:color w:val="auto"/>
              </w:rPr>
            </w:pPr>
          </w:p>
        </w:tc>
      </w:tr>
    </w:tbl>
    <w:p>
      <w:pPr>
        <w:spacing w:after="0" w:line="86" w:lineRule="exact"/>
        <w:rPr>
          <w:sz w:val="20"/>
          <w:szCs w:val="20"/>
          <w:color w:val="auto"/>
        </w:rPr>
      </w:pPr>
    </w:p>
    <w:p>
      <w:pPr>
        <w:ind w:left="540" w:hanging="424"/>
        <w:spacing w:after="0"/>
        <w:tabs>
          <w:tab w:leader="none" w:pos="5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Dr. San Martin and Mr. Hassard were not eligible for an equity award in fiscal 2021 under the terms of their respective employment offer letters.</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awards vest over four years in four equal installments.</w:t>
      </w:r>
    </w:p>
    <w:p>
      <w:pPr>
        <w:spacing w:after="0" w:line="221" w:lineRule="exact"/>
        <w:rPr>
          <w:sz w:val="20"/>
          <w:szCs w:val="20"/>
          <w:color w:val="auto"/>
        </w:rPr>
      </w:pPr>
    </w:p>
    <w:p>
      <w:pPr>
        <w:ind w:left="120" w:right="360"/>
        <w:spacing w:after="0" w:line="260" w:lineRule="auto"/>
        <w:rPr>
          <w:sz w:val="20"/>
          <w:szCs w:val="20"/>
          <w:color w:val="auto"/>
        </w:rPr>
      </w:pPr>
      <w:r>
        <w:rPr>
          <w:rFonts w:ascii="Arial" w:cs="Arial" w:eastAsia="Arial" w:hAnsi="Arial"/>
          <w:sz w:val="16"/>
          <w:szCs w:val="16"/>
          <w:color w:val="auto"/>
        </w:rPr>
        <w:t>The equity awards granted to our NEOs in fiscal 2021 are set forth in the “Fiscal 2021 Summary Compensation Table” and the “Fiscal 2021 Grants of Plan-Based Awards Table” below.</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Welfare and Health Benefits</w:t>
      </w:r>
    </w:p>
    <w:p>
      <w:pPr>
        <w:spacing w:after="0" w:line="124" w:lineRule="exact"/>
        <w:rPr>
          <w:sz w:val="20"/>
          <w:szCs w:val="20"/>
          <w:color w:val="auto"/>
        </w:rPr>
      </w:pPr>
    </w:p>
    <w:p>
      <w:pPr>
        <w:ind w:left="120" w:right="40"/>
        <w:spacing w:after="0" w:line="249" w:lineRule="auto"/>
        <w:rPr>
          <w:sz w:val="20"/>
          <w:szCs w:val="20"/>
          <w:color w:val="auto"/>
        </w:rPr>
      </w:pPr>
      <w:r>
        <w:rPr>
          <w:rFonts w:ascii="Arial" w:cs="Arial" w:eastAsia="Arial" w:hAnsi="Arial"/>
          <w:sz w:val="16"/>
          <w:szCs w:val="16"/>
          <w:color w:val="auto"/>
        </w:rPr>
        <w:t>Our executive officers, including our NEOs, are eligible to participate in all of our employee benefit plans, including medical, dental, vision, life and disability insurance, in each case on the same basis as our other employees, subject to applicable law. In addition, we provide additional life insurance for our CEO for the benefit of his heirs. We also provide vacation and other paid holidays to all our employees, including our executive officers, all of which we believe to be comparable to those provided at peer companies. These benefit programs are designed to enable us to attract and retain our workforce in a competitive marketplace. Our health, welfare and vacation benefits are designed to ensure that we have a productive and focused workforce through reliable and competitive health and other benefits.</w:t>
      </w:r>
    </w:p>
    <w:p>
      <w:pPr>
        <w:spacing w:after="0" w:line="205" w:lineRule="exact"/>
        <w:rPr>
          <w:sz w:val="20"/>
          <w:szCs w:val="20"/>
          <w:color w:val="auto"/>
        </w:rPr>
      </w:pPr>
    </w:p>
    <w:p>
      <w:pPr>
        <w:ind w:left="120" w:right="40"/>
        <w:spacing w:after="0" w:line="251" w:lineRule="auto"/>
        <w:rPr>
          <w:sz w:val="20"/>
          <w:szCs w:val="20"/>
          <w:color w:val="auto"/>
        </w:rPr>
      </w:pPr>
      <w:r>
        <w:rPr>
          <w:rFonts w:ascii="Arial" w:cs="Arial" w:eastAsia="Arial" w:hAnsi="Arial"/>
          <w:sz w:val="16"/>
          <w:szCs w:val="16"/>
          <w:color w:val="auto"/>
        </w:rPr>
        <w:t>Our retirement savings plan (“401(k) plan”) is a tax-qualified retirement savings plan, pursuant to which qualified employees, including our NEOs, are able to contribute certain amounts of their annual compensation, subject to limits prescribed by the Internal Revenue Service. Historically, we have made matching contributions of 100% of the first 3% of base salary and of 50% of the next 2% of base salary contributed to the plan. The value of these benefits for each of our NEOs is reflected in the “All Other Compensation” column of the “Fiscal 2021 Summary Compensation Table” below.</w:t>
      </w:r>
    </w:p>
    <w:p>
      <w:pPr>
        <w:spacing w:after="0" w:line="29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Perquisites and Other Personal Benefits</w:t>
      </w:r>
    </w:p>
    <w:p>
      <w:pPr>
        <w:spacing w:after="0" w:line="124" w:lineRule="exact"/>
        <w:rPr>
          <w:sz w:val="20"/>
          <w:szCs w:val="20"/>
          <w:color w:val="auto"/>
        </w:rPr>
      </w:pPr>
    </w:p>
    <w:p>
      <w:pPr>
        <w:ind w:left="120" w:right="60"/>
        <w:spacing w:after="0" w:line="251" w:lineRule="auto"/>
        <w:rPr>
          <w:sz w:val="20"/>
          <w:szCs w:val="20"/>
          <w:color w:val="auto"/>
        </w:rPr>
      </w:pPr>
      <w:r>
        <w:rPr>
          <w:rFonts w:ascii="Arial" w:cs="Arial" w:eastAsia="Arial" w:hAnsi="Arial"/>
          <w:sz w:val="16"/>
          <w:szCs w:val="16"/>
          <w:color w:val="auto"/>
        </w:rPr>
        <w:t>Currently, we do not view perquisites or other personal benefits as a significant component of our executive compensation program. Accordingly, we do not provide significant perquisites or other personal benefits to our executive officers, including our NEOs, except as generally made available to our employees, or in situations where we believe it is appropriate to assist an individual in the performance of his or her duties, to make our executive officers more efficient and effective and for recruitment and retention purposes.</w:t>
      </w:r>
    </w:p>
    <w:p>
      <w:pPr>
        <w:spacing w:after="0" w:line="202" w:lineRule="exact"/>
        <w:rPr>
          <w:sz w:val="20"/>
          <w:szCs w:val="20"/>
          <w:color w:val="auto"/>
        </w:rPr>
      </w:pPr>
    </w:p>
    <w:p>
      <w:pPr>
        <w:ind w:left="120" w:right="280"/>
        <w:spacing w:after="0" w:line="260" w:lineRule="auto"/>
        <w:rPr>
          <w:sz w:val="20"/>
          <w:szCs w:val="20"/>
          <w:color w:val="auto"/>
        </w:rPr>
      </w:pPr>
      <w:r>
        <w:rPr>
          <w:rFonts w:ascii="Arial" w:cs="Arial" w:eastAsia="Arial" w:hAnsi="Arial"/>
          <w:sz w:val="16"/>
          <w:szCs w:val="16"/>
          <w:color w:val="auto"/>
        </w:rPr>
        <w:t>In the future, we may provide perquisites or other personal benefits in limited circumstances, such as those described in the preceding paragraph. All future practices with respect to perquisites or other personal benefits will be approved and subject to periodic review by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80010</wp:posOffset>
            </wp:positionV>
            <wp:extent cx="986155" cy="2057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1CE"/>
        </w:rPr>
        <w:t>34</w:t>
      </w:r>
    </w:p>
    <w:p>
      <w:pPr>
        <w:sectPr>
          <w:pgSz w:w="11900" w:h="16838" w:orient="portrait"/>
          <w:cols w:equalWidth="0" w:num="1">
            <w:col w:w="11140"/>
          </w:cols>
          <w:pgMar w:left="32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2022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4C4C4C"/>
        </w:rPr>
        <w:t>Employment Arrangements</w:t>
      </w:r>
    </w:p>
    <w:p>
      <w:pPr>
        <w:spacing w:after="0" w:line="108" w:lineRule="exact"/>
        <w:rPr>
          <w:sz w:val="20"/>
          <w:szCs w:val="20"/>
          <w:color w:val="auto"/>
        </w:rPr>
      </w:pPr>
    </w:p>
    <w:p>
      <w:pPr>
        <w:ind w:left="120" w:right="20"/>
        <w:spacing w:after="0" w:line="256" w:lineRule="auto"/>
        <w:rPr>
          <w:sz w:val="20"/>
          <w:szCs w:val="20"/>
          <w:color w:val="auto"/>
        </w:rPr>
      </w:pPr>
      <w:r>
        <w:rPr>
          <w:rFonts w:ascii="Arial" w:cs="Arial" w:eastAsia="Arial" w:hAnsi="Arial"/>
          <w:sz w:val="16"/>
          <w:szCs w:val="16"/>
          <w:color w:val="auto"/>
        </w:rPr>
        <w:t>We have entered into a written employment agreement with our CEO and have written employment offer letters with our other executive officers</w:t>
      </w:r>
      <w:r>
        <w:rPr>
          <w:rFonts w:ascii="Arial" w:cs="Arial" w:eastAsia="Arial" w:hAnsi="Arial"/>
          <w:sz w:val="16"/>
          <w:szCs w:val="16"/>
          <w:b w:val="1"/>
          <w:bCs w:val="1"/>
          <w:color w:val="auto"/>
        </w:rPr>
        <w:t>.</w:t>
      </w:r>
      <w:r>
        <w:rPr>
          <w:rFonts w:ascii="Arial" w:cs="Arial" w:eastAsia="Arial" w:hAnsi="Arial"/>
          <w:sz w:val="16"/>
          <w:szCs w:val="16"/>
          <w:color w:val="auto"/>
        </w:rPr>
        <w:t xml:space="preserve"> In filling each of our executive positions, we recognized the need to develop competitive compensation packages to attract qualified candidates in a dynamic labor market. At the same time, in formulating these compensation packages, we were sensitive to the need to integrate new executive officers into the executive compensation structure that we were seeking to develop, balancing both competitive and internal equity considerations. Each of these arrangements provides for “at will” employment.</w:t>
      </w:r>
    </w:p>
    <w:p>
      <w:pPr>
        <w:spacing w:after="0" w:line="200" w:lineRule="exact"/>
        <w:rPr>
          <w:sz w:val="20"/>
          <w:szCs w:val="20"/>
          <w:color w:val="auto"/>
        </w:rPr>
      </w:pPr>
    </w:p>
    <w:p>
      <w:pPr>
        <w:ind w:left="120" w:right="540"/>
        <w:spacing w:after="0" w:line="260" w:lineRule="auto"/>
        <w:rPr>
          <w:sz w:val="20"/>
          <w:szCs w:val="20"/>
          <w:color w:val="auto"/>
        </w:rPr>
      </w:pPr>
      <w:r>
        <w:rPr>
          <w:rFonts w:ascii="Arial" w:cs="Arial" w:eastAsia="Arial" w:hAnsi="Arial"/>
          <w:sz w:val="16"/>
          <w:szCs w:val="16"/>
          <w:color w:val="auto"/>
        </w:rPr>
        <w:t>For detailed descriptions of the employment arrangements we maintained with our NEOs during fiscal 2021, see “Termination Benefits — Potential Payments Upon Termination or Change in Control” below.</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4C4C4C"/>
        </w:rPr>
        <w:t>Post-Employment Compensation Arrangements</w:t>
      </w:r>
    </w:p>
    <w:p>
      <w:pPr>
        <w:spacing w:after="0" w:line="128" w:lineRule="exact"/>
        <w:rPr>
          <w:sz w:val="20"/>
          <w:szCs w:val="20"/>
          <w:color w:val="auto"/>
        </w:rPr>
      </w:pPr>
    </w:p>
    <w:p>
      <w:pPr>
        <w:ind w:left="120" w:right="60"/>
        <w:spacing w:after="0" w:line="248" w:lineRule="auto"/>
        <w:rPr>
          <w:sz w:val="20"/>
          <w:szCs w:val="20"/>
          <w:color w:val="auto"/>
        </w:rPr>
      </w:pPr>
      <w:r>
        <w:rPr>
          <w:rFonts w:ascii="Arial" w:cs="Arial" w:eastAsia="Arial" w:hAnsi="Arial"/>
          <w:sz w:val="16"/>
          <w:szCs w:val="16"/>
          <w:color w:val="auto"/>
        </w:rPr>
        <w:t>We have entered into a written employment agreement with our CEO, and we also have agreements with our CFO and General Counsel that provide for certain payments and benefits in the event of certain involuntary terminations of employment. We believe that having in place reasonable and competitive post-employment compensation arrangements are essential to attracting and retaining highly-qualified executive officers. These agreements are designed to provide reasonable compensation to executive officers who leave our employ under certain circumstances to facilitate their transition to new employment. Further, in some instances we seek to mitigate any potential employer liability and avoid future disputes or litigation by requiring a departing executive officer to sign a separation and release agreement acceptable to us as a condition to receiving post-employment compensation payments or benefits.</w:t>
      </w:r>
    </w:p>
    <w:p>
      <w:pPr>
        <w:spacing w:after="0" w:line="208" w:lineRule="exact"/>
        <w:rPr>
          <w:sz w:val="20"/>
          <w:szCs w:val="20"/>
          <w:color w:val="auto"/>
        </w:rPr>
      </w:pPr>
    </w:p>
    <w:p>
      <w:pPr>
        <w:ind w:left="120" w:right="100"/>
        <w:spacing w:after="0" w:line="260" w:lineRule="auto"/>
        <w:rPr>
          <w:sz w:val="20"/>
          <w:szCs w:val="20"/>
          <w:color w:val="auto"/>
        </w:rPr>
      </w:pPr>
      <w:r>
        <w:rPr>
          <w:rFonts w:ascii="Arial" w:cs="Arial" w:eastAsia="Arial" w:hAnsi="Arial"/>
          <w:sz w:val="16"/>
          <w:szCs w:val="16"/>
          <w:color w:val="auto"/>
        </w:rPr>
        <w:t>The Compensation Committee does not consider the specific amounts payable under these agreements when establishing annual compensation. We do believe, however, that these arrangements are necessary to offer compensation packages that are competitive.</w:t>
      </w:r>
    </w:p>
    <w:p>
      <w:pPr>
        <w:spacing w:after="0" w:line="195" w:lineRule="exact"/>
        <w:rPr>
          <w:sz w:val="20"/>
          <w:szCs w:val="20"/>
          <w:color w:val="auto"/>
        </w:rPr>
      </w:pPr>
    </w:p>
    <w:p>
      <w:pPr>
        <w:ind w:left="120" w:right="20"/>
        <w:spacing w:after="0" w:line="250" w:lineRule="auto"/>
        <w:rPr>
          <w:sz w:val="20"/>
          <w:szCs w:val="20"/>
          <w:color w:val="auto"/>
        </w:rPr>
      </w:pPr>
      <w:r>
        <w:rPr>
          <w:rFonts w:ascii="Arial" w:cs="Arial" w:eastAsia="Arial" w:hAnsi="Arial"/>
          <w:sz w:val="16"/>
          <w:szCs w:val="16"/>
          <w:color w:val="auto"/>
        </w:rPr>
        <w:t>In addition, our 2013 Incentive Plan and our 2021 Incentive Plan each provides for the acceleration of vesting of outstanding and unvested equity awards in the event of a change in control of the Company, as defined in the plans, except as otherwise determined by our Board of Directors. However, the agreements for equity awards granted to our CEO pursuant to our 2013 Incentive Plan and our 2021 Incentive Plan provide that, upon a change in control of the Company, the vesting of such awards will accelerate only in the event of a subsequent involuntary termination of employment (a “double-trigger” arrangement).</w:t>
      </w:r>
    </w:p>
    <w:p>
      <w:pPr>
        <w:spacing w:after="0" w:line="203" w:lineRule="exact"/>
        <w:rPr>
          <w:sz w:val="20"/>
          <w:szCs w:val="20"/>
          <w:color w:val="auto"/>
        </w:rPr>
      </w:pPr>
    </w:p>
    <w:p>
      <w:pPr>
        <w:jc w:val="both"/>
        <w:ind w:left="120" w:right="60"/>
        <w:spacing w:after="0" w:line="253" w:lineRule="auto"/>
        <w:rPr>
          <w:sz w:val="20"/>
          <w:szCs w:val="20"/>
          <w:color w:val="auto"/>
        </w:rPr>
      </w:pPr>
      <w:r>
        <w:rPr>
          <w:rFonts w:ascii="Arial" w:cs="Arial" w:eastAsia="Arial" w:hAnsi="Arial"/>
          <w:sz w:val="16"/>
          <w:szCs w:val="16"/>
          <w:color w:val="auto"/>
        </w:rPr>
        <w:t>For detailed descriptions of the post-employment compensation arrangements we maintained with our NEOs during fiscal 2021, as well as an estimate of the potential payments and benefits payable under these arrangements, see “Termination Benefits — Potential Payments Upon Termination or Change in Control” below.</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4C4C4C"/>
        </w:rPr>
        <w:t>Other Compensation Policies and Practices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Equity Awards Grant Policy</w:t>
      </w:r>
    </w:p>
    <w:p>
      <w:pPr>
        <w:spacing w:after="0" w:line="124" w:lineRule="exact"/>
        <w:rPr>
          <w:sz w:val="20"/>
          <w:szCs w:val="20"/>
          <w:color w:val="auto"/>
        </w:rPr>
      </w:pPr>
    </w:p>
    <w:p>
      <w:pPr>
        <w:ind w:left="120" w:right="100"/>
        <w:spacing w:after="0" w:line="250" w:lineRule="auto"/>
        <w:rPr>
          <w:sz w:val="20"/>
          <w:szCs w:val="20"/>
          <w:color w:val="auto"/>
        </w:rPr>
      </w:pPr>
      <w:r>
        <w:rPr>
          <w:rFonts w:ascii="Arial" w:cs="Arial" w:eastAsia="Arial" w:hAnsi="Arial"/>
          <w:sz w:val="16"/>
          <w:szCs w:val="16"/>
          <w:color w:val="auto"/>
        </w:rPr>
        <w:t>We do not have any program, plan, or obligation that requires us to grant equity awards on specified dates, although historically we have granted such awards to our existing executive officers and employees at least annually and to newly-hired employees on the commencement of their employment. We do not have any program, plan or practice to grant equity awards of our common stock to our executive officers in coordination with the release of material nonpublic information. Equity awards may occasionally be granted following a significant change in job responsibilities or to meet other special retention or performance objectives.</w:t>
      </w:r>
    </w:p>
    <w:p>
      <w:pPr>
        <w:spacing w:after="0" w:line="203" w:lineRule="exact"/>
        <w:rPr>
          <w:sz w:val="20"/>
          <w:szCs w:val="20"/>
          <w:color w:val="auto"/>
        </w:rPr>
      </w:pPr>
    </w:p>
    <w:p>
      <w:pPr>
        <w:ind w:left="120" w:right="60"/>
        <w:spacing w:after="0" w:line="251" w:lineRule="auto"/>
        <w:rPr>
          <w:sz w:val="20"/>
          <w:szCs w:val="20"/>
          <w:color w:val="auto"/>
        </w:rPr>
      </w:pPr>
      <w:r>
        <w:rPr>
          <w:rFonts w:ascii="Arial" w:cs="Arial" w:eastAsia="Arial" w:hAnsi="Arial"/>
          <w:sz w:val="16"/>
          <w:szCs w:val="16"/>
          <w:color w:val="auto"/>
        </w:rPr>
        <w:t>Authority to grant equity awards to our employees rests with the Compensation Committee, although the Compensation Committee has delegated authority to our CEO to grant equity awards to non-executive employees within prescribed limits set by the Compensation Committee. With respect to our executive officers, except for our CEO, recommendations for equity awards are made by our CEO and reviewed and approved by the Compensation Committee.</w:t>
      </w:r>
    </w:p>
    <w:p>
      <w:pPr>
        <w:spacing w:after="0" w:line="202" w:lineRule="exact"/>
        <w:rPr>
          <w:sz w:val="20"/>
          <w:szCs w:val="20"/>
          <w:color w:val="auto"/>
        </w:rPr>
      </w:pPr>
    </w:p>
    <w:p>
      <w:pPr>
        <w:ind w:left="120" w:right="100"/>
        <w:spacing w:after="0" w:line="253" w:lineRule="auto"/>
        <w:rPr>
          <w:sz w:val="20"/>
          <w:szCs w:val="20"/>
          <w:color w:val="auto"/>
        </w:rPr>
      </w:pPr>
      <w:r>
        <w:rPr>
          <w:rFonts w:ascii="Arial" w:cs="Arial" w:eastAsia="Arial" w:hAnsi="Arial"/>
          <w:sz w:val="16"/>
          <w:szCs w:val="16"/>
          <w:color w:val="auto"/>
        </w:rPr>
        <w:t>Under the terms of our 2021 Incentive Plan, pursuant to which new equity awards are granted, the exercise price of any option to purchase shares of our common stock awarded under the plan must be equal to at least 100% of the fair market value of our common stock (which is determined based on the closing sales price of our common stock on the Nasdaq Global Market) on the date of grant.</w:t>
      </w:r>
    </w:p>
    <w:p>
      <w:pPr>
        <w:spacing w:after="0" w:line="2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 Ownership Policy</w:t>
      </w:r>
    </w:p>
    <w:p>
      <w:pPr>
        <w:spacing w:after="0" w:line="124" w:lineRule="exact"/>
        <w:rPr>
          <w:sz w:val="20"/>
          <w:szCs w:val="20"/>
          <w:color w:val="auto"/>
        </w:rPr>
      </w:pPr>
    </w:p>
    <w:p>
      <w:pPr>
        <w:ind w:left="120" w:right="100"/>
        <w:spacing w:after="0" w:line="260" w:lineRule="auto"/>
        <w:rPr>
          <w:sz w:val="20"/>
          <w:szCs w:val="20"/>
          <w:color w:val="auto"/>
        </w:rPr>
      </w:pPr>
      <w:r>
        <w:rPr>
          <w:rFonts w:ascii="Arial" w:cs="Arial" w:eastAsia="Arial" w:hAnsi="Arial"/>
          <w:sz w:val="16"/>
          <w:szCs w:val="16"/>
          <w:color w:val="auto"/>
        </w:rPr>
        <w:t>We maintain a stock ownership policy for our CEO and CFO to further align their respective interests with the interests of our stockholders, and to further promote our commitment to sound corporate governance. This policy requires our CEO to own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80010</wp:posOffset>
            </wp:positionV>
            <wp:extent cx="986155" cy="2057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37" w:lineRule="exact"/>
        <w:rPr>
          <w:sz w:val="20"/>
          <w:szCs w:val="20"/>
          <w:color w:val="auto"/>
        </w:rPr>
      </w:pPr>
    </w:p>
    <w:p>
      <w:pPr>
        <w:ind w:left="10880"/>
        <w:spacing w:after="0"/>
        <w:rPr>
          <w:sz w:val="20"/>
          <w:szCs w:val="20"/>
          <w:color w:val="auto"/>
        </w:rPr>
      </w:pPr>
      <w:r>
        <w:rPr>
          <w:rFonts w:ascii="Arial" w:cs="Arial" w:eastAsia="Arial" w:hAnsi="Arial"/>
          <w:sz w:val="18"/>
          <w:szCs w:val="18"/>
          <w:b w:val="1"/>
          <w:bCs w:val="1"/>
          <w:color w:val="0071CE"/>
        </w:rPr>
        <w:t>35</w:t>
      </w:r>
    </w:p>
    <w:p>
      <w:pPr>
        <w:sectPr>
          <w:pgSz w:w="11900" w:h="16838" w:orient="portrait"/>
          <w:cols w:equalWidth="0" w:num="1">
            <w:col w:w="11140"/>
          </w:cols>
          <w:pgMar w:left="32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20"/>
        <w:spacing w:after="0"/>
        <w:tabs>
          <w:tab w:leader="none" w:pos="2020" w:val="left"/>
        </w:tabs>
        <w:rPr>
          <w:sz w:val="20"/>
          <w:szCs w:val="20"/>
          <w:color w:val="auto"/>
        </w:rPr>
      </w:pPr>
      <w:r>
        <w:rPr>
          <w:rFonts w:ascii="Arial" w:cs="Arial" w:eastAsia="Arial" w:hAnsi="Arial"/>
          <w:sz w:val="14"/>
          <w:szCs w:val="14"/>
          <w:b w:val="1"/>
          <w:bCs w:val="1"/>
          <w:color w:val="0071CE"/>
        </w:rPr>
        <w:t>2022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65" w:lineRule="exact"/>
        <w:rPr>
          <w:sz w:val="20"/>
          <w:szCs w:val="20"/>
          <w:color w:val="auto"/>
        </w:rPr>
      </w:pPr>
    </w:p>
    <w:p>
      <w:pPr>
        <w:ind w:left="120" w:right="140"/>
        <w:spacing w:after="0" w:line="260" w:lineRule="auto"/>
        <w:rPr>
          <w:sz w:val="20"/>
          <w:szCs w:val="20"/>
          <w:color w:val="auto"/>
        </w:rPr>
      </w:pPr>
      <w:r>
        <w:rPr>
          <w:rFonts w:ascii="Arial" w:cs="Arial" w:eastAsia="Arial" w:hAnsi="Arial"/>
          <w:sz w:val="16"/>
          <w:szCs w:val="16"/>
          <w:color w:val="auto"/>
        </w:rPr>
        <w:t>minimum number of shares of our common stock equal to a value of six times his annualized base salary and our CFO to own a minimum number of shares of our common stock equal to a value of twice his annualized base salary. Each of these executive officers has achieved the required ownership.</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Compensation Recovery (“Clawback”) Policy</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December 2017, our Board of Directors adopted a compensation recovery (“clawback”) policy as follows:</w:t>
      </w:r>
    </w:p>
    <w:p>
      <w:pPr>
        <w:spacing w:after="0" w:line="113" w:lineRule="exact"/>
        <w:rPr>
          <w:sz w:val="20"/>
          <w:szCs w:val="20"/>
          <w:color w:val="auto"/>
        </w:rPr>
      </w:pPr>
    </w:p>
    <w:p>
      <w:pPr>
        <w:ind w:left="560" w:right="60"/>
        <w:spacing w:after="0" w:line="248" w:lineRule="auto"/>
        <w:rPr>
          <w:sz w:val="20"/>
          <w:szCs w:val="20"/>
          <w:color w:val="auto"/>
        </w:rPr>
      </w:pPr>
      <w:r>
        <w:rPr>
          <w:rFonts w:ascii="Arial" w:cs="Arial" w:eastAsia="Arial" w:hAnsi="Arial"/>
          <w:sz w:val="16"/>
          <w:szCs w:val="16"/>
          <w:color w:val="auto"/>
        </w:rPr>
        <w:t>“If Arrowhead Pharmaceuticals, Inc. (the “Company”) is required to materially restate any of its financial statements, the Board of Directors (the “Board”) shall assess the degree to which any fraud, negligence, or intentional misconduct by any executive officer of the Company was responsible for such restatement. If the Board determines that any executive officer was responsible for causing such restatement, the Board shall, in addition to any other lawful remedies the Board or the Company may take, seek recovery of all or a portion of the incentive compensation awarded to the executive officer for the performance period covered by the restated financial statement, provided that such recovery shall not extend to payments made more than three years prior to the date the financial record was restated. In addition, the Board may, in its absolute discretion, revoke any of the responsible executive officer’s unpaid or unvested incentive compensation outstanding as of the date of the Board’s determination of the executive officer’s responsibility for the financial restatement.”</w:t>
      </w:r>
    </w:p>
    <w:p>
      <w:pPr>
        <w:spacing w:after="0" w:line="207" w:lineRule="exact"/>
        <w:rPr>
          <w:sz w:val="20"/>
          <w:szCs w:val="20"/>
          <w:color w:val="auto"/>
        </w:rPr>
      </w:pPr>
    </w:p>
    <w:p>
      <w:pPr>
        <w:ind w:left="120" w:right="200"/>
        <w:spacing w:after="0" w:line="260" w:lineRule="auto"/>
        <w:rPr>
          <w:sz w:val="20"/>
          <w:szCs w:val="20"/>
          <w:color w:val="auto"/>
        </w:rPr>
      </w:pPr>
      <w:r>
        <w:rPr>
          <w:rFonts w:ascii="Arial" w:cs="Arial" w:eastAsia="Arial" w:hAnsi="Arial"/>
          <w:sz w:val="16"/>
          <w:szCs w:val="16"/>
          <w:color w:val="auto"/>
        </w:rPr>
        <w:t>In addition, our 2013 Incentive Plan and our 2021 Incentive Plan each provides for the recovery of awards made under the plan in accordance with any applicable compensation recovery or recoupment policy, including as required by law, regulation or national securities exchange rule.</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Policy Prohibiting Hedging and Limiting Pledging</w:t>
      </w:r>
    </w:p>
    <w:p>
      <w:pPr>
        <w:spacing w:after="0" w:line="124" w:lineRule="exact"/>
        <w:rPr>
          <w:sz w:val="20"/>
          <w:szCs w:val="20"/>
          <w:color w:val="auto"/>
        </w:rPr>
      </w:pPr>
    </w:p>
    <w:p>
      <w:pPr>
        <w:ind w:left="120" w:right="120"/>
        <w:spacing w:after="0" w:line="251" w:lineRule="auto"/>
        <w:rPr>
          <w:sz w:val="20"/>
          <w:szCs w:val="20"/>
          <w:color w:val="auto"/>
        </w:rPr>
      </w:pPr>
      <w:r>
        <w:rPr>
          <w:rFonts w:ascii="Arial" w:cs="Arial" w:eastAsia="Arial" w:hAnsi="Arial"/>
          <w:sz w:val="16"/>
          <w:szCs w:val="16"/>
          <w:color w:val="auto"/>
        </w:rPr>
        <w:t>Our Insider Trading Policy prohibits our employees, our executive officers, and the non-employee members of our Board of Directors from short-term trading, options trading, trading on margin, pledging our common stock as collateral, and all hedging transactions with respect to our securities, except our board members and executive officers may pledge up to 50% owned and vested stock as collateral for a loan subject to the approval of our Board of Directors.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4C4C4C"/>
        </w:rPr>
        <w:t>Tax and Accounting Considerations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Deductibility of Executive Compensation</w:t>
      </w:r>
    </w:p>
    <w:p>
      <w:pPr>
        <w:spacing w:after="0" w:line="104" w:lineRule="exact"/>
        <w:rPr>
          <w:sz w:val="20"/>
          <w:szCs w:val="20"/>
          <w:color w:val="auto"/>
        </w:rPr>
      </w:pPr>
    </w:p>
    <w:p>
      <w:pPr>
        <w:ind w:left="120"/>
        <w:spacing w:after="0" w:line="250" w:lineRule="auto"/>
        <w:rPr>
          <w:sz w:val="20"/>
          <w:szCs w:val="20"/>
          <w:color w:val="auto"/>
        </w:rPr>
      </w:pPr>
      <w:r>
        <w:rPr>
          <w:rFonts w:ascii="Arial" w:cs="Arial" w:eastAsia="Arial" w:hAnsi="Arial"/>
          <w:sz w:val="16"/>
          <w:szCs w:val="16"/>
          <w:color w:val="auto"/>
        </w:rPr>
        <w:t>Prior to the US Tax Cuts and Jobs Act enacted in December of 2017 (the “</w:t>
      </w:r>
      <w:r>
        <w:rPr>
          <w:rFonts w:ascii="Arial" w:cs="Arial" w:eastAsia="Arial" w:hAnsi="Arial"/>
          <w:sz w:val="16"/>
          <w:szCs w:val="16"/>
          <w:b w:val="1"/>
          <w:bCs w:val="1"/>
          <w:color w:val="auto"/>
        </w:rPr>
        <w:t>US Tax Act</w:t>
      </w:r>
      <w:r>
        <w:rPr>
          <w:rFonts w:ascii="Arial" w:cs="Arial" w:eastAsia="Arial" w:hAnsi="Arial"/>
          <w:sz w:val="16"/>
          <w:szCs w:val="16"/>
          <w:color w:val="auto"/>
        </w:rPr>
        <w:t>”), compensation that satisfied conditions set forth under Section 162(m) of the Internal Revenue Code to qualify as “performance-based compensation” was not subject to a $1 million limit on deductibility, and the limit did not apply to compensation paid to the Chief Financial Officer. The US Tax Act eliminates the performance-based compensation exception and applies the limit to the Chief Financial Officer and certain former executive officers. However, it provides a transition rule with respect to remuneration provided under a written contract which was in effect on November 2, 2017 and which was not materially modified after that date. With elimination of the exemption for performance-based compensation, we expect that we will be unable to deduct all compensation in excess of $1 million paid to our Chief Executive Officer, Chief Financial Officer and our other NEOs covered by the tax law, other than previously granted awards that comply with the transition rules. We monitor the application of Section 162(m) and the associated Treasury regulations on an ongoing basis and the advisability of qualifying executive compensation for deductibility. Notwithstanding the repeal of the exemption for “performance-based compensation,” the Compensation Committee intends to maintain its commitment to structuring our executive compensation program in a manner designed to align pay with performance.</w:t>
      </w:r>
    </w:p>
    <w:p>
      <w:pPr>
        <w:spacing w:after="0" w:line="29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Accounting for Stock-Based Compensation</w:t>
      </w:r>
    </w:p>
    <w:p>
      <w:pPr>
        <w:spacing w:after="0" w:line="124" w:lineRule="exact"/>
        <w:rPr>
          <w:sz w:val="20"/>
          <w:szCs w:val="20"/>
          <w:color w:val="auto"/>
        </w:rPr>
      </w:pPr>
    </w:p>
    <w:p>
      <w:pPr>
        <w:ind w:left="120" w:right="180"/>
        <w:spacing w:after="0" w:line="250" w:lineRule="auto"/>
        <w:rPr>
          <w:sz w:val="20"/>
          <w:szCs w:val="20"/>
          <w:color w:val="auto"/>
        </w:rPr>
      </w:pPr>
      <w:r>
        <w:rPr>
          <w:rFonts w:ascii="Arial" w:cs="Arial" w:eastAsia="Arial" w:hAnsi="Arial"/>
          <w:sz w:val="16"/>
          <w:szCs w:val="16"/>
          <w:color w:val="auto"/>
        </w:rPr>
        <w:t>We follow the Financial Accounting Standard Board’s Accounting Standards Codification Topic 718 (“FASB ASC Topic 718”) for our stock-based compensation awards. FASB ASC Topic 718 requires us to measure the compensation expense for all share-based payment awards made to our employees and non-employee members of our Board of Directors, including options to purchase shares of our common stock and other stock awards, based on the grant date “fair value” of these awards. This calculation is performed for accounting purposes and reported in the executive compensation tables required by the federal securities laws, even though the recipient of the awards may never realize any value from their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84455</wp:posOffset>
            </wp:positionV>
            <wp:extent cx="986155" cy="2057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1CE"/>
        </w:rPr>
        <w:t>36</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2022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1CE"/>
        </w:rPr>
        <w:t>Compensation Risk Assessment</w:t>
      </w:r>
    </w:p>
    <w:p>
      <w:pPr>
        <w:spacing w:after="0" w:line="372" w:lineRule="exact"/>
        <w:rPr>
          <w:sz w:val="20"/>
          <w:szCs w:val="20"/>
          <w:color w:val="auto"/>
        </w:rPr>
      </w:pPr>
    </w:p>
    <w:p>
      <w:pPr>
        <w:ind w:left="120" w:right="20"/>
        <w:spacing w:after="0" w:line="249" w:lineRule="auto"/>
        <w:rPr>
          <w:sz w:val="20"/>
          <w:szCs w:val="20"/>
          <w:color w:val="auto"/>
        </w:rPr>
      </w:pPr>
      <w:r>
        <w:rPr>
          <w:rFonts w:ascii="Arial" w:cs="Arial" w:eastAsia="Arial" w:hAnsi="Arial"/>
          <w:sz w:val="16"/>
          <w:szCs w:val="16"/>
          <w:color w:val="auto"/>
        </w:rPr>
        <w:t>In reviewing our various compensation programs, the Compensation Committee considers how our compensation policies and practices may affect our risk profile and whether such policies and practices may encourage undue risk-taking by our employees. More specifically, the Compensation Committee considers the general design philosophy of our policies and practices for our employees whose conduct would be most affected by incentives established pursuant to these compensation policies. In considering these issues, the Compensation Committee concluded that the use of a performance-based annual incentive compensation plan and long-term incentive compensation opportunities in the form of equity awards did not appear to create undue risks for us or encourage excessive risk-taking behavior on the part of our NEOs.</w:t>
      </w:r>
    </w:p>
    <w:p>
      <w:pPr>
        <w:spacing w:after="0" w:line="205" w:lineRule="exact"/>
        <w:rPr>
          <w:sz w:val="20"/>
          <w:szCs w:val="20"/>
          <w:color w:val="auto"/>
        </w:rPr>
      </w:pPr>
    </w:p>
    <w:p>
      <w:pPr>
        <w:ind w:left="120" w:right="40"/>
        <w:spacing w:after="0" w:line="248" w:lineRule="auto"/>
        <w:rPr>
          <w:sz w:val="20"/>
          <w:szCs w:val="20"/>
          <w:color w:val="auto"/>
        </w:rPr>
      </w:pPr>
      <w:r>
        <w:rPr>
          <w:rFonts w:ascii="Arial" w:cs="Arial" w:eastAsia="Arial" w:hAnsi="Arial"/>
          <w:sz w:val="16"/>
          <w:szCs w:val="16"/>
          <w:color w:val="auto"/>
        </w:rPr>
        <w:t>With respect to the annual incentive awards for our executive officers, the amount of an individual’s award depends principally on overall Company performance, as determined by the Compensation Committee, which reduces the ability and incentive for an individual to take undue risks at the expense of our performance in an effort to increase the amount of his or her annual incentive award. Our performance objectives are reviewed regularly by the Compensation Committee and our Board of Directors and are considered to be generally of the nature that promote the steady progression of our development programs and would not encourage or reward excessive risk-taking. In addition, our Board of Directors has the ability to intervene in instances where actions by our executive officers vis-à-vis Company performance objective attainment would be considered unduly risky to prevent or penalize such actions.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4C4C4C"/>
        </w:rPr>
        <w:t>Compensation Committee Report</w:t>
      </w:r>
    </w:p>
    <w:p>
      <w:pPr>
        <w:spacing w:after="0" w:line="128" w:lineRule="exact"/>
        <w:rPr>
          <w:sz w:val="20"/>
          <w:szCs w:val="20"/>
          <w:color w:val="auto"/>
        </w:rPr>
      </w:pPr>
    </w:p>
    <w:p>
      <w:pPr>
        <w:ind w:left="120" w:right="220"/>
        <w:spacing w:after="0" w:line="253" w:lineRule="auto"/>
        <w:rPr>
          <w:sz w:val="20"/>
          <w:szCs w:val="20"/>
          <w:color w:val="auto"/>
        </w:rPr>
      </w:pPr>
      <w:r>
        <w:rPr>
          <w:rFonts w:ascii="Arial" w:cs="Arial" w:eastAsia="Arial" w:hAnsi="Arial"/>
          <w:sz w:val="16"/>
          <w:szCs w:val="16"/>
          <w:color w:val="auto"/>
        </w:rPr>
        <w:t>The Compensation Committee of the Company has reviewed and discussed with management the Compensation Discussion and Analysis required by Item 402(b) of Regulation S-K. Based on this review and discussion, the Compensation Committee recommended to our Board of Directors that the foregoing Compensation Discussion and Analysis be included in this proxy statement.</w:t>
      </w:r>
    </w:p>
    <w:p>
      <w:pPr>
        <w:spacing w:after="0" w:line="20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Submitted by the Compensation</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Committee of the Board of Directors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William Waddill, Committee Chair</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Marianne De Backer</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Mauro Ferrari</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Adeoye Olukotun</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Michael Perry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96520</wp:posOffset>
            </wp:positionV>
            <wp:extent cx="986155" cy="2057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63" w:lineRule="exact"/>
        <w:rPr>
          <w:sz w:val="20"/>
          <w:szCs w:val="20"/>
          <w:color w:val="auto"/>
        </w:rPr>
      </w:pPr>
    </w:p>
    <w:p>
      <w:pPr>
        <w:ind w:left="10880"/>
        <w:spacing w:after="0"/>
        <w:rPr>
          <w:sz w:val="20"/>
          <w:szCs w:val="20"/>
          <w:color w:val="auto"/>
        </w:rPr>
      </w:pPr>
      <w:r>
        <w:rPr>
          <w:rFonts w:ascii="Arial" w:cs="Arial" w:eastAsia="Arial" w:hAnsi="Arial"/>
          <w:sz w:val="18"/>
          <w:szCs w:val="18"/>
          <w:b w:val="1"/>
          <w:bCs w:val="1"/>
          <w:color w:val="0071CE"/>
        </w:rPr>
        <w:t>37</w:t>
      </w:r>
    </w:p>
    <w:p>
      <w:pPr>
        <w:sectPr>
          <w:pgSz w:w="11900" w:h="16838" w:orient="portrait"/>
          <w:cols w:equalWidth="0" w:num="1">
            <w:col w:w="11140"/>
          </w:cols>
          <w:pgMar w:left="32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20"/>
        <w:spacing w:after="0"/>
        <w:tabs>
          <w:tab w:leader="none" w:pos="2020" w:val="left"/>
        </w:tabs>
        <w:rPr>
          <w:sz w:val="20"/>
          <w:szCs w:val="20"/>
          <w:color w:val="auto"/>
        </w:rPr>
      </w:pPr>
      <w:r>
        <w:rPr>
          <w:rFonts w:ascii="Arial" w:cs="Arial" w:eastAsia="Arial" w:hAnsi="Arial"/>
          <w:sz w:val="14"/>
          <w:szCs w:val="14"/>
          <w:b w:val="1"/>
          <w:bCs w:val="1"/>
          <w:color w:val="0071CE"/>
        </w:rPr>
        <w:t>2022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4C4C4C"/>
        </w:rPr>
        <w:t>Compensation Committee Interlocks and Insider Participation</w:t>
      </w:r>
    </w:p>
    <w:p>
      <w:pPr>
        <w:spacing w:after="0" w:line="128" w:lineRule="exact"/>
        <w:rPr>
          <w:sz w:val="20"/>
          <w:szCs w:val="20"/>
          <w:color w:val="auto"/>
        </w:rPr>
      </w:pPr>
    </w:p>
    <w:p>
      <w:pPr>
        <w:ind w:left="120" w:right="140"/>
        <w:spacing w:after="0" w:line="253" w:lineRule="auto"/>
        <w:rPr>
          <w:sz w:val="20"/>
          <w:szCs w:val="20"/>
          <w:color w:val="auto"/>
        </w:rPr>
      </w:pPr>
      <w:r>
        <w:rPr>
          <w:rFonts w:ascii="Arial" w:cs="Arial" w:eastAsia="Arial" w:hAnsi="Arial"/>
          <w:sz w:val="16"/>
          <w:szCs w:val="16"/>
          <w:color w:val="auto"/>
        </w:rPr>
        <w:t>During 2021, Dr. Perry, Dr. De Backer, Dr. Ferrari, Dr. Olukoton and Mr. Waddill served on the Compensation Committee. During fiscal year 2021 and through December 2021, there were no compensation committee interlocks between the Company and other entities involving the Company’s executive officers and directors.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C4C4C"/>
        </w:rPr>
        <w:t>Fiscal 2021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57150</wp:posOffset>
            </wp:positionV>
            <wp:extent cx="69951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6" w:lineRule="exact"/>
        <w:rPr>
          <w:sz w:val="20"/>
          <w:szCs w:val="20"/>
          <w:color w:val="auto"/>
        </w:rPr>
      </w:pPr>
    </w:p>
    <w:p>
      <w:pPr>
        <w:jc w:val="both"/>
        <w:ind w:left="120" w:right="140"/>
        <w:spacing w:after="0" w:line="253" w:lineRule="auto"/>
        <w:rPr>
          <w:sz w:val="20"/>
          <w:szCs w:val="20"/>
          <w:color w:val="auto"/>
        </w:rPr>
      </w:pPr>
      <w:r>
        <w:rPr>
          <w:rFonts w:ascii="Arial" w:cs="Arial" w:eastAsia="Arial" w:hAnsi="Arial"/>
          <w:sz w:val="16"/>
          <w:szCs w:val="16"/>
          <w:color w:val="auto"/>
        </w:rPr>
        <w:t>The following table summarizes compensation earned for services rendered during fiscal 2021, 2020, and 2019 by our Chief Executive Officer, our Chief Financial Officer, our General Counsel, Corporate Secretary and Compliance Officer, our Chief Medical Officer, our Senior Vice President Discovery and Translational Medicine, and our former Chief Commercial Officer, collectively our “Named Executive Officers”: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6"/>
        </w:trPr>
        <w:tc>
          <w:tcPr>
            <w:tcW w:w="2040" w:type="dxa"/>
            <w:vAlign w:val="bottom"/>
            <w:shd w:val="clear" w:color="auto" w:fill="0071CE"/>
          </w:tcPr>
          <w:p>
            <w:pPr>
              <w:spacing w:after="0"/>
              <w:rPr>
                <w:sz w:val="15"/>
                <w:szCs w:val="15"/>
                <w:color w:val="auto"/>
              </w:rPr>
            </w:pPr>
          </w:p>
        </w:tc>
        <w:tc>
          <w:tcPr>
            <w:tcW w:w="200" w:type="dxa"/>
            <w:vAlign w:val="bottom"/>
            <w:shd w:val="clear" w:color="auto" w:fill="0071CE"/>
          </w:tcPr>
          <w:p>
            <w:pPr>
              <w:spacing w:after="0"/>
              <w:rPr>
                <w:sz w:val="15"/>
                <w:szCs w:val="15"/>
                <w:color w:val="auto"/>
              </w:rPr>
            </w:pPr>
          </w:p>
        </w:tc>
        <w:tc>
          <w:tcPr>
            <w:tcW w:w="60" w:type="dxa"/>
            <w:vAlign w:val="bottom"/>
            <w:shd w:val="clear" w:color="auto" w:fill="0071CE"/>
          </w:tcPr>
          <w:p>
            <w:pPr>
              <w:spacing w:after="0"/>
              <w:rPr>
                <w:sz w:val="15"/>
                <w:szCs w:val="15"/>
                <w:color w:val="auto"/>
              </w:rPr>
            </w:pPr>
          </w:p>
        </w:tc>
        <w:tc>
          <w:tcPr>
            <w:tcW w:w="480" w:type="dxa"/>
            <w:vAlign w:val="bottom"/>
            <w:shd w:val="clear" w:color="auto" w:fill="0071CE"/>
          </w:tcPr>
          <w:p>
            <w:pPr>
              <w:spacing w:after="0"/>
              <w:rPr>
                <w:sz w:val="15"/>
                <w:szCs w:val="15"/>
                <w:color w:val="auto"/>
              </w:rPr>
            </w:pPr>
          </w:p>
        </w:tc>
        <w:tc>
          <w:tcPr>
            <w:tcW w:w="860" w:type="dxa"/>
            <w:vAlign w:val="bottom"/>
            <w:shd w:val="clear" w:color="auto" w:fill="0071CE"/>
          </w:tcPr>
          <w:p>
            <w:pPr>
              <w:spacing w:after="0"/>
              <w:rPr>
                <w:sz w:val="15"/>
                <w:szCs w:val="15"/>
                <w:color w:val="auto"/>
              </w:rPr>
            </w:pPr>
          </w:p>
        </w:tc>
        <w:tc>
          <w:tcPr>
            <w:tcW w:w="900" w:type="dxa"/>
            <w:vAlign w:val="bottom"/>
            <w:shd w:val="clear" w:color="auto" w:fill="0071CE"/>
          </w:tcPr>
          <w:p>
            <w:pPr>
              <w:spacing w:after="0"/>
              <w:rPr>
                <w:sz w:val="15"/>
                <w:szCs w:val="15"/>
                <w:color w:val="auto"/>
              </w:rPr>
            </w:pPr>
          </w:p>
        </w:tc>
        <w:tc>
          <w:tcPr>
            <w:tcW w:w="1420" w:type="dxa"/>
            <w:vAlign w:val="bottom"/>
            <w:shd w:val="clear" w:color="auto" w:fill="0071CE"/>
          </w:tcPr>
          <w:p>
            <w:pPr>
              <w:spacing w:after="0"/>
              <w:rPr>
                <w:sz w:val="15"/>
                <w:szCs w:val="15"/>
                <w:color w:val="auto"/>
              </w:rPr>
            </w:pPr>
          </w:p>
        </w:tc>
        <w:tc>
          <w:tcPr>
            <w:tcW w:w="1920" w:type="dxa"/>
            <w:vAlign w:val="bottom"/>
            <w:shd w:val="clear" w:color="auto" w:fill="0071CE"/>
          </w:tcPr>
          <w:p>
            <w:pPr>
              <w:jc w:val="center"/>
              <w:ind w:right="101"/>
              <w:spacing w:after="0"/>
              <w:rPr>
                <w:sz w:val="20"/>
                <w:szCs w:val="20"/>
                <w:color w:val="auto"/>
              </w:rPr>
            </w:pPr>
            <w:r>
              <w:rPr>
                <w:rFonts w:ascii="Arial" w:cs="Arial" w:eastAsia="Arial" w:hAnsi="Arial"/>
                <w:sz w:val="14"/>
                <w:szCs w:val="14"/>
                <w:b w:val="1"/>
                <w:bCs w:val="1"/>
                <w:color w:val="FFFFFF"/>
              </w:rPr>
              <w:t>Non-Equity</w:t>
            </w:r>
          </w:p>
        </w:tc>
        <w:tc>
          <w:tcPr>
            <w:tcW w:w="1920" w:type="dxa"/>
            <w:vAlign w:val="bottom"/>
            <w:shd w:val="clear" w:color="auto" w:fill="0071CE"/>
          </w:tcPr>
          <w:p>
            <w:pPr>
              <w:spacing w:after="0"/>
              <w:rPr>
                <w:sz w:val="15"/>
                <w:szCs w:val="15"/>
                <w:color w:val="auto"/>
              </w:rPr>
            </w:pPr>
          </w:p>
        </w:tc>
        <w:tc>
          <w:tcPr>
            <w:tcW w:w="1220" w:type="dxa"/>
            <w:vAlign w:val="bottom"/>
            <w:shd w:val="clear" w:color="auto" w:fill="0071C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0071CE"/>
          </w:tcPr>
          <w:p>
            <w:pPr>
              <w:spacing w:after="0"/>
              <w:rPr>
                <w:sz w:val="14"/>
                <w:szCs w:val="14"/>
                <w:color w:val="auto"/>
              </w:rPr>
            </w:pPr>
          </w:p>
        </w:tc>
        <w:tc>
          <w:tcPr>
            <w:tcW w:w="200" w:type="dxa"/>
            <w:vAlign w:val="bottom"/>
            <w:shd w:val="clear" w:color="auto" w:fill="0071CE"/>
          </w:tcPr>
          <w:p>
            <w:pPr>
              <w:spacing w:after="0"/>
              <w:rPr>
                <w:sz w:val="14"/>
                <w:szCs w:val="14"/>
                <w:color w:val="auto"/>
              </w:rPr>
            </w:pPr>
          </w:p>
        </w:tc>
        <w:tc>
          <w:tcPr>
            <w:tcW w:w="60" w:type="dxa"/>
            <w:vAlign w:val="bottom"/>
            <w:shd w:val="clear" w:color="auto" w:fill="0071CE"/>
          </w:tcPr>
          <w:p>
            <w:pPr>
              <w:spacing w:after="0"/>
              <w:rPr>
                <w:sz w:val="14"/>
                <w:szCs w:val="14"/>
                <w:color w:val="auto"/>
              </w:rPr>
            </w:pPr>
          </w:p>
        </w:tc>
        <w:tc>
          <w:tcPr>
            <w:tcW w:w="480" w:type="dxa"/>
            <w:vAlign w:val="bottom"/>
            <w:shd w:val="clear" w:color="auto" w:fill="0071CE"/>
          </w:tcPr>
          <w:p>
            <w:pPr>
              <w:spacing w:after="0"/>
              <w:rPr>
                <w:sz w:val="14"/>
                <w:szCs w:val="14"/>
                <w:color w:val="auto"/>
              </w:rPr>
            </w:pPr>
          </w:p>
        </w:tc>
        <w:tc>
          <w:tcPr>
            <w:tcW w:w="860" w:type="dxa"/>
            <w:vAlign w:val="bottom"/>
            <w:shd w:val="clear" w:color="auto" w:fill="0071CE"/>
          </w:tcPr>
          <w:p>
            <w:pPr>
              <w:spacing w:after="0"/>
              <w:rPr>
                <w:sz w:val="14"/>
                <w:szCs w:val="14"/>
                <w:color w:val="auto"/>
              </w:rPr>
            </w:pPr>
          </w:p>
        </w:tc>
        <w:tc>
          <w:tcPr>
            <w:tcW w:w="900" w:type="dxa"/>
            <w:vAlign w:val="bottom"/>
            <w:shd w:val="clear" w:color="auto" w:fill="0071CE"/>
          </w:tcPr>
          <w:p>
            <w:pPr>
              <w:spacing w:after="0"/>
              <w:rPr>
                <w:sz w:val="14"/>
                <w:szCs w:val="14"/>
                <w:color w:val="auto"/>
              </w:rPr>
            </w:pPr>
          </w:p>
        </w:tc>
        <w:tc>
          <w:tcPr>
            <w:tcW w:w="1420" w:type="dxa"/>
            <w:vAlign w:val="bottom"/>
            <w:shd w:val="clear" w:color="auto" w:fill="0071CE"/>
          </w:tcPr>
          <w:p>
            <w:pPr>
              <w:jc w:val="center"/>
              <w:ind w:right="140"/>
              <w:spacing w:after="0"/>
              <w:rPr>
                <w:sz w:val="20"/>
                <w:szCs w:val="20"/>
                <w:color w:val="auto"/>
              </w:rPr>
            </w:pPr>
            <w:r>
              <w:rPr>
                <w:rFonts w:ascii="Arial" w:cs="Arial" w:eastAsia="Arial" w:hAnsi="Arial"/>
                <w:sz w:val="14"/>
                <w:szCs w:val="14"/>
                <w:b w:val="1"/>
                <w:bCs w:val="1"/>
                <w:color w:val="FFFFFF"/>
              </w:rPr>
              <w:t>Stock</w:t>
            </w:r>
          </w:p>
        </w:tc>
        <w:tc>
          <w:tcPr>
            <w:tcW w:w="1920" w:type="dxa"/>
            <w:vAlign w:val="bottom"/>
            <w:shd w:val="clear" w:color="auto" w:fill="0071CE"/>
          </w:tcPr>
          <w:p>
            <w:pPr>
              <w:jc w:val="center"/>
              <w:ind w:right="101"/>
              <w:spacing w:after="0"/>
              <w:rPr>
                <w:sz w:val="20"/>
                <w:szCs w:val="20"/>
                <w:color w:val="auto"/>
              </w:rPr>
            </w:pPr>
            <w:r>
              <w:rPr>
                <w:rFonts w:ascii="Arial" w:cs="Arial" w:eastAsia="Arial" w:hAnsi="Arial"/>
                <w:sz w:val="14"/>
                <w:szCs w:val="14"/>
                <w:b w:val="1"/>
                <w:bCs w:val="1"/>
                <w:color w:val="FFFFFF"/>
              </w:rPr>
              <w:t>Incentive Plan</w:t>
            </w:r>
          </w:p>
        </w:tc>
        <w:tc>
          <w:tcPr>
            <w:tcW w:w="1920" w:type="dxa"/>
            <w:vAlign w:val="bottom"/>
            <w:shd w:val="clear" w:color="auto" w:fill="0071CE"/>
          </w:tcPr>
          <w:p>
            <w:pPr>
              <w:jc w:val="center"/>
              <w:ind w:left="40"/>
              <w:spacing w:after="0"/>
              <w:rPr>
                <w:sz w:val="20"/>
                <w:szCs w:val="20"/>
                <w:color w:val="auto"/>
              </w:rPr>
            </w:pPr>
            <w:r>
              <w:rPr>
                <w:rFonts w:ascii="Arial" w:cs="Arial" w:eastAsia="Arial" w:hAnsi="Arial"/>
                <w:sz w:val="14"/>
                <w:szCs w:val="14"/>
                <w:b w:val="1"/>
                <w:bCs w:val="1"/>
                <w:color w:val="FFFFFF"/>
              </w:rPr>
              <w:t>All Other</w:t>
            </w:r>
          </w:p>
        </w:tc>
        <w:tc>
          <w:tcPr>
            <w:tcW w:w="1220" w:type="dxa"/>
            <w:vAlign w:val="bottom"/>
            <w:shd w:val="clear" w:color="auto" w:fill="0071C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0071CE"/>
          </w:tcPr>
          <w:p>
            <w:pPr>
              <w:ind w:left="160"/>
              <w:spacing w:after="0"/>
              <w:rPr>
                <w:sz w:val="20"/>
                <w:szCs w:val="20"/>
                <w:color w:val="auto"/>
              </w:rPr>
            </w:pPr>
            <w:r>
              <w:rPr>
                <w:rFonts w:ascii="Arial" w:cs="Arial" w:eastAsia="Arial" w:hAnsi="Arial"/>
                <w:sz w:val="14"/>
                <w:szCs w:val="14"/>
                <w:b w:val="1"/>
                <w:bCs w:val="1"/>
                <w:color w:val="FFFFFF"/>
              </w:rPr>
              <w:t>Name and</w:t>
            </w:r>
          </w:p>
        </w:tc>
        <w:tc>
          <w:tcPr>
            <w:tcW w:w="200" w:type="dxa"/>
            <w:vAlign w:val="bottom"/>
            <w:shd w:val="clear" w:color="auto" w:fill="0071CE"/>
          </w:tcPr>
          <w:p>
            <w:pPr>
              <w:spacing w:after="0"/>
              <w:rPr>
                <w:sz w:val="14"/>
                <w:szCs w:val="14"/>
                <w:color w:val="auto"/>
              </w:rPr>
            </w:pPr>
          </w:p>
        </w:tc>
        <w:tc>
          <w:tcPr>
            <w:tcW w:w="60" w:type="dxa"/>
            <w:vAlign w:val="bottom"/>
            <w:shd w:val="clear" w:color="auto" w:fill="0071CE"/>
          </w:tcPr>
          <w:p>
            <w:pPr>
              <w:spacing w:after="0"/>
              <w:rPr>
                <w:sz w:val="14"/>
                <w:szCs w:val="14"/>
                <w:color w:val="auto"/>
              </w:rPr>
            </w:pPr>
          </w:p>
        </w:tc>
        <w:tc>
          <w:tcPr>
            <w:tcW w:w="480" w:type="dxa"/>
            <w:vAlign w:val="bottom"/>
            <w:shd w:val="clear" w:color="auto" w:fill="0071CE"/>
          </w:tcPr>
          <w:p>
            <w:pPr>
              <w:spacing w:after="0"/>
              <w:rPr>
                <w:sz w:val="14"/>
                <w:szCs w:val="14"/>
                <w:color w:val="auto"/>
              </w:rPr>
            </w:pPr>
          </w:p>
        </w:tc>
        <w:tc>
          <w:tcPr>
            <w:tcW w:w="860" w:type="dxa"/>
            <w:vAlign w:val="bottom"/>
            <w:shd w:val="clear" w:color="auto" w:fill="0071CE"/>
          </w:tcPr>
          <w:p>
            <w:pPr>
              <w:jc w:val="right"/>
              <w:ind w:right="180"/>
              <w:spacing w:after="0"/>
              <w:rPr>
                <w:sz w:val="20"/>
                <w:szCs w:val="20"/>
                <w:color w:val="auto"/>
              </w:rPr>
            </w:pPr>
            <w:r>
              <w:rPr>
                <w:rFonts w:ascii="Arial" w:cs="Arial" w:eastAsia="Arial" w:hAnsi="Arial"/>
                <w:sz w:val="14"/>
                <w:szCs w:val="14"/>
                <w:b w:val="1"/>
                <w:bCs w:val="1"/>
                <w:color w:val="FFFFFF"/>
              </w:rPr>
              <w:t>Salary</w:t>
            </w:r>
          </w:p>
        </w:tc>
        <w:tc>
          <w:tcPr>
            <w:tcW w:w="900" w:type="dxa"/>
            <w:vAlign w:val="bottom"/>
            <w:shd w:val="clear" w:color="auto" w:fill="0071CE"/>
          </w:tcPr>
          <w:p>
            <w:pPr>
              <w:jc w:val="right"/>
              <w:ind w:right="200"/>
              <w:spacing w:after="0"/>
              <w:rPr>
                <w:sz w:val="20"/>
                <w:szCs w:val="20"/>
                <w:color w:val="auto"/>
              </w:rPr>
            </w:pPr>
            <w:r>
              <w:rPr>
                <w:rFonts w:ascii="Arial" w:cs="Arial" w:eastAsia="Arial" w:hAnsi="Arial"/>
                <w:sz w:val="14"/>
                <w:szCs w:val="14"/>
                <w:b w:val="1"/>
                <w:bCs w:val="1"/>
                <w:color w:val="FFFFFF"/>
              </w:rPr>
              <w:t>Bonus</w:t>
            </w:r>
          </w:p>
        </w:tc>
        <w:tc>
          <w:tcPr>
            <w:tcW w:w="1420" w:type="dxa"/>
            <w:vAlign w:val="bottom"/>
            <w:shd w:val="clear" w:color="auto" w:fill="0071CE"/>
          </w:tcPr>
          <w:p>
            <w:pPr>
              <w:jc w:val="center"/>
              <w:ind w:right="140"/>
              <w:spacing w:after="0"/>
              <w:rPr>
                <w:sz w:val="20"/>
                <w:szCs w:val="20"/>
                <w:color w:val="auto"/>
              </w:rPr>
            </w:pPr>
            <w:r>
              <w:rPr>
                <w:rFonts w:ascii="Arial" w:cs="Arial" w:eastAsia="Arial" w:hAnsi="Arial"/>
                <w:sz w:val="14"/>
                <w:szCs w:val="14"/>
                <w:b w:val="1"/>
                <w:bCs w:val="1"/>
                <w:color w:val="FFFFFF"/>
              </w:rPr>
              <w:t>Awards (1)</w:t>
            </w:r>
          </w:p>
        </w:tc>
        <w:tc>
          <w:tcPr>
            <w:tcW w:w="1920" w:type="dxa"/>
            <w:vAlign w:val="bottom"/>
            <w:shd w:val="clear" w:color="auto" w:fill="0071CE"/>
          </w:tcPr>
          <w:p>
            <w:pPr>
              <w:jc w:val="center"/>
              <w:ind w:right="101"/>
              <w:spacing w:after="0"/>
              <w:rPr>
                <w:sz w:val="20"/>
                <w:szCs w:val="20"/>
                <w:color w:val="auto"/>
              </w:rPr>
            </w:pPr>
            <w:r>
              <w:rPr>
                <w:rFonts w:ascii="Arial" w:cs="Arial" w:eastAsia="Arial" w:hAnsi="Arial"/>
                <w:sz w:val="14"/>
                <w:szCs w:val="14"/>
                <w:b w:val="1"/>
                <w:bCs w:val="1"/>
                <w:color w:val="FFFFFF"/>
              </w:rPr>
              <w:t>Compensation (2)</w:t>
            </w:r>
          </w:p>
        </w:tc>
        <w:tc>
          <w:tcPr>
            <w:tcW w:w="1920" w:type="dxa"/>
            <w:vAlign w:val="bottom"/>
            <w:shd w:val="clear" w:color="auto" w:fill="0071CE"/>
          </w:tcPr>
          <w:p>
            <w:pPr>
              <w:jc w:val="center"/>
              <w:ind w:left="60"/>
              <w:spacing w:after="0"/>
              <w:rPr>
                <w:sz w:val="20"/>
                <w:szCs w:val="20"/>
                <w:color w:val="auto"/>
              </w:rPr>
            </w:pPr>
            <w:r>
              <w:rPr>
                <w:rFonts w:ascii="Arial" w:cs="Arial" w:eastAsia="Arial" w:hAnsi="Arial"/>
                <w:sz w:val="14"/>
                <w:szCs w:val="14"/>
                <w:b w:val="1"/>
                <w:bCs w:val="1"/>
                <w:color w:val="FFFFFF"/>
              </w:rPr>
              <w:t>Compensation (3)</w:t>
            </w:r>
          </w:p>
        </w:tc>
        <w:tc>
          <w:tcPr>
            <w:tcW w:w="1220" w:type="dxa"/>
            <w:vAlign w:val="bottom"/>
            <w:shd w:val="clear" w:color="auto" w:fill="0071C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40" w:type="dxa"/>
            <w:vAlign w:val="bottom"/>
            <w:tcBorders>
              <w:bottom w:val="single" w:sz="8" w:color="0071CE"/>
            </w:tcBorders>
            <w:shd w:val="clear" w:color="auto" w:fill="0071CE"/>
          </w:tcPr>
          <w:p>
            <w:pPr>
              <w:ind w:left="160"/>
              <w:spacing w:after="0"/>
              <w:rPr>
                <w:sz w:val="20"/>
                <w:szCs w:val="20"/>
                <w:color w:val="auto"/>
              </w:rPr>
            </w:pPr>
            <w:r>
              <w:rPr>
                <w:rFonts w:ascii="Arial" w:cs="Arial" w:eastAsia="Arial" w:hAnsi="Arial"/>
                <w:sz w:val="14"/>
                <w:szCs w:val="14"/>
                <w:b w:val="1"/>
                <w:bCs w:val="1"/>
                <w:color w:val="FFFFFF"/>
              </w:rPr>
              <w:t>Principal Position</w:t>
            </w:r>
          </w:p>
        </w:tc>
        <w:tc>
          <w:tcPr>
            <w:tcW w:w="200" w:type="dxa"/>
            <w:vAlign w:val="bottom"/>
            <w:tcBorders>
              <w:bottom w:val="single" w:sz="8" w:color="0071CE"/>
            </w:tcBorders>
            <w:shd w:val="clear" w:color="auto" w:fill="0071CE"/>
          </w:tcPr>
          <w:p>
            <w:pPr>
              <w:spacing w:after="0"/>
              <w:rPr>
                <w:sz w:val="17"/>
                <w:szCs w:val="17"/>
                <w:color w:val="auto"/>
              </w:rPr>
            </w:pPr>
          </w:p>
        </w:tc>
        <w:tc>
          <w:tcPr>
            <w:tcW w:w="540" w:type="dxa"/>
            <w:vAlign w:val="bottom"/>
            <w:tcBorders>
              <w:bottom w:val="single" w:sz="8" w:color="0071CE"/>
            </w:tcBorders>
            <w:gridSpan w:val="2"/>
            <w:shd w:val="clear" w:color="auto" w:fill="0071CE"/>
          </w:tcPr>
          <w:p>
            <w:pPr>
              <w:jc w:val="right"/>
              <w:ind w:right="119"/>
              <w:spacing w:after="0"/>
              <w:rPr>
                <w:sz w:val="20"/>
                <w:szCs w:val="20"/>
                <w:color w:val="auto"/>
              </w:rPr>
            </w:pPr>
            <w:r>
              <w:rPr>
                <w:rFonts w:ascii="Arial" w:cs="Arial" w:eastAsia="Arial" w:hAnsi="Arial"/>
                <w:sz w:val="14"/>
                <w:szCs w:val="14"/>
                <w:b w:val="1"/>
                <w:bCs w:val="1"/>
                <w:color w:val="FFFFFF"/>
              </w:rPr>
              <w:t>Year</w:t>
            </w:r>
          </w:p>
        </w:tc>
        <w:tc>
          <w:tcPr>
            <w:tcW w:w="860" w:type="dxa"/>
            <w:vAlign w:val="bottom"/>
            <w:tcBorders>
              <w:bottom w:val="single" w:sz="8" w:color="0071CE"/>
            </w:tcBorders>
            <w:shd w:val="clear" w:color="auto" w:fill="0071CE"/>
          </w:tcPr>
          <w:p>
            <w:pPr>
              <w:jc w:val="right"/>
              <w:ind w:right="320"/>
              <w:spacing w:after="0"/>
              <w:rPr>
                <w:sz w:val="20"/>
                <w:szCs w:val="20"/>
                <w:color w:val="auto"/>
              </w:rPr>
            </w:pPr>
            <w:r>
              <w:rPr>
                <w:rFonts w:ascii="Arial" w:cs="Arial" w:eastAsia="Arial" w:hAnsi="Arial"/>
                <w:sz w:val="14"/>
                <w:szCs w:val="14"/>
                <w:b w:val="1"/>
                <w:bCs w:val="1"/>
                <w:color w:val="FFFFFF"/>
              </w:rPr>
              <w:t>($)</w:t>
            </w:r>
          </w:p>
        </w:tc>
        <w:tc>
          <w:tcPr>
            <w:tcW w:w="900" w:type="dxa"/>
            <w:vAlign w:val="bottom"/>
            <w:tcBorders>
              <w:bottom w:val="single" w:sz="8" w:color="0071CE"/>
            </w:tcBorders>
            <w:shd w:val="clear" w:color="auto" w:fill="0071CE"/>
          </w:tcPr>
          <w:p>
            <w:pPr>
              <w:jc w:val="right"/>
              <w:ind w:right="320"/>
              <w:spacing w:after="0"/>
              <w:rPr>
                <w:sz w:val="20"/>
                <w:szCs w:val="20"/>
                <w:color w:val="auto"/>
              </w:rPr>
            </w:pPr>
            <w:r>
              <w:rPr>
                <w:rFonts w:ascii="Arial" w:cs="Arial" w:eastAsia="Arial" w:hAnsi="Arial"/>
                <w:sz w:val="14"/>
                <w:szCs w:val="14"/>
                <w:b w:val="1"/>
                <w:bCs w:val="1"/>
                <w:color w:val="FFFFFF"/>
              </w:rPr>
              <w:t>(S)</w:t>
            </w:r>
          </w:p>
        </w:tc>
        <w:tc>
          <w:tcPr>
            <w:tcW w:w="1420" w:type="dxa"/>
            <w:vAlign w:val="bottom"/>
            <w:tcBorders>
              <w:bottom w:val="single" w:sz="8" w:color="0071CE"/>
            </w:tcBorders>
            <w:shd w:val="clear" w:color="auto" w:fill="0071CE"/>
          </w:tcPr>
          <w:p>
            <w:pPr>
              <w:jc w:val="center"/>
              <w:ind w:right="140"/>
              <w:spacing w:after="0"/>
              <w:rPr>
                <w:sz w:val="20"/>
                <w:szCs w:val="20"/>
                <w:color w:val="auto"/>
              </w:rPr>
            </w:pPr>
            <w:r>
              <w:rPr>
                <w:rFonts w:ascii="Arial" w:cs="Arial" w:eastAsia="Arial" w:hAnsi="Arial"/>
                <w:sz w:val="14"/>
                <w:szCs w:val="14"/>
                <w:b w:val="1"/>
                <w:bCs w:val="1"/>
                <w:color w:val="FFFFFF"/>
                <w:w w:val="93"/>
              </w:rPr>
              <w:t>($)</w:t>
            </w:r>
          </w:p>
        </w:tc>
        <w:tc>
          <w:tcPr>
            <w:tcW w:w="1920" w:type="dxa"/>
            <w:vAlign w:val="bottom"/>
            <w:tcBorders>
              <w:bottom w:val="single" w:sz="8" w:color="0071CE"/>
            </w:tcBorders>
            <w:shd w:val="clear" w:color="auto" w:fill="0071CE"/>
          </w:tcPr>
          <w:p>
            <w:pPr>
              <w:jc w:val="center"/>
              <w:ind w:right="101"/>
              <w:spacing w:after="0"/>
              <w:rPr>
                <w:sz w:val="20"/>
                <w:szCs w:val="20"/>
                <w:color w:val="auto"/>
              </w:rPr>
            </w:pPr>
            <w:r>
              <w:rPr>
                <w:rFonts w:ascii="Arial" w:cs="Arial" w:eastAsia="Arial" w:hAnsi="Arial"/>
                <w:sz w:val="14"/>
                <w:szCs w:val="14"/>
                <w:b w:val="1"/>
                <w:bCs w:val="1"/>
                <w:color w:val="FFFFFF"/>
              </w:rPr>
              <w:t>($)</w:t>
            </w:r>
          </w:p>
        </w:tc>
        <w:tc>
          <w:tcPr>
            <w:tcW w:w="1920" w:type="dxa"/>
            <w:vAlign w:val="bottom"/>
            <w:tcBorders>
              <w:bottom w:val="single" w:sz="8" w:color="0071CE"/>
            </w:tcBorders>
            <w:shd w:val="clear" w:color="auto" w:fill="0071CE"/>
          </w:tcPr>
          <w:p>
            <w:pPr>
              <w:jc w:val="center"/>
              <w:ind w:left="60"/>
              <w:spacing w:after="0"/>
              <w:rPr>
                <w:sz w:val="20"/>
                <w:szCs w:val="20"/>
                <w:color w:val="auto"/>
              </w:rPr>
            </w:pPr>
            <w:r>
              <w:rPr>
                <w:rFonts w:ascii="Arial" w:cs="Arial" w:eastAsia="Arial" w:hAnsi="Arial"/>
                <w:sz w:val="14"/>
                <w:szCs w:val="14"/>
                <w:b w:val="1"/>
                <w:bCs w:val="1"/>
                <w:color w:val="FFFFFF"/>
              </w:rPr>
              <w:t>($)</w:t>
            </w:r>
          </w:p>
        </w:tc>
        <w:tc>
          <w:tcPr>
            <w:tcW w:w="1220" w:type="dxa"/>
            <w:vAlign w:val="bottom"/>
            <w:tcBorders>
              <w:bottom w:val="single" w:sz="8" w:color="0071CE"/>
            </w:tcBorders>
            <w:shd w:val="clear" w:color="auto" w:fill="0071CE"/>
          </w:tcPr>
          <w:p>
            <w:pPr>
              <w:jc w:val="right"/>
              <w:ind w:right="279"/>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237"/>
        </w:trPr>
        <w:tc>
          <w:tcPr>
            <w:tcW w:w="2040" w:type="dxa"/>
            <w:vAlign w:val="bottom"/>
            <w:shd w:val="clear" w:color="auto" w:fill="E5E5E5"/>
          </w:tcPr>
          <w:p>
            <w:pPr>
              <w:ind w:left="140"/>
              <w:spacing w:after="0"/>
              <w:rPr>
                <w:sz w:val="20"/>
                <w:szCs w:val="20"/>
                <w:color w:val="auto"/>
              </w:rPr>
            </w:pPr>
            <w:r>
              <w:rPr>
                <w:rFonts w:ascii="Arial" w:cs="Arial" w:eastAsia="Arial" w:hAnsi="Arial"/>
                <w:sz w:val="16"/>
                <w:szCs w:val="16"/>
                <w:b w:val="1"/>
                <w:bCs w:val="1"/>
                <w:color w:val="0071CE"/>
              </w:rPr>
              <w:t>Christopher Anzalone</w:t>
            </w:r>
          </w:p>
        </w:tc>
        <w:tc>
          <w:tcPr>
            <w:tcW w:w="740" w:type="dxa"/>
            <w:vAlign w:val="bottom"/>
            <w:gridSpan w:val="3"/>
            <w:shd w:val="clear" w:color="auto" w:fill="E5E5E5"/>
          </w:tcPr>
          <w:p>
            <w:pPr>
              <w:jc w:val="right"/>
              <w:ind w:right="39"/>
              <w:spacing w:after="0"/>
              <w:rPr>
                <w:sz w:val="20"/>
                <w:szCs w:val="20"/>
                <w:color w:val="auto"/>
              </w:rPr>
            </w:pPr>
            <w:r>
              <w:rPr>
                <w:rFonts w:ascii="Arial" w:cs="Arial" w:eastAsia="Arial" w:hAnsi="Arial"/>
                <w:sz w:val="16"/>
                <w:szCs w:val="16"/>
                <w:color w:val="auto"/>
              </w:rPr>
              <w:t>2021</w:t>
            </w:r>
          </w:p>
        </w:tc>
        <w:tc>
          <w:tcPr>
            <w:tcW w:w="860" w:type="dxa"/>
            <w:vAlign w:val="bottom"/>
            <w:shd w:val="clear" w:color="auto" w:fill="E5E5E5"/>
          </w:tcPr>
          <w:p>
            <w:pPr>
              <w:jc w:val="right"/>
              <w:ind w:right="60"/>
              <w:spacing w:after="0"/>
              <w:rPr>
                <w:sz w:val="20"/>
                <w:szCs w:val="20"/>
                <w:color w:val="auto"/>
              </w:rPr>
            </w:pPr>
            <w:r>
              <w:rPr>
                <w:rFonts w:ascii="Arial" w:cs="Arial" w:eastAsia="Arial" w:hAnsi="Arial"/>
                <w:sz w:val="16"/>
                <w:szCs w:val="16"/>
                <w:color w:val="auto"/>
              </w:rPr>
              <w:t>837,031</w:t>
            </w:r>
          </w:p>
        </w:tc>
        <w:tc>
          <w:tcPr>
            <w:tcW w:w="900" w:type="dxa"/>
            <w:vAlign w:val="bottom"/>
            <w:shd w:val="clear" w:color="auto" w:fill="E5E5E5"/>
          </w:tcPr>
          <w:p>
            <w:pPr>
              <w:jc w:val="right"/>
              <w:ind w:right="80"/>
              <w:spacing w:after="0"/>
              <w:rPr>
                <w:sz w:val="20"/>
                <w:szCs w:val="20"/>
                <w:color w:val="auto"/>
              </w:rPr>
            </w:pPr>
            <w:r>
              <w:rPr>
                <w:rFonts w:ascii="Arial" w:cs="Arial" w:eastAsia="Arial" w:hAnsi="Arial"/>
                <w:sz w:val="16"/>
                <w:szCs w:val="16"/>
                <w:color w:val="auto"/>
              </w:rPr>
              <w:t>—</w:t>
            </w:r>
          </w:p>
        </w:tc>
        <w:tc>
          <w:tcPr>
            <w:tcW w:w="1420" w:type="dxa"/>
            <w:vAlign w:val="bottom"/>
            <w:shd w:val="clear" w:color="auto" w:fill="E5E5E5"/>
          </w:tcPr>
          <w:p>
            <w:pPr>
              <w:jc w:val="right"/>
              <w:ind w:right="180"/>
              <w:spacing w:after="0"/>
              <w:rPr>
                <w:sz w:val="20"/>
                <w:szCs w:val="20"/>
                <w:color w:val="auto"/>
              </w:rPr>
            </w:pPr>
            <w:r>
              <w:rPr>
                <w:rFonts w:ascii="Arial" w:cs="Arial" w:eastAsia="Arial" w:hAnsi="Arial"/>
                <w:sz w:val="16"/>
                <w:szCs w:val="16"/>
                <w:color w:val="auto"/>
              </w:rPr>
              <w:t>23,019,000(4)</w:t>
            </w:r>
          </w:p>
        </w:tc>
        <w:tc>
          <w:tcPr>
            <w:tcW w:w="1920" w:type="dxa"/>
            <w:vAlign w:val="bottom"/>
            <w:shd w:val="clear" w:color="auto" w:fill="E5E5E5"/>
          </w:tcPr>
          <w:p>
            <w:pPr>
              <w:jc w:val="right"/>
              <w:ind w:right="581"/>
              <w:spacing w:after="0"/>
              <w:rPr>
                <w:sz w:val="20"/>
                <w:szCs w:val="20"/>
                <w:color w:val="auto"/>
              </w:rPr>
            </w:pPr>
            <w:r>
              <w:rPr>
                <w:rFonts w:ascii="Arial" w:cs="Arial" w:eastAsia="Arial" w:hAnsi="Arial"/>
                <w:sz w:val="16"/>
                <w:szCs w:val="16"/>
                <w:color w:val="auto"/>
              </w:rPr>
              <w:t>845,000</w:t>
            </w:r>
          </w:p>
        </w:tc>
        <w:tc>
          <w:tcPr>
            <w:tcW w:w="1920" w:type="dxa"/>
            <w:vAlign w:val="bottom"/>
            <w:shd w:val="clear" w:color="auto" w:fill="E5E5E5"/>
          </w:tcPr>
          <w:p>
            <w:pPr>
              <w:jc w:val="right"/>
              <w:ind w:right="480"/>
              <w:spacing w:after="0"/>
              <w:rPr>
                <w:sz w:val="20"/>
                <w:szCs w:val="20"/>
                <w:color w:val="auto"/>
              </w:rPr>
            </w:pPr>
            <w:r>
              <w:rPr>
                <w:rFonts w:ascii="Arial" w:cs="Arial" w:eastAsia="Arial" w:hAnsi="Arial"/>
                <w:sz w:val="16"/>
                <w:szCs w:val="16"/>
                <w:color w:val="auto"/>
              </w:rPr>
              <w:t>2,824</w:t>
            </w:r>
          </w:p>
        </w:tc>
        <w:tc>
          <w:tcPr>
            <w:tcW w:w="122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24,703,855</w:t>
            </w:r>
          </w:p>
        </w:tc>
        <w:tc>
          <w:tcPr>
            <w:tcW w:w="0" w:type="dxa"/>
            <w:vAlign w:val="bottom"/>
          </w:tcPr>
          <w:p>
            <w:pPr>
              <w:spacing w:after="0"/>
              <w:rPr>
                <w:sz w:val="1"/>
                <w:szCs w:val="1"/>
                <w:color w:val="auto"/>
              </w:rPr>
            </w:pPr>
          </w:p>
        </w:tc>
      </w:tr>
      <w:tr>
        <w:trPr>
          <w:trHeight w:val="197"/>
        </w:trPr>
        <w:tc>
          <w:tcPr>
            <w:tcW w:w="2040" w:type="dxa"/>
            <w:vAlign w:val="bottom"/>
            <w:shd w:val="clear" w:color="auto" w:fill="E5E5E5"/>
          </w:tcPr>
          <w:p>
            <w:pPr>
              <w:ind w:left="140"/>
              <w:spacing w:after="0"/>
              <w:rPr>
                <w:sz w:val="20"/>
                <w:szCs w:val="20"/>
                <w:color w:val="auto"/>
              </w:rPr>
            </w:pPr>
            <w:r>
              <w:rPr>
                <w:rFonts w:ascii="Arial" w:cs="Arial" w:eastAsia="Arial" w:hAnsi="Arial"/>
                <w:sz w:val="16"/>
                <w:szCs w:val="16"/>
                <w:color w:val="auto"/>
              </w:rPr>
              <w:t>President and Chief</w:t>
            </w:r>
          </w:p>
        </w:tc>
        <w:tc>
          <w:tcPr>
            <w:tcW w:w="200" w:type="dxa"/>
            <w:vAlign w:val="bottom"/>
            <w:shd w:val="clear" w:color="auto" w:fill="E5E5E5"/>
          </w:tcPr>
          <w:p>
            <w:pPr>
              <w:spacing w:after="0"/>
              <w:rPr>
                <w:sz w:val="17"/>
                <w:szCs w:val="17"/>
                <w:color w:val="auto"/>
              </w:rPr>
            </w:pPr>
          </w:p>
        </w:tc>
        <w:tc>
          <w:tcPr>
            <w:tcW w:w="540" w:type="dxa"/>
            <w:vAlign w:val="bottom"/>
            <w:gridSpan w:val="2"/>
            <w:shd w:val="clear" w:color="auto" w:fill="E5E5E5"/>
          </w:tcPr>
          <w:p>
            <w:pPr>
              <w:jc w:val="right"/>
              <w:ind w:right="39"/>
              <w:spacing w:after="0"/>
              <w:rPr>
                <w:sz w:val="20"/>
                <w:szCs w:val="20"/>
                <w:color w:val="auto"/>
              </w:rPr>
            </w:pPr>
            <w:r>
              <w:rPr>
                <w:rFonts w:ascii="Arial" w:cs="Arial" w:eastAsia="Arial" w:hAnsi="Arial"/>
                <w:sz w:val="16"/>
                <w:szCs w:val="16"/>
                <w:color w:val="auto"/>
              </w:rPr>
              <w:t>2020</w:t>
            </w:r>
          </w:p>
        </w:tc>
        <w:tc>
          <w:tcPr>
            <w:tcW w:w="860" w:type="dxa"/>
            <w:vAlign w:val="bottom"/>
            <w:shd w:val="clear" w:color="auto" w:fill="E5E5E5"/>
          </w:tcPr>
          <w:p>
            <w:pPr>
              <w:jc w:val="right"/>
              <w:ind w:right="60"/>
              <w:spacing w:after="0"/>
              <w:rPr>
                <w:sz w:val="20"/>
                <w:szCs w:val="20"/>
                <w:color w:val="auto"/>
              </w:rPr>
            </w:pPr>
            <w:r>
              <w:rPr>
                <w:rFonts w:ascii="Arial" w:cs="Arial" w:eastAsia="Arial" w:hAnsi="Arial"/>
                <w:sz w:val="16"/>
                <w:szCs w:val="16"/>
                <w:color w:val="auto"/>
              </w:rPr>
              <w:t>785,625</w:t>
            </w:r>
          </w:p>
        </w:tc>
        <w:tc>
          <w:tcPr>
            <w:tcW w:w="900" w:type="dxa"/>
            <w:vAlign w:val="bottom"/>
            <w:shd w:val="clear" w:color="auto" w:fill="E5E5E5"/>
          </w:tcPr>
          <w:p>
            <w:pPr>
              <w:jc w:val="right"/>
              <w:ind w:right="80"/>
              <w:spacing w:after="0"/>
              <w:rPr>
                <w:sz w:val="20"/>
                <w:szCs w:val="20"/>
                <w:color w:val="auto"/>
              </w:rPr>
            </w:pPr>
            <w:r>
              <w:rPr>
                <w:rFonts w:ascii="Arial" w:cs="Arial" w:eastAsia="Arial" w:hAnsi="Arial"/>
                <w:sz w:val="16"/>
                <w:szCs w:val="16"/>
                <w:color w:val="auto"/>
              </w:rPr>
              <w:t>—</w:t>
            </w:r>
          </w:p>
        </w:tc>
        <w:tc>
          <w:tcPr>
            <w:tcW w:w="1420" w:type="dxa"/>
            <w:vAlign w:val="bottom"/>
            <w:shd w:val="clear" w:color="auto" w:fill="E5E5E5"/>
          </w:tcPr>
          <w:p>
            <w:pPr>
              <w:jc w:val="right"/>
              <w:ind w:right="180"/>
              <w:spacing w:after="0"/>
              <w:rPr>
                <w:sz w:val="20"/>
                <w:szCs w:val="20"/>
                <w:color w:val="auto"/>
              </w:rPr>
            </w:pPr>
            <w:r>
              <w:rPr>
                <w:rFonts w:ascii="Arial" w:cs="Arial" w:eastAsia="Arial" w:hAnsi="Arial"/>
                <w:sz w:val="16"/>
                <w:szCs w:val="16"/>
                <w:color w:val="auto"/>
              </w:rPr>
              <w:t>12,686,000(5)</w:t>
            </w:r>
          </w:p>
        </w:tc>
        <w:tc>
          <w:tcPr>
            <w:tcW w:w="1920" w:type="dxa"/>
            <w:vAlign w:val="bottom"/>
            <w:shd w:val="clear" w:color="auto" w:fill="E5E5E5"/>
          </w:tcPr>
          <w:p>
            <w:pPr>
              <w:jc w:val="right"/>
              <w:ind w:right="581"/>
              <w:spacing w:after="0"/>
              <w:rPr>
                <w:sz w:val="20"/>
                <w:szCs w:val="20"/>
                <w:color w:val="auto"/>
              </w:rPr>
            </w:pPr>
            <w:r>
              <w:rPr>
                <w:rFonts w:ascii="Arial" w:cs="Arial" w:eastAsia="Arial" w:hAnsi="Arial"/>
                <w:sz w:val="16"/>
                <w:szCs w:val="16"/>
                <w:color w:val="auto"/>
              </w:rPr>
              <w:t>820,000</w:t>
            </w:r>
          </w:p>
        </w:tc>
        <w:tc>
          <w:tcPr>
            <w:tcW w:w="1920" w:type="dxa"/>
            <w:vAlign w:val="bottom"/>
            <w:shd w:val="clear" w:color="auto" w:fill="E5E5E5"/>
          </w:tcPr>
          <w:p>
            <w:pPr>
              <w:jc w:val="right"/>
              <w:ind w:right="480"/>
              <w:spacing w:after="0"/>
              <w:rPr>
                <w:sz w:val="20"/>
                <w:szCs w:val="20"/>
                <w:color w:val="auto"/>
              </w:rPr>
            </w:pPr>
            <w:r>
              <w:rPr>
                <w:rFonts w:ascii="Arial" w:cs="Arial" w:eastAsia="Arial" w:hAnsi="Arial"/>
                <w:sz w:val="16"/>
                <w:szCs w:val="16"/>
                <w:color w:val="auto"/>
              </w:rPr>
              <w:t>2,892</w:t>
            </w:r>
          </w:p>
        </w:tc>
        <w:tc>
          <w:tcPr>
            <w:tcW w:w="122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14,294,517</w:t>
            </w:r>
          </w:p>
        </w:tc>
        <w:tc>
          <w:tcPr>
            <w:tcW w:w="0" w:type="dxa"/>
            <w:vAlign w:val="bottom"/>
          </w:tcPr>
          <w:p>
            <w:pPr>
              <w:spacing w:after="0"/>
              <w:rPr>
                <w:sz w:val="1"/>
                <w:szCs w:val="1"/>
                <w:color w:val="auto"/>
              </w:rPr>
            </w:pPr>
          </w:p>
        </w:tc>
      </w:tr>
      <w:tr>
        <w:trPr>
          <w:trHeight w:val="255"/>
        </w:trPr>
        <w:tc>
          <w:tcPr>
            <w:tcW w:w="2040" w:type="dxa"/>
            <w:vAlign w:val="bottom"/>
            <w:shd w:val="clear" w:color="auto" w:fill="E5E5E5"/>
          </w:tcPr>
          <w:p>
            <w:pPr>
              <w:ind w:left="140"/>
              <w:spacing w:after="0"/>
              <w:rPr>
                <w:sz w:val="20"/>
                <w:szCs w:val="20"/>
                <w:color w:val="auto"/>
              </w:rPr>
            </w:pPr>
            <w:r>
              <w:rPr>
                <w:rFonts w:ascii="Arial" w:cs="Arial" w:eastAsia="Arial" w:hAnsi="Arial"/>
                <w:sz w:val="16"/>
                <w:szCs w:val="16"/>
                <w:color w:val="auto"/>
              </w:rPr>
              <w:t>Executive Officer</w:t>
            </w:r>
          </w:p>
        </w:tc>
        <w:tc>
          <w:tcPr>
            <w:tcW w:w="200" w:type="dxa"/>
            <w:vAlign w:val="bottom"/>
            <w:shd w:val="clear" w:color="auto" w:fill="E5E5E5"/>
          </w:tcPr>
          <w:p>
            <w:pPr>
              <w:spacing w:after="0"/>
              <w:rPr>
                <w:sz w:val="22"/>
                <w:szCs w:val="22"/>
                <w:color w:val="auto"/>
              </w:rPr>
            </w:pPr>
          </w:p>
        </w:tc>
        <w:tc>
          <w:tcPr>
            <w:tcW w:w="540" w:type="dxa"/>
            <w:vAlign w:val="bottom"/>
            <w:gridSpan w:val="2"/>
            <w:shd w:val="clear" w:color="auto" w:fill="E5E5E5"/>
          </w:tcPr>
          <w:p>
            <w:pPr>
              <w:jc w:val="right"/>
              <w:ind w:right="39"/>
              <w:spacing w:after="0"/>
              <w:rPr>
                <w:sz w:val="20"/>
                <w:szCs w:val="20"/>
                <w:color w:val="auto"/>
              </w:rPr>
            </w:pPr>
            <w:r>
              <w:rPr>
                <w:rFonts w:ascii="Arial" w:cs="Arial" w:eastAsia="Arial" w:hAnsi="Arial"/>
                <w:sz w:val="16"/>
                <w:szCs w:val="16"/>
                <w:color w:val="auto"/>
              </w:rPr>
              <w:t>2019</w:t>
            </w:r>
          </w:p>
        </w:tc>
        <w:tc>
          <w:tcPr>
            <w:tcW w:w="860" w:type="dxa"/>
            <w:vAlign w:val="bottom"/>
            <w:shd w:val="clear" w:color="auto" w:fill="E5E5E5"/>
          </w:tcPr>
          <w:p>
            <w:pPr>
              <w:jc w:val="right"/>
              <w:ind w:right="60"/>
              <w:spacing w:after="0"/>
              <w:rPr>
                <w:sz w:val="20"/>
                <w:szCs w:val="20"/>
                <w:color w:val="auto"/>
              </w:rPr>
            </w:pPr>
            <w:r>
              <w:rPr>
                <w:rFonts w:ascii="Arial" w:cs="Arial" w:eastAsia="Arial" w:hAnsi="Arial"/>
                <w:sz w:val="16"/>
                <w:szCs w:val="16"/>
                <w:color w:val="auto"/>
              </w:rPr>
              <w:t>674,375</w:t>
            </w:r>
          </w:p>
        </w:tc>
        <w:tc>
          <w:tcPr>
            <w:tcW w:w="900" w:type="dxa"/>
            <w:vAlign w:val="bottom"/>
            <w:shd w:val="clear" w:color="auto" w:fill="E5E5E5"/>
          </w:tcPr>
          <w:p>
            <w:pPr>
              <w:jc w:val="right"/>
              <w:ind w:right="80"/>
              <w:spacing w:after="0"/>
              <w:rPr>
                <w:sz w:val="20"/>
                <w:szCs w:val="20"/>
                <w:color w:val="auto"/>
              </w:rPr>
            </w:pPr>
            <w:r>
              <w:rPr>
                <w:rFonts w:ascii="Arial" w:cs="Arial" w:eastAsia="Arial" w:hAnsi="Arial"/>
                <w:sz w:val="16"/>
                <w:szCs w:val="16"/>
                <w:color w:val="auto"/>
              </w:rPr>
              <w:t>—</w:t>
            </w:r>
          </w:p>
        </w:tc>
        <w:tc>
          <w:tcPr>
            <w:tcW w:w="1420" w:type="dxa"/>
            <w:vAlign w:val="bottom"/>
            <w:shd w:val="clear" w:color="auto" w:fill="E5E5E5"/>
          </w:tcPr>
          <w:p>
            <w:pPr>
              <w:jc w:val="right"/>
              <w:ind w:right="180"/>
              <w:spacing w:after="0"/>
              <w:rPr>
                <w:sz w:val="20"/>
                <w:szCs w:val="20"/>
                <w:color w:val="auto"/>
              </w:rPr>
            </w:pPr>
            <w:r>
              <w:rPr>
                <w:rFonts w:ascii="Arial" w:cs="Arial" w:eastAsia="Arial" w:hAnsi="Arial"/>
                <w:sz w:val="16"/>
                <w:szCs w:val="16"/>
                <w:color w:val="auto"/>
              </w:rPr>
              <w:t>—(6)</w:t>
            </w:r>
          </w:p>
        </w:tc>
        <w:tc>
          <w:tcPr>
            <w:tcW w:w="1920" w:type="dxa"/>
            <w:vAlign w:val="bottom"/>
            <w:shd w:val="clear" w:color="auto" w:fill="E5E5E5"/>
          </w:tcPr>
          <w:p>
            <w:pPr>
              <w:jc w:val="right"/>
              <w:ind w:right="581"/>
              <w:spacing w:after="0"/>
              <w:rPr>
                <w:sz w:val="20"/>
                <w:szCs w:val="20"/>
                <w:color w:val="auto"/>
              </w:rPr>
            </w:pPr>
            <w:r>
              <w:rPr>
                <w:rFonts w:ascii="Arial" w:cs="Arial" w:eastAsia="Arial" w:hAnsi="Arial"/>
                <w:sz w:val="16"/>
                <w:szCs w:val="16"/>
                <w:color w:val="auto"/>
              </w:rPr>
              <w:t>1,540,000</w:t>
            </w:r>
          </w:p>
        </w:tc>
        <w:tc>
          <w:tcPr>
            <w:tcW w:w="1920" w:type="dxa"/>
            <w:vAlign w:val="bottom"/>
            <w:shd w:val="clear" w:color="auto" w:fill="E5E5E5"/>
          </w:tcPr>
          <w:p>
            <w:pPr>
              <w:jc w:val="right"/>
              <w:ind w:right="480"/>
              <w:spacing w:after="0"/>
              <w:rPr>
                <w:sz w:val="20"/>
                <w:szCs w:val="20"/>
                <w:color w:val="auto"/>
              </w:rPr>
            </w:pPr>
            <w:r>
              <w:rPr>
                <w:rFonts w:ascii="Arial" w:cs="Arial" w:eastAsia="Arial" w:hAnsi="Arial"/>
                <w:sz w:val="16"/>
                <w:szCs w:val="16"/>
                <w:color w:val="auto"/>
              </w:rPr>
              <w:t>1,889</w:t>
            </w:r>
          </w:p>
        </w:tc>
        <w:tc>
          <w:tcPr>
            <w:tcW w:w="122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2,216,264</w:t>
            </w:r>
          </w:p>
        </w:tc>
        <w:tc>
          <w:tcPr>
            <w:tcW w:w="0" w:type="dxa"/>
            <w:vAlign w:val="bottom"/>
          </w:tcPr>
          <w:p>
            <w:pPr>
              <w:spacing w:after="0"/>
              <w:rPr>
                <w:sz w:val="1"/>
                <w:szCs w:val="1"/>
                <w:color w:val="auto"/>
              </w:rPr>
            </w:pPr>
          </w:p>
        </w:tc>
      </w:tr>
      <w:tr>
        <w:trPr>
          <w:trHeight w:val="231"/>
        </w:trPr>
        <w:tc>
          <w:tcPr>
            <w:tcW w:w="2040" w:type="dxa"/>
            <w:vAlign w:val="bottom"/>
          </w:tcPr>
          <w:p>
            <w:pPr>
              <w:ind w:left="140"/>
              <w:spacing w:after="0"/>
              <w:rPr>
                <w:sz w:val="20"/>
                <w:szCs w:val="20"/>
                <w:color w:val="auto"/>
              </w:rPr>
            </w:pPr>
            <w:r>
              <w:rPr>
                <w:rFonts w:ascii="Arial" w:cs="Arial" w:eastAsia="Arial" w:hAnsi="Arial"/>
                <w:sz w:val="16"/>
                <w:szCs w:val="16"/>
                <w:b w:val="1"/>
                <w:bCs w:val="1"/>
                <w:color w:val="0071CE"/>
              </w:rPr>
              <w:t>Kenneth Myszkowski</w:t>
            </w:r>
          </w:p>
        </w:tc>
        <w:tc>
          <w:tcPr>
            <w:tcW w:w="740" w:type="dxa"/>
            <w:vAlign w:val="bottom"/>
            <w:gridSpan w:val="3"/>
          </w:tcPr>
          <w:p>
            <w:pPr>
              <w:jc w:val="right"/>
              <w:ind w:right="39"/>
              <w:spacing w:after="0"/>
              <w:rPr>
                <w:sz w:val="20"/>
                <w:szCs w:val="20"/>
                <w:color w:val="auto"/>
              </w:rPr>
            </w:pPr>
            <w:r>
              <w:rPr>
                <w:rFonts w:ascii="Arial" w:cs="Arial" w:eastAsia="Arial" w:hAnsi="Arial"/>
                <w:sz w:val="16"/>
                <w:szCs w:val="16"/>
                <w:color w:val="auto"/>
              </w:rPr>
              <w:t>2021</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484,865</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80"/>
              <w:spacing w:after="0"/>
              <w:rPr>
                <w:sz w:val="20"/>
                <w:szCs w:val="20"/>
                <w:color w:val="auto"/>
              </w:rPr>
            </w:pPr>
            <w:r>
              <w:rPr>
                <w:rFonts w:ascii="Arial" w:cs="Arial" w:eastAsia="Arial" w:hAnsi="Arial"/>
                <w:sz w:val="16"/>
                <w:szCs w:val="16"/>
                <w:color w:val="auto"/>
              </w:rPr>
              <w:t>4,603,800</w:t>
            </w:r>
          </w:p>
        </w:tc>
        <w:tc>
          <w:tcPr>
            <w:tcW w:w="1920" w:type="dxa"/>
            <w:vAlign w:val="bottom"/>
          </w:tcPr>
          <w:p>
            <w:pPr>
              <w:jc w:val="right"/>
              <w:ind w:right="581"/>
              <w:spacing w:after="0"/>
              <w:rPr>
                <w:sz w:val="20"/>
                <w:szCs w:val="20"/>
                <w:color w:val="auto"/>
              </w:rPr>
            </w:pPr>
            <w:r>
              <w:rPr>
                <w:rFonts w:ascii="Arial" w:cs="Arial" w:eastAsia="Arial" w:hAnsi="Arial"/>
                <w:sz w:val="16"/>
                <w:szCs w:val="16"/>
                <w:color w:val="auto"/>
              </w:rPr>
              <w:t>231,171</w:t>
            </w:r>
          </w:p>
        </w:tc>
        <w:tc>
          <w:tcPr>
            <w:tcW w:w="1920" w:type="dxa"/>
            <w:vAlign w:val="bottom"/>
          </w:tcPr>
          <w:p>
            <w:pPr>
              <w:jc w:val="right"/>
              <w:ind w:right="480"/>
              <w:spacing w:after="0"/>
              <w:rPr>
                <w:sz w:val="20"/>
                <w:szCs w:val="20"/>
                <w:color w:val="auto"/>
              </w:rPr>
            </w:pPr>
            <w:r>
              <w:rPr>
                <w:rFonts w:ascii="Arial" w:cs="Arial" w:eastAsia="Arial" w:hAnsi="Arial"/>
                <w:sz w:val="16"/>
                <w:szCs w:val="16"/>
                <w:color w:val="auto"/>
              </w:rPr>
              <w:t>13,734</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5,333,570</w:t>
            </w:r>
          </w:p>
        </w:tc>
        <w:tc>
          <w:tcPr>
            <w:tcW w:w="0" w:type="dxa"/>
            <w:vAlign w:val="bottom"/>
          </w:tcPr>
          <w:p>
            <w:pPr>
              <w:spacing w:after="0"/>
              <w:rPr>
                <w:sz w:val="1"/>
                <w:szCs w:val="1"/>
                <w:color w:val="auto"/>
              </w:rPr>
            </w:pPr>
          </w:p>
        </w:tc>
      </w:tr>
      <w:tr>
        <w:trPr>
          <w:trHeight w:val="222"/>
        </w:trPr>
        <w:tc>
          <w:tcPr>
            <w:tcW w:w="2040" w:type="dxa"/>
            <w:vAlign w:val="bottom"/>
          </w:tcPr>
          <w:p>
            <w:pPr>
              <w:ind w:left="140"/>
              <w:spacing w:after="0"/>
              <w:rPr>
                <w:sz w:val="20"/>
                <w:szCs w:val="20"/>
                <w:color w:val="auto"/>
              </w:rPr>
            </w:pPr>
            <w:r>
              <w:rPr>
                <w:rFonts w:ascii="Arial" w:cs="Arial" w:eastAsia="Arial" w:hAnsi="Arial"/>
                <w:sz w:val="16"/>
                <w:szCs w:val="16"/>
                <w:color w:val="auto"/>
              </w:rPr>
              <w:t>Chief Financial Officer</w:t>
            </w:r>
          </w:p>
        </w:tc>
        <w:tc>
          <w:tcPr>
            <w:tcW w:w="740" w:type="dxa"/>
            <w:vAlign w:val="bottom"/>
            <w:gridSpan w:val="3"/>
          </w:tcPr>
          <w:p>
            <w:pPr>
              <w:jc w:val="right"/>
              <w:ind w:right="39"/>
              <w:spacing w:after="0"/>
              <w:rPr>
                <w:sz w:val="20"/>
                <w:szCs w:val="20"/>
                <w:color w:val="auto"/>
              </w:rPr>
            </w:pPr>
            <w:r>
              <w:rPr>
                <w:rFonts w:ascii="Arial" w:cs="Arial" w:eastAsia="Arial" w:hAnsi="Arial"/>
                <w:sz w:val="16"/>
                <w:szCs w:val="16"/>
                <w:color w:val="auto"/>
              </w:rPr>
              <w:t>2020</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463,750</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80"/>
              <w:spacing w:after="0"/>
              <w:rPr>
                <w:sz w:val="20"/>
                <w:szCs w:val="20"/>
                <w:color w:val="auto"/>
              </w:rPr>
            </w:pPr>
            <w:r>
              <w:rPr>
                <w:rFonts w:ascii="Arial" w:cs="Arial" w:eastAsia="Arial" w:hAnsi="Arial"/>
                <w:sz w:val="16"/>
                <w:szCs w:val="16"/>
                <w:color w:val="auto"/>
              </w:rPr>
              <w:t>5,391,550</w:t>
            </w:r>
          </w:p>
        </w:tc>
        <w:tc>
          <w:tcPr>
            <w:tcW w:w="1920" w:type="dxa"/>
            <w:vAlign w:val="bottom"/>
          </w:tcPr>
          <w:p>
            <w:pPr>
              <w:jc w:val="right"/>
              <w:ind w:right="581"/>
              <w:spacing w:after="0"/>
              <w:rPr>
                <w:sz w:val="20"/>
                <w:szCs w:val="20"/>
                <w:color w:val="auto"/>
              </w:rPr>
            </w:pPr>
            <w:r>
              <w:rPr>
                <w:rFonts w:ascii="Arial" w:cs="Arial" w:eastAsia="Arial" w:hAnsi="Arial"/>
                <w:sz w:val="16"/>
                <w:szCs w:val="16"/>
                <w:color w:val="auto"/>
              </w:rPr>
              <w:t>213,750</w:t>
            </w:r>
          </w:p>
        </w:tc>
        <w:tc>
          <w:tcPr>
            <w:tcW w:w="1920" w:type="dxa"/>
            <w:vAlign w:val="bottom"/>
          </w:tcPr>
          <w:p>
            <w:pPr>
              <w:jc w:val="right"/>
              <w:ind w:right="480"/>
              <w:spacing w:after="0"/>
              <w:rPr>
                <w:sz w:val="20"/>
                <w:szCs w:val="20"/>
                <w:color w:val="auto"/>
              </w:rPr>
            </w:pPr>
            <w:r>
              <w:rPr>
                <w:rFonts w:ascii="Arial" w:cs="Arial" w:eastAsia="Arial" w:hAnsi="Arial"/>
                <w:sz w:val="16"/>
                <w:szCs w:val="16"/>
                <w:color w:val="auto"/>
              </w:rPr>
              <w:t>12,802</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6,081,852</w:t>
            </w:r>
          </w:p>
        </w:tc>
        <w:tc>
          <w:tcPr>
            <w:tcW w:w="0" w:type="dxa"/>
            <w:vAlign w:val="bottom"/>
          </w:tcPr>
          <w:p>
            <w:pPr>
              <w:spacing w:after="0"/>
              <w:rPr>
                <w:sz w:val="1"/>
                <w:szCs w:val="1"/>
                <w:color w:val="auto"/>
              </w:rPr>
            </w:pPr>
          </w:p>
        </w:tc>
      </w:tr>
      <w:tr>
        <w:trPr>
          <w:trHeight w:val="226"/>
        </w:trPr>
        <w:tc>
          <w:tcPr>
            <w:tcW w:w="2040" w:type="dxa"/>
            <w:vAlign w:val="bottom"/>
          </w:tcPr>
          <w:p>
            <w:pPr>
              <w:spacing w:after="0"/>
              <w:rPr>
                <w:sz w:val="19"/>
                <w:szCs w:val="19"/>
                <w:color w:val="auto"/>
              </w:rPr>
            </w:pPr>
          </w:p>
        </w:tc>
        <w:tc>
          <w:tcPr>
            <w:tcW w:w="740" w:type="dxa"/>
            <w:vAlign w:val="bottom"/>
            <w:gridSpan w:val="3"/>
          </w:tcPr>
          <w:p>
            <w:pPr>
              <w:jc w:val="right"/>
              <w:ind w:right="39"/>
              <w:spacing w:after="0"/>
              <w:rPr>
                <w:sz w:val="20"/>
                <w:szCs w:val="20"/>
                <w:color w:val="auto"/>
              </w:rPr>
            </w:pPr>
            <w:r>
              <w:rPr>
                <w:rFonts w:ascii="Arial" w:cs="Arial" w:eastAsia="Arial" w:hAnsi="Arial"/>
                <w:sz w:val="16"/>
                <w:szCs w:val="16"/>
                <w:color w:val="auto"/>
              </w:rPr>
              <w:t>2019</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422,500</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80"/>
              <w:spacing w:after="0"/>
              <w:rPr>
                <w:sz w:val="20"/>
                <w:szCs w:val="20"/>
                <w:color w:val="auto"/>
              </w:rPr>
            </w:pPr>
            <w:r>
              <w:rPr>
                <w:rFonts w:ascii="Arial" w:cs="Arial" w:eastAsia="Arial" w:hAnsi="Arial"/>
                <w:sz w:val="16"/>
                <w:szCs w:val="16"/>
                <w:color w:val="auto"/>
              </w:rPr>
              <w:t>1,055,700</w:t>
            </w:r>
          </w:p>
        </w:tc>
        <w:tc>
          <w:tcPr>
            <w:tcW w:w="1920" w:type="dxa"/>
            <w:vAlign w:val="bottom"/>
          </w:tcPr>
          <w:p>
            <w:pPr>
              <w:jc w:val="right"/>
              <w:ind w:right="581"/>
              <w:spacing w:after="0"/>
              <w:rPr>
                <w:sz w:val="20"/>
                <w:szCs w:val="20"/>
                <w:color w:val="auto"/>
              </w:rPr>
            </w:pPr>
            <w:r>
              <w:rPr>
                <w:rFonts w:ascii="Arial" w:cs="Arial" w:eastAsia="Arial" w:hAnsi="Arial"/>
                <w:sz w:val="16"/>
                <w:szCs w:val="16"/>
                <w:color w:val="auto"/>
              </w:rPr>
              <w:t>251,550</w:t>
            </w:r>
          </w:p>
        </w:tc>
        <w:tc>
          <w:tcPr>
            <w:tcW w:w="1920" w:type="dxa"/>
            <w:vAlign w:val="bottom"/>
          </w:tcPr>
          <w:p>
            <w:pPr>
              <w:jc w:val="right"/>
              <w:ind w:right="480"/>
              <w:spacing w:after="0"/>
              <w:rPr>
                <w:sz w:val="20"/>
                <w:szCs w:val="20"/>
                <w:color w:val="auto"/>
              </w:rPr>
            </w:pPr>
            <w:r>
              <w:rPr>
                <w:rFonts w:ascii="Arial" w:cs="Arial" w:eastAsia="Arial" w:hAnsi="Arial"/>
                <w:sz w:val="16"/>
                <w:szCs w:val="16"/>
                <w:color w:val="auto"/>
              </w:rPr>
              <w:t>11,799</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1,741,549</w:t>
            </w:r>
          </w:p>
        </w:tc>
        <w:tc>
          <w:tcPr>
            <w:tcW w:w="0" w:type="dxa"/>
            <w:vAlign w:val="bottom"/>
          </w:tcPr>
          <w:p>
            <w:pPr>
              <w:spacing w:after="0"/>
              <w:rPr>
                <w:sz w:val="1"/>
                <w:szCs w:val="1"/>
                <w:color w:val="auto"/>
              </w:rPr>
            </w:pPr>
          </w:p>
        </w:tc>
      </w:tr>
      <w:tr>
        <w:trPr>
          <w:trHeight w:val="255"/>
        </w:trPr>
        <w:tc>
          <w:tcPr>
            <w:tcW w:w="2040" w:type="dxa"/>
            <w:vAlign w:val="bottom"/>
            <w:shd w:val="clear" w:color="auto" w:fill="E5E5E5"/>
          </w:tcPr>
          <w:p>
            <w:pPr>
              <w:ind w:left="140"/>
              <w:spacing w:after="0"/>
              <w:rPr>
                <w:sz w:val="20"/>
                <w:szCs w:val="20"/>
                <w:color w:val="auto"/>
              </w:rPr>
            </w:pPr>
            <w:r>
              <w:rPr>
                <w:rFonts w:ascii="Arial" w:cs="Arial" w:eastAsia="Arial" w:hAnsi="Arial"/>
                <w:sz w:val="16"/>
                <w:szCs w:val="16"/>
                <w:b w:val="1"/>
                <w:bCs w:val="1"/>
                <w:color w:val="0071CE"/>
              </w:rPr>
              <w:t>Patrick O’Brien</w:t>
            </w:r>
          </w:p>
        </w:tc>
        <w:tc>
          <w:tcPr>
            <w:tcW w:w="740" w:type="dxa"/>
            <w:vAlign w:val="bottom"/>
            <w:gridSpan w:val="3"/>
            <w:shd w:val="clear" w:color="auto" w:fill="E5E5E5"/>
          </w:tcPr>
          <w:p>
            <w:pPr>
              <w:jc w:val="right"/>
              <w:ind w:right="39"/>
              <w:spacing w:after="0"/>
              <w:rPr>
                <w:sz w:val="20"/>
                <w:szCs w:val="20"/>
                <w:color w:val="auto"/>
              </w:rPr>
            </w:pPr>
            <w:r>
              <w:rPr>
                <w:rFonts w:ascii="Arial" w:cs="Arial" w:eastAsia="Arial" w:hAnsi="Arial"/>
                <w:sz w:val="16"/>
                <w:szCs w:val="16"/>
                <w:color w:val="auto"/>
              </w:rPr>
              <w:t>2021</w:t>
            </w:r>
          </w:p>
        </w:tc>
        <w:tc>
          <w:tcPr>
            <w:tcW w:w="860" w:type="dxa"/>
            <w:vAlign w:val="bottom"/>
            <w:shd w:val="clear" w:color="auto" w:fill="E5E5E5"/>
          </w:tcPr>
          <w:p>
            <w:pPr>
              <w:jc w:val="right"/>
              <w:ind w:right="60"/>
              <w:spacing w:after="0"/>
              <w:rPr>
                <w:sz w:val="20"/>
                <w:szCs w:val="20"/>
                <w:color w:val="auto"/>
              </w:rPr>
            </w:pPr>
            <w:r>
              <w:rPr>
                <w:rFonts w:ascii="Arial" w:cs="Arial" w:eastAsia="Arial" w:hAnsi="Arial"/>
                <w:sz w:val="16"/>
                <w:szCs w:val="16"/>
                <w:color w:val="auto"/>
              </w:rPr>
              <w:t>479,762</w:t>
            </w:r>
          </w:p>
        </w:tc>
        <w:tc>
          <w:tcPr>
            <w:tcW w:w="900" w:type="dxa"/>
            <w:vAlign w:val="bottom"/>
            <w:shd w:val="clear" w:color="auto" w:fill="E5E5E5"/>
          </w:tcPr>
          <w:p>
            <w:pPr>
              <w:jc w:val="right"/>
              <w:ind w:right="80"/>
              <w:spacing w:after="0"/>
              <w:rPr>
                <w:sz w:val="20"/>
                <w:szCs w:val="20"/>
                <w:color w:val="auto"/>
              </w:rPr>
            </w:pPr>
            <w:r>
              <w:rPr>
                <w:rFonts w:ascii="Arial" w:cs="Arial" w:eastAsia="Arial" w:hAnsi="Arial"/>
                <w:sz w:val="16"/>
                <w:szCs w:val="16"/>
                <w:color w:val="auto"/>
              </w:rPr>
              <w:t>—</w:t>
            </w:r>
          </w:p>
        </w:tc>
        <w:tc>
          <w:tcPr>
            <w:tcW w:w="1420" w:type="dxa"/>
            <w:vAlign w:val="bottom"/>
            <w:shd w:val="clear" w:color="auto" w:fill="E5E5E5"/>
          </w:tcPr>
          <w:p>
            <w:pPr>
              <w:jc w:val="right"/>
              <w:ind w:right="380"/>
              <w:spacing w:after="0"/>
              <w:rPr>
                <w:sz w:val="20"/>
                <w:szCs w:val="20"/>
                <w:color w:val="auto"/>
              </w:rPr>
            </w:pPr>
            <w:r>
              <w:rPr>
                <w:rFonts w:ascii="Arial" w:cs="Arial" w:eastAsia="Arial" w:hAnsi="Arial"/>
                <w:sz w:val="16"/>
                <w:szCs w:val="16"/>
                <w:color w:val="auto"/>
              </w:rPr>
              <w:t>4,603,800</w:t>
            </w:r>
          </w:p>
        </w:tc>
        <w:tc>
          <w:tcPr>
            <w:tcW w:w="1920" w:type="dxa"/>
            <w:vAlign w:val="bottom"/>
            <w:shd w:val="clear" w:color="auto" w:fill="E5E5E5"/>
          </w:tcPr>
          <w:p>
            <w:pPr>
              <w:jc w:val="right"/>
              <w:ind w:right="581"/>
              <w:spacing w:after="0"/>
              <w:rPr>
                <w:sz w:val="20"/>
                <w:szCs w:val="20"/>
                <w:color w:val="auto"/>
              </w:rPr>
            </w:pPr>
            <w:r>
              <w:rPr>
                <w:rFonts w:ascii="Arial" w:cs="Arial" w:eastAsia="Arial" w:hAnsi="Arial"/>
                <w:sz w:val="16"/>
                <w:szCs w:val="16"/>
                <w:color w:val="auto"/>
              </w:rPr>
              <w:t>239,630</w:t>
            </w:r>
          </w:p>
        </w:tc>
        <w:tc>
          <w:tcPr>
            <w:tcW w:w="1920" w:type="dxa"/>
            <w:vAlign w:val="bottom"/>
            <w:shd w:val="clear" w:color="auto" w:fill="E5E5E5"/>
          </w:tcPr>
          <w:p>
            <w:pPr>
              <w:jc w:val="right"/>
              <w:ind w:right="480"/>
              <w:spacing w:after="0"/>
              <w:rPr>
                <w:sz w:val="20"/>
                <w:szCs w:val="20"/>
                <w:color w:val="auto"/>
              </w:rPr>
            </w:pPr>
            <w:r>
              <w:rPr>
                <w:rFonts w:ascii="Arial" w:cs="Arial" w:eastAsia="Arial" w:hAnsi="Arial"/>
                <w:sz w:val="16"/>
                <w:szCs w:val="16"/>
                <w:color w:val="auto"/>
              </w:rPr>
              <w:t>13,734</w:t>
            </w:r>
          </w:p>
        </w:tc>
        <w:tc>
          <w:tcPr>
            <w:tcW w:w="122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5,336,926</w:t>
            </w:r>
          </w:p>
        </w:tc>
        <w:tc>
          <w:tcPr>
            <w:tcW w:w="0" w:type="dxa"/>
            <w:vAlign w:val="bottom"/>
          </w:tcPr>
          <w:p>
            <w:pPr>
              <w:spacing w:after="0"/>
              <w:rPr>
                <w:sz w:val="1"/>
                <w:szCs w:val="1"/>
                <w:color w:val="auto"/>
              </w:rPr>
            </w:pPr>
          </w:p>
        </w:tc>
      </w:tr>
      <w:tr>
        <w:trPr>
          <w:trHeight w:val="189"/>
        </w:trPr>
        <w:tc>
          <w:tcPr>
            <w:tcW w:w="2040" w:type="dxa"/>
            <w:vAlign w:val="bottom"/>
            <w:shd w:val="clear" w:color="auto" w:fill="E5E5E5"/>
          </w:tcPr>
          <w:p>
            <w:pPr>
              <w:ind w:left="140"/>
              <w:spacing w:after="0"/>
              <w:rPr>
                <w:sz w:val="20"/>
                <w:szCs w:val="20"/>
                <w:color w:val="auto"/>
              </w:rPr>
            </w:pPr>
            <w:r>
              <w:rPr>
                <w:rFonts w:ascii="Arial" w:cs="Arial" w:eastAsia="Arial" w:hAnsi="Arial"/>
                <w:sz w:val="16"/>
                <w:szCs w:val="16"/>
                <w:color w:val="auto"/>
              </w:rPr>
              <w:t>General Counsel,</w:t>
            </w:r>
          </w:p>
        </w:tc>
        <w:tc>
          <w:tcPr>
            <w:tcW w:w="200" w:type="dxa"/>
            <w:vAlign w:val="bottom"/>
            <w:shd w:val="clear" w:color="auto" w:fill="E5E5E5"/>
          </w:tcPr>
          <w:p>
            <w:pPr>
              <w:spacing w:after="0"/>
              <w:rPr>
                <w:sz w:val="16"/>
                <w:szCs w:val="16"/>
                <w:color w:val="auto"/>
              </w:rPr>
            </w:pPr>
          </w:p>
        </w:tc>
        <w:tc>
          <w:tcPr>
            <w:tcW w:w="540" w:type="dxa"/>
            <w:vAlign w:val="bottom"/>
            <w:gridSpan w:val="2"/>
            <w:vMerge w:val="restart"/>
            <w:shd w:val="clear" w:color="auto" w:fill="E5E5E5"/>
          </w:tcPr>
          <w:p>
            <w:pPr>
              <w:jc w:val="right"/>
              <w:ind w:right="39"/>
              <w:spacing w:after="0"/>
              <w:rPr>
                <w:sz w:val="20"/>
                <w:szCs w:val="20"/>
                <w:color w:val="auto"/>
              </w:rPr>
            </w:pPr>
            <w:r>
              <w:rPr>
                <w:rFonts w:ascii="Arial" w:cs="Arial" w:eastAsia="Arial" w:hAnsi="Arial"/>
                <w:sz w:val="16"/>
                <w:szCs w:val="16"/>
                <w:color w:val="auto"/>
              </w:rPr>
              <w:t>2020</w:t>
            </w:r>
          </w:p>
        </w:tc>
        <w:tc>
          <w:tcPr>
            <w:tcW w:w="860" w:type="dxa"/>
            <w:vAlign w:val="bottom"/>
            <w:vMerge w:val="restart"/>
            <w:shd w:val="clear" w:color="auto" w:fill="E5E5E5"/>
          </w:tcPr>
          <w:p>
            <w:pPr>
              <w:jc w:val="right"/>
              <w:ind w:right="60"/>
              <w:spacing w:after="0"/>
              <w:rPr>
                <w:sz w:val="20"/>
                <w:szCs w:val="20"/>
                <w:color w:val="auto"/>
              </w:rPr>
            </w:pPr>
            <w:r>
              <w:rPr>
                <w:rFonts w:ascii="Arial" w:cs="Arial" w:eastAsia="Arial" w:hAnsi="Arial"/>
                <w:sz w:val="16"/>
                <w:szCs w:val="16"/>
                <w:color w:val="auto"/>
              </w:rPr>
              <w:t>459,100</w:t>
            </w:r>
          </w:p>
        </w:tc>
        <w:tc>
          <w:tcPr>
            <w:tcW w:w="900" w:type="dxa"/>
            <w:vAlign w:val="bottom"/>
            <w:vMerge w:val="restart"/>
            <w:shd w:val="clear" w:color="auto" w:fill="E5E5E5"/>
          </w:tcPr>
          <w:p>
            <w:pPr>
              <w:jc w:val="right"/>
              <w:ind w:right="80"/>
              <w:spacing w:after="0"/>
              <w:rPr>
                <w:sz w:val="20"/>
                <w:szCs w:val="20"/>
                <w:color w:val="auto"/>
              </w:rPr>
            </w:pPr>
            <w:r>
              <w:rPr>
                <w:rFonts w:ascii="Arial" w:cs="Arial" w:eastAsia="Arial" w:hAnsi="Arial"/>
                <w:sz w:val="16"/>
                <w:szCs w:val="16"/>
                <w:color w:val="auto"/>
              </w:rPr>
              <w:t>—</w:t>
            </w:r>
          </w:p>
        </w:tc>
        <w:tc>
          <w:tcPr>
            <w:tcW w:w="1420" w:type="dxa"/>
            <w:vAlign w:val="bottom"/>
            <w:vMerge w:val="restart"/>
            <w:shd w:val="clear" w:color="auto" w:fill="E5E5E5"/>
          </w:tcPr>
          <w:p>
            <w:pPr>
              <w:jc w:val="right"/>
              <w:ind w:right="380"/>
              <w:spacing w:after="0"/>
              <w:rPr>
                <w:sz w:val="20"/>
                <w:szCs w:val="20"/>
                <w:color w:val="auto"/>
              </w:rPr>
            </w:pPr>
            <w:r>
              <w:rPr>
                <w:rFonts w:ascii="Arial" w:cs="Arial" w:eastAsia="Arial" w:hAnsi="Arial"/>
                <w:sz w:val="16"/>
                <w:szCs w:val="16"/>
                <w:color w:val="auto"/>
              </w:rPr>
              <w:t>4,440,100</w:t>
            </w:r>
          </w:p>
        </w:tc>
        <w:tc>
          <w:tcPr>
            <w:tcW w:w="1920" w:type="dxa"/>
            <w:vAlign w:val="bottom"/>
            <w:vMerge w:val="restart"/>
            <w:shd w:val="clear" w:color="auto" w:fill="E5E5E5"/>
          </w:tcPr>
          <w:p>
            <w:pPr>
              <w:jc w:val="right"/>
              <w:ind w:right="581"/>
              <w:spacing w:after="0"/>
              <w:rPr>
                <w:sz w:val="20"/>
                <w:szCs w:val="20"/>
                <w:color w:val="auto"/>
              </w:rPr>
            </w:pPr>
            <w:r>
              <w:rPr>
                <w:rFonts w:ascii="Arial" w:cs="Arial" w:eastAsia="Arial" w:hAnsi="Arial"/>
                <w:sz w:val="16"/>
                <w:szCs w:val="16"/>
                <w:color w:val="auto"/>
              </w:rPr>
              <w:t>211,500</w:t>
            </w:r>
          </w:p>
        </w:tc>
        <w:tc>
          <w:tcPr>
            <w:tcW w:w="1920" w:type="dxa"/>
            <w:vAlign w:val="bottom"/>
            <w:vMerge w:val="restart"/>
            <w:shd w:val="clear" w:color="auto" w:fill="E5E5E5"/>
          </w:tcPr>
          <w:p>
            <w:pPr>
              <w:jc w:val="right"/>
              <w:ind w:right="480"/>
              <w:spacing w:after="0"/>
              <w:rPr>
                <w:sz w:val="20"/>
                <w:szCs w:val="20"/>
                <w:color w:val="auto"/>
              </w:rPr>
            </w:pPr>
            <w:r>
              <w:rPr>
                <w:rFonts w:ascii="Arial" w:cs="Arial" w:eastAsia="Arial" w:hAnsi="Arial"/>
                <w:sz w:val="16"/>
                <w:szCs w:val="16"/>
                <w:color w:val="auto"/>
              </w:rPr>
              <w:t>12,802</w:t>
            </w:r>
          </w:p>
        </w:tc>
        <w:tc>
          <w:tcPr>
            <w:tcW w:w="1220" w:type="dxa"/>
            <w:vAlign w:val="bottom"/>
            <w:vMerge w:val="restart"/>
            <w:shd w:val="clear" w:color="auto" w:fill="E5E5E5"/>
          </w:tcPr>
          <w:p>
            <w:pPr>
              <w:jc w:val="right"/>
              <w:ind w:right="39"/>
              <w:spacing w:after="0"/>
              <w:rPr>
                <w:sz w:val="20"/>
                <w:szCs w:val="20"/>
                <w:color w:val="auto"/>
              </w:rPr>
            </w:pPr>
            <w:r>
              <w:rPr>
                <w:rFonts w:ascii="Arial" w:cs="Arial" w:eastAsia="Arial" w:hAnsi="Arial"/>
                <w:sz w:val="16"/>
                <w:szCs w:val="16"/>
                <w:color w:val="auto"/>
              </w:rPr>
              <w:t>5,123,502</w:t>
            </w:r>
          </w:p>
        </w:tc>
        <w:tc>
          <w:tcPr>
            <w:tcW w:w="0" w:type="dxa"/>
            <w:vAlign w:val="bottom"/>
          </w:tcPr>
          <w:p>
            <w:pPr>
              <w:spacing w:after="0"/>
              <w:rPr>
                <w:sz w:val="1"/>
                <w:szCs w:val="1"/>
                <w:color w:val="auto"/>
              </w:rPr>
            </w:pPr>
          </w:p>
        </w:tc>
      </w:tr>
      <w:tr>
        <w:trPr>
          <w:trHeight w:val="87"/>
        </w:trPr>
        <w:tc>
          <w:tcPr>
            <w:tcW w:w="2040" w:type="dxa"/>
            <w:vAlign w:val="bottom"/>
            <w:vMerge w:val="restart"/>
            <w:shd w:val="clear" w:color="auto" w:fill="E5E5E5"/>
          </w:tcPr>
          <w:p>
            <w:pPr>
              <w:ind w:left="140"/>
              <w:spacing w:after="0"/>
              <w:rPr>
                <w:sz w:val="20"/>
                <w:szCs w:val="20"/>
                <w:color w:val="auto"/>
              </w:rPr>
            </w:pPr>
            <w:r>
              <w:rPr>
                <w:rFonts w:ascii="Arial" w:cs="Arial" w:eastAsia="Arial" w:hAnsi="Arial"/>
                <w:sz w:val="16"/>
                <w:szCs w:val="16"/>
                <w:color w:val="auto"/>
              </w:rPr>
              <w:t>Corp. Sect. and Chief</w:t>
            </w:r>
          </w:p>
        </w:tc>
        <w:tc>
          <w:tcPr>
            <w:tcW w:w="200" w:type="dxa"/>
            <w:vAlign w:val="bottom"/>
            <w:shd w:val="clear" w:color="auto" w:fill="E5E5E5"/>
          </w:tcPr>
          <w:p>
            <w:pPr>
              <w:spacing w:after="0"/>
              <w:rPr>
                <w:sz w:val="7"/>
                <w:szCs w:val="7"/>
                <w:color w:val="auto"/>
              </w:rPr>
            </w:pPr>
          </w:p>
        </w:tc>
        <w:tc>
          <w:tcPr>
            <w:tcW w:w="540" w:type="dxa"/>
            <w:vAlign w:val="bottom"/>
            <w:gridSpan w:val="2"/>
            <w:vMerge w:val="continue"/>
            <w:shd w:val="clear" w:color="auto" w:fill="E5E5E5"/>
          </w:tcPr>
          <w:p>
            <w:pPr>
              <w:spacing w:after="0"/>
              <w:rPr>
                <w:sz w:val="7"/>
                <w:szCs w:val="7"/>
                <w:color w:val="auto"/>
              </w:rPr>
            </w:pPr>
          </w:p>
        </w:tc>
        <w:tc>
          <w:tcPr>
            <w:tcW w:w="860" w:type="dxa"/>
            <w:vAlign w:val="bottom"/>
            <w:vMerge w:val="continue"/>
            <w:shd w:val="clear" w:color="auto" w:fill="E5E5E5"/>
          </w:tcPr>
          <w:p>
            <w:pPr>
              <w:spacing w:after="0"/>
              <w:rPr>
                <w:sz w:val="7"/>
                <w:szCs w:val="7"/>
                <w:color w:val="auto"/>
              </w:rPr>
            </w:pPr>
          </w:p>
        </w:tc>
        <w:tc>
          <w:tcPr>
            <w:tcW w:w="900" w:type="dxa"/>
            <w:vAlign w:val="bottom"/>
            <w:vMerge w:val="continue"/>
            <w:shd w:val="clear" w:color="auto" w:fill="E5E5E5"/>
          </w:tcPr>
          <w:p>
            <w:pPr>
              <w:spacing w:after="0"/>
              <w:rPr>
                <w:sz w:val="7"/>
                <w:szCs w:val="7"/>
                <w:color w:val="auto"/>
              </w:rPr>
            </w:pPr>
          </w:p>
        </w:tc>
        <w:tc>
          <w:tcPr>
            <w:tcW w:w="1420" w:type="dxa"/>
            <w:vAlign w:val="bottom"/>
            <w:vMerge w:val="continue"/>
            <w:shd w:val="clear" w:color="auto" w:fill="E5E5E5"/>
          </w:tcPr>
          <w:p>
            <w:pPr>
              <w:spacing w:after="0"/>
              <w:rPr>
                <w:sz w:val="7"/>
                <w:szCs w:val="7"/>
                <w:color w:val="auto"/>
              </w:rPr>
            </w:pPr>
          </w:p>
        </w:tc>
        <w:tc>
          <w:tcPr>
            <w:tcW w:w="1920" w:type="dxa"/>
            <w:vAlign w:val="bottom"/>
            <w:vMerge w:val="continue"/>
            <w:shd w:val="clear" w:color="auto" w:fill="E5E5E5"/>
          </w:tcPr>
          <w:p>
            <w:pPr>
              <w:spacing w:after="0"/>
              <w:rPr>
                <w:sz w:val="7"/>
                <w:szCs w:val="7"/>
                <w:color w:val="auto"/>
              </w:rPr>
            </w:pPr>
          </w:p>
        </w:tc>
        <w:tc>
          <w:tcPr>
            <w:tcW w:w="1920" w:type="dxa"/>
            <w:vAlign w:val="bottom"/>
            <w:vMerge w:val="continue"/>
            <w:shd w:val="clear" w:color="auto" w:fill="E5E5E5"/>
          </w:tcPr>
          <w:p>
            <w:pPr>
              <w:spacing w:after="0"/>
              <w:rPr>
                <w:sz w:val="7"/>
                <w:szCs w:val="7"/>
                <w:color w:val="auto"/>
              </w:rPr>
            </w:pPr>
          </w:p>
        </w:tc>
        <w:tc>
          <w:tcPr>
            <w:tcW w:w="1220" w:type="dxa"/>
            <w:vAlign w:val="bottom"/>
            <w:vMerge w:val="continue"/>
            <w:shd w:val="clear" w:color="auto" w:fill="E5E5E5"/>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40" w:type="dxa"/>
            <w:vAlign w:val="bottom"/>
            <w:vMerge w:val="continue"/>
            <w:shd w:val="clear" w:color="auto" w:fill="E5E5E5"/>
          </w:tcPr>
          <w:p>
            <w:pPr>
              <w:spacing w:after="0"/>
              <w:rPr>
                <w:sz w:val="8"/>
                <w:szCs w:val="8"/>
                <w:color w:val="auto"/>
              </w:rPr>
            </w:pPr>
          </w:p>
        </w:tc>
        <w:tc>
          <w:tcPr>
            <w:tcW w:w="200" w:type="dxa"/>
            <w:vAlign w:val="bottom"/>
            <w:shd w:val="clear" w:color="auto" w:fill="E5E5E5"/>
          </w:tcPr>
          <w:p>
            <w:pPr>
              <w:spacing w:after="0"/>
              <w:rPr>
                <w:sz w:val="8"/>
                <w:szCs w:val="8"/>
                <w:color w:val="auto"/>
              </w:rPr>
            </w:pPr>
          </w:p>
        </w:tc>
        <w:tc>
          <w:tcPr>
            <w:tcW w:w="60" w:type="dxa"/>
            <w:vAlign w:val="bottom"/>
            <w:shd w:val="clear" w:color="auto" w:fill="E5E5E5"/>
          </w:tcPr>
          <w:p>
            <w:pPr>
              <w:spacing w:after="0"/>
              <w:rPr>
                <w:sz w:val="8"/>
                <w:szCs w:val="8"/>
                <w:color w:val="auto"/>
              </w:rPr>
            </w:pPr>
          </w:p>
        </w:tc>
        <w:tc>
          <w:tcPr>
            <w:tcW w:w="480" w:type="dxa"/>
            <w:vAlign w:val="bottom"/>
            <w:vMerge w:val="restart"/>
            <w:shd w:val="clear" w:color="auto" w:fill="E5E5E5"/>
          </w:tcPr>
          <w:p>
            <w:pPr>
              <w:jc w:val="right"/>
              <w:ind w:right="39"/>
              <w:spacing w:after="0"/>
              <w:rPr>
                <w:sz w:val="20"/>
                <w:szCs w:val="20"/>
                <w:color w:val="auto"/>
              </w:rPr>
            </w:pPr>
            <w:r>
              <w:rPr>
                <w:rFonts w:ascii="Arial" w:cs="Arial" w:eastAsia="Arial" w:hAnsi="Arial"/>
                <w:sz w:val="16"/>
                <w:szCs w:val="16"/>
                <w:color w:val="auto"/>
                <w:w w:val="95"/>
              </w:rPr>
              <w:t>2019</w:t>
            </w:r>
          </w:p>
        </w:tc>
        <w:tc>
          <w:tcPr>
            <w:tcW w:w="860" w:type="dxa"/>
            <w:vAlign w:val="bottom"/>
            <w:vMerge w:val="restart"/>
            <w:shd w:val="clear" w:color="auto" w:fill="E5E5E5"/>
          </w:tcPr>
          <w:p>
            <w:pPr>
              <w:jc w:val="right"/>
              <w:ind w:right="60"/>
              <w:spacing w:after="0"/>
              <w:rPr>
                <w:sz w:val="20"/>
                <w:szCs w:val="20"/>
                <w:color w:val="auto"/>
              </w:rPr>
            </w:pPr>
            <w:r>
              <w:rPr>
                <w:rFonts w:ascii="Arial" w:cs="Arial" w:eastAsia="Arial" w:hAnsi="Arial"/>
                <w:sz w:val="16"/>
                <w:szCs w:val="16"/>
                <w:color w:val="auto"/>
              </w:rPr>
              <w:t>422,300</w:t>
            </w:r>
          </w:p>
        </w:tc>
        <w:tc>
          <w:tcPr>
            <w:tcW w:w="900" w:type="dxa"/>
            <w:vAlign w:val="bottom"/>
            <w:vMerge w:val="restart"/>
            <w:shd w:val="clear" w:color="auto" w:fill="E5E5E5"/>
          </w:tcPr>
          <w:p>
            <w:pPr>
              <w:jc w:val="right"/>
              <w:ind w:right="80"/>
              <w:spacing w:after="0"/>
              <w:rPr>
                <w:sz w:val="20"/>
                <w:szCs w:val="20"/>
                <w:color w:val="auto"/>
              </w:rPr>
            </w:pPr>
            <w:r>
              <w:rPr>
                <w:rFonts w:ascii="Arial" w:cs="Arial" w:eastAsia="Arial" w:hAnsi="Arial"/>
                <w:sz w:val="16"/>
                <w:szCs w:val="16"/>
                <w:color w:val="auto"/>
              </w:rPr>
              <w:t>—</w:t>
            </w:r>
          </w:p>
        </w:tc>
        <w:tc>
          <w:tcPr>
            <w:tcW w:w="1420" w:type="dxa"/>
            <w:vAlign w:val="bottom"/>
            <w:vMerge w:val="restart"/>
            <w:shd w:val="clear" w:color="auto" w:fill="E5E5E5"/>
          </w:tcPr>
          <w:p>
            <w:pPr>
              <w:jc w:val="right"/>
              <w:ind w:right="380"/>
              <w:spacing w:after="0"/>
              <w:rPr>
                <w:sz w:val="20"/>
                <w:szCs w:val="20"/>
                <w:color w:val="auto"/>
              </w:rPr>
            </w:pPr>
            <w:r>
              <w:rPr>
                <w:rFonts w:ascii="Arial" w:cs="Arial" w:eastAsia="Arial" w:hAnsi="Arial"/>
                <w:sz w:val="16"/>
                <w:szCs w:val="16"/>
                <w:color w:val="auto"/>
              </w:rPr>
              <w:t>869,400</w:t>
            </w:r>
          </w:p>
        </w:tc>
        <w:tc>
          <w:tcPr>
            <w:tcW w:w="1920" w:type="dxa"/>
            <w:vAlign w:val="bottom"/>
            <w:vMerge w:val="restart"/>
            <w:shd w:val="clear" w:color="auto" w:fill="E5E5E5"/>
          </w:tcPr>
          <w:p>
            <w:pPr>
              <w:jc w:val="right"/>
              <w:ind w:right="581"/>
              <w:spacing w:after="0"/>
              <w:rPr>
                <w:sz w:val="20"/>
                <w:szCs w:val="20"/>
                <w:color w:val="auto"/>
              </w:rPr>
            </w:pPr>
            <w:r>
              <w:rPr>
                <w:rFonts w:ascii="Arial" w:cs="Arial" w:eastAsia="Arial" w:hAnsi="Arial"/>
                <w:sz w:val="16"/>
                <w:szCs w:val="16"/>
                <w:color w:val="auto"/>
              </w:rPr>
              <w:t>249,444</w:t>
            </w:r>
          </w:p>
        </w:tc>
        <w:tc>
          <w:tcPr>
            <w:tcW w:w="1920" w:type="dxa"/>
            <w:vAlign w:val="bottom"/>
            <w:vMerge w:val="restart"/>
            <w:shd w:val="clear" w:color="auto" w:fill="E5E5E5"/>
          </w:tcPr>
          <w:p>
            <w:pPr>
              <w:jc w:val="right"/>
              <w:ind w:right="480"/>
              <w:spacing w:after="0"/>
              <w:rPr>
                <w:sz w:val="20"/>
                <w:szCs w:val="20"/>
                <w:color w:val="auto"/>
              </w:rPr>
            </w:pPr>
            <w:r>
              <w:rPr>
                <w:rFonts w:ascii="Arial" w:cs="Arial" w:eastAsia="Arial" w:hAnsi="Arial"/>
                <w:sz w:val="16"/>
                <w:szCs w:val="16"/>
                <w:color w:val="auto"/>
              </w:rPr>
              <w:t>11,799</w:t>
            </w:r>
          </w:p>
        </w:tc>
        <w:tc>
          <w:tcPr>
            <w:tcW w:w="1220" w:type="dxa"/>
            <w:vAlign w:val="bottom"/>
            <w:vMerge w:val="restart"/>
            <w:shd w:val="clear" w:color="auto" w:fill="E5E5E5"/>
          </w:tcPr>
          <w:p>
            <w:pPr>
              <w:jc w:val="right"/>
              <w:ind w:right="39"/>
              <w:spacing w:after="0"/>
              <w:rPr>
                <w:sz w:val="20"/>
                <w:szCs w:val="20"/>
                <w:color w:val="auto"/>
              </w:rPr>
            </w:pPr>
            <w:r>
              <w:rPr>
                <w:rFonts w:ascii="Arial" w:cs="Arial" w:eastAsia="Arial" w:hAnsi="Arial"/>
                <w:sz w:val="16"/>
                <w:szCs w:val="16"/>
                <w:color w:val="auto"/>
              </w:rPr>
              <w:t>1,552,943</w:t>
            </w:r>
          </w:p>
        </w:tc>
        <w:tc>
          <w:tcPr>
            <w:tcW w:w="0" w:type="dxa"/>
            <w:vAlign w:val="bottom"/>
          </w:tcPr>
          <w:p>
            <w:pPr>
              <w:spacing w:after="0"/>
              <w:rPr>
                <w:sz w:val="1"/>
                <w:szCs w:val="1"/>
                <w:color w:val="auto"/>
              </w:rPr>
            </w:pPr>
          </w:p>
        </w:tc>
      </w:tr>
      <w:tr>
        <w:trPr>
          <w:trHeight w:val="194"/>
        </w:trPr>
        <w:tc>
          <w:tcPr>
            <w:tcW w:w="2040" w:type="dxa"/>
            <w:vAlign w:val="bottom"/>
            <w:tcBorders>
              <w:bottom w:val="single" w:sz="8" w:color="E5E5E5"/>
            </w:tcBorders>
            <w:shd w:val="clear" w:color="auto" w:fill="E5E5E5"/>
          </w:tcPr>
          <w:p>
            <w:pPr>
              <w:ind w:left="140"/>
              <w:spacing w:after="0" w:line="160" w:lineRule="exact"/>
              <w:rPr>
                <w:sz w:val="20"/>
                <w:szCs w:val="20"/>
                <w:color w:val="auto"/>
              </w:rPr>
            </w:pPr>
            <w:r>
              <w:rPr>
                <w:rFonts w:ascii="Arial" w:cs="Arial" w:eastAsia="Arial" w:hAnsi="Arial"/>
                <w:sz w:val="16"/>
                <w:szCs w:val="16"/>
                <w:color w:val="auto"/>
              </w:rPr>
              <w:t>Compliance Officer</w:t>
            </w:r>
          </w:p>
        </w:tc>
        <w:tc>
          <w:tcPr>
            <w:tcW w:w="200" w:type="dxa"/>
            <w:vAlign w:val="bottom"/>
            <w:tcBorders>
              <w:bottom w:val="single" w:sz="8" w:color="E5E5E5"/>
            </w:tcBorders>
            <w:shd w:val="clear" w:color="auto" w:fill="E5E5E5"/>
          </w:tcPr>
          <w:p>
            <w:pPr>
              <w:spacing w:after="0"/>
              <w:rPr>
                <w:sz w:val="16"/>
                <w:szCs w:val="16"/>
                <w:color w:val="auto"/>
              </w:rPr>
            </w:pPr>
          </w:p>
        </w:tc>
        <w:tc>
          <w:tcPr>
            <w:tcW w:w="60" w:type="dxa"/>
            <w:vAlign w:val="bottom"/>
            <w:tcBorders>
              <w:bottom w:val="single" w:sz="8" w:color="E5E5E5"/>
            </w:tcBorders>
            <w:shd w:val="clear" w:color="auto" w:fill="E5E5E5"/>
          </w:tcPr>
          <w:p>
            <w:pPr>
              <w:spacing w:after="0"/>
              <w:rPr>
                <w:sz w:val="16"/>
                <w:szCs w:val="16"/>
                <w:color w:val="auto"/>
              </w:rPr>
            </w:pPr>
          </w:p>
        </w:tc>
        <w:tc>
          <w:tcPr>
            <w:tcW w:w="480" w:type="dxa"/>
            <w:vAlign w:val="bottom"/>
            <w:tcBorders>
              <w:bottom w:val="single" w:sz="8" w:color="E5E5E5"/>
            </w:tcBorders>
            <w:vMerge w:val="continue"/>
            <w:shd w:val="clear" w:color="auto" w:fill="E5E5E5"/>
          </w:tcPr>
          <w:p>
            <w:pPr>
              <w:spacing w:after="0"/>
              <w:rPr>
                <w:sz w:val="16"/>
                <w:szCs w:val="16"/>
                <w:color w:val="auto"/>
              </w:rPr>
            </w:pPr>
          </w:p>
        </w:tc>
        <w:tc>
          <w:tcPr>
            <w:tcW w:w="860" w:type="dxa"/>
            <w:vAlign w:val="bottom"/>
            <w:tcBorders>
              <w:bottom w:val="single" w:sz="8" w:color="E5E5E5"/>
            </w:tcBorders>
            <w:vMerge w:val="continue"/>
            <w:shd w:val="clear" w:color="auto" w:fill="E5E5E5"/>
          </w:tcPr>
          <w:p>
            <w:pPr>
              <w:spacing w:after="0"/>
              <w:rPr>
                <w:sz w:val="16"/>
                <w:szCs w:val="16"/>
                <w:color w:val="auto"/>
              </w:rPr>
            </w:pPr>
          </w:p>
        </w:tc>
        <w:tc>
          <w:tcPr>
            <w:tcW w:w="900" w:type="dxa"/>
            <w:vAlign w:val="bottom"/>
            <w:tcBorders>
              <w:bottom w:val="single" w:sz="8" w:color="E5E5E5"/>
            </w:tcBorders>
            <w:vMerge w:val="continue"/>
            <w:shd w:val="clear" w:color="auto" w:fill="E5E5E5"/>
          </w:tcPr>
          <w:p>
            <w:pPr>
              <w:spacing w:after="0"/>
              <w:rPr>
                <w:sz w:val="16"/>
                <w:szCs w:val="16"/>
                <w:color w:val="auto"/>
              </w:rPr>
            </w:pPr>
          </w:p>
        </w:tc>
        <w:tc>
          <w:tcPr>
            <w:tcW w:w="1420" w:type="dxa"/>
            <w:vAlign w:val="bottom"/>
            <w:tcBorders>
              <w:bottom w:val="single" w:sz="8" w:color="E5E5E5"/>
            </w:tcBorders>
            <w:vMerge w:val="continue"/>
            <w:shd w:val="clear" w:color="auto" w:fill="E5E5E5"/>
          </w:tcPr>
          <w:p>
            <w:pPr>
              <w:spacing w:after="0"/>
              <w:rPr>
                <w:sz w:val="16"/>
                <w:szCs w:val="16"/>
                <w:color w:val="auto"/>
              </w:rPr>
            </w:pPr>
          </w:p>
        </w:tc>
        <w:tc>
          <w:tcPr>
            <w:tcW w:w="1920" w:type="dxa"/>
            <w:vAlign w:val="bottom"/>
            <w:tcBorders>
              <w:bottom w:val="single" w:sz="8" w:color="E5E5E5"/>
            </w:tcBorders>
            <w:vMerge w:val="continue"/>
            <w:shd w:val="clear" w:color="auto" w:fill="E5E5E5"/>
          </w:tcPr>
          <w:p>
            <w:pPr>
              <w:spacing w:after="0"/>
              <w:rPr>
                <w:sz w:val="16"/>
                <w:szCs w:val="16"/>
                <w:color w:val="auto"/>
              </w:rPr>
            </w:pPr>
          </w:p>
        </w:tc>
        <w:tc>
          <w:tcPr>
            <w:tcW w:w="1920" w:type="dxa"/>
            <w:vAlign w:val="bottom"/>
            <w:tcBorders>
              <w:bottom w:val="single" w:sz="8" w:color="E5E5E5"/>
            </w:tcBorders>
            <w:vMerge w:val="continue"/>
            <w:shd w:val="clear" w:color="auto" w:fill="E5E5E5"/>
          </w:tcPr>
          <w:p>
            <w:pPr>
              <w:spacing w:after="0"/>
              <w:rPr>
                <w:sz w:val="16"/>
                <w:szCs w:val="16"/>
                <w:color w:val="auto"/>
              </w:rPr>
            </w:pPr>
          </w:p>
        </w:tc>
        <w:tc>
          <w:tcPr>
            <w:tcW w:w="1220" w:type="dxa"/>
            <w:vAlign w:val="bottom"/>
            <w:tcBorders>
              <w:bottom w:val="single" w:sz="8" w:color="E5E5E5"/>
            </w:tcBorders>
            <w:vMerge w:val="continue"/>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40" w:type="dxa"/>
            <w:vAlign w:val="bottom"/>
          </w:tcPr>
          <w:p>
            <w:pPr>
              <w:ind w:left="140"/>
              <w:spacing w:after="0"/>
              <w:rPr>
                <w:sz w:val="20"/>
                <w:szCs w:val="20"/>
                <w:color w:val="auto"/>
              </w:rPr>
            </w:pPr>
            <w:r>
              <w:rPr>
                <w:rFonts w:ascii="Arial" w:cs="Arial" w:eastAsia="Arial" w:hAnsi="Arial"/>
                <w:sz w:val="16"/>
                <w:szCs w:val="16"/>
                <w:b w:val="1"/>
                <w:bCs w:val="1"/>
                <w:color w:val="0071CE"/>
              </w:rPr>
              <w:t>Javier San Martin (7)</w:t>
            </w:r>
          </w:p>
        </w:tc>
        <w:tc>
          <w:tcPr>
            <w:tcW w:w="740" w:type="dxa"/>
            <w:vAlign w:val="bottom"/>
            <w:gridSpan w:val="3"/>
          </w:tcPr>
          <w:p>
            <w:pPr>
              <w:jc w:val="right"/>
              <w:ind w:right="39"/>
              <w:spacing w:after="0"/>
              <w:rPr>
                <w:sz w:val="20"/>
                <w:szCs w:val="20"/>
                <w:color w:val="auto"/>
              </w:rPr>
            </w:pPr>
            <w:r>
              <w:rPr>
                <w:rFonts w:ascii="Arial" w:cs="Arial" w:eastAsia="Arial" w:hAnsi="Arial"/>
                <w:sz w:val="16"/>
                <w:szCs w:val="16"/>
                <w:color w:val="auto"/>
              </w:rPr>
              <w:t>2021</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459,346</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80"/>
              <w:spacing w:after="0"/>
              <w:rPr>
                <w:sz w:val="20"/>
                <w:szCs w:val="20"/>
                <w:color w:val="auto"/>
              </w:rPr>
            </w:pPr>
            <w:r>
              <w:rPr>
                <w:rFonts w:ascii="Arial" w:cs="Arial" w:eastAsia="Arial" w:hAnsi="Arial"/>
                <w:sz w:val="16"/>
                <w:szCs w:val="16"/>
                <w:color w:val="auto"/>
              </w:rPr>
              <w:t>—</w:t>
            </w:r>
          </w:p>
        </w:tc>
        <w:tc>
          <w:tcPr>
            <w:tcW w:w="1920" w:type="dxa"/>
            <w:vAlign w:val="bottom"/>
          </w:tcPr>
          <w:p>
            <w:pPr>
              <w:jc w:val="right"/>
              <w:ind w:right="581"/>
              <w:spacing w:after="0"/>
              <w:rPr>
                <w:sz w:val="20"/>
                <w:szCs w:val="20"/>
                <w:color w:val="auto"/>
              </w:rPr>
            </w:pPr>
            <w:r>
              <w:rPr>
                <w:rFonts w:ascii="Arial" w:cs="Arial" w:eastAsia="Arial" w:hAnsi="Arial"/>
                <w:sz w:val="16"/>
                <w:szCs w:val="16"/>
                <w:color w:val="auto"/>
              </w:rPr>
              <w:t>185,400</w:t>
            </w:r>
          </w:p>
        </w:tc>
        <w:tc>
          <w:tcPr>
            <w:tcW w:w="1920" w:type="dxa"/>
            <w:vAlign w:val="bottom"/>
          </w:tcPr>
          <w:p>
            <w:pPr>
              <w:jc w:val="right"/>
              <w:ind w:right="480"/>
              <w:spacing w:after="0"/>
              <w:rPr>
                <w:sz w:val="20"/>
                <w:szCs w:val="20"/>
                <w:color w:val="auto"/>
              </w:rPr>
            </w:pPr>
            <w:r>
              <w:rPr>
                <w:rFonts w:ascii="Arial" w:cs="Arial" w:eastAsia="Arial" w:hAnsi="Arial"/>
                <w:sz w:val="16"/>
                <w:szCs w:val="16"/>
                <w:color w:val="auto"/>
              </w:rPr>
              <w:t>13,734</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658,480</w:t>
            </w:r>
          </w:p>
        </w:tc>
        <w:tc>
          <w:tcPr>
            <w:tcW w:w="0" w:type="dxa"/>
            <w:vAlign w:val="bottom"/>
          </w:tcPr>
          <w:p>
            <w:pPr>
              <w:spacing w:after="0"/>
              <w:rPr>
                <w:sz w:val="1"/>
                <w:szCs w:val="1"/>
                <w:color w:val="auto"/>
              </w:rPr>
            </w:pPr>
          </w:p>
        </w:tc>
      </w:tr>
      <w:tr>
        <w:trPr>
          <w:trHeight w:val="216"/>
        </w:trPr>
        <w:tc>
          <w:tcPr>
            <w:tcW w:w="2040" w:type="dxa"/>
            <w:vAlign w:val="bottom"/>
          </w:tcPr>
          <w:p>
            <w:pPr>
              <w:ind w:left="140"/>
              <w:spacing w:after="0"/>
              <w:rPr>
                <w:sz w:val="20"/>
                <w:szCs w:val="20"/>
                <w:color w:val="auto"/>
              </w:rPr>
            </w:pPr>
            <w:r>
              <w:rPr>
                <w:rFonts w:ascii="Arial" w:cs="Arial" w:eastAsia="Arial" w:hAnsi="Arial"/>
                <w:sz w:val="16"/>
                <w:szCs w:val="16"/>
                <w:color w:val="auto"/>
              </w:rPr>
              <w:t>Chief Medical Officer</w:t>
            </w:r>
          </w:p>
        </w:tc>
        <w:tc>
          <w:tcPr>
            <w:tcW w:w="740" w:type="dxa"/>
            <w:vAlign w:val="bottom"/>
            <w:gridSpan w:val="3"/>
          </w:tcPr>
          <w:p>
            <w:pPr>
              <w:jc w:val="right"/>
              <w:ind w:right="39"/>
              <w:spacing w:after="0"/>
              <w:rPr>
                <w:sz w:val="20"/>
                <w:szCs w:val="20"/>
                <w:color w:val="auto"/>
              </w:rPr>
            </w:pPr>
            <w:r>
              <w:rPr>
                <w:rFonts w:ascii="Arial" w:cs="Arial" w:eastAsia="Arial" w:hAnsi="Arial"/>
                <w:sz w:val="16"/>
                <w:szCs w:val="16"/>
                <w:color w:val="auto"/>
              </w:rPr>
              <w:t>2020</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380,769</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100,000</w:t>
            </w:r>
          </w:p>
        </w:tc>
        <w:tc>
          <w:tcPr>
            <w:tcW w:w="1420" w:type="dxa"/>
            <w:vAlign w:val="bottom"/>
          </w:tcPr>
          <w:p>
            <w:pPr>
              <w:jc w:val="right"/>
              <w:ind w:right="380"/>
              <w:spacing w:after="0"/>
              <w:rPr>
                <w:sz w:val="20"/>
                <w:szCs w:val="20"/>
                <w:color w:val="auto"/>
              </w:rPr>
            </w:pPr>
            <w:r>
              <w:rPr>
                <w:rFonts w:ascii="Arial" w:cs="Arial" w:eastAsia="Arial" w:hAnsi="Arial"/>
                <w:sz w:val="16"/>
                <w:szCs w:val="16"/>
                <w:color w:val="auto"/>
              </w:rPr>
              <w:t>7,225,500</w:t>
            </w:r>
          </w:p>
        </w:tc>
        <w:tc>
          <w:tcPr>
            <w:tcW w:w="1920" w:type="dxa"/>
            <w:vAlign w:val="bottom"/>
          </w:tcPr>
          <w:p>
            <w:pPr>
              <w:jc w:val="right"/>
              <w:ind w:right="581"/>
              <w:spacing w:after="0"/>
              <w:rPr>
                <w:sz w:val="20"/>
                <w:szCs w:val="20"/>
                <w:color w:val="auto"/>
              </w:rPr>
            </w:pPr>
            <w:r>
              <w:rPr>
                <w:rFonts w:ascii="Arial" w:cs="Arial" w:eastAsia="Arial" w:hAnsi="Arial"/>
                <w:sz w:val="16"/>
                <w:szCs w:val="16"/>
                <w:color w:val="auto"/>
              </w:rPr>
              <w:t>180,000</w:t>
            </w:r>
          </w:p>
        </w:tc>
        <w:tc>
          <w:tcPr>
            <w:tcW w:w="1920" w:type="dxa"/>
            <w:vAlign w:val="bottom"/>
          </w:tcPr>
          <w:p>
            <w:pPr>
              <w:jc w:val="right"/>
              <w:ind w:right="480"/>
              <w:spacing w:after="0"/>
              <w:rPr>
                <w:sz w:val="20"/>
                <w:szCs w:val="20"/>
                <w:color w:val="auto"/>
              </w:rPr>
            </w:pPr>
            <w:r>
              <w:rPr>
                <w:rFonts w:ascii="Arial" w:cs="Arial" w:eastAsia="Arial" w:hAnsi="Arial"/>
                <w:sz w:val="16"/>
                <w:szCs w:val="16"/>
                <w:color w:val="auto"/>
              </w:rPr>
              <w:t>12,802</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7,899,071</w:t>
            </w:r>
          </w:p>
        </w:tc>
        <w:tc>
          <w:tcPr>
            <w:tcW w:w="0" w:type="dxa"/>
            <w:vAlign w:val="bottom"/>
          </w:tcPr>
          <w:p>
            <w:pPr>
              <w:spacing w:after="0"/>
              <w:rPr>
                <w:sz w:val="1"/>
                <w:szCs w:val="1"/>
                <w:color w:val="auto"/>
              </w:rPr>
            </w:pPr>
          </w:p>
        </w:tc>
      </w:tr>
      <w:tr>
        <w:trPr>
          <w:trHeight w:val="226"/>
        </w:trPr>
        <w:tc>
          <w:tcPr>
            <w:tcW w:w="2040" w:type="dxa"/>
            <w:vAlign w:val="bottom"/>
          </w:tcPr>
          <w:p>
            <w:pPr>
              <w:spacing w:after="0"/>
              <w:rPr>
                <w:sz w:val="19"/>
                <w:szCs w:val="19"/>
                <w:color w:val="auto"/>
              </w:rPr>
            </w:pPr>
          </w:p>
        </w:tc>
        <w:tc>
          <w:tcPr>
            <w:tcW w:w="740" w:type="dxa"/>
            <w:vAlign w:val="bottom"/>
            <w:gridSpan w:val="3"/>
          </w:tcPr>
          <w:p>
            <w:pPr>
              <w:jc w:val="right"/>
              <w:ind w:right="39"/>
              <w:spacing w:after="0"/>
              <w:rPr>
                <w:sz w:val="20"/>
                <w:szCs w:val="20"/>
                <w:color w:val="auto"/>
              </w:rPr>
            </w:pPr>
            <w:r>
              <w:rPr>
                <w:rFonts w:ascii="Arial" w:cs="Arial" w:eastAsia="Arial" w:hAnsi="Arial"/>
                <w:sz w:val="16"/>
                <w:szCs w:val="16"/>
                <w:color w:val="auto"/>
              </w:rPr>
              <w:t>2019</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80"/>
              <w:spacing w:after="0"/>
              <w:rPr>
                <w:sz w:val="20"/>
                <w:szCs w:val="20"/>
                <w:color w:val="auto"/>
              </w:rPr>
            </w:pPr>
            <w:r>
              <w:rPr>
                <w:rFonts w:ascii="Arial" w:cs="Arial" w:eastAsia="Arial" w:hAnsi="Arial"/>
                <w:sz w:val="16"/>
                <w:szCs w:val="16"/>
                <w:color w:val="auto"/>
              </w:rPr>
              <w:t>—</w:t>
            </w:r>
          </w:p>
        </w:tc>
        <w:tc>
          <w:tcPr>
            <w:tcW w:w="1920" w:type="dxa"/>
            <w:vAlign w:val="bottom"/>
          </w:tcPr>
          <w:p>
            <w:pPr>
              <w:jc w:val="right"/>
              <w:ind w:right="581"/>
              <w:spacing w:after="0"/>
              <w:rPr>
                <w:sz w:val="20"/>
                <w:szCs w:val="20"/>
                <w:color w:val="auto"/>
              </w:rPr>
            </w:pPr>
            <w:r>
              <w:rPr>
                <w:rFonts w:ascii="Arial" w:cs="Arial" w:eastAsia="Arial" w:hAnsi="Arial"/>
                <w:sz w:val="16"/>
                <w:szCs w:val="16"/>
                <w:color w:val="auto"/>
              </w:rPr>
              <w:t>—</w:t>
            </w:r>
          </w:p>
        </w:tc>
        <w:tc>
          <w:tcPr>
            <w:tcW w:w="1920" w:type="dxa"/>
            <w:vAlign w:val="bottom"/>
          </w:tcPr>
          <w:p>
            <w:pPr>
              <w:jc w:val="right"/>
              <w:ind w:right="48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7"/>
        </w:trPr>
        <w:tc>
          <w:tcPr>
            <w:tcW w:w="2040" w:type="dxa"/>
            <w:vAlign w:val="bottom"/>
            <w:shd w:val="clear" w:color="auto" w:fill="E5E5E5"/>
          </w:tcPr>
          <w:p>
            <w:pPr>
              <w:ind w:left="140"/>
              <w:spacing w:after="0"/>
              <w:rPr>
                <w:sz w:val="20"/>
                <w:szCs w:val="20"/>
                <w:color w:val="auto"/>
              </w:rPr>
            </w:pPr>
            <w:r>
              <w:rPr>
                <w:rFonts w:ascii="Arial" w:cs="Arial" w:eastAsia="Arial" w:hAnsi="Arial"/>
                <w:sz w:val="16"/>
                <w:szCs w:val="16"/>
                <w:b w:val="1"/>
                <w:bCs w:val="1"/>
                <w:color w:val="0071CE"/>
              </w:rPr>
              <w:t>James Hamilton</w:t>
            </w:r>
          </w:p>
        </w:tc>
        <w:tc>
          <w:tcPr>
            <w:tcW w:w="740" w:type="dxa"/>
            <w:vAlign w:val="bottom"/>
            <w:gridSpan w:val="3"/>
            <w:shd w:val="clear" w:color="auto" w:fill="E5E5E5"/>
          </w:tcPr>
          <w:p>
            <w:pPr>
              <w:jc w:val="right"/>
              <w:ind w:right="39"/>
              <w:spacing w:after="0"/>
              <w:rPr>
                <w:sz w:val="20"/>
                <w:szCs w:val="20"/>
                <w:color w:val="auto"/>
              </w:rPr>
            </w:pPr>
            <w:r>
              <w:rPr>
                <w:rFonts w:ascii="Arial" w:cs="Arial" w:eastAsia="Arial" w:hAnsi="Arial"/>
                <w:sz w:val="16"/>
                <w:szCs w:val="16"/>
                <w:color w:val="auto"/>
              </w:rPr>
              <w:t>2021</w:t>
            </w:r>
          </w:p>
        </w:tc>
        <w:tc>
          <w:tcPr>
            <w:tcW w:w="860" w:type="dxa"/>
            <w:vAlign w:val="bottom"/>
            <w:shd w:val="clear" w:color="auto" w:fill="E5E5E5"/>
          </w:tcPr>
          <w:p>
            <w:pPr>
              <w:jc w:val="right"/>
              <w:ind w:right="60"/>
              <w:spacing w:after="0"/>
              <w:rPr>
                <w:sz w:val="20"/>
                <w:szCs w:val="20"/>
                <w:color w:val="auto"/>
              </w:rPr>
            </w:pPr>
            <w:r>
              <w:rPr>
                <w:rFonts w:ascii="Arial" w:cs="Arial" w:eastAsia="Arial" w:hAnsi="Arial"/>
                <w:sz w:val="16"/>
                <w:szCs w:val="16"/>
                <w:color w:val="auto"/>
              </w:rPr>
              <w:t>426,109</w:t>
            </w:r>
          </w:p>
        </w:tc>
        <w:tc>
          <w:tcPr>
            <w:tcW w:w="900" w:type="dxa"/>
            <w:vAlign w:val="bottom"/>
            <w:shd w:val="clear" w:color="auto" w:fill="E5E5E5"/>
          </w:tcPr>
          <w:p>
            <w:pPr>
              <w:jc w:val="right"/>
              <w:ind w:right="80"/>
              <w:spacing w:after="0"/>
              <w:rPr>
                <w:sz w:val="20"/>
                <w:szCs w:val="20"/>
                <w:color w:val="auto"/>
              </w:rPr>
            </w:pPr>
            <w:r>
              <w:rPr>
                <w:rFonts w:ascii="Arial" w:cs="Arial" w:eastAsia="Arial" w:hAnsi="Arial"/>
                <w:sz w:val="16"/>
                <w:szCs w:val="16"/>
                <w:color w:val="auto"/>
              </w:rPr>
              <w:t>—</w:t>
            </w:r>
          </w:p>
        </w:tc>
        <w:tc>
          <w:tcPr>
            <w:tcW w:w="1420" w:type="dxa"/>
            <w:vAlign w:val="bottom"/>
            <w:shd w:val="clear" w:color="auto" w:fill="E5E5E5"/>
          </w:tcPr>
          <w:p>
            <w:pPr>
              <w:jc w:val="right"/>
              <w:ind w:right="380"/>
              <w:spacing w:after="0"/>
              <w:rPr>
                <w:sz w:val="20"/>
                <w:szCs w:val="20"/>
                <w:color w:val="auto"/>
              </w:rPr>
            </w:pPr>
            <w:r>
              <w:rPr>
                <w:rFonts w:ascii="Arial" w:cs="Arial" w:eastAsia="Arial" w:hAnsi="Arial"/>
                <w:sz w:val="16"/>
                <w:szCs w:val="16"/>
                <w:color w:val="auto"/>
              </w:rPr>
              <w:t>3,836,500</w:t>
            </w:r>
          </w:p>
        </w:tc>
        <w:tc>
          <w:tcPr>
            <w:tcW w:w="1920" w:type="dxa"/>
            <w:vAlign w:val="bottom"/>
            <w:shd w:val="clear" w:color="auto" w:fill="E5E5E5"/>
          </w:tcPr>
          <w:p>
            <w:pPr>
              <w:jc w:val="right"/>
              <w:ind w:right="581"/>
              <w:spacing w:after="0"/>
              <w:rPr>
                <w:sz w:val="20"/>
                <w:szCs w:val="20"/>
                <w:color w:val="auto"/>
              </w:rPr>
            </w:pPr>
            <w:r>
              <w:rPr>
                <w:rFonts w:ascii="Arial" w:cs="Arial" w:eastAsia="Arial" w:hAnsi="Arial"/>
                <w:sz w:val="16"/>
                <w:szCs w:val="16"/>
                <w:color w:val="auto"/>
              </w:rPr>
              <w:t>233,604</w:t>
            </w:r>
          </w:p>
        </w:tc>
        <w:tc>
          <w:tcPr>
            <w:tcW w:w="1920" w:type="dxa"/>
            <w:vAlign w:val="bottom"/>
            <w:shd w:val="clear" w:color="auto" w:fill="E5E5E5"/>
          </w:tcPr>
          <w:p>
            <w:pPr>
              <w:jc w:val="right"/>
              <w:ind w:right="480"/>
              <w:spacing w:after="0"/>
              <w:rPr>
                <w:sz w:val="20"/>
                <w:szCs w:val="20"/>
                <w:color w:val="auto"/>
              </w:rPr>
            </w:pPr>
            <w:r>
              <w:rPr>
                <w:rFonts w:ascii="Arial" w:cs="Arial" w:eastAsia="Arial" w:hAnsi="Arial"/>
                <w:sz w:val="16"/>
                <w:szCs w:val="16"/>
                <w:color w:val="auto"/>
              </w:rPr>
              <w:t>13,734</w:t>
            </w:r>
          </w:p>
        </w:tc>
        <w:tc>
          <w:tcPr>
            <w:tcW w:w="122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4,509,947</w:t>
            </w:r>
          </w:p>
        </w:tc>
        <w:tc>
          <w:tcPr>
            <w:tcW w:w="0" w:type="dxa"/>
            <w:vAlign w:val="bottom"/>
          </w:tcPr>
          <w:p>
            <w:pPr>
              <w:spacing w:after="0"/>
              <w:rPr>
                <w:sz w:val="1"/>
                <w:szCs w:val="1"/>
                <w:color w:val="auto"/>
              </w:rPr>
            </w:pPr>
          </w:p>
        </w:tc>
      </w:tr>
      <w:tr>
        <w:trPr>
          <w:trHeight w:val="197"/>
        </w:trPr>
        <w:tc>
          <w:tcPr>
            <w:tcW w:w="2040" w:type="dxa"/>
            <w:vAlign w:val="bottom"/>
            <w:shd w:val="clear" w:color="auto" w:fill="E5E5E5"/>
          </w:tcPr>
          <w:p>
            <w:pPr>
              <w:ind w:left="140"/>
              <w:spacing w:after="0"/>
              <w:rPr>
                <w:sz w:val="20"/>
                <w:szCs w:val="20"/>
                <w:color w:val="auto"/>
              </w:rPr>
            </w:pPr>
            <w:r>
              <w:rPr>
                <w:rFonts w:ascii="Arial" w:cs="Arial" w:eastAsia="Arial" w:hAnsi="Arial"/>
                <w:sz w:val="16"/>
                <w:szCs w:val="16"/>
                <w:color w:val="auto"/>
              </w:rPr>
              <w:t>Sr. VP Discovery and</w:t>
            </w:r>
          </w:p>
        </w:tc>
        <w:tc>
          <w:tcPr>
            <w:tcW w:w="200" w:type="dxa"/>
            <w:vAlign w:val="bottom"/>
            <w:shd w:val="clear" w:color="auto" w:fill="E5E5E5"/>
          </w:tcPr>
          <w:p>
            <w:pPr>
              <w:spacing w:after="0"/>
              <w:rPr>
                <w:sz w:val="17"/>
                <w:szCs w:val="17"/>
                <w:color w:val="auto"/>
              </w:rPr>
            </w:pPr>
          </w:p>
        </w:tc>
        <w:tc>
          <w:tcPr>
            <w:tcW w:w="540" w:type="dxa"/>
            <w:vAlign w:val="bottom"/>
            <w:gridSpan w:val="2"/>
            <w:shd w:val="clear" w:color="auto" w:fill="E5E5E5"/>
          </w:tcPr>
          <w:p>
            <w:pPr>
              <w:jc w:val="right"/>
              <w:ind w:right="39"/>
              <w:spacing w:after="0"/>
              <w:rPr>
                <w:sz w:val="20"/>
                <w:szCs w:val="20"/>
                <w:color w:val="auto"/>
              </w:rPr>
            </w:pPr>
            <w:r>
              <w:rPr>
                <w:rFonts w:ascii="Arial" w:cs="Arial" w:eastAsia="Arial" w:hAnsi="Arial"/>
                <w:sz w:val="16"/>
                <w:szCs w:val="16"/>
                <w:color w:val="auto"/>
              </w:rPr>
              <w:t>2020</w:t>
            </w:r>
          </w:p>
        </w:tc>
        <w:tc>
          <w:tcPr>
            <w:tcW w:w="860" w:type="dxa"/>
            <w:vAlign w:val="bottom"/>
            <w:shd w:val="clear" w:color="auto" w:fill="E5E5E5"/>
          </w:tcPr>
          <w:p>
            <w:pPr>
              <w:jc w:val="right"/>
              <w:ind w:right="60"/>
              <w:spacing w:after="0"/>
              <w:rPr>
                <w:sz w:val="20"/>
                <w:szCs w:val="20"/>
                <w:color w:val="auto"/>
              </w:rPr>
            </w:pPr>
            <w:r>
              <w:rPr>
                <w:rFonts w:ascii="Arial" w:cs="Arial" w:eastAsia="Arial" w:hAnsi="Arial"/>
                <w:sz w:val="16"/>
                <w:szCs w:val="16"/>
                <w:color w:val="auto"/>
              </w:rPr>
              <w:t>376,362</w:t>
            </w:r>
          </w:p>
        </w:tc>
        <w:tc>
          <w:tcPr>
            <w:tcW w:w="900" w:type="dxa"/>
            <w:vAlign w:val="bottom"/>
            <w:shd w:val="clear" w:color="auto" w:fill="E5E5E5"/>
          </w:tcPr>
          <w:p>
            <w:pPr>
              <w:jc w:val="right"/>
              <w:ind w:right="80"/>
              <w:spacing w:after="0"/>
              <w:rPr>
                <w:sz w:val="20"/>
                <w:szCs w:val="20"/>
                <w:color w:val="auto"/>
              </w:rPr>
            </w:pPr>
            <w:r>
              <w:rPr>
                <w:rFonts w:ascii="Arial" w:cs="Arial" w:eastAsia="Arial" w:hAnsi="Arial"/>
                <w:sz w:val="16"/>
                <w:szCs w:val="16"/>
                <w:color w:val="auto"/>
              </w:rPr>
              <w:t>—</w:t>
            </w:r>
          </w:p>
        </w:tc>
        <w:tc>
          <w:tcPr>
            <w:tcW w:w="1420" w:type="dxa"/>
            <w:vAlign w:val="bottom"/>
            <w:shd w:val="clear" w:color="auto" w:fill="E5E5E5"/>
          </w:tcPr>
          <w:p>
            <w:pPr>
              <w:jc w:val="right"/>
              <w:ind w:right="380"/>
              <w:spacing w:after="0"/>
              <w:rPr>
                <w:sz w:val="20"/>
                <w:szCs w:val="20"/>
                <w:color w:val="auto"/>
              </w:rPr>
            </w:pPr>
            <w:r>
              <w:rPr>
                <w:rFonts w:ascii="Arial" w:cs="Arial" w:eastAsia="Arial" w:hAnsi="Arial"/>
                <w:sz w:val="16"/>
                <w:szCs w:val="16"/>
                <w:color w:val="auto"/>
              </w:rPr>
              <w:t>2,854,350</w:t>
            </w:r>
          </w:p>
        </w:tc>
        <w:tc>
          <w:tcPr>
            <w:tcW w:w="1920" w:type="dxa"/>
            <w:vAlign w:val="bottom"/>
            <w:shd w:val="clear" w:color="auto" w:fill="E5E5E5"/>
          </w:tcPr>
          <w:p>
            <w:pPr>
              <w:jc w:val="right"/>
              <w:ind w:right="581"/>
              <w:spacing w:after="0"/>
              <w:rPr>
                <w:sz w:val="20"/>
                <w:szCs w:val="20"/>
                <w:color w:val="auto"/>
              </w:rPr>
            </w:pPr>
            <w:r>
              <w:rPr>
                <w:rFonts w:ascii="Arial" w:cs="Arial" w:eastAsia="Arial" w:hAnsi="Arial"/>
                <w:sz w:val="16"/>
                <w:szCs w:val="16"/>
                <w:color w:val="auto"/>
              </w:rPr>
              <w:t>169,363</w:t>
            </w:r>
          </w:p>
        </w:tc>
        <w:tc>
          <w:tcPr>
            <w:tcW w:w="1920" w:type="dxa"/>
            <w:vAlign w:val="bottom"/>
            <w:shd w:val="clear" w:color="auto" w:fill="E5E5E5"/>
          </w:tcPr>
          <w:p>
            <w:pPr>
              <w:jc w:val="right"/>
              <w:ind w:right="480"/>
              <w:spacing w:after="0"/>
              <w:rPr>
                <w:sz w:val="20"/>
                <w:szCs w:val="20"/>
                <w:color w:val="auto"/>
              </w:rPr>
            </w:pPr>
            <w:r>
              <w:rPr>
                <w:rFonts w:ascii="Arial" w:cs="Arial" w:eastAsia="Arial" w:hAnsi="Arial"/>
                <w:sz w:val="16"/>
                <w:szCs w:val="16"/>
                <w:color w:val="auto"/>
              </w:rPr>
              <w:t>12,802</w:t>
            </w:r>
          </w:p>
        </w:tc>
        <w:tc>
          <w:tcPr>
            <w:tcW w:w="122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3,412,877</w:t>
            </w:r>
          </w:p>
        </w:tc>
        <w:tc>
          <w:tcPr>
            <w:tcW w:w="0" w:type="dxa"/>
            <w:vAlign w:val="bottom"/>
          </w:tcPr>
          <w:p>
            <w:pPr>
              <w:spacing w:after="0"/>
              <w:rPr>
                <w:sz w:val="1"/>
                <w:szCs w:val="1"/>
                <w:color w:val="auto"/>
              </w:rPr>
            </w:pPr>
          </w:p>
        </w:tc>
      </w:tr>
      <w:tr>
        <w:trPr>
          <w:trHeight w:val="255"/>
        </w:trPr>
        <w:tc>
          <w:tcPr>
            <w:tcW w:w="2040" w:type="dxa"/>
            <w:vAlign w:val="bottom"/>
            <w:shd w:val="clear" w:color="auto" w:fill="E5E5E5"/>
          </w:tcPr>
          <w:p>
            <w:pPr>
              <w:ind w:left="140"/>
              <w:spacing w:after="0"/>
              <w:rPr>
                <w:sz w:val="20"/>
                <w:szCs w:val="20"/>
                <w:color w:val="auto"/>
              </w:rPr>
            </w:pPr>
            <w:r>
              <w:rPr>
                <w:rFonts w:ascii="Arial" w:cs="Arial" w:eastAsia="Arial" w:hAnsi="Arial"/>
                <w:sz w:val="16"/>
                <w:szCs w:val="16"/>
                <w:color w:val="auto"/>
              </w:rPr>
              <w:t>Translational Medicine</w:t>
            </w:r>
          </w:p>
        </w:tc>
        <w:tc>
          <w:tcPr>
            <w:tcW w:w="200" w:type="dxa"/>
            <w:vAlign w:val="bottom"/>
            <w:shd w:val="clear" w:color="auto" w:fill="E5E5E5"/>
          </w:tcPr>
          <w:p>
            <w:pPr>
              <w:spacing w:after="0"/>
              <w:rPr>
                <w:sz w:val="22"/>
                <w:szCs w:val="22"/>
                <w:color w:val="auto"/>
              </w:rPr>
            </w:pPr>
          </w:p>
        </w:tc>
        <w:tc>
          <w:tcPr>
            <w:tcW w:w="540" w:type="dxa"/>
            <w:vAlign w:val="bottom"/>
            <w:gridSpan w:val="2"/>
            <w:shd w:val="clear" w:color="auto" w:fill="E5E5E5"/>
          </w:tcPr>
          <w:p>
            <w:pPr>
              <w:jc w:val="right"/>
              <w:ind w:right="39"/>
              <w:spacing w:after="0"/>
              <w:rPr>
                <w:sz w:val="20"/>
                <w:szCs w:val="20"/>
                <w:color w:val="auto"/>
              </w:rPr>
            </w:pPr>
            <w:r>
              <w:rPr>
                <w:rFonts w:ascii="Arial" w:cs="Arial" w:eastAsia="Arial" w:hAnsi="Arial"/>
                <w:sz w:val="16"/>
                <w:szCs w:val="16"/>
                <w:color w:val="auto"/>
              </w:rPr>
              <w:t>2019</w:t>
            </w:r>
          </w:p>
        </w:tc>
        <w:tc>
          <w:tcPr>
            <w:tcW w:w="860" w:type="dxa"/>
            <w:vAlign w:val="bottom"/>
            <w:shd w:val="clear" w:color="auto" w:fill="E5E5E5"/>
          </w:tcPr>
          <w:p>
            <w:pPr>
              <w:jc w:val="right"/>
              <w:ind w:right="60"/>
              <w:spacing w:after="0"/>
              <w:rPr>
                <w:sz w:val="20"/>
                <w:szCs w:val="20"/>
                <w:color w:val="auto"/>
              </w:rPr>
            </w:pPr>
            <w:r>
              <w:rPr>
                <w:rFonts w:ascii="Arial" w:cs="Arial" w:eastAsia="Arial" w:hAnsi="Arial"/>
                <w:sz w:val="16"/>
                <w:szCs w:val="16"/>
                <w:color w:val="auto"/>
              </w:rPr>
              <w:t>351,831</w:t>
            </w:r>
          </w:p>
        </w:tc>
        <w:tc>
          <w:tcPr>
            <w:tcW w:w="900" w:type="dxa"/>
            <w:vAlign w:val="bottom"/>
            <w:shd w:val="clear" w:color="auto" w:fill="E5E5E5"/>
          </w:tcPr>
          <w:p>
            <w:pPr>
              <w:jc w:val="right"/>
              <w:ind w:right="80"/>
              <w:spacing w:after="0"/>
              <w:rPr>
                <w:sz w:val="20"/>
                <w:szCs w:val="20"/>
                <w:color w:val="auto"/>
              </w:rPr>
            </w:pPr>
            <w:r>
              <w:rPr>
                <w:rFonts w:ascii="Arial" w:cs="Arial" w:eastAsia="Arial" w:hAnsi="Arial"/>
                <w:sz w:val="16"/>
                <w:szCs w:val="16"/>
                <w:color w:val="auto"/>
              </w:rPr>
              <w:t>—</w:t>
            </w:r>
          </w:p>
        </w:tc>
        <w:tc>
          <w:tcPr>
            <w:tcW w:w="1420" w:type="dxa"/>
            <w:vAlign w:val="bottom"/>
            <w:shd w:val="clear" w:color="auto" w:fill="E5E5E5"/>
          </w:tcPr>
          <w:p>
            <w:pPr>
              <w:jc w:val="right"/>
              <w:ind w:right="380"/>
              <w:spacing w:after="0"/>
              <w:rPr>
                <w:sz w:val="20"/>
                <w:szCs w:val="20"/>
                <w:color w:val="auto"/>
              </w:rPr>
            </w:pPr>
            <w:r>
              <w:rPr>
                <w:rFonts w:ascii="Arial" w:cs="Arial" w:eastAsia="Arial" w:hAnsi="Arial"/>
                <w:sz w:val="16"/>
                <w:szCs w:val="16"/>
                <w:color w:val="auto"/>
              </w:rPr>
              <w:t>745,200</w:t>
            </w:r>
          </w:p>
        </w:tc>
        <w:tc>
          <w:tcPr>
            <w:tcW w:w="1920" w:type="dxa"/>
            <w:vAlign w:val="bottom"/>
            <w:shd w:val="clear" w:color="auto" w:fill="E5E5E5"/>
          </w:tcPr>
          <w:p>
            <w:pPr>
              <w:jc w:val="right"/>
              <w:ind w:right="581"/>
              <w:spacing w:after="0"/>
              <w:rPr>
                <w:sz w:val="20"/>
                <w:szCs w:val="20"/>
                <w:color w:val="auto"/>
              </w:rPr>
            </w:pPr>
            <w:r>
              <w:rPr>
                <w:rFonts w:ascii="Arial" w:cs="Arial" w:eastAsia="Arial" w:hAnsi="Arial"/>
                <w:sz w:val="16"/>
                <w:szCs w:val="16"/>
                <w:color w:val="auto"/>
              </w:rPr>
              <w:t>109,620</w:t>
            </w:r>
          </w:p>
        </w:tc>
        <w:tc>
          <w:tcPr>
            <w:tcW w:w="1920" w:type="dxa"/>
            <w:vAlign w:val="bottom"/>
            <w:shd w:val="clear" w:color="auto" w:fill="E5E5E5"/>
          </w:tcPr>
          <w:p>
            <w:pPr>
              <w:jc w:val="right"/>
              <w:ind w:right="480"/>
              <w:spacing w:after="0"/>
              <w:rPr>
                <w:sz w:val="20"/>
                <w:szCs w:val="20"/>
                <w:color w:val="auto"/>
              </w:rPr>
            </w:pPr>
            <w:r>
              <w:rPr>
                <w:rFonts w:ascii="Arial" w:cs="Arial" w:eastAsia="Arial" w:hAnsi="Arial"/>
                <w:sz w:val="16"/>
                <w:szCs w:val="16"/>
                <w:color w:val="auto"/>
              </w:rPr>
              <w:t>11,505</w:t>
            </w:r>
          </w:p>
        </w:tc>
        <w:tc>
          <w:tcPr>
            <w:tcW w:w="122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1,218,156</w:t>
            </w:r>
          </w:p>
        </w:tc>
        <w:tc>
          <w:tcPr>
            <w:tcW w:w="0" w:type="dxa"/>
            <w:vAlign w:val="bottom"/>
          </w:tcPr>
          <w:p>
            <w:pPr>
              <w:spacing w:after="0"/>
              <w:rPr>
                <w:sz w:val="1"/>
                <w:szCs w:val="1"/>
                <w:color w:val="auto"/>
              </w:rPr>
            </w:pPr>
          </w:p>
        </w:tc>
      </w:tr>
      <w:tr>
        <w:trPr>
          <w:trHeight w:val="237"/>
        </w:trPr>
        <w:tc>
          <w:tcPr>
            <w:tcW w:w="2040" w:type="dxa"/>
            <w:vAlign w:val="bottom"/>
          </w:tcPr>
          <w:p>
            <w:pPr>
              <w:ind w:left="140"/>
              <w:spacing w:after="0"/>
              <w:rPr>
                <w:sz w:val="20"/>
                <w:szCs w:val="20"/>
                <w:color w:val="auto"/>
              </w:rPr>
            </w:pPr>
            <w:r>
              <w:rPr>
                <w:rFonts w:ascii="Arial" w:cs="Arial" w:eastAsia="Arial" w:hAnsi="Arial"/>
                <w:sz w:val="16"/>
                <w:szCs w:val="16"/>
                <w:b w:val="1"/>
                <w:bCs w:val="1"/>
                <w:color w:val="0071CE"/>
              </w:rPr>
              <w:t>James Hassard (8)</w:t>
            </w:r>
          </w:p>
        </w:tc>
        <w:tc>
          <w:tcPr>
            <w:tcW w:w="740" w:type="dxa"/>
            <w:vAlign w:val="bottom"/>
            <w:gridSpan w:val="3"/>
          </w:tcPr>
          <w:p>
            <w:pPr>
              <w:jc w:val="right"/>
              <w:ind w:right="39"/>
              <w:spacing w:after="0"/>
              <w:rPr>
                <w:sz w:val="20"/>
                <w:szCs w:val="20"/>
                <w:color w:val="auto"/>
              </w:rPr>
            </w:pPr>
            <w:r>
              <w:rPr>
                <w:rFonts w:ascii="Arial" w:cs="Arial" w:eastAsia="Arial" w:hAnsi="Arial"/>
                <w:sz w:val="16"/>
                <w:szCs w:val="16"/>
                <w:color w:val="auto"/>
              </w:rPr>
              <w:t>2021</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431,673</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80"/>
              <w:spacing w:after="0"/>
              <w:rPr>
                <w:sz w:val="20"/>
                <w:szCs w:val="20"/>
                <w:color w:val="auto"/>
              </w:rPr>
            </w:pPr>
            <w:r>
              <w:rPr>
                <w:rFonts w:ascii="Arial" w:cs="Arial" w:eastAsia="Arial" w:hAnsi="Arial"/>
                <w:sz w:val="16"/>
                <w:szCs w:val="16"/>
                <w:color w:val="auto"/>
              </w:rPr>
              <w:t>—</w:t>
            </w:r>
          </w:p>
        </w:tc>
        <w:tc>
          <w:tcPr>
            <w:tcW w:w="1920" w:type="dxa"/>
            <w:vAlign w:val="bottom"/>
          </w:tcPr>
          <w:p>
            <w:pPr>
              <w:jc w:val="right"/>
              <w:ind w:right="581"/>
              <w:spacing w:after="0"/>
              <w:rPr>
                <w:sz w:val="20"/>
                <w:szCs w:val="20"/>
                <w:color w:val="auto"/>
              </w:rPr>
            </w:pPr>
            <w:r>
              <w:rPr>
                <w:rFonts w:ascii="Arial" w:cs="Arial" w:eastAsia="Arial" w:hAnsi="Arial"/>
                <w:sz w:val="16"/>
                <w:szCs w:val="16"/>
                <w:color w:val="auto"/>
              </w:rPr>
              <w:t>—</w:t>
            </w:r>
          </w:p>
        </w:tc>
        <w:tc>
          <w:tcPr>
            <w:tcW w:w="1920" w:type="dxa"/>
            <w:vAlign w:val="bottom"/>
          </w:tcPr>
          <w:p>
            <w:pPr>
              <w:jc w:val="right"/>
              <w:ind w:right="480"/>
              <w:spacing w:after="0"/>
              <w:rPr>
                <w:sz w:val="20"/>
                <w:szCs w:val="20"/>
                <w:color w:val="auto"/>
              </w:rPr>
            </w:pPr>
            <w:r>
              <w:rPr>
                <w:rFonts w:ascii="Arial" w:cs="Arial" w:eastAsia="Arial" w:hAnsi="Arial"/>
                <w:sz w:val="16"/>
                <w:szCs w:val="16"/>
                <w:color w:val="auto"/>
              </w:rPr>
              <w:t>353,135</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784,808</w:t>
            </w:r>
          </w:p>
        </w:tc>
        <w:tc>
          <w:tcPr>
            <w:tcW w:w="0" w:type="dxa"/>
            <w:vAlign w:val="bottom"/>
          </w:tcPr>
          <w:p>
            <w:pPr>
              <w:spacing w:after="0"/>
              <w:rPr>
                <w:sz w:val="1"/>
                <w:szCs w:val="1"/>
                <w:color w:val="auto"/>
              </w:rPr>
            </w:pPr>
          </w:p>
        </w:tc>
      </w:tr>
      <w:tr>
        <w:trPr>
          <w:trHeight w:val="197"/>
        </w:trPr>
        <w:tc>
          <w:tcPr>
            <w:tcW w:w="2040" w:type="dxa"/>
            <w:vAlign w:val="bottom"/>
          </w:tcPr>
          <w:p>
            <w:pPr>
              <w:ind w:left="140"/>
              <w:spacing w:after="0"/>
              <w:rPr>
                <w:sz w:val="20"/>
                <w:szCs w:val="20"/>
                <w:color w:val="auto"/>
              </w:rPr>
            </w:pPr>
            <w:r>
              <w:rPr>
                <w:rFonts w:ascii="Arial" w:cs="Arial" w:eastAsia="Arial" w:hAnsi="Arial"/>
                <w:sz w:val="16"/>
                <w:szCs w:val="16"/>
                <w:color w:val="auto"/>
              </w:rPr>
              <w:t>Chief Commercial</w:t>
            </w:r>
          </w:p>
        </w:tc>
        <w:tc>
          <w:tcPr>
            <w:tcW w:w="740" w:type="dxa"/>
            <w:vAlign w:val="bottom"/>
            <w:gridSpan w:val="3"/>
          </w:tcPr>
          <w:p>
            <w:pPr>
              <w:jc w:val="right"/>
              <w:ind w:right="39"/>
              <w:spacing w:after="0"/>
              <w:rPr>
                <w:sz w:val="20"/>
                <w:szCs w:val="20"/>
                <w:color w:val="auto"/>
              </w:rPr>
            </w:pPr>
            <w:r>
              <w:rPr>
                <w:rFonts w:ascii="Arial" w:cs="Arial" w:eastAsia="Arial" w:hAnsi="Arial"/>
                <w:sz w:val="16"/>
                <w:szCs w:val="16"/>
                <w:color w:val="auto"/>
              </w:rPr>
              <w:t>2020</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302,404</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80"/>
              <w:spacing w:after="0"/>
              <w:rPr>
                <w:sz w:val="20"/>
                <w:szCs w:val="20"/>
                <w:color w:val="auto"/>
              </w:rPr>
            </w:pPr>
            <w:r>
              <w:rPr>
                <w:rFonts w:ascii="Arial" w:cs="Arial" w:eastAsia="Arial" w:hAnsi="Arial"/>
                <w:sz w:val="16"/>
                <w:szCs w:val="16"/>
                <w:color w:val="auto"/>
              </w:rPr>
              <w:t>7,430,000</w:t>
            </w:r>
          </w:p>
        </w:tc>
        <w:tc>
          <w:tcPr>
            <w:tcW w:w="1920" w:type="dxa"/>
            <w:vAlign w:val="bottom"/>
          </w:tcPr>
          <w:p>
            <w:pPr>
              <w:jc w:val="right"/>
              <w:ind w:right="581"/>
              <w:spacing w:after="0"/>
              <w:rPr>
                <w:sz w:val="20"/>
                <w:szCs w:val="20"/>
                <w:color w:val="auto"/>
              </w:rPr>
            </w:pPr>
            <w:r>
              <w:rPr>
                <w:rFonts w:ascii="Arial" w:cs="Arial" w:eastAsia="Arial" w:hAnsi="Arial"/>
                <w:sz w:val="16"/>
                <w:szCs w:val="16"/>
                <w:color w:val="auto"/>
              </w:rPr>
              <w:t>170,000</w:t>
            </w:r>
          </w:p>
        </w:tc>
        <w:tc>
          <w:tcPr>
            <w:tcW w:w="1920" w:type="dxa"/>
            <w:vAlign w:val="bottom"/>
          </w:tcPr>
          <w:p>
            <w:pPr>
              <w:jc w:val="right"/>
              <w:ind w:right="480"/>
              <w:spacing w:after="0"/>
              <w:rPr>
                <w:sz w:val="20"/>
                <w:szCs w:val="20"/>
                <w:color w:val="auto"/>
              </w:rPr>
            </w:pPr>
            <w:r>
              <w:rPr>
                <w:rFonts w:ascii="Arial" w:cs="Arial" w:eastAsia="Arial" w:hAnsi="Arial"/>
                <w:sz w:val="16"/>
                <w:szCs w:val="16"/>
                <w:color w:val="auto"/>
              </w:rPr>
              <w:t>15,892</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7,918,296</w:t>
            </w:r>
          </w:p>
        </w:tc>
        <w:tc>
          <w:tcPr>
            <w:tcW w:w="0" w:type="dxa"/>
            <w:vAlign w:val="bottom"/>
          </w:tcPr>
          <w:p>
            <w:pPr>
              <w:spacing w:after="0"/>
              <w:rPr>
                <w:sz w:val="1"/>
                <w:szCs w:val="1"/>
                <w:color w:val="auto"/>
              </w:rPr>
            </w:pPr>
          </w:p>
        </w:tc>
      </w:tr>
      <w:tr>
        <w:trPr>
          <w:trHeight w:val="248"/>
        </w:trPr>
        <w:tc>
          <w:tcPr>
            <w:tcW w:w="2040" w:type="dxa"/>
            <w:vAlign w:val="bottom"/>
            <w:tcBorders>
              <w:bottom w:val="single" w:sz="8" w:color="0071CE"/>
            </w:tcBorders>
          </w:tcPr>
          <w:p>
            <w:pPr>
              <w:ind w:left="140"/>
              <w:spacing w:after="0"/>
              <w:rPr>
                <w:sz w:val="20"/>
                <w:szCs w:val="20"/>
                <w:color w:val="auto"/>
              </w:rPr>
            </w:pPr>
            <w:r>
              <w:rPr>
                <w:rFonts w:ascii="Arial" w:cs="Arial" w:eastAsia="Arial" w:hAnsi="Arial"/>
                <w:sz w:val="16"/>
                <w:szCs w:val="16"/>
                <w:color w:val="auto"/>
              </w:rPr>
              <w:t>Officer</w:t>
            </w:r>
          </w:p>
        </w:tc>
        <w:tc>
          <w:tcPr>
            <w:tcW w:w="740" w:type="dxa"/>
            <w:vAlign w:val="bottom"/>
            <w:tcBorders>
              <w:bottom w:val="single" w:sz="8" w:color="0071CE"/>
            </w:tcBorders>
            <w:gridSpan w:val="3"/>
          </w:tcPr>
          <w:p>
            <w:pPr>
              <w:jc w:val="right"/>
              <w:ind w:right="39"/>
              <w:spacing w:after="0"/>
              <w:rPr>
                <w:sz w:val="20"/>
                <w:szCs w:val="20"/>
                <w:color w:val="auto"/>
              </w:rPr>
            </w:pPr>
            <w:r>
              <w:rPr>
                <w:rFonts w:ascii="Arial" w:cs="Arial" w:eastAsia="Arial" w:hAnsi="Arial"/>
                <w:sz w:val="16"/>
                <w:szCs w:val="16"/>
                <w:color w:val="auto"/>
              </w:rPr>
              <w:t>2019</w:t>
            </w:r>
          </w:p>
        </w:tc>
        <w:tc>
          <w:tcPr>
            <w:tcW w:w="860" w:type="dxa"/>
            <w:vAlign w:val="bottom"/>
            <w:tcBorders>
              <w:bottom w:val="single" w:sz="8" w:color="0071CE"/>
            </w:tcBorders>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0071CE"/>
            </w:tcBorders>
          </w:tcPr>
          <w:p>
            <w:pPr>
              <w:jc w:val="right"/>
              <w:ind w:right="8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0071CE"/>
            </w:tcBorders>
          </w:tcPr>
          <w:p>
            <w:pPr>
              <w:jc w:val="right"/>
              <w:ind w:right="380"/>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0071CE"/>
            </w:tcBorders>
          </w:tcPr>
          <w:p>
            <w:pPr>
              <w:jc w:val="right"/>
              <w:ind w:right="581"/>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0071CE"/>
            </w:tcBorders>
          </w:tcPr>
          <w:p>
            <w:pPr>
              <w:jc w:val="right"/>
              <w:ind w:right="48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0071CE"/>
            </w:tcBorders>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86" w:lineRule="exact"/>
        <w:rPr>
          <w:sz w:val="20"/>
          <w:szCs w:val="20"/>
          <w:color w:val="auto"/>
        </w:rPr>
      </w:pPr>
    </w:p>
    <w:p>
      <w:pPr>
        <w:jc w:val="both"/>
        <w:ind w:left="540" w:right="300" w:hanging="424"/>
        <w:spacing w:after="0" w:line="249" w:lineRule="auto"/>
        <w:tabs>
          <w:tab w:leader="none" w:pos="5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These columns represent the total grant date fair value, computed in accordance with ASC 718, of restricted stock units granted during fiscal year 2021, 2020 and 2019. The assumptions used to calculate the value of the stock underlying the restricted stock unit awards are set forth in Note 9 of the Notes to the Consolidated Financial Statements included with the Company’s Annual Report on Form 10-K.</w:t>
      </w:r>
    </w:p>
    <w:p>
      <w:pPr>
        <w:spacing w:after="0" w:line="65" w:lineRule="exact"/>
        <w:rPr>
          <w:rFonts w:ascii="Arial" w:cs="Arial" w:eastAsia="Arial" w:hAnsi="Arial"/>
          <w:sz w:val="14"/>
          <w:szCs w:val="14"/>
          <w:color w:val="auto"/>
        </w:rPr>
      </w:pPr>
    </w:p>
    <w:p>
      <w:pPr>
        <w:ind w:left="540" w:right="100" w:hanging="424"/>
        <w:spacing w:after="0" w:line="258" w:lineRule="auto"/>
        <w:tabs>
          <w:tab w:leader="none" w:pos="5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These bonus amounts represent the amounts earned for performance under the Company’s Annual Bonus Incentive Plan during calendar year 2021, 2020 and 2019 and paid in fiscal year 2022, 2021 and 2020, respectively. The Annual Bonuses are described in more detail in the “Bonus Incentive” section.</w:t>
      </w:r>
    </w:p>
    <w:p>
      <w:pPr>
        <w:spacing w:after="0" w:line="58" w:lineRule="exact"/>
        <w:rPr>
          <w:rFonts w:ascii="Arial" w:cs="Arial" w:eastAsia="Arial" w:hAnsi="Arial"/>
          <w:sz w:val="14"/>
          <w:szCs w:val="14"/>
          <w:color w:val="auto"/>
        </w:rPr>
      </w:pPr>
    </w:p>
    <w:p>
      <w:pPr>
        <w:ind w:left="540" w:hanging="424"/>
        <w:spacing w:after="0"/>
        <w:tabs>
          <w:tab w:leader="none" w:pos="5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Amounts consist of 401(k) matching contribution, as well as life insurance premiums for the benefit of each executive officer.</w:t>
      </w:r>
    </w:p>
    <w:p>
      <w:pPr>
        <w:spacing w:after="0" w:line="82" w:lineRule="exact"/>
        <w:rPr>
          <w:rFonts w:ascii="Arial" w:cs="Arial" w:eastAsia="Arial" w:hAnsi="Arial"/>
          <w:sz w:val="14"/>
          <w:szCs w:val="14"/>
          <w:color w:val="auto"/>
        </w:rPr>
      </w:pPr>
    </w:p>
    <w:p>
      <w:pPr>
        <w:ind w:left="540" w:right="40" w:hanging="424"/>
        <w:spacing w:after="0" w:line="243" w:lineRule="auto"/>
        <w:tabs>
          <w:tab w:leader="none" w:pos="5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amounts reported for Christopher Anzalone in the Stock Awards column reflect the grant date fair value of a January 2021 restricted stock unit award that is subject to vesting upon the achievement of specific performance conditions, as described above in the Compensation Discussion and Analysis. We determined the performance conditions that were probable and not probable of being achieved as of the grant date, as defined under applicable accounting guidance, and assigned a grant date fair value of $23,019,000 based on this evaluation. If we had determined that as of the date of the grant it was probable that 100% of the performance conditions would be achieved, we would have assigned a grant date fair value of $61,384,000 for the restricted stock units. The amounts reported in the Summary Compensation Table for these awards may not represent the amounts that Christopher Anzalone will realize from the awards. Whether, and to what extent, an NEO realizes value will depend on our actual operating performance, stock price fluctuations and the NEO’s continued employment. Additionally, in December 2021, these awards were modified to change the vesting to be subject entirely based on market capitalization-based thresholds rather than performance conditions. This modification did not result in any incremental fair value associated with the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85725</wp:posOffset>
            </wp:positionV>
            <wp:extent cx="986155" cy="2057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1CE"/>
        </w:rPr>
        <w:t>38</w:t>
      </w:r>
    </w:p>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2022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68" w:lineRule="exact"/>
        <w:rPr>
          <w:sz w:val="20"/>
          <w:szCs w:val="20"/>
          <w:color w:val="auto"/>
        </w:rPr>
      </w:pPr>
    </w:p>
    <w:p>
      <w:pPr>
        <w:ind w:left="540" w:right="20" w:hanging="424"/>
        <w:spacing w:after="0" w:line="243" w:lineRule="auto"/>
        <w:tabs>
          <w:tab w:leader="none" w:pos="5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amounts reported for Christopher Anzalone in the Stock Awards column reflect the grant date fair value of a January 2020 restricted stock unit award that is subject to vesting upon the achievement of specific performance conditions, as described above in the Compensation and Analysis. We determined the performance conditions that were probable and not probable of being achieved as of the grant date, as defined under applicable accounting guidance, and assigned a grant date fair value of $12,686,000 based on this evaluation. If we had determined that as of the date of the grant it was probable that 100% of the performance conditions would be achieved, we would have assigned a grant date fair value of $57,087,000 for the restricted stock units. The amounts reported in the Summary Compensation Table for these awards may not represent the amounts that Christopher Anzalone will realize from the awards. Whether, and to what extent, an NEO realizes value will depend on our actual operating performance, stock price fluctuations and the NEO’s continued employment. Additionally, in December 2021, these awards were modified to add an additional vesting requirement related to market capitalization. This modification did not result in any incremental fair value associated with the award.</w:t>
      </w:r>
    </w:p>
    <w:p>
      <w:pPr>
        <w:spacing w:after="0" w:line="234" w:lineRule="exact"/>
        <w:rPr>
          <w:rFonts w:ascii="Arial" w:cs="Arial" w:eastAsia="Arial" w:hAnsi="Arial"/>
          <w:sz w:val="14"/>
          <w:szCs w:val="14"/>
          <w:color w:val="auto"/>
        </w:rPr>
      </w:pPr>
    </w:p>
    <w:p>
      <w:pPr>
        <w:ind w:left="540" w:right="20" w:hanging="424"/>
        <w:spacing w:after="0" w:line="244" w:lineRule="auto"/>
        <w:tabs>
          <w:tab w:leader="none" w:pos="5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amounts reported for Christopher Anzalone in the Stock Awards column reflect the grant date fair value of a January 2019 restricted stock unit award that is subject to vesting upon the achievement of specific performance conditions, as described above in the Compensation Discussion and Analysis. We determined the performance conditions that were probable and not probable of being achieved as of the grant date, as defined under applicable accounting guidance, and assigned a grant date fair value of $0 based on this evaluation. If we had determined that as of the date of the grant it was probable that 100% of the performance conditions would be achieved, we would have assigned a grant date fair value of $7,452,000 for the restricted stock units. The amounts reported in the Summary Compensation Table for these awards may not represent the amounts that Christopher Anzalone will realize from the awards. Whether, and to what extent, an NEO realizes value will depend on our actual operating performance, stock price fluctuations and the NEO’s continued employment.</w:t>
      </w:r>
    </w:p>
    <w:p>
      <w:pPr>
        <w:spacing w:after="0" w:line="69" w:lineRule="exact"/>
        <w:rPr>
          <w:rFonts w:ascii="Arial" w:cs="Arial" w:eastAsia="Arial" w:hAnsi="Arial"/>
          <w:sz w:val="14"/>
          <w:szCs w:val="14"/>
          <w:color w:val="auto"/>
        </w:rPr>
      </w:pPr>
    </w:p>
    <w:p>
      <w:pPr>
        <w:ind w:left="540" w:right="40" w:hanging="424"/>
        <w:spacing w:after="0" w:line="258" w:lineRule="auto"/>
        <w:tabs>
          <w:tab w:leader="none" w:pos="5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Dr. San Martin’s employment with the Company began in November 2019. Dr. San Martin received a $100,000 sign on bonus and an initial equity award in fiscal 2020 and was not eligible for an additional equity award during fiscal 2021.</w:t>
      </w:r>
    </w:p>
    <w:p>
      <w:pPr>
        <w:spacing w:after="0" w:line="58" w:lineRule="exact"/>
        <w:rPr>
          <w:rFonts w:ascii="Arial" w:cs="Arial" w:eastAsia="Arial" w:hAnsi="Arial"/>
          <w:sz w:val="14"/>
          <w:szCs w:val="14"/>
          <w:color w:val="auto"/>
        </w:rPr>
      </w:pPr>
    </w:p>
    <w:p>
      <w:pPr>
        <w:ind w:left="540" w:right="80" w:hanging="424"/>
        <w:spacing w:after="0" w:line="258" w:lineRule="auto"/>
        <w:tabs>
          <w:tab w:leader="none" w:pos="5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Mr. Hassard’s employment with us began in January 2020 and was terminated in August 2021. Mr. Hassard’s “all other compensation” includes a severance payment of $335,608.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77470</wp:posOffset>
            </wp:positionV>
            <wp:extent cx="986155" cy="2057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33" w:lineRule="exact"/>
        <w:rPr>
          <w:sz w:val="20"/>
          <w:szCs w:val="20"/>
          <w:color w:val="auto"/>
        </w:rPr>
      </w:pPr>
    </w:p>
    <w:p>
      <w:pPr>
        <w:ind w:left="10880"/>
        <w:spacing w:after="0"/>
        <w:rPr>
          <w:sz w:val="20"/>
          <w:szCs w:val="20"/>
          <w:color w:val="auto"/>
        </w:rPr>
      </w:pPr>
      <w:r>
        <w:rPr>
          <w:rFonts w:ascii="Arial" w:cs="Arial" w:eastAsia="Arial" w:hAnsi="Arial"/>
          <w:sz w:val="18"/>
          <w:szCs w:val="18"/>
          <w:b w:val="1"/>
          <w:bCs w:val="1"/>
          <w:color w:val="0071CE"/>
        </w:rPr>
        <w:t>39</w:t>
      </w:r>
    </w:p>
    <w:p>
      <w:pPr>
        <w:sectPr>
          <w:pgSz w:w="11900" w:h="16838" w:orient="portrait"/>
          <w:cols w:equalWidth="0" w:num="1">
            <w:col w:w="11140"/>
          </w:cols>
          <w:pgMar w:left="32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20"/>
        <w:spacing w:after="0"/>
        <w:tabs>
          <w:tab w:leader="none" w:pos="2020" w:val="left"/>
        </w:tabs>
        <w:rPr>
          <w:sz w:val="20"/>
          <w:szCs w:val="20"/>
          <w:color w:val="auto"/>
        </w:rPr>
      </w:pPr>
      <w:r>
        <w:rPr>
          <w:rFonts w:ascii="Arial" w:cs="Arial" w:eastAsia="Arial" w:hAnsi="Arial"/>
          <w:sz w:val="14"/>
          <w:szCs w:val="14"/>
          <w:b w:val="1"/>
          <w:bCs w:val="1"/>
          <w:color w:val="0071CE"/>
        </w:rPr>
        <w:t>2022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C4C4C"/>
        </w:rPr>
        <w:t>Fiscal 2021 Grants of Plan Based Awards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57150</wp:posOffset>
            </wp:positionV>
            <wp:extent cx="69951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sets forth cash bonus and equity grants made to the NEOs in fiscal 2021:</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257"/>
        </w:trPr>
        <w:tc>
          <w:tcPr>
            <w:tcW w:w="2260" w:type="dxa"/>
            <w:vAlign w:val="bottom"/>
            <w:shd w:val="clear" w:color="auto" w:fill="0071CE"/>
          </w:tcPr>
          <w:p>
            <w:pPr>
              <w:spacing w:after="0"/>
              <w:rPr>
                <w:sz w:val="22"/>
                <w:szCs w:val="22"/>
                <w:color w:val="auto"/>
              </w:rPr>
            </w:pPr>
          </w:p>
        </w:tc>
        <w:tc>
          <w:tcPr>
            <w:tcW w:w="1120" w:type="dxa"/>
            <w:vAlign w:val="bottom"/>
            <w:shd w:val="clear" w:color="auto" w:fill="0071CE"/>
          </w:tcPr>
          <w:p>
            <w:pPr>
              <w:spacing w:after="0"/>
              <w:rPr>
                <w:sz w:val="22"/>
                <w:szCs w:val="22"/>
                <w:color w:val="auto"/>
              </w:rPr>
            </w:pPr>
          </w:p>
        </w:tc>
        <w:tc>
          <w:tcPr>
            <w:tcW w:w="320" w:type="dxa"/>
            <w:vAlign w:val="bottom"/>
            <w:shd w:val="clear" w:color="auto" w:fill="0071CE"/>
          </w:tcPr>
          <w:p>
            <w:pPr>
              <w:spacing w:after="0"/>
              <w:rPr>
                <w:sz w:val="22"/>
                <w:szCs w:val="22"/>
                <w:color w:val="auto"/>
              </w:rPr>
            </w:pPr>
          </w:p>
        </w:tc>
        <w:tc>
          <w:tcPr>
            <w:tcW w:w="2500" w:type="dxa"/>
            <w:vAlign w:val="bottom"/>
            <w:shd w:val="clear" w:color="auto" w:fill="0071CE"/>
          </w:tcPr>
          <w:p>
            <w:pPr>
              <w:spacing w:after="0"/>
              <w:rPr>
                <w:sz w:val="22"/>
                <w:szCs w:val="22"/>
                <w:color w:val="auto"/>
              </w:rPr>
            </w:pPr>
          </w:p>
        </w:tc>
        <w:tc>
          <w:tcPr>
            <w:tcW w:w="340" w:type="dxa"/>
            <w:vAlign w:val="bottom"/>
            <w:shd w:val="clear" w:color="auto" w:fill="0071CE"/>
          </w:tcPr>
          <w:p>
            <w:pPr>
              <w:spacing w:after="0"/>
              <w:rPr>
                <w:sz w:val="22"/>
                <w:szCs w:val="22"/>
                <w:color w:val="auto"/>
              </w:rPr>
            </w:pPr>
          </w:p>
        </w:tc>
        <w:tc>
          <w:tcPr>
            <w:tcW w:w="16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Estimated</w:t>
            </w:r>
          </w:p>
        </w:tc>
        <w:tc>
          <w:tcPr>
            <w:tcW w:w="340" w:type="dxa"/>
            <w:vAlign w:val="bottom"/>
            <w:shd w:val="clear" w:color="auto" w:fill="0071CE"/>
          </w:tcPr>
          <w:p>
            <w:pPr>
              <w:spacing w:after="0"/>
              <w:rPr>
                <w:sz w:val="22"/>
                <w:szCs w:val="22"/>
                <w:color w:val="auto"/>
              </w:rPr>
            </w:pPr>
          </w:p>
        </w:tc>
        <w:tc>
          <w:tcPr>
            <w:tcW w:w="1340" w:type="dxa"/>
            <w:vAlign w:val="bottom"/>
            <w:shd w:val="clear" w:color="auto" w:fill="0071CE"/>
          </w:tcPr>
          <w:p>
            <w:pPr>
              <w:spacing w:after="0"/>
              <w:rPr>
                <w:sz w:val="22"/>
                <w:szCs w:val="22"/>
                <w:color w:val="auto"/>
              </w:rPr>
            </w:pPr>
          </w:p>
        </w:tc>
        <w:tc>
          <w:tcPr>
            <w:tcW w:w="1120" w:type="dxa"/>
            <w:vAlign w:val="bottom"/>
            <w:shd w:val="clear" w:color="auto" w:fill="0071CE"/>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2260" w:type="dxa"/>
            <w:vAlign w:val="bottom"/>
            <w:shd w:val="clear" w:color="auto" w:fill="0071CE"/>
          </w:tcPr>
          <w:p>
            <w:pPr>
              <w:spacing w:after="0"/>
              <w:rPr>
                <w:sz w:val="14"/>
                <w:szCs w:val="14"/>
                <w:color w:val="auto"/>
              </w:rPr>
            </w:pPr>
          </w:p>
        </w:tc>
        <w:tc>
          <w:tcPr>
            <w:tcW w:w="1120" w:type="dxa"/>
            <w:vAlign w:val="bottom"/>
            <w:shd w:val="clear" w:color="auto" w:fill="0071CE"/>
          </w:tcPr>
          <w:p>
            <w:pPr>
              <w:spacing w:after="0"/>
              <w:rPr>
                <w:sz w:val="14"/>
                <w:szCs w:val="14"/>
                <w:color w:val="auto"/>
              </w:rPr>
            </w:pPr>
          </w:p>
        </w:tc>
        <w:tc>
          <w:tcPr>
            <w:tcW w:w="320" w:type="dxa"/>
            <w:vAlign w:val="bottom"/>
            <w:shd w:val="clear" w:color="auto" w:fill="0071CE"/>
          </w:tcPr>
          <w:p>
            <w:pPr>
              <w:spacing w:after="0"/>
              <w:rPr>
                <w:sz w:val="14"/>
                <w:szCs w:val="14"/>
                <w:color w:val="auto"/>
              </w:rPr>
            </w:pPr>
          </w:p>
        </w:tc>
        <w:tc>
          <w:tcPr>
            <w:tcW w:w="2500" w:type="dxa"/>
            <w:vAlign w:val="bottom"/>
            <w:shd w:val="clear" w:color="auto" w:fill="0071CE"/>
          </w:tcPr>
          <w:p>
            <w:pPr>
              <w:spacing w:after="0"/>
              <w:rPr>
                <w:sz w:val="14"/>
                <w:szCs w:val="14"/>
                <w:color w:val="auto"/>
              </w:rPr>
            </w:pPr>
          </w:p>
        </w:tc>
        <w:tc>
          <w:tcPr>
            <w:tcW w:w="340" w:type="dxa"/>
            <w:vAlign w:val="bottom"/>
            <w:shd w:val="clear" w:color="auto" w:fill="0071CE"/>
          </w:tcPr>
          <w:p>
            <w:pPr>
              <w:spacing w:after="0"/>
              <w:rPr>
                <w:sz w:val="14"/>
                <w:szCs w:val="14"/>
                <w:color w:val="auto"/>
              </w:rPr>
            </w:pPr>
          </w:p>
        </w:tc>
        <w:tc>
          <w:tcPr>
            <w:tcW w:w="16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Future Payouts</w:t>
            </w:r>
          </w:p>
        </w:tc>
        <w:tc>
          <w:tcPr>
            <w:tcW w:w="340" w:type="dxa"/>
            <w:vAlign w:val="bottom"/>
            <w:shd w:val="clear" w:color="auto" w:fill="0071CE"/>
          </w:tcPr>
          <w:p>
            <w:pPr>
              <w:spacing w:after="0"/>
              <w:rPr>
                <w:sz w:val="14"/>
                <w:szCs w:val="14"/>
                <w:color w:val="auto"/>
              </w:rPr>
            </w:pPr>
          </w:p>
        </w:tc>
        <w:tc>
          <w:tcPr>
            <w:tcW w:w="1340" w:type="dxa"/>
            <w:vAlign w:val="bottom"/>
            <w:vMerge w:val="restart"/>
            <w:shd w:val="clear" w:color="auto" w:fill="0071CE"/>
          </w:tcPr>
          <w:p>
            <w:pPr>
              <w:jc w:val="center"/>
              <w:ind w:right="101"/>
              <w:spacing w:after="0"/>
              <w:rPr>
                <w:sz w:val="20"/>
                <w:szCs w:val="20"/>
                <w:color w:val="auto"/>
              </w:rPr>
            </w:pPr>
            <w:r>
              <w:rPr>
                <w:rFonts w:ascii="Arial" w:cs="Arial" w:eastAsia="Arial" w:hAnsi="Arial"/>
                <w:sz w:val="14"/>
                <w:szCs w:val="14"/>
                <w:b w:val="1"/>
                <w:bCs w:val="1"/>
                <w:color w:val="FFFFFF"/>
              </w:rPr>
              <w:t>All Other Stock</w:t>
            </w:r>
          </w:p>
        </w:tc>
        <w:tc>
          <w:tcPr>
            <w:tcW w:w="1120" w:type="dxa"/>
            <w:vAlign w:val="bottom"/>
            <w:shd w:val="clear" w:color="auto" w:fill="0071C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260" w:type="dxa"/>
            <w:vAlign w:val="bottom"/>
            <w:shd w:val="clear" w:color="auto" w:fill="0071CE"/>
          </w:tcPr>
          <w:p>
            <w:pPr>
              <w:spacing w:after="0"/>
              <w:rPr>
                <w:sz w:val="5"/>
                <w:szCs w:val="5"/>
                <w:color w:val="auto"/>
              </w:rPr>
            </w:pPr>
          </w:p>
        </w:tc>
        <w:tc>
          <w:tcPr>
            <w:tcW w:w="1120" w:type="dxa"/>
            <w:vAlign w:val="bottom"/>
            <w:shd w:val="clear" w:color="auto" w:fill="0071CE"/>
          </w:tcPr>
          <w:p>
            <w:pPr>
              <w:spacing w:after="0"/>
              <w:rPr>
                <w:sz w:val="5"/>
                <w:szCs w:val="5"/>
                <w:color w:val="auto"/>
              </w:rPr>
            </w:pPr>
          </w:p>
        </w:tc>
        <w:tc>
          <w:tcPr>
            <w:tcW w:w="320" w:type="dxa"/>
            <w:vAlign w:val="bottom"/>
            <w:shd w:val="clear" w:color="auto" w:fill="0071CE"/>
          </w:tcPr>
          <w:p>
            <w:pPr>
              <w:spacing w:after="0"/>
              <w:rPr>
                <w:sz w:val="5"/>
                <w:szCs w:val="5"/>
                <w:color w:val="auto"/>
              </w:rPr>
            </w:pPr>
          </w:p>
        </w:tc>
        <w:tc>
          <w:tcPr>
            <w:tcW w:w="2500" w:type="dxa"/>
            <w:vAlign w:val="bottom"/>
            <w:vMerge w:val="restart"/>
            <w:shd w:val="clear" w:color="auto" w:fill="0071CE"/>
          </w:tcPr>
          <w:p>
            <w:pPr>
              <w:jc w:val="center"/>
              <w:spacing w:after="0"/>
              <w:rPr>
                <w:sz w:val="20"/>
                <w:szCs w:val="20"/>
                <w:color w:val="auto"/>
              </w:rPr>
            </w:pPr>
            <w:r>
              <w:rPr>
                <w:rFonts w:ascii="Arial" w:cs="Arial" w:eastAsia="Arial" w:hAnsi="Arial"/>
                <w:sz w:val="14"/>
                <w:szCs w:val="14"/>
                <w:b w:val="1"/>
                <w:bCs w:val="1"/>
                <w:color w:val="FFFFFF"/>
              </w:rPr>
              <w:t>Estimated Future Payouts</w:t>
            </w:r>
          </w:p>
        </w:tc>
        <w:tc>
          <w:tcPr>
            <w:tcW w:w="340" w:type="dxa"/>
            <w:vAlign w:val="bottom"/>
            <w:shd w:val="clear" w:color="auto" w:fill="0071CE"/>
          </w:tcPr>
          <w:p>
            <w:pPr>
              <w:spacing w:after="0"/>
              <w:rPr>
                <w:sz w:val="5"/>
                <w:szCs w:val="5"/>
                <w:color w:val="auto"/>
              </w:rPr>
            </w:pPr>
          </w:p>
        </w:tc>
        <w:tc>
          <w:tcPr>
            <w:tcW w:w="1680" w:type="dxa"/>
            <w:vAlign w:val="bottom"/>
            <w:vMerge w:val="restart"/>
            <w:shd w:val="clear" w:color="auto" w:fill="0071CE"/>
          </w:tcPr>
          <w:p>
            <w:pPr>
              <w:jc w:val="center"/>
              <w:spacing w:after="0"/>
              <w:rPr>
                <w:sz w:val="20"/>
                <w:szCs w:val="20"/>
                <w:color w:val="auto"/>
              </w:rPr>
            </w:pPr>
            <w:r>
              <w:rPr>
                <w:rFonts w:ascii="Arial" w:cs="Arial" w:eastAsia="Arial" w:hAnsi="Arial"/>
                <w:sz w:val="14"/>
                <w:szCs w:val="14"/>
                <w:b w:val="1"/>
                <w:bCs w:val="1"/>
                <w:color w:val="FFFFFF"/>
              </w:rPr>
              <w:t>Under Equity</w:t>
            </w:r>
          </w:p>
        </w:tc>
        <w:tc>
          <w:tcPr>
            <w:tcW w:w="340" w:type="dxa"/>
            <w:vAlign w:val="bottom"/>
            <w:shd w:val="clear" w:color="auto" w:fill="0071CE"/>
          </w:tcPr>
          <w:p>
            <w:pPr>
              <w:spacing w:after="0"/>
              <w:rPr>
                <w:sz w:val="5"/>
                <w:szCs w:val="5"/>
                <w:color w:val="auto"/>
              </w:rPr>
            </w:pPr>
          </w:p>
        </w:tc>
        <w:tc>
          <w:tcPr>
            <w:tcW w:w="1340" w:type="dxa"/>
            <w:vAlign w:val="bottom"/>
            <w:vMerge w:val="continue"/>
            <w:shd w:val="clear" w:color="auto" w:fill="0071CE"/>
          </w:tcPr>
          <w:p>
            <w:pPr>
              <w:spacing w:after="0"/>
              <w:rPr>
                <w:sz w:val="5"/>
                <w:szCs w:val="5"/>
                <w:color w:val="auto"/>
              </w:rPr>
            </w:pPr>
          </w:p>
        </w:tc>
        <w:tc>
          <w:tcPr>
            <w:tcW w:w="1120" w:type="dxa"/>
            <w:vAlign w:val="bottom"/>
            <w:shd w:val="clear" w:color="auto" w:fill="0071C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260" w:type="dxa"/>
            <w:vAlign w:val="bottom"/>
            <w:shd w:val="clear" w:color="auto" w:fill="0071CE"/>
          </w:tcPr>
          <w:p>
            <w:pPr>
              <w:spacing w:after="0"/>
              <w:rPr>
                <w:sz w:val="8"/>
                <w:szCs w:val="8"/>
                <w:color w:val="auto"/>
              </w:rPr>
            </w:pPr>
          </w:p>
        </w:tc>
        <w:tc>
          <w:tcPr>
            <w:tcW w:w="1120" w:type="dxa"/>
            <w:vAlign w:val="bottom"/>
            <w:shd w:val="clear" w:color="auto" w:fill="0071CE"/>
          </w:tcPr>
          <w:p>
            <w:pPr>
              <w:spacing w:after="0"/>
              <w:rPr>
                <w:sz w:val="8"/>
                <w:szCs w:val="8"/>
                <w:color w:val="auto"/>
              </w:rPr>
            </w:pPr>
          </w:p>
        </w:tc>
        <w:tc>
          <w:tcPr>
            <w:tcW w:w="320" w:type="dxa"/>
            <w:vAlign w:val="bottom"/>
            <w:shd w:val="clear" w:color="auto" w:fill="0071CE"/>
          </w:tcPr>
          <w:p>
            <w:pPr>
              <w:spacing w:after="0"/>
              <w:rPr>
                <w:sz w:val="8"/>
                <w:szCs w:val="8"/>
                <w:color w:val="auto"/>
              </w:rPr>
            </w:pPr>
          </w:p>
        </w:tc>
        <w:tc>
          <w:tcPr>
            <w:tcW w:w="2500" w:type="dxa"/>
            <w:vAlign w:val="bottom"/>
            <w:vMerge w:val="continue"/>
            <w:shd w:val="clear" w:color="auto" w:fill="0071CE"/>
          </w:tcPr>
          <w:p>
            <w:pPr>
              <w:spacing w:after="0"/>
              <w:rPr>
                <w:sz w:val="8"/>
                <w:szCs w:val="8"/>
                <w:color w:val="auto"/>
              </w:rPr>
            </w:pPr>
          </w:p>
        </w:tc>
        <w:tc>
          <w:tcPr>
            <w:tcW w:w="340" w:type="dxa"/>
            <w:vAlign w:val="bottom"/>
            <w:shd w:val="clear" w:color="auto" w:fill="0071CE"/>
          </w:tcPr>
          <w:p>
            <w:pPr>
              <w:spacing w:after="0"/>
              <w:rPr>
                <w:sz w:val="8"/>
                <w:szCs w:val="8"/>
                <w:color w:val="auto"/>
              </w:rPr>
            </w:pPr>
          </w:p>
        </w:tc>
        <w:tc>
          <w:tcPr>
            <w:tcW w:w="1680" w:type="dxa"/>
            <w:vAlign w:val="bottom"/>
            <w:vMerge w:val="continue"/>
            <w:shd w:val="clear" w:color="auto" w:fill="0071CE"/>
          </w:tcPr>
          <w:p>
            <w:pPr>
              <w:spacing w:after="0"/>
              <w:rPr>
                <w:sz w:val="8"/>
                <w:szCs w:val="8"/>
                <w:color w:val="auto"/>
              </w:rPr>
            </w:pPr>
          </w:p>
        </w:tc>
        <w:tc>
          <w:tcPr>
            <w:tcW w:w="340" w:type="dxa"/>
            <w:vAlign w:val="bottom"/>
            <w:shd w:val="clear" w:color="auto" w:fill="0071CE"/>
          </w:tcPr>
          <w:p>
            <w:pPr>
              <w:spacing w:after="0"/>
              <w:rPr>
                <w:sz w:val="8"/>
                <w:szCs w:val="8"/>
                <w:color w:val="auto"/>
              </w:rPr>
            </w:pPr>
          </w:p>
        </w:tc>
        <w:tc>
          <w:tcPr>
            <w:tcW w:w="1340" w:type="dxa"/>
            <w:vAlign w:val="bottom"/>
            <w:vMerge w:val="restart"/>
            <w:shd w:val="clear" w:color="auto" w:fill="0071CE"/>
          </w:tcPr>
          <w:p>
            <w:pPr>
              <w:jc w:val="center"/>
              <w:ind w:right="121"/>
              <w:spacing w:after="0"/>
              <w:rPr>
                <w:sz w:val="20"/>
                <w:szCs w:val="20"/>
                <w:color w:val="auto"/>
              </w:rPr>
            </w:pPr>
            <w:r>
              <w:rPr>
                <w:rFonts w:ascii="Arial" w:cs="Arial" w:eastAsia="Arial" w:hAnsi="Arial"/>
                <w:sz w:val="14"/>
                <w:szCs w:val="14"/>
                <w:b w:val="1"/>
                <w:bCs w:val="1"/>
                <w:color w:val="FFFFFF"/>
              </w:rPr>
              <w:t>Awards: Number</w:t>
            </w:r>
          </w:p>
        </w:tc>
        <w:tc>
          <w:tcPr>
            <w:tcW w:w="1120" w:type="dxa"/>
            <w:vAlign w:val="bottom"/>
            <w:shd w:val="clear" w:color="auto" w:fill="0071C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260" w:type="dxa"/>
            <w:vAlign w:val="bottom"/>
            <w:shd w:val="clear" w:color="auto" w:fill="0071CE"/>
          </w:tcPr>
          <w:p>
            <w:pPr>
              <w:spacing w:after="0"/>
              <w:rPr>
                <w:sz w:val="5"/>
                <w:szCs w:val="5"/>
                <w:color w:val="auto"/>
              </w:rPr>
            </w:pPr>
          </w:p>
        </w:tc>
        <w:tc>
          <w:tcPr>
            <w:tcW w:w="1120" w:type="dxa"/>
            <w:vAlign w:val="bottom"/>
            <w:shd w:val="clear" w:color="auto" w:fill="0071CE"/>
          </w:tcPr>
          <w:p>
            <w:pPr>
              <w:spacing w:after="0"/>
              <w:rPr>
                <w:sz w:val="5"/>
                <w:szCs w:val="5"/>
                <w:color w:val="auto"/>
              </w:rPr>
            </w:pPr>
          </w:p>
        </w:tc>
        <w:tc>
          <w:tcPr>
            <w:tcW w:w="320" w:type="dxa"/>
            <w:vAlign w:val="bottom"/>
            <w:shd w:val="clear" w:color="auto" w:fill="0071CE"/>
          </w:tcPr>
          <w:p>
            <w:pPr>
              <w:spacing w:after="0"/>
              <w:rPr>
                <w:sz w:val="5"/>
                <w:szCs w:val="5"/>
                <w:color w:val="auto"/>
              </w:rPr>
            </w:pPr>
          </w:p>
        </w:tc>
        <w:tc>
          <w:tcPr>
            <w:tcW w:w="2500" w:type="dxa"/>
            <w:vAlign w:val="bottom"/>
            <w:vMerge w:val="restart"/>
            <w:shd w:val="clear" w:color="auto" w:fill="0071CE"/>
          </w:tcPr>
          <w:p>
            <w:pPr>
              <w:jc w:val="center"/>
              <w:spacing w:after="0"/>
              <w:rPr>
                <w:sz w:val="20"/>
                <w:szCs w:val="20"/>
                <w:color w:val="auto"/>
              </w:rPr>
            </w:pPr>
            <w:r>
              <w:rPr>
                <w:rFonts w:ascii="Arial" w:cs="Arial" w:eastAsia="Arial" w:hAnsi="Arial"/>
                <w:sz w:val="14"/>
                <w:szCs w:val="14"/>
                <w:b w:val="1"/>
                <w:bCs w:val="1"/>
                <w:color w:val="FFFFFF"/>
              </w:rPr>
              <w:t>Under Non-Equity</w:t>
            </w:r>
          </w:p>
        </w:tc>
        <w:tc>
          <w:tcPr>
            <w:tcW w:w="340" w:type="dxa"/>
            <w:vAlign w:val="bottom"/>
            <w:shd w:val="clear" w:color="auto" w:fill="0071CE"/>
          </w:tcPr>
          <w:p>
            <w:pPr>
              <w:spacing w:after="0"/>
              <w:rPr>
                <w:sz w:val="5"/>
                <w:szCs w:val="5"/>
                <w:color w:val="auto"/>
              </w:rPr>
            </w:pPr>
          </w:p>
        </w:tc>
        <w:tc>
          <w:tcPr>
            <w:tcW w:w="1680" w:type="dxa"/>
            <w:vAlign w:val="bottom"/>
            <w:vMerge w:val="restart"/>
            <w:shd w:val="clear" w:color="auto" w:fill="0071CE"/>
          </w:tcPr>
          <w:p>
            <w:pPr>
              <w:jc w:val="center"/>
              <w:spacing w:after="0"/>
              <w:rPr>
                <w:sz w:val="20"/>
                <w:szCs w:val="20"/>
                <w:color w:val="auto"/>
              </w:rPr>
            </w:pPr>
            <w:r>
              <w:rPr>
                <w:rFonts w:ascii="Arial" w:cs="Arial" w:eastAsia="Arial" w:hAnsi="Arial"/>
                <w:sz w:val="14"/>
                <w:szCs w:val="14"/>
                <w:b w:val="1"/>
                <w:bCs w:val="1"/>
                <w:color w:val="FFFFFF"/>
              </w:rPr>
              <w:t>Incentive Plan</w:t>
            </w:r>
          </w:p>
        </w:tc>
        <w:tc>
          <w:tcPr>
            <w:tcW w:w="340" w:type="dxa"/>
            <w:vAlign w:val="bottom"/>
            <w:shd w:val="clear" w:color="auto" w:fill="0071CE"/>
          </w:tcPr>
          <w:p>
            <w:pPr>
              <w:spacing w:after="0"/>
              <w:rPr>
                <w:sz w:val="5"/>
                <w:szCs w:val="5"/>
                <w:color w:val="auto"/>
              </w:rPr>
            </w:pPr>
          </w:p>
        </w:tc>
        <w:tc>
          <w:tcPr>
            <w:tcW w:w="1340" w:type="dxa"/>
            <w:vAlign w:val="bottom"/>
            <w:vMerge w:val="continue"/>
            <w:shd w:val="clear" w:color="auto" w:fill="0071CE"/>
          </w:tcPr>
          <w:p>
            <w:pPr>
              <w:spacing w:after="0"/>
              <w:rPr>
                <w:sz w:val="5"/>
                <w:szCs w:val="5"/>
                <w:color w:val="auto"/>
              </w:rPr>
            </w:pPr>
          </w:p>
        </w:tc>
        <w:tc>
          <w:tcPr>
            <w:tcW w:w="1120" w:type="dxa"/>
            <w:vAlign w:val="bottom"/>
            <w:vMerge w:val="restart"/>
            <w:shd w:val="clear" w:color="auto" w:fill="0071CE"/>
          </w:tcPr>
          <w:p>
            <w:pPr>
              <w:jc w:val="center"/>
              <w:ind w:left="40"/>
              <w:spacing w:after="0"/>
              <w:rPr>
                <w:sz w:val="20"/>
                <w:szCs w:val="20"/>
                <w:color w:val="auto"/>
              </w:rPr>
            </w:pPr>
            <w:r>
              <w:rPr>
                <w:rFonts w:ascii="Arial" w:cs="Arial" w:eastAsia="Arial" w:hAnsi="Arial"/>
                <w:sz w:val="14"/>
                <w:szCs w:val="14"/>
                <w:b w:val="1"/>
                <w:bCs w:val="1"/>
                <w:color w:val="FFFFFF"/>
              </w:rPr>
              <w:t>Grant</w:t>
            </w:r>
          </w:p>
        </w:tc>
        <w:tc>
          <w:tcPr>
            <w:tcW w:w="0" w:type="dxa"/>
            <w:vAlign w:val="bottom"/>
          </w:tcPr>
          <w:p>
            <w:pPr>
              <w:spacing w:after="0"/>
              <w:rPr>
                <w:sz w:val="1"/>
                <w:szCs w:val="1"/>
                <w:color w:val="auto"/>
              </w:rPr>
            </w:pPr>
          </w:p>
        </w:tc>
      </w:tr>
      <w:tr>
        <w:trPr>
          <w:trHeight w:val="95"/>
        </w:trPr>
        <w:tc>
          <w:tcPr>
            <w:tcW w:w="2260" w:type="dxa"/>
            <w:vAlign w:val="bottom"/>
            <w:shd w:val="clear" w:color="auto" w:fill="0071CE"/>
          </w:tcPr>
          <w:p>
            <w:pPr>
              <w:spacing w:after="0"/>
              <w:rPr>
                <w:sz w:val="8"/>
                <w:szCs w:val="8"/>
                <w:color w:val="auto"/>
              </w:rPr>
            </w:pPr>
          </w:p>
        </w:tc>
        <w:tc>
          <w:tcPr>
            <w:tcW w:w="1120" w:type="dxa"/>
            <w:vAlign w:val="bottom"/>
            <w:shd w:val="clear" w:color="auto" w:fill="0071CE"/>
          </w:tcPr>
          <w:p>
            <w:pPr>
              <w:spacing w:after="0"/>
              <w:rPr>
                <w:sz w:val="8"/>
                <w:szCs w:val="8"/>
                <w:color w:val="auto"/>
              </w:rPr>
            </w:pPr>
          </w:p>
        </w:tc>
        <w:tc>
          <w:tcPr>
            <w:tcW w:w="320" w:type="dxa"/>
            <w:vAlign w:val="bottom"/>
            <w:shd w:val="clear" w:color="auto" w:fill="0071CE"/>
          </w:tcPr>
          <w:p>
            <w:pPr>
              <w:spacing w:after="0"/>
              <w:rPr>
                <w:sz w:val="8"/>
                <w:szCs w:val="8"/>
                <w:color w:val="auto"/>
              </w:rPr>
            </w:pPr>
          </w:p>
        </w:tc>
        <w:tc>
          <w:tcPr>
            <w:tcW w:w="2500" w:type="dxa"/>
            <w:vAlign w:val="bottom"/>
            <w:vMerge w:val="continue"/>
            <w:shd w:val="clear" w:color="auto" w:fill="0071CE"/>
          </w:tcPr>
          <w:p>
            <w:pPr>
              <w:spacing w:after="0"/>
              <w:rPr>
                <w:sz w:val="8"/>
                <w:szCs w:val="8"/>
                <w:color w:val="auto"/>
              </w:rPr>
            </w:pPr>
          </w:p>
        </w:tc>
        <w:tc>
          <w:tcPr>
            <w:tcW w:w="340" w:type="dxa"/>
            <w:vAlign w:val="bottom"/>
            <w:shd w:val="clear" w:color="auto" w:fill="0071CE"/>
          </w:tcPr>
          <w:p>
            <w:pPr>
              <w:spacing w:after="0"/>
              <w:rPr>
                <w:sz w:val="8"/>
                <w:szCs w:val="8"/>
                <w:color w:val="auto"/>
              </w:rPr>
            </w:pPr>
          </w:p>
        </w:tc>
        <w:tc>
          <w:tcPr>
            <w:tcW w:w="1680" w:type="dxa"/>
            <w:vAlign w:val="bottom"/>
            <w:vMerge w:val="continue"/>
            <w:shd w:val="clear" w:color="auto" w:fill="0071CE"/>
          </w:tcPr>
          <w:p>
            <w:pPr>
              <w:spacing w:after="0"/>
              <w:rPr>
                <w:sz w:val="8"/>
                <w:szCs w:val="8"/>
                <w:color w:val="auto"/>
              </w:rPr>
            </w:pPr>
          </w:p>
        </w:tc>
        <w:tc>
          <w:tcPr>
            <w:tcW w:w="340" w:type="dxa"/>
            <w:vAlign w:val="bottom"/>
            <w:shd w:val="clear" w:color="auto" w:fill="0071CE"/>
          </w:tcPr>
          <w:p>
            <w:pPr>
              <w:spacing w:after="0"/>
              <w:rPr>
                <w:sz w:val="8"/>
                <w:szCs w:val="8"/>
                <w:color w:val="auto"/>
              </w:rPr>
            </w:pPr>
          </w:p>
        </w:tc>
        <w:tc>
          <w:tcPr>
            <w:tcW w:w="1340" w:type="dxa"/>
            <w:vAlign w:val="bottom"/>
            <w:vMerge w:val="restart"/>
            <w:shd w:val="clear" w:color="auto" w:fill="0071CE"/>
          </w:tcPr>
          <w:p>
            <w:pPr>
              <w:jc w:val="center"/>
              <w:ind w:right="101"/>
              <w:spacing w:after="0" w:line="149" w:lineRule="exact"/>
              <w:rPr>
                <w:sz w:val="20"/>
                <w:szCs w:val="20"/>
                <w:color w:val="auto"/>
              </w:rPr>
            </w:pPr>
            <w:r>
              <w:rPr>
                <w:rFonts w:ascii="Arial" w:cs="Arial" w:eastAsia="Arial" w:hAnsi="Arial"/>
                <w:sz w:val="14"/>
                <w:szCs w:val="14"/>
                <w:b w:val="1"/>
                <w:bCs w:val="1"/>
                <w:color w:val="FFFFFF"/>
              </w:rPr>
              <w:t>of Shares of</w:t>
            </w:r>
          </w:p>
        </w:tc>
        <w:tc>
          <w:tcPr>
            <w:tcW w:w="1120" w:type="dxa"/>
            <w:vAlign w:val="bottom"/>
            <w:vMerge w:val="continue"/>
            <w:shd w:val="clear" w:color="auto" w:fill="0071C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260" w:type="dxa"/>
            <w:vAlign w:val="bottom"/>
            <w:shd w:val="clear" w:color="auto" w:fill="0071CE"/>
          </w:tcPr>
          <w:p>
            <w:pPr>
              <w:spacing w:after="0"/>
              <w:rPr>
                <w:sz w:val="4"/>
                <w:szCs w:val="4"/>
                <w:color w:val="auto"/>
              </w:rPr>
            </w:pPr>
          </w:p>
        </w:tc>
        <w:tc>
          <w:tcPr>
            <w:tcW w:w="1120" w:type="dxa"/>
            <w:vAlign w:val="bottom"/>
            <w:shd w:val="clear" w:color="auto" w:fill="0071CE"/>
          </w:tcPr>
          <w:p>
            <w:pPr>
              <w:spacing w:after="0"/>
              <w:rPr>
                <w:sz w:val="4"/>
                <w:szCs w:val="4"/>
                <w:color w:val="auto"/>
              </w:rPr>
            </w:pPr>
          </w:p>
        </w:tc>
        <w:tc>
          <w:tcPr>
            <w:tcW w:w="320" w:type="dxa"/>
            <w:vAlign w:val="bottom"/>
            <w:shd w:val="clear" w:color="auto" w:fill="0071CE"/>
          </w:tcPr>
          <w:p>
            <w:pPr>
              <w:spacing w:after="0"/>
              <w:rPr>
                <w:sz w:val="4"/>
                <w:szCs w:val="4"/>
                <w:color w:val="auto"/>
              </w:rPr>
            </w:pPr>
          </w:p>
        </w:tc>
        <w:tc>
          <w:tcPr>
            <w:tcW w:w="2500" w:type="dxa"/>
            <w:vAlign w:val="bottom"/>
            <w:vMerge w:val="restart"/>
            <w:shd w:val="clear" w:color="auto" w:fill="0071CE"/>
          </w:tcPr>
          <w:p>
            <w:pPr>
              <w:jc w:val="center"/>
              <w:spacing w:after="0"/>
              <w:rPr>
                <w:sz w:val="20"/>
                <w:szCs w:val="20"/>
                <w:color w:val="auto"/>
              </w:rPr>
            </w:pPr>
            <w:r>
              <w:rPr>
                <w:rFonts w:ascii="Arial" w:cs="Arial" w:eastAsia="Arial" w:hAnsi="Arial"/>
                <w:sz w:val="14"/>
                <w:szCs w:val="14"/>
                <w:b w:val="1"/>
                <w:bCs w:val="1"/>
                <w:color w:val="FFFFFF"/>
              </w:rPr>
              <w:t>Incentive Plan Awards (1)</w:t>
            </w:r>
          </w:p>
        </w:tc>
        <w:tc>
          <w:tcPr>
            <w:tcW w:w="340" w:type="dxa"/>
            <w:vAlign w:val="bottom"/>
            <w:shd w:val="clear" w:color="auto" w:fill="0071CE"/>
          </w:tcPr>
          <w:p>
            <w:pPr>
              <w:spacing w:after="0"/>
              <w:rPr>
                <w:sz w:val="4"/>
                <w:szCs w:val="4"/>
                <w:color w:val="auto"/>
              </w:rPr>
            </w:pPr>
          </w:p>
        </w:tc>
        <w:tc>
          <w:tcPr>
            <w:tcW w:w="1680" w:type="dxa"/>
            <w:vAlign w:val="bottom"/>
            <w:vMerge w:val="restart"/>
            <w:shd w:val="clear" w:color="auto" w:fill="0071CE"/>
          </w:tcPr>
          <w:p>
            <w:pPr>
              <w:jc w:val="center"/>
              <w:spacing w:after="0"/>
              <w:rPr>
                <w:sz w:val="20"/>
                <w:szCs w:val="20"/>
                <w:color w:val="auto"/>
              </w:rPr>
            </w:pPr>
            <w:r>
              <w:rPr>
                <w:rFonts w:ascii="Arial" w:cs="Arial" w:eastAsia="Arial" w:hAnsi="Arial"/>
                <w:sz w:val="14"/>
                <w:szCs w:val="14"/>
                <w:b w:val="1"/>
                <w:bCs w:val="1"/>
                <w:color w:val="FFFFFF"/>
              </w:rPr>
              <w:t>Awards (2)</w:t>
            </w:r>
          </w:p>
        </w:tc>
        <w:tc>
          <w:tcPr>
            <w:tcW w:w="340" w:type="dxa"/>
            <w:vAlign w:val="bottom"/>
            <w:shd w:val="clear" w:color="auto" w:fill="0071CE"/>
          </w:tcPr>
          <w:p>
            <w:pPr>
              <w:spacing w:after="0"/>
              <w:rPr>
                <w:sz w:val="4"/>
                <w:szCs w:val="4"/>
                <w:color w:val="auto"/>
              </w:rPr>
            </w:pPr>
          </w:p>
        </w:tc>
        <w:tc>
          <w:tcPr>
            <w:tcW w:w="1340" w:type="dxa"/>
            <w:vAlign w:val="bottom"/>
            <w:vMerge w:val="continue"/>
            <w:shd w:val="clear" w:color="auto" w:fill="0071CE"/>
          </w:tcPr>
          <w:p>
            <w:pPr>
              <w:spacing w:after="0"/>
              <w:rPr>
                <w:sz w:val="4"/>
                <w:szCs w:val="4"/>
                <w:color w:val="auto"/>
              </w:rPr>
            </w:pPr>
          </w:p>
        </w:tc>
        <w:tc>
          <w:tcPr>
            <w:tcW w:w="1120" w:type="dxa"/>
            <w:vAlign w:val="bottom"/>
            <w:vMerge w:val="continue"/>
            <w:shd w:val="clear" w:color="auto" w:fill="0071C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260" w:type="dxa"/>
            <w:vAlign w:val="bottom"/>
            <w:vMerge w:val="restart"/>
            <w:shd w:val="clear" w:color="auto" w:fill="0071CE"/>
          </w:tcPr>
          <w:p>
            <w:pPr>
              <w:ind w:left="160"/>
              <w:spacing w:after="0"/>
              <w:rPr>
                <w:sz w:val="20"/>
                <w:szCs w:val="20"/>
                <w:color w:val="auto"/>
              </w:rPr>
            </w:pPr>
            <w:r>
              <w:rPr>
                <w:rFonts w:ascii="Arial" w:cs="Arial" w:eastAsia="Arial" w:hAnsi="Arial"/>
                <w:sz w:val="14"/>
                <w:szCs w:val="14"/>
                <w:b w:val="1"/>
                <w:bCs w:val="1"/>
                <w:color w:val="FFFFFF"/>
              </w:rPr>
              <w:t>Name</w:t>
            </w:r>
          </w:p>
        </w:tc>
        <w:tc>
          <w:tcPr>
            <w:tcW w:w="1120" w:type="dxa"/>
            <w:vAlign w:val="bottom"/>
            <w:shd w:val="clear" w:color="auto" w:fill="0071CE"/>
          </w:tcPr>
          <w:p>
            <w:pPr>
              <w:spacing w:after="0"/>
              <w:rPr>
                <w:sz w:val="9"/>
                <w:szCs w:val="9"/>
                <w:color w:val="auto"/>
              </w:rPr>
            </w:pPr>
          </w:p>
        </w:tc>
        <w:tc>
          <w:tcPr>
            <w:tcW w:w="320" w:type="dxa"/>
            <w:vAlign w:val="bottom"/>
            <w:shd w:val="clear" w:color="auto" w:fill="0071CE"/>
          </w:tcPr>
          <w:p>
            <w:pPr>
              <w:spacing w:after="0"/>
              <w:rPr>
                <w:sz w:val="9"/>
                <w:szCs w:val="9"/>
                <w:color w:val="auto"/>
              </w:rPr>
            </w:pPr>
          </w:p>
        </w:tc>
        <w:tc>
          <w:tcPr>
            <w:tcW w:w="2500" w:type="dxa"/>
            <w:vAlign w:val="bottom"/>
            <w:vMerge w:val="continue"/>
            <w:shd w:val="clear" w:color="auto" w:fill="0071CE"/>
          </w:tcPr>
          <w:p>
            <w:pPr>
              <w:spacing w:after="0"/>
              <w:rPr>
                <w:sz w:val="9"/>
                <w:szCs w:val="9"/>
                <w:color w:val="auto"/>
              </w:rPr>
            </w:pPr>
          </w:p>
        </w:tc>
        <w:tc>
          <w:tcPr>
            <w:tcW w:w="340" w:type="dxa"/>
            <w:vAlign w:val="bottom"/>
            <w:shd w:val="clear" w:color="auto" w:fill="0071CE"/>
          </w:tcPr>
          <w:p>
            <w:pPr>
              <w:spacing w:after="0"/>
              <w:rPr>
                <w:sz w:val="9"/>
                <w:szCs w:val="9"/>
                <w:color w:val="auto"/>
              </w:rPr>
            </w:pPr>
          </w:p>
        </w:tc>
        <w:tc>
          <w:tcPr>
            <w:tcW w:w="1680" w:type="dxa"/>
            <w:vAlign w:val="bottom"/>
            <w:vMerge w:val="continue"/>
            <w:shd w:val="clear" w:color="auto" w:fill="0071CE"/>
          </w:tcPr>
          <w:p>
            <w:pPr>
              <w:spacing w:after="0"/>
              <w:rPr>
                <w:sz w:val="9"/>
                <w:szCs w:val="9"/>
                <w:color w:val="auto"/>
              </w:rPr>
            </w:pPr>
          </w:p>
        </w:tc>
        <w:tc>
          <w:tcPr>
            <w:tcW w:w="340" w:type="dxa"/>
            <w:vAlign w:val="bottom"/>
            <w:shd w:val="clear" w:color="auto" w:fill="0071CE"/>
          </w:tcPr>
          <w:p>
            <w:pPr>
              <w:spacing w:after="0"/>
              <w:rPr>
                <w:sz w:val="9"/>
                <w:szCs w:val="9"/>
                <w:color w:val="auto"/>
              </w:rPr>
            </w:pPr>
          </w:p>
        </w:tc>
        <w:tc>
          <w:tcPr>
            <w:tcW w:w="1340" w:type="dxa"/>
            <w:vAlign w:val="bottom"/>
            <w:vMerge w:val="restart"/>
            <w:shd w:val="clear" w:color="auto" w:fill="0071CE"/>
          </w:tcPr>
          <w:p>
            <w:pPr>
              <w:jc w:val="center"/>
              <w:ind w:right="121"/>
              <w:spacing w:after="0"/>
              <w:rPr>
                <w:sz w:val="20"/>
                <w:szCs w:val="20"/>
                <w:color w:val="auto"/>
              </w:rPr>
            </w:pPr>
            <w:r>
              <w:rPr>
                <w:rFonts w:ascii="Arial" w:cs="Arial" w:eastAsia="Arial" w:hAnsi="Arial"/>
                <w:sz w:val="14"/>
                <w:szCs w:val="14"/>
                <w:b w:val="1"/>
                <w:bCs w:val="1"/>
                <w:color w:val="FFFFFF"/>
              </w:rPr>
              <w:t>Stock or Units</w:t>
            </w:r>
          </w:p>
        </w:tc>
        <w:tc>
          <w:tcPr>
            <w:tcW w:w="1120" w:type="dxa"/>
            <w:vAlign w:val="bottom"/>
            <w:vMerge w:val="restart"/>
            <w:shd w:val="clear" w:color="auto" w:fill="0071CE"/>
          </w:tcPr>
          <w:p>
            <w:pPr>
              <w:jc w:val="center"/>
              <w:ind w:left="40"/>
              <w:spacing w:after="0"/>
              <w:rPr>
                <w:sz w:val="20"/>
                <w:szCs w:val="20"/>
                <w:color w:val="auto"/>
              </w:rPr>
            </w:pPr>
            <w:r>
              <w:rPr>
                <w:rFonts w:ascii="Arial" w:cs="Arial" w:eastAsia="Arial" w:hAnsi="Arial"/>
                <w:sz w:val="14"/>
                <w:szCs w:val="14"/>
                <w:b w:val="1"/>
                <w:bCs w:val="1"/>
                <w:color w:val="FFFFFF"/>
              </w:rPr>
              <w:t>Date Fair</w:t>
            </w:r>
          </w:p>
        </w:tc>
        <w:tc>
          <w:tcPr>
            <w:tcW w:w="0" w:type="dxa"/>
            <w:vAlign w:val="bottom"/>
          </w:tcPr>
          <w:p>
            <w:pPr>
              <w:spacing w:after="0"/>
              <w:rPr>
                <w:sz w:val="1"/>
                <w:szCs w:val="1"/>
                <w:color w:val="auto"/>
              </w:rPr>
            </w:pPr>
          </w:p>
        </w:tc>
      </w:tr>
      <w:tr>
        <w:trPr>
          <w:trHeight w:val="54"/>
        </w:trPr>
        <w:tc>
          <w:tcPr>
            <w:tcW w:w="2260" w:type="dxa"/>
            <w:vAlign w:val="bottom"/>
            <w:vMerge w:val="continue"/>
            <w:shd w:val="clear" w:color="auto" w:fill="0071CE"/>
          </w:tcPr>
          <w:p>
            <w:pPr>
              <w:spacing w:after="0"/>
              <w:rPr>
                <w:sz w:val="4"/>
                <w:szCs w:val="4"/>
                <w:color w:val="auto"/>
              </w:rPr>
            </w:pPr>
          </w:p>
        </w:tc>
        <w:tc>
          <w:tcPr>
            <w:tcW w:w="1120" w:type="dxa"/>
            <w:vAlign w:val="bottom"/>
            <w:shd w:val="clear" w:color="auto" w:fill="0071CE"/>
          </w:tcPr>
          <w:p>
            <w:pPr>
              <w:spacing w:after="0"/>
              <w:rPr>
                <w:sz w:val="4"/>
                <w:szCs w:val="4"/>
                <w:color w:val="auto"/>
              </w:rPr>
            </w:pPr>
          </w:p>
        </w:tc>
        <w:tc>
          <w:tcPr>
            <w:tcW w:w="320" w:type="dxa"/>
            <w:vAlign w:val="bottom"/>
            <w:shd w:val="clear" w:color="auto" w:fill="0071CE"/>
          </w:tcPr>
          <w:p>
            <w:pPr>
              <w:spacing w:after="0"/>
              <w:rPr>
                <w:sz w:val="4"/>
                <w:szCs w:val="4"/>
                <w:color w:val="auto"/>
              </w:rPr>
            </w:pPr>
          </w:p>
        </w:tc>
        <w:tc>
          <w:tcPr>
            <w:tcW w:w="2500" w:type="dxa"/>
            <w:vAlign w:val="bottom"/>
            <w:shd w:val="clear" w:color="auto" w:fill="0071CE"/>
          </w:tcPr>
          <w:p>
            <w:pPr>
              <w:spacing w:after="0"/>
              <w:rPr>
                <w:sz w:val="4"/>
                <w:szCs w:val="4"/>
                <w:color w:val="auto"/>
              </w:rPr>
            </w:pPr>
          </w:p>
        </w:tc>
        <w:tc>
          <w:tcPr>
            <w:tcW w:w="340" w:type="dxa"/>
            <w:vAlign w:val="bottom"/>
            <w:shd w:val="clear" w:color="auto" w:fill="0071CE"/>
          </w:tcPr>
          <w:p>
            <w:pPr>
              <w:spacing w:after="0"/>
              <w:rPr>
                <w:sz w:val="4"/>
                <w:szCs w:val="4"/>
                <w:color w:val="auto"/>
              </w:rPr>
            </w:pPr>
          </w:p>
        </w:tc>
        <w:tc>
          <w:tcPr>
            <w:tcW w:w="1680" w:type="dxa"/>
            <w:vAlign w:val="bottom"/>
            <w:shd w:val="clear" w:color="auto" w:fill="0071CE"/>
          </w:tcPr>
          <w:p>
            <w:pPr>
              <w:spacing w:after="0"/>
              <w:rPr>
                <w:sz w:val="4"/>
                <w:szCs w:val="4"/>
                <w:color w:val="auto"/>
              </w:rPr>
            </w:pPr>
          </w:p>
        </w:tc>
        <w:tc>
          <w:tcPr>
            <w:tcW w:w="340" w:type="dxa"/>
            <w:vAlign w:val="bottom"/>
            <w:shd w:val="clear" w:color="auto" w:fill="0071CE"/>
          </w:tcPr>
          <w:p>
            <w:pPr>
              <w:spacing w:after="0"/>
              <w:rPr>
                <w:sz w:val="4"/>
                <w:szCs w:val="4"/>
                <w:color w:val="auto"/>
              </w:rPr>
            </w:pPr>
          </w:p>
        </w:tc>
        <w:tc>
          <w:tcPr>
            <w:tcW w:w="1340" w:type="dxa"/>
            <w:vAlign w:val="bottom"/>
            <w:vMerge w:val="continue"/>
            <w:shd w:val="clear" w:color="auto" w:fill="0071CE"/>
          </w:tcPr>
          <w:p>
            <w:pPr>
              <w:spacing w:after="0"/>
              <w:rPr>
                <w:sz w:val="4"/>
                <w:szCs w:val="4"/>
                <w:color w:val="auto"/>
              </w:rPr>
            </w:pPr>
          </w:p>
        </w:tc>
        <w:tc>
          <w:tcPr>
            <w:tcW w:w="1120" w:type="dxa"/>
            <w:vAlign w:val="bottom"/>
            <w:vMerge w:val="continue"/>
            <w:shd w:val="clear" w:color="auto" w:fill="0071C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260" w:type="dxa"/>
            <w:vAlign w:val="bottom"/>
            <w:tcBorders>
              <w:bottom w:val="single" w:sz="8" w:color="0071CE"/>
            </w:tcBorders>
            <w:vMerge w:val="continue"/>
            <w:shd w:val="clear" w:color="auto" w:fill="0071CE"/>
          </w:tcPr>
          <w:p>
            <w:pPr>
              <w:spacing w:after="0"/>
              <w:rPr>
                <w:sz w:val="17"/>
                <w:szCs w:val="17"/>
                <w:color w:val="auto"/>
              </w:rPr>
            </w:pPr>
          </w:p>
        </w:tc>
        <w:tc>
          <w:tcPr>
            <w:tcW w:w="1120" w:type="dxa"/>
            <w:vAlign w:val="bottom"/>
            <w:tcBorders>
              <w:bottom w:val="single" w:sz="8" w:color="0071CE"/>
            </w:tcBorders>
            <w:shd w:val="clear" w:color="auto" w:fill="0071CE"/>
          </w:tcPr>
          <w:p>
            <w:pPr>
              <w:jc w:val="right"/>
              <w:spacing w:after="0"/>
              <w:rPr>
                <w:sz w:val="20"/>
                <w:szCs w:val="20"/>
                <w:color w:val="auto"/>
              </w:rPr>
            </w:pPr>
            <w:r>
              <w:rPr>
                <w:rFonts w:ascii="Arial" w:cs="Arial" w:eastAsia="Arial" w:hAnsi="Arial"/>
                <w:sz w:val="14"/>
                <w:szCs w:val="14"/>
                <w:b w:val="1"/>
                <w:bCs w:val="1"/>
                <w:color w:val="FFFFFF"/>
              </w:rPr>
              <w:t>Grant Date</w:t>
            </w:r>
          </w:p>
        </w:tc>
        <w:tc>
          <w:tcPr>
            <w:tcW w:w="320" w:type="dxa"/>
            <w:vAlign w:val="bottom"/>
            <w:tcBorders>
              <w:bottom w:val="single" w:sz="8" w:color="0071CE"/>
            </w:tcBorders>
            <w:shd w:val="clear" w:color="auto" w:fill="0071CE"/>
          </w:tcPr>
          <w:p>
            <w:pPr>
              <w:spacing w:after="0"/>
              <w:rPr>
                <w:sz w:val="17"/>
                <w:szCs w:val="17"/>
                <w:color w:val="auto"/>
              </w:rPr>
            </w:pPr>
          </w:p>
        </w:tc>
        <w:tc>
          <w:tcPr>
            <w:tcW w:w="250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rPr>
              <w:t>Target</w:t>
            </w:r>
          </w:p>
        </w:tc>
        <w:tc>
          <w:tcPr>
            <w:tcW w:w="340" w:type="dxa"/>
            <w:vAlign w:val="bottom"/>
            <w:tcBorders>
              <w:bottom w:val="single" w:sz="8" w:color="0071CE"/>
            </w:tcBorders>
            <w:shd w:val="clear" w:color="auto" w:fill="0071CE"/>
          </w:tcPr>
          <w:p>
            <w:pPr>
              <w:spacing w:after="0"/>
              <w:rPr>
                <w:sz w:val="17"/>
                <w:szCs w:val="17"/>
                <w:color w:val="auto"/>
              </w:rPr>
            </w:pPr>
          </w:p>
        </w:tc>
        <w:tc>
          <w:tcPr>
            <w:tcW w:w="168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rPr>
              <w:t>Target</w:t>
            </w:r>
          </w:p>
        </w:tc>
        <w:tc>
          <w:tcPr>
            <w:tcW w:w="340" w:type="dxa"/>
            <w:vAlign w:val="bottom"/>
            <w:tcBorders>
              <w:bottom w:val="single" w:sz="8" w:color="0071CE"/>
            </w:tcBorders>
            <w:shd w:val="clear" w:color="auto" w:fill="0071CE"/>
          </w:tcPr>
          <w:p>
            <w:pPr>
              <w:spacing w:after="0"/>
              <w:rPr>
                <w:sz w:val="17"/>
                <w:szCs w:val="17"/>
                <w:color w:val="auto"/>
              </w:rPr>
            </w:pPr>
          </w:p>
        </w:tc>
        <w:tc>
          <w:tcPr>
            <w:tcW w:w="1340" w:type="dxa"/>
            <w:vAlign w:val="bottom"/>
            <w:tcBorders>
              <w:bottom w:val="single" w:sz="8" w:color="0071CE"/>
            </w:tcBorders>
            <w:shd w:val="clear" w:color="auto" w:fill="0071CE"/>
          </w:tcPr>
          <w:p>
            <w:pPr>
              <w:jc w:val="center"/>
              <w:ind w:right="101"/>
              <w:spacing w:after="0"/>
              <w:rPr>
                <w:sz w:val="20"/>
                <w:szCs w:val="20"/>
                <w:color w:val="auto"/>
              </w:rPr>
            </w:pPr>
            <w:r>
              <w:rPr>
                <w:rFonts w:ascii="Arial" w:cs="Arial" w:eastAsia="Arial" w:hAnsi="Arial"/>
                <w:sz w:val="14"/>
                <w:szCs w:val="14"/>
                <w:b w:val="1"/>
                <w:bCs w:val="1"/>
                <w:color w:val="FFFFFF"/>
              </w:rPr>
              <w:t>(#) (3)</w:t>
            </w:r>
          </w:p>
        </w:tc>
        <w:tc>
          <w:tcPr>
            <w:tcW w:w="1120" w:type="dxa"/>
            <w:vAlign w:val="bottom"/>
            <w:tcBorders>
              <w:bottom w:val="single" w:sz="8" w:color="0071CE"/>
            </w:tcBorders>
            <w:shd w:val="clear" w:color="auto" w:fill="0071CE"/>
          </w:tcPr>
          <w:p>
            <w:pPr>
              <w:jc w:val="center"/>
              <w:ind w:left="40"/>
              <w:spacing w:after="0"/>
              <w:rPr>
                <w:sz w:val="20"/>
                <w:szCs w:val="20"/>
                <w:color w:val="auto"/>
              </w:rPr>
            </w:pPr>
            <w:r>
              <w:rPr>
                <w:rFonts w:ascii="Arial" w:cs="Arial" w:eastAsia="Arial" w:hAnsi="Arial"/>
                <w:sz w:val="14"/>
                <w:szCs w:val="14"/>
                <w:b w:val="1"/>
                <w:bCs w:val="1"/>
                <w:color w:val="FFFFFF"/>
                <w:w w:val="96"/>
              </w:rPr>
              <w:t>Value</w:t>
            </w:r>
          </w:p>
        </w:tc>
        <w:tc>
          <w:tcPr>
            <w:tcW w:w="0" w:type="dxa"/>
            <w:vAlign w:val="bottom"/>
          </w:tcPr>
          <w:p>
            <w:pPr>
              <w:spacing w:after="0"/>
              <w:rPr>
                <w:sz w:val="1"/>
                <w:szCs w:val="1"/>
                <w:color w:val="auto"/>
              </w:rPr>
            </w:pPr>
          </w:p>
        </w:tc>
      </w:tr>
      <w:tr>
        <w:trPr>
          <w:trHeight w:val="251"/>
        </w:trPr>
        <w:tc>
          <w:tcPr>
            <w:tcW w:w="2260" w:type="dxa"/>
            <w:vAlign w:val="bottom"/>
            <w:shd w:val="clear" w:color="auto" w:fill="E5E5E5"/>
          </w:tcPr>
          <w:p>
            <w:pPr>
              <w:ind w:left="140"/>
              <w:spacing w:after="0"/>
              <w:rPr>
                <w:sz w:val="20"/>
                <w:szCs w:val="20"/>
                <w:color w:val="auto"/>
              </w:rPr>
            </w:pPr>
            <w:r>
              <w:rPr>
                <w:rFonts w:ascii="Arial" w:cs="Arial" w:eastAsia="Arial" w:hAnsi="Arial"/>
                <w:sz w:val="16"/>
                <w:szCs w:val="16"/>
                <w:b w:val="1"/>
                <w:bCs w:val="1"/>
                <w:color w:val="0071CE"/>
              </w:rPr>
              <w:t>Christopher Anzalone</w:t>
            </w:r>
          </w:p>
        </w:tc>
        <w:tc>
          <w:tcPr>
            <w:tcW w:w="1120" w:type="dxa"/>
            <w:vAlign w:val="bottom"/>
            <w:shd w:val="clear" w:color="auto" w:fill="E5E5E5"/>
          </w:tcPr>
          <w:p>
            <w:pPr>
              <w:spacing w:after="0"/>
              <w:rPr>
                <w:sz w:val="21"/>
                <w:szCs w:val="21"/>
                <w:color w:val="auto"/>
              </w:rPr>
            </w:pPr>
          </w:p>
        </w:tc>
        <w:tc>
          <w:tcPr>
            <w:tcW w:w="320" w:type="dxa"/>
            <w:vAlign w:val="bottom"/>
            <w:shd w:val="clear" w:color="auto" w:fill="E5E5E5"/>
          </w:tcPr>
          <w:p>
            <w:pPr>
              <w:spacing w:after="0"/>
              <w:rPr>
                <w:sz w:val="21"/>
                <w:szCs w:val="21"/>
                <w:color w:val="auto"/>
              </w:rPr>
            </w:pPr>
          </w:p>
        </w:tc>
        <w:tc>
          <w:tcPr>
            <w:tcW w:w="2500" w:type="dxa"/>
            <w:vAlign w:val="bottom"/>
            <w:shd w:val="clear" w:color="auto" w:fill="E5E5E5"/>
          </w:tcPr>
          <w:p>
            <w:pPr>
              <w:spacing w:after="0"/>
              <w:rPr>
                <w:sz w:val="21"/>
                <w:szCs w:val="21"/>
                <w:color w:val="auto"/>
              </w:rPr>
            </w:pPr>
          </w:p>
        </w:tc>
        <w:tc>
          <w:tcPr>
            <w:tcW w:w="340" w:type="dxa"/>
            <w:vAlign w:val="bottom"/>
            <w:shd w:val="clear" w:color="auto" w:fill="E5E5E5"/>
          </w:tcPr>
          <w:p>
            <w:pPr>
              <w:spacing w:after="0"/>
              <w:rPr>
                <w:sz w:val="21"/>
                <w:szCs w:val="21"/>
                <w:color w:val="auto"/>
              </w:rPr>
            </w:pPr>
          </w:p>
        </w:tc>
        <w:tc>
          <w:tcPr>
            <w:tcW w:w="1680" w:type="dxa"/>
            <w:vAlign w:val="bottom"/>
            <w:shd w:val="clear" w:color="auto" w:fill="E5E5E5"/>
          </w:tcPr>
          <w:p>
            <w:pPr>
              <w:spacing w:after="0"/>
              <w:rPr>
                <w:sz w:val="21"/>
                <w:szCs w:val="21"/>
                <w:color w:val="auto"/>
              </w:rPr>
            </w:pPr>
          </w:p>
        </w:tc>
        <w:tc>
          <w:tcPr>
            <w:tcW w:w="340" w:type="dxa"/>
            <w:vAlign w:val="bottom"/>
            <w:shd w:val="clear" w:color="auto" w:fill="E5E5E5"/>
          </w:tcPr>
          <w:p>
            <w:pPr>
              <w:spacing w:after="0"/>
              <w:rPr>
                <w:sz w:val="21"/>
                <w:szCs w:val="21"/>
                <w:color w:val="auto"/>
              </w:rPr>
            </w:pPr>
          </w:p>
        </w:tc>
        <w:tc>
          <w:tcPr>
            <w:tcW w:w="1340" w:type="dxa"/>
            <w:vAlign w:val="bottom"/>
            <w:shd w:val="clear" w:color="auto" w:fill="E5E5E5"/>
          </w:tcPr>
          <w:p>
            <w:pPr>
              <w:spacing w:after="0"/>
              <w:rPr>
                <w:sz w:val="21"/>
                <w:szCs w:val="21"/>
                <w:color w:val="auto"/>
              </w:rPr>
            </w:pPr>
          </w:p>
        </w:tc>
        <w:tc>
          <w:tcPr>
            <w:tcW w:w="1120" w:type="dxa"/>
            <w:vAlign w:val="bottom"/>
            <w:shd w:val="clear" w:color="auto" w:fill="E5E5E5"/>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2260" w:type="dxa"/>
            <w:vAlign w:val="bottom"/>
            <w:shd w:val="clear" w:color="auto" w:fill="E5E5E5"/>
          </w:tcPr>
          <w:p>
            <w:pPr>
              <w:ind w:left="480"/>
              <w:spacing w:after="0"/>
              <w:rPr>
                <w:sz w:val="20"/>
                <w:szCs w:val="20"/>
                <w:color w:val="auto"/>
              </w:rPr>
            </w:pPr>
            <w:r>
              <w:rPr>
                <w:rFonts w:ascii="Arial" w:cs="Arial" w:eastAsia="Arial" w:hAnsi="Arial"/>
                <w:sz w:val="16"/>
                <w:szCs w:val="16"/>
                <w:color w:val="auto"/>
              </w:rPr>
              <w:t>Cash Bonus</w:t>
            </w:r>
          </w:p>
        </w:tc>
        <w:tc>
          <w:tcPr>
            <w:tcW w:w="1120" w:type="dxa"/>
            <w:vAlign w:val="bottom"/>
            <w:shd w:val="clear" w:color="auto" w:fill="E5E5E5"/>
          </w:tcPr>
          <w:p>
            <w:pPr>
              <w:spacing w:after="0"/>
              <w:rPr>
                <w:sz w:val="24"/>
                <w:szCs w:val="24"/>
                <w:color w:val="auto"/>
              </w:rPr>
            </w:pPr>
          </w:p>
        </w:tc>
        <w:tc>
          <w:tcPr>
            <w:tcW w:w="2820" w:type="dxa"/>
            <w:vAlign w:val="bottom"/>
            <w:gridSpan w:val="2"/>
            <w:shd w:val="clear" w:color="auto" w:fill="E5E5E5"/>
          </w:tcPr>
          <w:p>
            <w:pPr>
              <w:jc w:val="right"/>
              <w:ind w:right="801"/>
              <w:spacing w:after="0"/>
              <w:rPr>
                <w:sz w:val="20"/>
                <w:szCs w:val="20"/>
                <w:color w:val="auto"/>
              </w:rPr>
            </w:pPr>
            <w:r>
              <w:rPr>
                <w:rFonts w:ascii="Arial" w:cs="Arial" w:eastAsia="Arial" w:hAnsi="Arial"/>
                <w:sz w:val="16"/>
                <w:szCs w:val="16"/>
                <w:color w:val="auto"/>
              </w:rPr>
              <w:t>$845,000</w:t>
            </w:r>
          </w:p>
        </w:tc>
        <w:tc>
          <w:tcPr>
            <w:tcW w:w="340" w:type="dxa"/>
            <w:vAlign w:val="bottom"/>
            <w:shd w:val="clear" w:color="auto" w:fill="E5E5E5"/>
          </w:tcPr>
          <w:p>
            <w:pPr>
              <w:spacing w:after="0"/>
              <w:rPr>
                <w:sz w:val="24"/>
                <w:szCs w:val="24"/>
                <w:color w:val="auto"/>
              </w:rPr>
            </w:pPr>
          </w:p>
        </w:tc>
        <w:tc>
          <w:tcPr>
            <w:tcW w:w="1680" w:type="dxa"/>
            <w:vAlign w:val="bottom"/>
            <w:shd w:val="clear" w:color="auto" w:fill="E5E5E5"/>
          </w:tcPr>
          <w:p>
            <w:pPr>
              <w:jc w:val="right"/>
              <w:ind w:right="442"/>
              <w:spacing w:after="0"/>
              <w:rPr>
                <w:sz w:val="20"/>
                <w:szCs w:val="20"/>
                <w:color w:val="auto"/>
              </w:rPr>
            </w:pPr>
            <w:r>
              <w:rPr>
                <w:rFonts w:ascii="Arial" w:cs="Arial" w:eastAsia="Arial" w:hAnsi="Arial"/>
                <w:sz w:val="16"/>
                <w:szCs w:val="16"/>
                <w:color w:val="auto"/>
              </w:rPr>
              <w:t>—</w:t>
            </w:r>
          </w:p>
        </w:tc>
        <w:tc>
          <w:tcPr>
            <w:tcW w:w="340" w:type="dxa"/>
            <w:vAlign w:val="bottom"/>
            <w:shd w:val="clear" w:color="auto" w:fill="E5E5E5"/>
          </w:tcPr>
          <w:p>
            <w:pPr>
              <w:spacing w:after="0"/>
              <w:rPr>
                <w:sz w:val="24"/>
                <w:szCs w:val="24"/>
                <w:color w:val="auto"/>
              </w:rPr>
            </w:pPr>
          </w:p>
        </w:tc>
        <w:tc>
          <w:tcPr>
            <w:tcW w:w="1340" w:type="dxa"/>
            <w:vAlign w:val="bottom"/>
            <w:shd w:val="clear" w:color="auto" w:fill="E5E5E5"/>
          </w:tcPr>
          <w:p>
            <w:pPr>
              <w:jc w:val="right"/>
              <w:ind w:right="321"/>
              <w:spacing w:after="0"/>
              <w:rPr>
                <w:sz w:val="20"/>
                <w:szCs w:val="20"/>
                <w:color w:val="auto"/>
              </w:rPr>
            </w:pPr>
            <w:r>
              <w:rPr>
                <w:rFonts w:ascii="Arial" w:cs="Arial" w:eastAsia="Arial" w:hAnsi="Arial"/>
                <w:sz w:val="16"/>
                <w:szCs w:val="16"/>
                <w:color w:val="auto"/>
              </w:rPr>
              <w:t>—</w:t>
            </w:r>
          </w:p>
        </w:tc>
        <w:tc>
          <w:tcPr>
            <w:tcW w:w="112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2260" w:type="dxa"/>
            <w:vAlign w:val="bottom"/>
            <w:shd w:val="clear" w:color="auto" w:fill="E5E5E5"/>
          </w:tcPr>
          <w:p>
            <w:pPr>
              <w:ind w:left="480"/>
              <w:spacing w:after="0"/>
              <w:rPr>
                <w:sz w:val="20"/>
                <w:szCs w:val="20"/>
                <w:color w:val="auto"/>
              </w:rPr>
            </w:pPr>
            <w:r>
              <w:rPr>
                <w:rFonts w:ascii="Arial" w:cs="Arial" w:eastAsia="Arial" w:hAnsi="Arial"/>
                <w:sz w:val="16"/>
                <w:szCs w:val="16"/>
                <w:color w:val="auto"/>
              </w:rPr>
              <w:t>PRSUs</w:t>
            </w:r>
          </w:p>
        </w:tc>
        <w:tc>
          <w:tcPr>
            <w:tcW w:w="11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1/1/2021</w:t>
            </w:r>
          </w:p>
        </w:tc>
        <w:tc>
          <w:tcPr>
            <w:tcW w:w="320" w:type="dxa"/>
            <w:vAlign w:val="bottom"/>
            <w:shd w:val="clear" w:color="auto" w:fill="E5E5E5"/>
          </w:tcPr>
          <w:p>
            <w:pPr>
              <w:spacing w:after="0"/>
              <w:rPr>
                <w:sz w:val="24"/>
                <w:szCs w:val="24"/>
                <w:color w:val="auto"/>
              </w:rPr>
            </w:pPr>
          </w:p>
        </w:tc>
        <w:tc>
          <w:tcPr>
            <w:tcW w:w="2500" w:type="dxa"/>
            <w:vAlign w:val="bottom"/>
            <w:shd w:val="clear" w:color="auto" w:fill="E5E5E5"/>
          </w:tcPr>
          <w:p>
            <w:pPr>
              <w:jc w:val="right"/>
              <w:ind w:right="801"/>
              <w:spacing w:after="0"/>
              <w:rPr>
                <w:sz w:val="20"/>
                <w:szCs w:val="20"/>
                <w:color w:val="auto"/>
              </w:rPr>
            </w:pPr>
            <w:r>
              <w:rPr>
                <w:rFonts w:ascii="Arial" w:cs="Arial" w:eastAsia="Arial" w:hAnsi="Arial"/>
                <w:sz w:val="16"/>
                <w:szCs w:val="16"/>
                <w:color w:val="auto"/>
              </w:rPr>
              <w:t>—</w:t>
            </w:r>
          </w:p>
        </w:tc>
        <w:tc>
          <w:tcPr>
            <w:tcW w:w="2020" w:type="dxa"/>
            <w:vAlign w:val="bottom"/>
            <w:gridSpan w:val="2"/>
            <w:shd w:val="clear" w:color="auto" w:fill="E5E5E5"/>
          </w:tcPr>
          <w:p>
            <w:pPr>
              <w:jc w:val="right"/>
              <w:ind w:right="442"/>
              <w:spacing w:after="0"/>
              <w:rPr>
                <w:sz w:val="20"/>
                <w:szCs w:val="20"/>
                <w:color w:val="auto"/>
              </w:rPr>
            </w:pPr>
            <w:r>
              <w:rPr>
                <w:rFonts w:ascii="Arial" w:cs="Arial" w:eastAsia="Arial" w:hAnsi="Arial"/>
                <w:sz w:val="16"/>
                <w:szCs w:val="16"/>
                <w:color w:val="auto"/>
              </w:rPr>
              <w:t>100,000</w:t>
            </w:r>
          </w:p>
        </w:tc>
        <w:tc>
          <w:tcPr>
            <w:tcW w:w="340" w:type="dxa"/>
            <w:vAlign w:val="bottom"/>
            <w:shd w:val="clear" w:color="auto" w:fill="E5E5E5"/>
          </w:tcPr>
          <w:p>
            <w:pPr>
              <w:spacing w:after="0"/>
              <w:rPr>
                <w:sz w:val="24"/>
                <w:szCs w:val="24"/>
                <w:color w:val="auto"/>
              </w:rPr>
            </w:pPr>
          </w:p>
        </w:tc>
        <w:tc>
          <w:tcPr>
            <w:tcW w:w="1340" w:type="dxa"/>
            <w:vAlign w:val="bottom"/>
            <w:shd w:val="clear" w:color="auto" w:fill="E5E5E5"/>
          </w:tcPr>
          <w:p>
            <w:pPr>
              <w:jc w:val="right"/>
              <w:ind w:right="321"/>
              <w:spacing w:after="0"/>
              <w:rPr>
                <w:sz w:val="20"/>
                <w:szCs w:val="20"/>
                <w:color w:val="auto"/>
              </w:rPr>
            </w:pPr>
            <w:r>
              <w:rPr>
                <w:rFonts w:ascii="Arial" w:cs="Arial" w:eastAsia="Arial" w:hAnsi="Arial"/>
                <w:sz w:val="16"/>
                <w:szCs w:val="16"/>
                <w:color w:val="auto"/>
              </w:rPr>
              <w:t>—</w:t>
            </w:r>
          </w:p>
        </w:tc>
        <w:tc>
          <w:tcPr>
            <w:tcW w:w="112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$7,673,000</w:t>
            </w:r>
          </w:p>
        </w:tc>
        <w:tc>
          <w:tcPr>
            <w:tcW w:w="0" w:type="dxa"/>
            <w:vAlign w:val="bottom"/>
          </w:tcPr>
          <w:p>
            <w:pPr>
              <w:spacing w:after="0"/>
              <w:rPr>
                <w:sz w:val="1"/>
                <w:szCs w:val="1"/>
                <w:color w:val="auto"/>
              </w:rPr>
            </w:pPr>
          </w:p>
        </w:tc>
      </w:tr>
      <w:tr>
        <w:trPr>
          <w:trHeight w:val="283"/>
        </w:trPr>
        <w:tc>
          <w:tcPr>
            <w:tcW w:w="2260" w:type="dxa"/>
            <w:vAlign w:val="bottom"/>
            <w:shd w:val="clear" w:color="auto" w:fill="E5E5E5"/>
          </w:tcPr>
          <w:p>
            <w:pPr>
              <w:ind w:left="480"/>
              <w:spacing w:after="0"/>
              <w:rPr>
                <w:sz w:val="20"/>
                <w:szCs w:val="20"/>
                <w:color w:val="auto"/>
              </w:rPr>
            </w:pPr>
            <w:r>
              <w:rPr>
                <w:rFonts w:ascii="Arial" w:cs="Arial" w:eastAsia="Arial" w:hAnsi="Arial"/>
                <w:sz w:val="16"/>
                <w:szCs w:val="16"/>
                <w:color w:val="auto"/>
              </w:rPr>
              <w:t>PRSUs</w:t>
            </w:r>
          </w:p>
        </w:tc>
        <w:tc>
          <w:tcPr>
            <w:tcW w:w="11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1/1/2021</w:t>
            </w:r>
          </w:p>
        </w:tc>
        <w:tc>
          <w:tcPr>
            <w:tcW w:w="320" w:type="dxa"/>
            <w:vAlign w:val="bottom"/>
            <w:shd w:val="clear" w:color="auto" w:fill="E5E5E5"/>
          </w:tcPr>
          <w:p>
            <w:pPr>
              <w:spacing w:after="0"/>
              <w:rPr>
                <w:sz w:val="24"/>
                <w:szCs w:val="24"/>
                <w:color w:val="auto"/>
              </w:rPr>
            </w:pPr>
          </w:p>
        </w:tc>
        <w:tc>
          <w:tcPr>
            <w:tcW w:w="2500" w:type="dxa"/>
            <w:vAlign w:val="bottom"/>
            <w:shd w:val="clear" w:color="auto" w:fill="E5E5E5"/>
          </w:tcPr>
          <w:p>
            <w:pPr>
              <w:jc w:val="right"/>
              <w:ind w:right="801"/>
              <w:spacing w:after="0"/>
              <w:rPr>
                <w:sz w:val="20"/>
                <w:szCs w:val="20"/>
                <w:color w:val="auto"/>
              </w:rPr>
            </w:pPr>
            <w:r>
              <w:rPr>
                <w:rFonts w:ascii="Arial" w:cs="Arial" w:eastAsia="Arial" w:hAnsi="Arial"/>
                <w:sz w:val="16"/>
                <w:szCs w:val="16"/>
                <w:color w:val="auto"/>
              </w:rPr>
              <w:t>—</w:t>
            </w:r>
          </w:p>
        </w:tc>
        <w:tc>
          <w:tcPr>
            <w:tcW w:w="2020" w:type="dxa"/>
            <w:vAlign w:val="bottom"/>
            <w:gridSpan w:val="2"/>
            <w:shd w:val="clear" w:color="auto" w:fill="E5E5E5"/>
          </w:tcPr>
          <w:p>
            <w:pPr>
              <w:jc w:val="right"/>
              <w:ind w:right="442"/>
              <w:spacing w:after="0"/>
              <w:rPr>
                <w:sz w:val="20"/>
                <w:szCs w:val="20"/>
                <w:color w:val="auto"/>
              </w:rPr>
            </w:pPr>
            <w:r>
              <w:rPr>
                <w:rFonts w:ascii="Arial" w:cs="Arial" w:eastAsia="Arial" w:hAnsi="Arial"/>
                <w:sz w:val="16"/>
                <w:szCs w:val="16"/>
                <w:color w:val="auto"/>
              </w:rPr>
              <w:t>100,000</w:t>
            </w:r>
          </w:p>
        </w:tc>
        <w:tc>
          <w:tcPr>
            <w:tcW w:w="340" w:type="dxa"/>
            <w:vAlign w:val="bottom"/>
            <w:shd w:val="clear" w:color="auto" w:fill="E5E5E5"/>
          </w:tcPr>
          <w:p>
            <w:pPr>
              <w:spacing w:after="0"/>
              <w:rPr>
                <w:sz w:val="24"/>
                <w:szCs w:val="24"/>
                <w:color w:val="auto"/>
              </w:rPr>
            </w:pPr>
          </w:p>
        </w:tc>
        <w:tc>
          <w:tcPr>
            <w:tcW w:w="1340" w:type="dxa"/>
            <w:vAlign w:val="bottom"/>
            <w:shd w:val="clear" w:color="auto" w:fill="E5E5E5"/>
          </w:tcPr>
          <w:p>
            <w:pPr>
              <w:jc w:val="right"/>
              <w:ind w:right="321"/>
              <w:spacing w:after="0"/>
              <w:rPr>
                <w:sz w:val="20"/>
                <w:szCs w:val="20"/>
                <w:color w:val="auto"/>
              </w:rPr>
            </w:pPr>
            <w:r>
              <w:rPr>
                <w:rFonts w:ascii="Arial" w:cs="Arial" w:eastAsia="Arial" w:hAnsi="Arial"/>
                <w:sz w:val="16"/>
                <w:szCs w:val="16"/>
                <w:color w:val="auto"/>
              </w:rPr>
              <w:t>—</w:t>
            </w:r>
          </w:p>
        </w:tc>
        <w:tc>
          <w:tcPr>
            <w:tcW w:w="112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$7,673,000</w:t>
            </w:r>
          </w:p>
        </w:tc>
        <w:tc>
          <w:tcPr>
            <w:tcW w:w="0" w:type="dxa"/>
            <w:vAlign w:val="bottom"/>
          </w:tcPr>
          <w:p>
            <w:pPr>
              <w:spacing w:after="0"/>
              <w:rPr>
                <w:sz w:val="1"/>
                <w:szCs w:val="1"/>
                <w:color w:val="auto"/>
              </w:rPr>
            </w:pPr>
          </w:p>
        </w:tc>
      </w:tr>
      <w:tr>
        <w:trPr>
          <w:trHeight w:val="283"/>
        </w:trPr>
        <w:tc>
          <w:tcPr>
            <w:tcW w:w="2260" w:type="dxa"/>
            <w:vAlign w:val="bottom"/>
            <w:shd w:val="clear" w:color="auto" w:fill="E5E5E5"/>
          </w:tcPr>
          <w:p>
            <w:pPr>
              <w:ind w:left="480"/>
              <w:spacing w:after="0"/>
              <w:rPr>
                <w:sz w:val="20"/>
                <w:szCs w:val="20"/>
                <w:color w:val="auto"/>
              </w:rPr>
            </w:pPr>
            <w:r>
              <w:rPr>
                <w:rFonts w:ascii="Arial" w:cs="Arial" w:eastAsia="Arial" w:hAnsi="Arial"/>
                <w:sz w:val="16"/>
                <w:szCs w:val="16"/>
                <w:color w:val="auto"/>
              </w:rPr>
              <w:t>PRSUs</w:t>
            </w:r>
          </w:p>
        </w:tc>
        <w:tc>
          <w:tcPr>
            <w:tcW w:w="11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1/1/2021</w:t>
            </w:r>
          </w:p>
        </w:tc>
        <w:tc>
          <w:tcPr>
            <w:tcW w:w="320" w:type="dxa"/>
            <w:vAlign w:val="bottom"/>
            <w:shd w:val="clear" w:color="auto" w:fill="E5E5E5"/>
          </w:tcPr>
          <w:p>
            <w:pPr>
              <w:spacing w:after="0"/>
              <w:rPr>
                <w:sz w:val="24"/>
                <w:szCs w:val="24"/>
                <w:color w:val="auto"/>
              </w:rPr>
            </w:pPr>
          </w:p>
        </w:tc>
        <w:tc>
          <w:tcPr>
            <w:tcW w:w="2500" w:type="dxa"/>
            <w:vAlign w:val="bottom"/>
            <w:shd w:val="clear" w:color="auto" w:fill="E5E5E5"/>
          </w:tcPr>
          <w:p>
            <w:pPr>
              <w:jc w:val="right"/>
              <w:ind w:right="801"/>
              <w:spacing w:after="0"/>
              <w:rPr>
                <w:sz w:val="20"/>
                <w:szCs w:val="20"/>
                <w:color w:val="auto"/>
              </w:rPr>
            </w:pPr>
            <w:r>
              <w:rPr>
                <w:rFonts w:ascii="Arial" w:cs="Arial" w:eastAsia="Arial" w:hAnsi="Arial"/>
                <w:sz w:val="16"/>
                <w:szCs w:val="16"/>
                <w:color w:val="auto"/>
              </w:rPr>
              <w:t>—</w:t>
            </w:r>
          </w:p>
        </w:tc>
        <w:tc>
          <w:tcPr>
            <w:tcW w:w="2020" w:type="dxa"/>
            <w:vAlign w:val="bottom"/>
            <w:gridSpan w:val="2"/>
            <w:shd w:val="clear" w:color="auto" w:fill="E5E5E5"/>
          </w:tcPr>
          <w:p>
            <w:pPr>
              <w:jc w:val="right"/>
              <w:ind w:right="442"/>
              <w:spacing w:after="0"/>
              <w:rPr>
                <w:sz w:val="20"/>
                <w:szCs w:val="20"/>
                <w:color w:val="auto"/>
              </w:rPr>
            </w:pPr>
            <w:r>
              <w:rPr>
                <w:rFonts w:ascii="Arial" w:cs="Arial" w:eastAsia="Arial" w:hAnsi="Arial"/>
                <w:sz w:val="16"/>
                <w:szCs w:val="16"/>
                <w:color w:val="auto"/>
              </w:rPr>
              <w:t>100,000</w:t>
            </w:r>
          </w:p>
        </w:tc>
        <w:tc>
          <w:tcPr>
            <w:tcW w:w="340" w:type="dxa"/>
            <w:vAlign w:val="bottom"/>
            <w:shd w:val="clear" w:color="auto" w:fill="E5E5E5"/>
          </w:tcPr>
          <w:p>
            <w:pPr>
              <w:spacing w:after="0"/>
              <w:rPr>
                <w:sz w:val="24"/>
                <w:szCs w:val="24"/>
                <w:color w:val="auto"/>
              </w:rPr>
            </w:pPr>
          </w:p>
        </w:tc>
        <w:tc>
          <w:tcPr>
            <w:tcW w:w="1340" w:type="dxa"/>
            <w:vAlign w:val="bottom"/>
            <w:shd w:val="clear" w:color="auto" w:fill="E5E5E5"/>
          </w:tcPr>
          <w:p>
            <w:pPr>
              <w:jc w:val="right"/>
              <w:ind w:right="321"/>
              <w:spacing w:after="0"/>
              <w:rPr>
                <w:sz w:val="20"/>
                <w:szCs w:val="20"/>
                <w:color w:val="auto"/>
              </w:rPr>
            </w:pPr>
            <w:r>
              <w:rPr>
                <w:rFonts w:ascii="Arial" w:cs="Arial" w:eastAsia="Arial" w:hAnsi="Arial"/>
                <w:sz w:val="16"/>
                <w:szCs w:val="16"/>
                <w:color w:val="auto"/>
              </w:rPr>
              <w:t>—</w:t>
            </w:r>
          </w:p>
        </w:tc>
        <w:tc>
          <w:tcPr>
            <w:tcW w:w="112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$7,673,000</w:t>
            </w:r>
          </w:p>
        </w:tc>
        <w:tc>
          <w:tcPr>
            <w:tcW w:w="0" w:type="dxa"/>
            <w:vAlign w:val="bottom"/>
          </w:tcPr>
          <w:p>
            <w:pPr>
              <w:spacing w:after="0"/>
              <w:rPr>
                <w:sz w:val="1"/>
                <w:szCs w:val="1"/>
                <w:color w:val="auto"/>
              </w:rPr>
            </w:pPr>
          </w:p>
        </w:tc>
      </w:tr>
      <w:tr>
        <w:trPr>
          <w:trHeight w:val="283"/>
        </w:trPr>
        <w:tc>
          <w:tcPr>
            <w:tcW w:w="2260" w:type="dxa"/>
            <w:vAlign w:val="bottom"/>
            <w:shd w:val="clear" w:color="auto" w:fill="E5E5E5"/>
          </w:tcPr>
          <w:p>
            <w:pPr>
              <w:ind w:left="480"/>
              <w:spacing w:after="0"/>
              <w:rPr>
                <w:sz w:val="20"/>
                <w:szCs w:val="20"/>
                <w:color w:val="auto"/>
              </w:rPr>
            </w:pPr>
            <w:r>
              <w:rPr>
                <w:rFonts w:ascii="Arial" w:cs="Arial" w:eastAsia="Arial" w:hAnsi="Arial"/>
                <w:sz w:val="16"/>
                <w:szCs w:val="16"/>
                <w:color w:val="auto"/>
              </w:rPr>
              <w:t>PRSUs (4)</w:t>
            </w:r>
          </w:p>
        </w:tc>
        <w:tc>
          <w:tcPr>
            <w:tcW w:w="11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1/1/2021</w:t>
            </w:r>
          </w:p>
        </w:tc>
        <w:tc>
          <w:tcPr>
            <w:tcW w:w="320" w:type="dxa"/>
            <w:vAlign w:val="bottom"/>
            <w:shd w:val="clear" w:color="auto" w:fill="E5E5E5"/>
          </w:tcPr>
          <w:p>
            <w:pPr>
              <w:spacing w:after="0"/>
              <w:rPr>
                <w:sz w:val="24"/>
                <w:szCs w:val="24"/>
                <w:color w:val="auto"/>
              </w:rPr>
            </w:pPr>
          </w:p>
        </w:tc>
        <w:tc>
          <w:tcPr>
            <w:tcW w:w="2500" w:type="dxa"/>
            <w:vAlign w:val="bottom"/>
            <w:shd w:val="clear" w:color="auto" w:fill="E5E5E5"/>
          </w:tcPr>
          <w:p>
            <w:pPr>
              <w:jc w:val="right"/>
              <w:ind w:right="801"/>
              <w:spacing w:after="0"/>
              <w:rPr>
                <w:sz w:val="20"/>
                <w:szCs w:val="20"/>
                <w:color w:val="auto"/>
              </w:rPr>
            </w:pPr>
            <w:r>
              <w:rPr>
                <w:rFonts w:ascii="Arial" w:cs="Arial" w:eastAsia="Arial" w:hAnsi="Arial"/>
                <w:sz w:val="16"/>
                <w:szCs w:val="16"/>
                <w:color w:val="auto"/>
              </w:rPr>
              <w:t>—</w:t>
            </w:r>
          </w:p>
        </w:tc>
        <w:tc>
          <w:tcPr>
            <w:tcW w:w="2020" w:type="dxa"/>
            <w:vAlign w:val="bottom"/>
            <w:gridSpan w:val="2"/>
            <w:shd w:val="clear" w:color="auto" w:fill="E5E5E5"/>
          </w:tcPr>
          <w:p>
            <w:pPr>
              <w:jc w:val="right"/>
              <w:ind w:right="442"/>
              <w:spacing w:after="0"/>
              <w:rPr>
                <w:sz w:val="20"/>
                <w:szCs w:val="20"/>
                <w:color w:val="auto"/>
              </w:rPr>
            </w:pPr>
            <w:r>
              <w:rPr>
                <w:rFonts w:ascii="Arial" w:cs="Arial" w:eastAsia="Arial" w:hAnsi="Arial"/>
                <w:sz w:val="16"/>
                <w:szCs w:val="16"/>
                <w:color w:val="auto"/>
              </w:rPr>
              <w:t>100,000</w:t>
            </w:r>
          </w:p>
        </w:tc>
        <w:tc>
          <w:tcPr>
            <w:tcW w:w="340" w:type="dxa"/>
            <w:vAlign w:val="bottom"/>
            <w:shd w:val="clear" w:color="auto" w:fill="E5E5E5"/>
          </w:tcPr>
          <w:p>
            <w:pPr>
              <w:spacing w:after="0"/>
              <w:rPr>
                <w:sz w:val="24"/>
                <w:szCs w:val="24"/>
                <w:color w:val="auto"/>
              </w:rPr>
            </w:pPr>
          </w:p>
        </w:tc>
        <w:tc>
          <w:tcPr>
            <w:tcW w:w="1340" w:type="dxa"/>
            <w:vAlign w:val="bottom"/>
            <w:shd w:val="clear" w:color="auto" w:fill="E5E5E5"/>
          </w:tcPr>
          <w:p>
            <w:pPr>
              <w:jc w:val="right"/>
              <w:ind w:right="321"/>
              <w:spacing w:after="0"/>
              <w:rPr>
                <w:sz w:val="20"/>
                <w:szCs w:val="20"/>
                <w:color w:val="auto"/>
              </w:rPr>
            </w:pPr>
            <w:r>
              <w:rPr>
                <w:rFonts w:ascii="Arial" w:cs="Arial" w:eastAsia="Arial" w:hAnsi="Arial"/>
                <w:sz w:val="16"/>
                <w:szCs w:val="16"/>
                <w:color w:val="auto"/>
              </w:rPr>
              <w:t>—</w:t>
            </w:r>
          </w:p>
        </w:tc>
        <w:tc>
          <w:tcPr>
            <w:tcW w:w="112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2260" w:type="dxa"/>
            <w:vAlign w:val="bottom"/>
            <w:shd w:val="clear" w:color="auto" w:fill="E5E5E5"/>
          </w:tcPr>
          <w:p>
            <w:pPr>
              <w:ind w:left="480"/>
              <w:spacing w:after="0"/>
              <w:rPr>
                <w:sz w:val="20"/>
                <w:szCs w:val="20"/>
                <w:color w:val="auto"/>
              </w:rPr>
            </w:pPr>
            <w:r>
              <w:rPr>
                <w:rFonts w:ascii="Arial" w:cs="Arial" w:eastAsia="Arial" w:hAnsi="Arial"/>
                <w:sz w:val="16"/>
                <w:szCs w:val="16"/>
                <w:color w:val="auto"/>
              </w:rPr>
              <w:t>PRSUs (4)</w:t>
            </w:r>
          </w:p>
        </w:tc>
        <w:tc>
          <w:tcPr>
            <w:tcW w:w="11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1/1/2021</w:t>
            </w:r>
          </w:p>
        </w:tc>
        <w:tc>
          <w:tcPr>
            <w:tcW w:w="320" w:type="dxa"/>
            <w:vAlign w:val="bottom"/>
            <w:shd w:val="clear" w:color="auto" w:fill="E5E5E5"/>
          </w:tcPr>
          <w:p>
            <w:pPr>
              <w:spacing w:after="0"/>
              <w:rPr>
                <w:sz w:val="24"/>
                <w:szCs w:val="24"/>
                <w:color w:val="auto"/>
              </w:rPr>
            </w:pPr>
          </w:p>
        </w:tc>
        <w:tc>
          <w:tcPr>
            <w:tcW w:w="2500" w:type="dxa"/>
            <w:vAlign w:val="bottom"/>
            <w:shd w:val="clear" w:color="auto" w:fill="E5E5E5"/>
          </w:tcPr>
          <w:p>
            <w:pPr>
              <w:jc w:val="right"/>
              <w:ind w:right="801"/>
              <w:spacing w:after="0"/>
              <w:rPr>
                <w:sz w:val="20"/>
                <w:szCs w:val="20"/>
                <w:color w:val="auto"/>
              </w:rPr>
            </w:pPr>
            <w:r>
              <w:rPr>
                <w:rFonts w:ascii="Arial" w:cs="Arial" w:eastAsia="Arial" w:hAnsi="Arial"/>
                <w:sz w:val="16"/>
                <w:szCs w:val="16"/>
                <w:color w:val="auto"/>
              </w:rPr>
              <w:t>—</w:t>
            </w:r>
          </w:p>
        </w:tc>
        <w:tc>
          <w:tcPr>
            <w:tcW w:w="2020" w:type="dxa"/>
            <w:vAlign w:val="bottom"/>
            <w:gridSpan w:val="2"/>
            <w:shd w:val="clear" w:color="auto" w:fill="E5E5E5"/>
          </w:tcPr>
          <w:p>
            <w:pPr>
              <w:jc w:val="right"/>
              <w:ind w:right="442"/>
              <w:spacing w:after="0"/>
              <w:rPr>
                <w:sz w:val="20"/>
                <w:szCs w:val="20"/>
                <w:color w:val="auto"/>
              </w:rPr>
            </w:pPr>
            <w:r>
              <w:rPr>
                <w:rFonts w:ascii="Arial" w:cs="Arial" w:eastAsia="Arial" w:hAnsi="Arial"/>
                <w:sz w:val="16"/>
                <w:szCs w:val="16"/>
                <w:color w:val="auto"/>
              </w:rPr>
              <w:t>100,000</w:t>
            </w:r>
          </w:p>
        </w:tc>
        <w:tc>
          <w:tcPr>
            <w:tcW w:w="340" w:type="dxa"/>
            <w:vAlign w:val="bottom"/>
            <w:shd w:val="clear" w:color="auto" w:fill="E5E5E5"/>
          </w:tcPr>
          <w:p>
            <w:pPr>
              <w:spacing w:after="0"/>
              <w:rPr>
                <w:sz w:val="24"/>
                <w:szCs w:val="24"/>
                <w:color w:val="auto"/>
              </w:rPr>
            </w:pPr>
          </w:p>
        </w:tc>
        <w:tc>
          <w:tcPr>
            <w:tcW w:w="1340" w:type="dxa"/>
            <w:vAlign w:val="bottom"/>
            <w:shd w:val="clear" w:color="auto" w:fill="E5E5E5"/>
          </w:tcPr>
          <w:p>
            <w:pPr>
              <w:jc w:val="right"/>
              <w:ind w:right="321"/>
              <w:spacing w:after="0"/>
              <w:rPr>
                <w:sz w:val="20"/>
                <w:szCs w:val="20"/>
                <w:color w:val="auto"/>
              </w:rPr>
            </w:pPr>
            <w:r>
              <w:rPr>
                <w:rFonts w:ascii="Arial" w:cs="Arial" w:eastAsia="Arial" w:hAnsi="Arial"/>
                <w:sz w:val="16"/>
                <w:szCs w:val="16"/>
                <w:color w:val="auto"/>
              </w:rPr>
              <w:t>—</w:t>
            </w:r>
          </w:p>
        </w:tc>
        <w:tc>
          <w:tcPr>
            <w:tcW w:w="112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2260" w:type="dxa"/>
            <w:vAlign w:val="bottom"/>
            <w:shd w:val="clear" w:color="auto" w:fill="E5E5E5"/>
          </w:tcPr>
          <w:p>
            <w:pPr>
              <w:ind w:left="480"/>
              <w:spacing w:after="0"/>
              <w:rPr>
                <w:sz w:val="20"/>
                <w:szCs w:val="20"/>
                <w:color w:val="auto"/>
              </w:rPr>
            </w:pPr>
            <w:r>
              <w:rPr>
                <w:rFonts w:ascii="Arial" w:cs="Arial" w:eastAsia="Arial" w:hAnsi="Arial"/>
                <w:sz w:val="16"/>
                <w:szCs w:val="16"/>
                <w:color w:val="auto"/>
              </w:rPr>
              <w:t>PRSUs (4)</w:t>
            </w:r>
          </w:p>
        </w:tc>
        <w:tc>
          <w:tcPr>
            <w:tcW w:w="11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1/1/2021</w:t>
            </w:r>
          </w:p>
        </w:tc>
        <w:tc>
          <w:tcPr>
            <w:tcW w:w="320" w:type="dxa"/>
            <w:vAlign w:val="bottom"/>
            <w:shd w:val="clear" w:color="auto" w:fill="E5E5E5"/>
          </w:tcPr>
          <w:p>
            <w:pPr>
              <w:spacing w:after="0"/>
              <w:rPr>
                <w:sz w:val="24"/>
                <w:szCs w:val="24"/>
                <w:color w:val="auto"/>
              </w:rPr>
            </w:pPr>
          </w:p>
        </w:tc>
        <w:tc>
          <w:tcPr>
            <w:tcW w:w="2500" w:type="dxa"/>
            <w:vAlign w:val="bottom"/>
            <w:shd w:val="clear" w:color="auto" w:fill="E5E5E5"/>
          </w:tcPr>
          <w:p>
            <w:pPr>
              <w:jc w:val="right"/>
              <w:ind w:right="801"/>
              <w:spacing w:after="0"/>
              <w:rPr>
                <w:sz w:val="20"/>
                <w:szCs w:val="20"/>
                <w:color w:val="auto"/>
              </w:rPr>
            </w:pPr>
            <w:r>
              <w:rPr>
                <w:rFonts w:ascii="Arial" w:cs="Arial" w:eastAsia="Arial" w:hAnsi="Arial"/>
                <w:sz w:val="16"/>
                <w:szCs w:val="16"/>
                <w:color w:val="auto"/>
              </w:rPr>
              <w:t>—</w:t>
            </w:r>
          </w:p>
        </w:tc>
        <w:tc>
          <w:tcPr>
            <w:tcW w:w="2020" w:type="dxa"/>
            <w:vAlign w:val="bottom"/>
            <w:gridSpan w:val="2"/>
            <w:shd w:val="clear" w:color="auto" w:fill="E5E5E5"/>
          </w:tcPr>
          <w:p>
            <w:pPr>
              <w:jc w:val="right"/>
              <w:ind w:right="442"/>
              <w:spacing w:after="0"/>
              <w:rPr>
                <w:sz w:val="20"/>
                <w:szCs w:val="20"/>
                <w:color w:val="auto"/>
              </w:rPr>
            </w:pPr>
            <w:r>
              <w:rPr>
                <w:rFonts w:ascii="Arial" w:cs="Arial" w:eastAsia="Arial" w:hAnsi="Arial"/>
                <w:sz w:val="16"/>
                <w:szCs w:val="16"/>
                <w:color w:val="auto"/>
              </w:rPr>
              <w:t>100,000</w:t>
            </w:r>
          </w:p>
        </w:tc>
        <w:tc>
          <w:tcPr>
            <w:tcW w:w="340" w:type="dxa"/>
            <w:vAlign w:val="bottom"/>
            <w:shd w:val="clear" w:color="auto" w:fill="E5E5E5"/>
          </w:tcPr>
          <w:p>
            <w:pPr>
              <w:spacing w:after="0"/>
              <w:rPr>
                <w:sz w:val="24"/>
                <w:szCs w:val="24"/>
                <w:color w:val="auto"/>
              </w:rPr>
            </w:pPr>
          </w:p>
        </w:tc>
        <w:tc>
          <w:tcPr>
            <w:tcW w:w="1340" w:type="dxa"/>
            <w:vAlign w:val="bottom"/>
            <w:shd w:val="clear" w:color="auto" w:fill="E5E5E5"/>
          </w:tcPr>
          <w:p>
            <w:pPr>
              <w:jc w:val="right"/>
              <w:ind w:right="321"/>
              <w:spacing w:after="0"/>
              <w:rPr>
                <w:sz w:val="20"/>
                <w:szCs w:val="20"/>
                <w:color w:val="auto"/>
              </w:rPr>
            </w:pPr>
            <w:r>
              <w:rPr>
                <w:rFonts w:ascii="Arial" w:cs="Arial" w:eastAsia="Arial" w:hAnsi="Arial"/>
                <w:sz w:val="16"/>
                <w:szCs w:val="16"/>
                <w:color w:val="auto"/>
              </w:rPr>
              <w:t>—</w:t>
            </w:r>
          </w:p>
        </w:tc>
        <w:tc>
          <w:tcPr>
            <w:tcW w:w="112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2260" w:type="dxa"/>
            <w:vAlign w:val="bottom"/>
            <w:shd w:val="clear" w:color="auto" w:fill="E5E5E5"/>
          </w:tcPr>
          <w:p>
            <w:pPr>
              <w:ind w:left="480"/>
              <w:spacing w:after="0"/>
              <w:rPr>
                <w:sz w:val="20"/>
                <w:szCs w:val="20"/>
                <w:color w:val="auto"/>
              </w:rPr>
            </w:pPr>
            <w:r>
              <w:rPr>
                <w:rFonts w:ascii="Arial" w:cs="Arial" w:eastAsia="Arial" w:hAnsi="Arial"/>
                <w:sz w:val="16"/>
                <w:szCs w:val="16"/>
                <w:color w:val="auto"/>
              </w:rPr>
              <w:t>PRSUs (4)</w:t>
            </w:r>
          </w:p>
        </w:tc>
        <w:tc>
          <w:tcPr>
            <w:tcW w:w="11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1/1/2021</w:t>
            </w:r>
          </w:p>
        </w:tc>
        <w:tc>
          <w:tcPr>
            <w:tcW w:w="320" w:type="dxa"/>
            <w:vAlign w:val="bottom"/>
            <w:shd w:val="clear" w:color="auto" w:fill="E5E5E5"/>
          </w:tcPr>
          <w:p>
            <w:pPr>
              <w:spacing w:after="0"/>
              <w:rPr>
                <w:sz w:val="24"/>
                <w:szCs w:val="24"/>
                <w:color w:val="auto"/>
              </w:rPr>
            </w:pPr>
          </w:p>
        </w:tc>
        <w:tc>
          <w:tcPr>
            <w:tcW w:w="2500" w:type="dxa"/>
            <w:vAlign w:val="bottom"/>
            <w:shd w:val="clear" w:color="auto" w:fill="E5E5E5"/>
          </w:tcPr>
          <w:p>
            <w:pPr>
              <w:jc w:val="right"/>
              <w:ind w:right="801"/>
              <w:spacing w:after="0"/>
              <w:rPr>
                <w:sz w:val="20"/>
                <w:szCs w:val="20"/>
                <w:color w:val="auto"/>
              </w:rPr>
            </w:pPr>
            <w:r>
              <w:rPr>
                <w:rFonts w:ascii="Arial" w:cs="Arial" w:eastAsia="Arial" w:hAnsi="Arial"/>
                <w:sz w:val="16"/>
                <w:szCs w:val="16"/>
                <w:color w:val="auto"/>
              </w:rPr>
              <w:t>—</w:t>
            </w:r>
          </w:p>
        </w:tc>
        <w:tc>
          <w:tcPr>
            <w:tcW w:w="2020" w:type="dxa"/>
            <w:vAlign w:val="bottom"/>
            <w:gridSpan w:val="2"/>
            <w:shd w:val="clear" w:color="auto" w:fill="E5E5E5"/>
          </w:tcPr>
          <w:p>
            <w:pPr>
              <w:jc w:val="right"/>
              <w:ind w:right="442"/>
              <w:spacing w:after="0"/>
              <w:rPr>
                <w:sz w:val="20"/>
                <w:szCs w:val="20"/>
                <w:color w:val="auto"/>
              </w:rPr>
            </w:pPr>
            <w:r>
              <w:rPr>
                <w:rFonts w:ascii="Arial" w:cs="Arial" w:eastAsia="Arial" w:hAnsi="Arial"/>
                <w:sz w:val="16"/>
                <w:szCs w:val="16"/>
                <w:color w:val="auto"/>
              </w:rPr>
              <w:t>100,000</w:t>
            </w:r>
          </w:p>
        </w:tc>
        <w:tc>
          <w:tcPr>
            <w:tcW w:w="340" w:type="dxa"/>
            <w:vAlign w:val="bottom"/>
            <w:shd w:val="clear" w:color="auto" w:fill="E5E5E5"/>
          </w:tcPr>
          <w:p>
            <w:pPr>
              <w:spacing w:after="0"/>
              <w:rPr>
                <w:sz w:val="24"/>
                <w:szCs w:val="24"/>
                <w:color w:val="auto"/>
              </w:rPr>
            </w:pPr>
          </w:p>
        </w:tc>
        <w:tc>
          <w:tcPr>
            <w:tcW w:w="1340" w:type="dxa"/>
            <w:vAlign w:val="bottom"/>
            <w:shd w:val="clear" w:color="auto" w:fill="E5E5E5"/>
          </w:tcPr>
          <w:p>
            <w:pPr>
              <w:jc w:val="right"/>
              <w:ind w:right="321"/>
              <w:spacing w:after="0"/>
              <w:rPr>
                <w:sz w:val="20"/>
                <w:szCs w:val="20"/>
                <w:color w:val="auto"/>
              </w:rPr>
            </w:pPr>
            <w:r>
              <w:rPr>
                <w:rFonts w:ascii="Arial" w:cs="Arial" w:eastAsia="Arial" w:hAnsi="Arial"/>
                <w:sz w:val="16"/>
                <w:szCs w:val="16"/>
                <w:color w:val="auto"/>
              </w:rPr>
              <w:t>—</w:t>
            </w:r>
          </w:p>
        </w:tc>
        <w:tc>
          <w:tcPr>
            <w:tcW w:w="112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6"/>
        </w:trPr>
        <w:tc>
          <w:tcPr>
            <w:tcW w:w="2260" w:type="dxa"/>
            <w:vAlign w:val="bottom"/>
            <w:tcBorders>
              <w:bottom w:val="single" w:sz="8" w:color="E5E5E5"/>
            </w:tcBorders>
            <w:shd w:val="clear" w:color="auto" w:fill="E5E5E5"/>
          </w:tcPr>
          <w:p>
            <w:pPr>
              <w:ind w:left="480"/>
              <w:spacing w:after="0"/>
              <w:rPr>
                <w:sz w:val="20"/>
                <w:szCs w:val="20"/>
                <w:color w:val="auto"/>
              </w:rPr>
            </w:pPr>
            <w:r>
              <w:rPr>
                <w:rFonts w:ascii="Arial" w:cs="Arial" w:eastAsia="Arial" w:hAnsi="Arial"/>
                <w:sz w:val="16"/>
                <w:szCs w:val="16"/>
                <w:color w:val="auto"/>
              </w:rPr>
              <w:t>PRSUs (4)</w:t>
            </w:r>
          </w:p>
        </w:tc>
        <w:tc>
          <w:tcPr>
            <w:tcW w:w="11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1/1/2021</w:t>
            </w:r>
          </w:p>
        </w:tc>
        <w:tc>
          <w:tcPr>
            <w:tcW w:w="320" w:type="dxa"/>
            <w:vAlign w:val="bottom"/>
            <w:tcBorders>
              <w:bottom w:val="single" w:sz="8" w:color="E5E5E5"/>
            </w:tcBorders>
            <w:shd w:val="clear" w:color="auto" w:fill="E5E5E5"/>
          </w:tcPr>
          <w:p>
            <w:pPr>
              <w:spacing w:after="0"/>
              <w:rPr>
                <w:sz w:val="24"/>
                <w:szCs w:val="24"/>
                <w:color w:val="auto"/>
              </w:rPr>
            </w:pPr>
          </w:p>
        </w:tc>
        <w:tc>
          <w:tcPr>
            <w:tcW w:w="2500" w:type="dxa"/>
            <w:vAlign w:val="bottom"/>
            <w:tcBorders>
              <w:bottom w:val="single" w:sz="8" w:color="E5E5E5"/>
            </w:tcBorders>
            <w:shd w:val="clear" w:color="auto" w:fill="E5E5E5"/>
          </w:tcPr>
          <w:p>
            <w:pPr>
              <w:jc w:val="right"/>
              <w:ind w:right="801"/>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E5E5E5"/>
            </w:tcBorders>
            <w:gridSpan w:val="2"/>
            <w:shd w:val="clear" w:color="auto" w:fill="E5E5E5"/>
          </w:tcPr>
          <w:p>
            <w:pPr>
              <w:jc w:val="right"/>
              <w:ind w:right="442"/>
              <w:spacing w:after="0"/>
              <w:rPr>
                <w:sz w:val="20"/>
                <w:szCs w:val="20"/>
                <w:color w:val="auto"/>
              </w:rPr>
            </w:pPr>
            <w:r>
              <w:rPr>
                <w:rFonts w:ascii="Arial" w:cs="Arial" w:eastAsia="Arial" w:hAnsi="Arial"/>
                <w:sz w:val="16"/>
                <w:szCs w:val="16"/>
                <w:color w:val="auto"/>
              </w:rPr>
              <w:t>100,000</w:t>
            </w:r>
          </w:p>
        </w:tc>
        <w:tc>
          <w:tcPr>
            <w:tcW w:w="340" w:type="dxa"/>
            <w:vAlign w:val="bottom"/>
            <w:tcBorders>
              <w:bottom w:val="single" w:sz="8" w:color="E5E5E5"/>
            </w:tcBorders>
            <w:shd w:val="clear" w:color="auto" w:fill="E5E5E5"/>
          </w:tcPr>
          <w:p>
            <w:pPr>
              <w:spacing w:after="0"/>
              <w:rPr>
                <w:sz w:val="24"/>
                <w:szCs w:val="24"/>
                <w:color w:val="auto"/>
              </w:rPr>
            </w:pPr>
          </w:p>
        </w:tc>
        <w:tc>
          <w:tcPr>
            <w:tcW w:w="1340" w:type="dxa"/>
            <w:vAlign w:val="bottom"/>
            <w:tcBorders>
              <w:bottom w:val="single" w:sz="8" w:color="E5E5E5"/>
            </w:tcBorders>
            <w:shd w:val="clear" w:color="auto" w:fill="E5E5E5"/>
          </w:tcPr>
          <w:p>
            <w:pPr>
              <w:jc w:val="right"/>
              <w:ind w:right="321"/>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E5E5E5"/>
            </w:tcBorders>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2260" w:type="dxa"/>
            <w:vAlign w:val="bottom"/>
          </w:tcPr>
          <w:p>
            <w:pPr>
              <w:ind w:left="140"/>
              <w:spacing w:after="0"/>
              <w:rPr>
                <w:sz w:val="20"/>
                <w:szCs w:val="20"/>
                <w:color w:val="auto"/>
              </w:rPr>
            </w:pPr>
            <w:r>
              <w:rPr>
                <w:rFonts w:ascii="Arial" w:cs="Arial" w:eastAsia="Arial" w:hAnsi="Arial"/>
                <w:sz w:val="16"/>
                <w:szCs w:val="16"/>
                <w:b w:val="1"/>
                <w:bCs w:val="1"/>
                <w:color w:val="0071CE"/>
              </w:rPr>
              <w:t>Kenneth Myszkowski</w:t>
            </w:r>
          </w:p>
        </w:tc>
        <w:tc>
          <w:tcPr>
            <w:tcW w:w="1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2260" w:type="dxa"/>
            <w:vAlign w:val="bottom"/>
          </w:tcPr>
          <w:p>
            <w:pPr>
              <w:ind w:left="480"/>
              <w:spacing w:after="0"/>
              <w:rPr>
                <w:sz w:val="20"/>
                <w:szCs w:val="20"/>
                <w:color w:val="auto"/>
              </w:rPr>
            </w:pPr>
            <w:r>
              <w:rPr>
                <w:rFonts w:ascii="Arial" w:cs="Arial" w:eastAsia="Arial" w:hAnsi="Arial"/>
                <w:sz w:val="16"/>
                <w:szCs w:val="16"/>
                <w:color w:val="auto"/>
              </w:rPr>
              <w:t>Cash Bonus</w:t>
            </w:r>
          </w:p>
        </w:tc>
        <w:tc>
          <w:tcPr>
            <w:tcW w:w="1120" w:type="dxa"/>
            <w:vAlign w:val="bottom"/>
          </w:tcPr>
          <w:p>
            <w:pPr>
              <w:spacing w:after="0"/>
              <w:rPr>
                <w:sz w:val="24"/>
                <w:szCs w:val="24"/>
                <w:color w:val="auto"/>
              </w:rPr>
            </w:pPr>
          </w:p>
        </w:tc>
        <w:tc>
          <w:tcPr>
            <w:tcW w:w="2820" w:type="dxa"/>
            <w:vAlign w:val="bottom"/>
            <w:gridSpan w:val="2"/>
          </w:tcPr>
          <w:p>
            <w:pPr>
              <w:jc w:val="right"/>
              <w:ind w:right="801"/>
              <w:spacing w:after="0"/>
              <w:rPr>
                <w:sz w:val="20"/>
                <w:szCs w:val="20"/>
                <w:color w:val="auto"/>
              </w:rPr>
            </w:pPr>
            <w:r>
              <w:rPr>
                <w:rFonts w:ascii="Arial" w:cs="Arial" w:eastAsia="Arial" w:hAnsi="Arial"/>
                <w:sz w:val="16"/>
                <w:szCs w:val="16"/>
                <w:color w:val="auto"/>
              </w:rPr>
              <w:t>$220,163</w:t>
            </w:r>
          </w:p>
        </w:tc>
        <w:tc>
          <w:tcPr>
            <w:tcW w:w="340" w:type="dxa"/>
            <w:vAlign w:val="bottom"/>
          </w:tcPr>
          <w:p>
            <w:pPr>
              <w:spacing w:after="0"/>
              <w:rPr>
                <w:sz w:val="24"/>
                <w:szCs w:val="24"/>
                <w:color w:val="auto"/>
              </w:rPr>
            </w:pPr>
          </w:p>
        </w:tc>
        <w:tc>
          <w:tcPr>
            <w:tcW w:w="1680" w:type="dxa"/>
            <w:vAlign w:val="bottom"/>
          </w:tcPr>
          <w:p>
            <w:pPr>
              <w:jc w:val="right"/>
              <w:ind w:right="442"/>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4"/>
                <w:szCs w:val="24"/>
                <w:color w:val="auto"/>
              </w:rPr>
            </w:pPr>
          </w:p>
        </w:tc>
        <w:tc>
          <w:tcPr>
            <w:tcW w:w="1340" w:type="dxa"/>
            <w:vAlign w:val="bottom"/>
          </w:tcPr>
          <w:p>
            <w:pPr>
              <w:jc w:val="right"/>
              <w:ind w:right="321"/>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2260" w:type="dxa"/>
            <w:vAlign w:val="bottom"/>
          </w:tcPr>
          <w:p>
            <w:pPr>
              <w:ind w:left="480"/>
              <w:spacing w:after="0"/>
              <w:rPr>
                <w:sz w:val="20"/>
                <w:szCs w:val="20"/>
                <w:color w:val="auto"/>
              </w:rPr>
            </w:pPr>
            <w:r>
              <w:rPr>
                <w:rFonts w:ascii="Arial" w:cs="Arial" w:eastAsia="Arial" w:hAnsi="Arial"/>
                <w:sz w:val="16"/>
                <w:szCs w:val="16"/>
                <w:color w:val="auto"/>
              </w:rPr>
              <w:t>RSUs</w:t>
            </w:r>
          </w:p>
        </w:tc>
        <w:tc>
          <w:tcPr>
            <w:tcW w:w="1120" w:type="dxa"/>
            <w:vAlign w:val="bottom"/>
          </w:tcPr>
          <w:p>
            <w:pPr>
              <w:jc w:val="right"/>
              <w:spacing w:after="0"/>
              <w:rPr>
                <w:sz w:val="20"/>
                <w:szCs w:val="20"/>
                <w:color w:val="auto"/>
              </w:rPr>
            </w:pPr>
            <w:r>
              <w:rPr>
                <w:rFonts w:ascii="Arial" w:cs="Arial" w:eastAsia="Arial" w:hAnsi="Arial"/>
                <w:sz w:val="16"/>
                <w:szCs w:val="16"/>
                <w:color w:val="auto"/>
              </w:rPr>
              <w:t>1/1/2021</w:t>
            </w:r>
          </w:p>
        </w:tc>
        <w:tc>
          <w:tcPr>
            <w:tcW w:w="320" w:type="dxa"/>
            <w:vAlign w:val="bottom"/>
          </w:tcPr>
          <w:p>
            <w:pPr>
              <w:spacing w:after="0"/>
              <w:rPr>
                <w:sz w:val="24"/>
                <w:szCs w:val="24"/>
                <w:color w:val="auto"/>
              </w:rPr>
            </w:pPr>
          </w:p>
        </w:tc>
        <w:tc>
          <w:tcPr>
            <w:tcW w:w="2500" w:type="dxa"/>
            <w:vAlign w:val="bottom"/>
          </w:tcPr>
          <w:p>
            <w:pPr>
              <w:jc w:val="right"/>
              <w:ind w:right="80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4"/>
                <w:szCs w:val="24"/>
                <w:color w:val="auto"/>
              </w:rPr>
            </w:pPr>
          </w:p>
        </w:tc>
        <w:tc>
          <w:tcPr>
            <w:tcW w:w="1680" w:type="dxa"/>
            <w:vAlign w:val="bottom"/>
          </w:tcPr>
          <w:p>
            <w:pPr>
              <w:jc w:val="right"/>
              <w:ind w:right="442"/>
              <w:spacing w:after="0"/>
              <w:rPr>
                <w:sz w:val="20"/>
                <w:szCs w:val="20"/>
                <w:color w:val="auto"/>
              </w:rPr>
            </w:pPr>
            <w:r>
              <w:rPr>
                <w:rFonts w:ascii="Arial" w:cs="Arial" w:eastAsia="Arial" w:hAnsi="Arial"/>
                <w:sz w:val="16"/>
                <w:szCs w:val="16"/>
                <w:color w:val="auto"/>
              </w:rPr>
              <w:t>—</w:t>
            </w:r>
          </w:p>
        </w:tc>
        <w:tc>
          <w:tcPr>
            <w:tcW w:w="1680" w:type="dxa"/>
            <w:vAlign w:val="bottom"/>
            <w:gridSpan w:val="2"/>
          </w:tcPr>
          <w:p>
            <w:pPr>
              <w:jc w:val="right"/>
              <w:ind w:right="321"/>
              <w:spacing w:after="0"/>
              <w:rPr>
                <w:sz w:val="20"/>
                <w:szCs w:val="20"/>
                <w:color w:val="auto"/>
              </w:rPr>
            </w:pPr>
            <w:r>
              <w:rPr>
                <w:rFonts w:ascii="Arial" w:cs="Arial" w:eastAsia="Arial" w:hAnsi="Arial"/>
                <w:sz w:val="16"/>
                <w:szCs w:val="16"/>
                <w:color w:val="auto"/>
              </w:rPr>
              <w:t>60,000</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$4,603,800</w:t>
            </w:r>
          </w:p>
        </w:tc>
        <w:tc>
          <w:tcPr>
            <w:tcW w:w="0" w:type="dxa"/>
            <w:vAlign w:val="bottom"/>
          </w:tcPr>
          <w:p>
            <w:pPr>
              <w:spacing w:after="0"/>
              <w:rPr>
                <w:sz w:val="1"/>
                <w:szCs w:val="1"/>
                <w:color w:val="auto"/>
              </w:rPr>
            </w:pPr>
          </w:p>
        </w:tc>
      </w:tr>
      <w:tr>
        <w:trPr>
          <w:trHeight w:val="33"/>
        </w:trPr>
        <w:tc>
          <w:tcPr>
            <w:tcW w:w="2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60" w:type="dxa"/>
            <w:vAlign w:val="bottom"/>
            <w:shd w:val="clear" w:color="auto" w:fill="E5E5E5"/>
          </w:tcPr>
          <w:p>
            <w:pPr>
              <w:ind w:left="140"/>
              <w:spacing w:after="0"/>
              <w:rPr>
                <w:sz w:val="20"/>
                <w:szCs w:val="20"/>
                <w:color w:val="auto"/>
              </w:rPr>
            </w:pPr>
            <w:r>
              <w:rPr>
                <w:rFonts w:ascii="Arial" w:cs="Arial" w:eastAsia="Arial" w:hAnsi="Arial"/>
                <w:sz w:val="16"/>
                <w:szCs w:val="16"/>
                <w:b w:val="1"/>
                <w:bCs w:val="1"/>
                <w:color w:val="0071CE"/>
              </w:rPr>
              <w:t>Patrick O’Brien</w:t>
            </w:r>
          </w:p>
        </w:tc>
        <w:tc>
          <w:tcPr>
            <w:tcW w:w="1120" w:type="dxa"/>
            <w:vAlign w:val="bottom"/>
            <w:shd w:val="clear" w:color="auto" w:fill="E5E5E5"/>
          </w:tcPr>
          <w:p>
            <w:pPr>
              <w:spacing w:after="0"/>
              <w:rPr>
                <w:sz w:val="21"/>
                <w:szCs w:val="21"/>
                <w:color w:val="auto"/>
              </w:rPr>
            </w:pPr>
          </w:p>
        </w:tc>
        <w:tc>
          <w:tcPr>
            <w:tcW w:w="320" w:type="dxa"/>
            <w:vAlign w:val="bottom"/>
            <w:shd w:val="clear" w:color="auto" w:fill="E5E5E5"/>
          </w:tcPr>
          <w:p>
            <w:pPr>
              <w:spacing w:after="0"/>
              <w:rPr>
                <w:sz w:val="21"/>
                <w:szCs w:val="21"/>
                <w:color w:val="auto"/>
              </w:rPr>
            </w:pPr>
          </w:p>
        </w:tc>
        <w:tc>
          <w:tcPr>
            <w:tcW w:w="2500" w:type="dxa"/>
            <w:vAlign w:val="bottom"/>
            <w:shd w:val="clear" w:color="auto" w:fill="E5E5E5"/>
          </w:tcPr>
          <w:p>
            <w:pPr>
              <w:spacing w:after="0"/>
              <w:rPr>
                <w:sz w:val="21"/>
                <w:szCs w:val="21"/>
                <w:color w:val="auto"/>
              </w:rPr>
            </w:pPr>
          </w:p>
        </w:tc>
        <w:tc>
          <w:tcPr>
            <w:tcW w:w="340" w:type="dxa"/>
            <w:vAlign w:val="bottom"/>
            <w:shd w:val="clear" w:color="auto" w:fill="E5E5E5"/>
          </w:tcPr>
          <w:p>
            <w:pPr>
              <w:spacing w:after="0"/>
              <w:rPr>
                <w:sz w:val="21"/>
                <w:szCs w:val="21"/>
                <w:color w:val="auto"/>
              </w:rPr>
            </w:pPr>
          </w:p>
        </w:tc>
        <w:tc>
          <w:tcPr>
            <w:tcW w:w="1680" w:type="dxa"/>
            <w:vAlign w:val="bottom"/>
            <w:shd w:val="clear" w:color="auto" w:fill="E5E5E5"/>
          </w:tcPr>
          <w:p>
            <w:pPr>
              <w:spacing w:after="0"/>
              <w:rPr>
                <w:sz w:val="21"/>
                <w:szCs w:val="21"/>
                <w:color w:val="auto"/>
              </w:rPr>
            </w:pPr>
          </w:p>
        </w:tc>
        <w:tc>
          <w:tcPr>
            <w:tcW w:w="340" w:type="dxa"/>
            <w:vAlign w:val="bottom"/>
            <w:shd w:val="clear" w:color="auto" w:fill="E5E5E5"/>
          </w:tcPr>
          <w:p>
            <w:pPr>
              <w:spacing w:after="0"/>
              <w:rPr>
                <w:sz w:val="21"/>
                <w:szCs w:val="21"/>
                <w:color w:val="auto"/>
              </w:rPr>
            </w:pPr>
          </w:p>
        </w:tc>
        <w:tc>
          <w:tcPr>
            <w:tcW w:w="1340" w:type="dxa"/>
            <w:vAlign w:val="bottom"/>
            <w:shd w:val="clear" w:color="auto" w:fill="E5E5E5"/>
          </w:tcPr>
          <w:p>
            <w:pPr>
              <w:spacing w:after="0"/>
              <w:rPr>
                <w:sz w:val="21"/>
                <w:szCs w:val="21"/>
                <w:color w:val="auto"/>
              </w:rPr>
            </w:pPr>
          </w:p>
        </w:tc>
        <w:tc>
          <w:tcPr>
            <w:tcW w:w="1120" w:type="dxa"/>
            <w:vAlign w:val="bottom"/>
            <w:shd w:val="clear" w:color="auto" w:fill="E5E5E5"/>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2260" w:type="dxa"/>
            <w:vAlign w:val="bottom"/>
            <w:shd w:val="clear" w:color="auto" w:fill="E5E5E5"/>
          </w:tcPr>
          <w:p>
            <w:pPr>
              <w:ind w:left="480"/>
              <w:spacing w:after="0"/>
              <w:rPr>
                <w:sz w:val="20"/>
                <w:szCs w:val="20"/>
                <w:color w:val="auto"/>
              </w:rPr>
            </w:pPr>
            <w:r>
              <w:rPr>
                <w:rFonts w:ascii="Arial" w:cs="Arial" w:eastAsia="Arial" w:hAnsi="Arial"/>
                <w:sz w:val="16"/>
                <w:szCs w:val="16"/>
                <w:color w:val="auto"/>
              </w:rPr>
              <w:t>Cash Bonus</w:t>
            </w:r>
          </w:p>
        </w:tc>
        <w:tc>
          <w:tcPr>
            <w:tcW w:w="1120" w:type="dxa"/>
            <w:vAlign w:val="bottom"/>
            <w:shd w:val="clear" w:color="auto" w:fill="E5E5E5"/>
          </w:tcPr>
          <w:p>
            <w:pPr>
              <w:spacing w:after="0"/>
              <w:rPr>
                <w:sz w:val="24"/>
                <w:szCs w:val="24"/>
                <w:color w:val="auto"/>
              </w:rPr>
            </w:pPr>
          </w:p>
        </w:tc>
        <w:tc>
          <w:tcPr>
            <w:tcW w:w="2820" w:type="dxa"/>
            <w:vAlign w:val="bottom"/>
            <w:gridSpan w:val="2"/>
            <w:shd w:val="clear" w:color="auto" w:fill="E5E5E5"/>
          </w:tcPr>
          <w:p>
            <w:pPr>
              <w:jc w:val="right"/>
              <w:ind w:right="801"/>
              <w:spacing w:after="0"/>
              <w:rPr>
                <w:sz w:val="20"/>
                <w:szCs w:val="20"/>
                <w:color w:val="auto"/>
              </w:rPr>
            </w:pPr>
            <w:r>
              <w:rPr>
                <w:rFonts w:ascii="Arial" w:cs="Arial" w:eastAsia="Arial" w:hAnsi="Arial"/>
                <w:sz w:val="16"/>
                <w:szCs w:val="16"/>
                <w:color w:val="auto"/>
              </w:rPr>
              <w:t>$217,845</w:t>
            </w:r>
          </w:p>
        </w:tc>
        <w:tc>
          <w:tcPr>
            <w:tcW w:w="340" w:type="dxa"/>
            <w:vAlign w:val="bottom"/>
            <w:shd w:val="clear" w:color="auto" w:fill="E5E5E5"/>
          </w:tcPr>
          <w:p>
            <w:pPr>
              <w:spacing w:after="0"/>
              <w:rPr>
                <w:sz w:val="24"/>
                <w:szCs w:val="24"/>
                <w:color w:val="auto"/>
              </w:rPr>
            </w:pPr>
          </w:p>
        </w:tc>
        <w:tc>
          <w:tcPr>
            <w:tcW w:w="1680" w:type="dxa"/>
            <w:vAlign w:val="bottom"/>
            <w:shd w:val="clear" w:color="auto" w:fill="E5E5E5"/>
          </w:tcPr>
          <w:p>
            <w:pPr>
              <w:jc w:val="right"/>
              <w:ind w:right="442"/>
              <w:spacing w:after="0"/>
              <w:rPr>
                <w:sz w:val="20"/>
                <w:szCs w:val="20"/>
                <w:color w:val="auto"/>
              </w:rPr>
            </w:pPr>
            <w:r>
              <w:rPr>
                <w:rFonts w:ascii="Arial" w:cs="Arial" w:eastAsia="Arial" w:hAnsi="Arial"/>
                <w:sz w:val="16"/>
                <w:szCs w:val="16"/>
                <w:color w:val="auto"/>
              </w:rPr>
              <w:t>—</w:t>
            </w:r>
          </w:p>
        </w:tc>
        <w:tc>
          <w:tcPr>
            <w:tcW w:w="340" w:type="dxa"/>
            <w:vAlign w:val="bottom"/>
            <w:shd w:val="clear" w:color="auto" w:fill="E5E5E5"/>
          </w:tcPr>
          <w:p>
            <w:pPr>
              <w:spacing w:after="0"/>
              <w:rPr>
                <w:sz w:val="24"/>
                <w:szCs w:val="24"/>
                <w:color w:val="auto"/>
              </w:rPr>
            </w:pPr>
          </w:p>
        </w:tc>
        <w:tc>
          <w:tcPr>
            <w:tcW w:w="1340" w:type="dxa"/>
            <w:vAlign w:val="bottom"/>
            <w:shd w:val="clear" w:color="auto" w:fill="E5E5E5"/>
          </w:tcPr>
          <w:p>
            <w:pPr>
              <w:jc w:val="right"/>
              <w:ind w:right="321"/>
              <w:spacing w:after="0"/>
              <w:rPr>
                <w:sz w:val="20"/>
                <w:szCs w:val="20"/>
                <w:color w:val="auto"/>
              </w:rPr>
            </w:pPr>
            <w:r>
              <w:rPr>
                <w:rFonts w:ascii="Arial" w:cs="Arial" w:eastAsia="Arial" w:hAnsi="Arial"/>
                <w:sz w:val="16"/>
                <w:szCs w:val="16"/>
                <w:color w:val="auto"/>
              </w:rPr>
              <w:t>—</w:t>
            </w:r>
          </w:p>
        </w:tc>
        <w:tc>
          <w:tcPr>
            <w:tcW w:w="112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7"/>
        </w:trPr>
        <w:tc>
          <w:tcPr>
            <w:tcW w:w="2260" w:type="dxa"/>
            <w:vAlign w:val="bottom"/>
            <w:tcBorders>
              <w:bottom w:val="single" w:sz="8" w:color="E5E5E5"/>
            </w:tcBorders>
            <w:shd w:val="clear" w:color="auto" w:fill="E5E5E5"/>
          </w:tcPr>
          <w:p>
            <w:pPr>
              <w:ind w:left="480"/>
              <w:spacing w:after="0"/>
              <w:rPr>
                <w:sz w:val="20"/>
                <w:szCs w:val="20"/>
                <w:color w:val="auto"/>
              </w:rPr>
            </w:pPr>
            <w:r>
              <w:rPr>
                <w:rFonts w:ascii="Arial" w:cs="Arial" w:eastAsia="Arial" w:hAnsi="Arial"/>
                <w:sz w:val="16"/>
                <w:szCs w:val="16"/>
                <w:color w:val="auto"/>
              </w:rPr>
              <w:t>RSUs</w:t>
            </w:r>
          </w:p>
        </w:tc>
        <w:tc>
          <w:tcPr>
            <w:tcW w:w="11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1/1/2021</w:t>
            </w:r>
          </w:p>
        </w:tc>
        <w:tc>
          <w:tcPr>
            <w:tcW w:w="320" w:type="dxa"/>
            <w:vAlign w:val="bottom"/>
            <w:tcBorders>
              <w:bottom w:val="single" w:sz="8" w:color="E5E5E5"/>
            </w:tcBorders>
            <w:shd w:val="clear" w:color="auto" w:fill="E5E5E5"/>
          </w:tcPr>
          <w:p>
            <w:pPr>
              <w:spacing w:after="0"/>
              <w:rPr>
                <w:sz w:val="24"/>
                <w:szCs w:val="24"/>
                <w:color w:val="auto"/>
              </w:rPr>
            </w:pPr>
          </w:p>
        </w:tc>
        <w:tc>
          <w:tcPr>
            <w:tcW w:w="2500" w:type="dxa"/>
            <w:vAlign w:val="bottom"/>
            <w:tcBorders>
              <w:bottom w:val="single" w:sz="8" w:color="E5E5E5"/>
            </w:tcBorders>
            <w:shd w:val="clear" w:color="auto" w:fill="E5E5E5"/>
          </w:tcPr>
          <w:p>
            <w:pPr>
              <w:jc w:val="right"/>
              <w:ind w:right="80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E5E5E5"/>
            </w:tcBorders>
            <w:shd w:val="clear" w:color="auto" w:fill="E5E5E5"/>
          </w:tcPr>
          <w:p>
            <w:pPr>
              <w:spacing w:after="0"/>
              <w:rPr>
                <w:sz w:val="24"/>
                <w:szCs w:val="24"/>
                <w:color w:val="auto"/>
              </w:rPr>
            </w:pPr>
          </w:p>
        </w:tc>
        <w:tc>
          <w:tcPr>
            <w:tcW w:w="1680" w:type="dxa"/>
            <w:vAlign w:val="bottom"/>
            <w:tcBorders>
              <w:bottom w:val="single" w:sz="8" w:color="E5E5E5"/>
            </w:tcBorders>
            <w:shd w:val="clear" w:color="auto" w:fill="E5E5E5"/>
          </w:tcPr>
          <w:p>
            <w:pPr>
              <w:jc w:val="right"/>
              <w:ind w:right="442"/>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E5E5E5"/>
            </w:tcBorders>
            <w:gridSpan w:val="2"/>
            <w:shd w:val="clear" w:color="auto" w:fill="E5E5E5"/>
          </w:tcPr>
          <w:p>
            <w:pPr>
              <w:jc w:val="right"/>
              <w:ind w:right="321"/>
              <w:spacing w:after="0"/>
              <w:rPr>
                <w:sz w:val="20"/>
                <w:szCs w:val="20"/>
                <w:color w:val="auto"/>
              </w:rPr>
            </w:pPr>
            <w:r>
              <w:rPr>
                <w:rFonts w:ascii="Arial" w:cs="Arial" w:eastAsia="Arial" w:hAnsi="Arial"/>
                <w:sz w:val="16"/>
                <w:szCs w:val="16"/>
                <w:color w:val="auto"/>
              </w:rPr>
              <w:t>60,000</w:t>
            </w:r>
          </w:p>
        </w:tc>
        <w:tc>
          <w:tcPr>
            <w:tcW w:w="1120" w:type="dxa"/>
            <w:vAlign w:val="bottom"/>
            <w:tcBorders>
              <w:bottom w:val="single" w:sz="8" w:color="E5E5E5"/>
            </w:tcBorders>
            <w:shd w:val="clear" w:color="auto" w:fill="E5E5E5"/>
          </w:tcPr>
          <w:p>
            <w:pPr>
              <w:jc w:val="right"/>
              <w:ind w:right="40"/>
              <w:spacing w:after="0"/>
              <w:rPr>
                <w:sz w:val="20"/>
                <w:szCs w:val="20"/>
                <w:color w:val="auto"/>
              </w:rPr>
            </w:pPr>
            <w:r>
              <w:rPr>
                <w:rFonts w:ascii="Arial" w:cs="Arial" w:eastAsia="Arial" w:hAnsi="Arial"/>
                <w:sz w:val="16"/>
                <w:szCs w:val="16"/>
                <w:color w:val="auto"/>
              </w:rPr>
              <w:t>$4,603,800</w:t>
            </w:r>
          </w:p>
        </w:tc>
        <w:tc>
          <w:tcPr>
            <w:tcW w:w="0" w:type="dxa"/>
            <w:vAlign w:val="bottom"/>
          </w:tcPr>
          <w:p>
            <w:pPr>
              <w:spacing w:after="0"/>
              <w:rPr>
                <w:sz w:val="1"/>
                <w:szCs w:val="1"/>
                <w:color w:val="auto"/>
              </w:rPr>
            </w:pPr>
          </w:p>
        </w:tc>
      </w:tr>
      <w:tr>
        <w:trPr>
          <w:trHeight w:val="250"/>
        </w:trPr>
        <w:tc>
          <w:tcPr>
            <w:tcW w:w="2260" w:type="dxa"/>
            <w:vAlign w:val="bottom"/>
          </w:tcPr>
          <w:p>
            <w:pPr>
              <w:ind w:left="140"/>
              <w:spacing w:after="0"/>
              <w:rPr>
                <w:sz w:val="20"/>
                <w:szCs w:val="20"/>
                <w:color w:val="auto"/>
              </w:rPr>
            </w:pPr>
            <w:r>
              <w:rPr>
                <w:rFonts w:ascii="Arial" w:cs="Arial" w:eastAsia="Arial" w:hAnsi="Arial"/>
                <w:sz w:val="16"/>
                <w:szCs w:val="16"/>
                <w:b w:val="1"/>
                <w:bCs w:val="1"/>
                <w:color w:val="0071CE"/>
              </w:rPr>
              <w:t>Javier San Martin</w:t>
            </w:r>
          </w:p>
        </w:tc>
        <w:tc>
          <w:tcPr>
            <w:tcW w:w="1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2260" w:type="dxa"/>
            <w:vAlign w:val="bottom"/>
          </w:tcPr>
          <w:p>
            <w:pPr>
              <w:ind w:left="480"/>
              <w:spacing w:after="0"/>
              <w:rPr>
                <w:sz w:val="20"/>
                <w:szCs w:val="20"/>
                <w:color w:val="auto"/>
              </w:rPr>
            </w:pPr>
            <w:r>
              <w:rPr>
                <w:rFonts w:ascii="Arial" w:cs="Arial" w:eastAsia="Arial" w:hAnsi="Arial"/>
                <w:sz w:val="16"/>
                <w:szCs w:val="16"/>
                <w:color w:val="auto"/>
              </w:rPr>
              <w:t>Cash Bonus</w:t>
            </w:r>
          </w:p>
        </w:tc>
        <w:tc>
          <w:tcPr>
            <w:tcW w:w="1120" w:type="dxa"/>
            <w:vAlign w:val="bottom"/>
          </w:tcPr>
          <w:p>
            <w:pPr>
              <w:spacing w:after="0"/>
              <w:rPr>
                <w:sz w:val="24"/>
                <w:szCs w:val="24"/>
                <w:color w:val="auto"/>
              </w:rPr>
            </w:pPr>
          </w:p>
        </w:tc>
        <w:tc>
          <w:tcPr>
            <w:tcW w:w="2820" w:type="dxa"/>
            <w:vAlign w:val="bottom"/>
            <w:gridSpan w:val="2"/>
          </w:tcPr>
          <w:p>
            <w:pPr>
              <w:jc w:val="right"/>
              <w:ind w:right="801"/>
              <w:spacing w:after="0"/>
              <w:rPr>
                <w:sz w:val="20"/>
                <w:szCs w:val="20"/>
                <w:color w:val="auto"/>
              </w:rPr>
            </w:pPr>
            <w:r>
              <w:rPr>
                <w:rFonts w:ascii="Arial" w:cs="Arial" w:eastAsia="Arial" w:hAnsi="Arial"/>
                <w:sz w:val="16"/>
                <w:szCs w:val="16"/>
                <w:color w:val="auto"/>
              </w:rPr>
              <w:t>$185,400</w:t>
            </w:r>
          </w:p>
        </w:tc>
        <w:tc>
          <w:tcPr>
            <w:tcW w:w="340" w:type="dxa"/>
            <w:vAlign w:val="bottom"/>
          </w:tcPr>
          <w:p>
            <w:pPr>
              <w:spacing w:after="0"/>
              <w:rPr>
                <w:sz w:val="24"/>
                <w:szCs w:val="24"/>
                <w:color w:val="auto"/>
              </w:rPr>
            </w:pPr>
          </w:p>
        </w:tc>
        <w:tc>
          <w:tcPr>
            <w:tcW w:w="1680" w:type="dxa"/>
            <w:vAlign w:val="bottom"/>
          </w:tcPr>
          <w:p>
            <w:pPr>
              <w:jc w:val="right"/>
              <w:ind w:right="442"/>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4"/>
                <w:szCs w:val="24"/>
                <w:color w:val="auto"/>
              </w:rPr>
            </w:pPr>
          </w:p>
        </w:tc>
        <w:tc>
          <w:tcPr>
            <w:tcW w:w="1340" w:type="dxa"/>
            <w:vAlign w:val="bottom"/>
          </w:tcPr>
          <w:p>
            <w:pPr>
              <w:jc w:val="right"/>
              <w:ind w:right="321"/>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2260" w:type="dxa"/>
            <w:vAlign w:val="bottom"/>
          </w:tcPr>
          <w:p>
            <w:pPr>
              <w:ind w:left="480"/>
              <w:spacing w:after="0"/>
              <w:rPr>
                <w:sz w:val="20"/>
                <w:szCs w:val="20"/>
                <w:color w:val="auto"/>
              </w:rPr>
            </w:pPr>
            <w:r>
              <w:rPr>
                <w:rFonts w:ascii="Arial" w:cs="Arial" w:eastAsia="Arial" w:hAnsi="Arial"/>
                <w:sz w:val="16"/>
                <w:szCs w:val="16"/>
                <w:color w:val="auto"/>
              </w:rPr>
              <w:t>RSUs</w:t>
            </w: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00" w:type="dxa"/>
            <w:vAlign w:val="bottom"/>
          </w:tcPr>
          <w:p>
            <w:pPr>
              <w:jc w:val="right"/>
              <w:ind w:right="80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4"/>
                <w:szCs w:val="24"/>
                <w:color w:val="auto"/>
              </w:rPr>
            </w:pPr>
          </w:p>
        </w:tc>
        <w:tc>
          <w:tcPr>
            <w:tcW w:w="1680" w:type="dxa"/>
            <w:vAlign w:val="bottom"/>
          </w:tcPr>
          <w:p>
            <w:pPr>
              <w:jc w:val="right"/>
              <w:ind w:right="442"/>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4"/>
                <w:szCs w:val="24"/>
                <w:color w:val="auto"/>
              </w:rPr>
            </w:pPr>
          </w:p>
        </w:tc>
        <w:tc>
          <w:tcPr>
            <w:tcW w:w="1340" w:type="dxa"/>
            <w:vAlign w:val="bottom"/>
          </w:tcPr>
          <w:p>
            <w:pPr>
              <w:jc w:val="right"/>
              <w:ind w:right="321"/>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60" w:type="dxa"/>
            <w:vAlign w:val="bottom"/>
            <w:shd w:val="clear" w:color="auto" w:fill="E5E5E5"/>
          </w:tcPr>
          <w:p>
            <w:pPr>
              <w:ind w:left="140"/>
              <w:spacing w:after="0"/>
              <w:rPr>
                <w:sz w:val="20"/>
                <w:szCs w:val="20"/>
                <w:color w:val="auto"/>
              </w:rPr>
            </w:pPr>
            <w:r>
              <w:rPr>
                <w:rFonts w:ascii="Arial" w:cs="Arial" w:eastAsia="Arial" w:hAnsi="Arial"/>
                <w:sz w:val="16"/>
                <w:szCs w:val="16"/>
                <w:b w:val="1"/>
                <w:bCs w:val="1"/>
                <w:color w:val="0071CE"/>
              </w:rPr>
              <w:t>James Hamilton</w:t>
            </w:r>
          </w:p>
        </w:tc>
        <w:tc>
          <w:tcPr>
            <w:tcW w:w="1120" w:type="dxa"/>
            <w:vAlign w:val="bottom"/>
            <w:shd w:val="clear" w:color="auto" w:fill="E5E5E5"/>
          </w:tcPr>
          <w:p>
            <w:pPr>
              <w:spacing w:after="0"/>
              <w:rPr>
                <w:sz w:val="21"/>
                <w:szCs w:val="21"/>
                <w:color w:val="auto"/>
              </w:rPr>
            </w:pPr>
          </w:p>
        </w:tc>
        <w:tc>
          <w:tcPr>
            <w:tcW w:w="320" w:type="dxa"/>
            <w:vAlign w:val="bottom"/>
            <w:shd w:val="clear" w:color="auto" w:fill="E5E5E5"/>
          </w:tcPr>
          <w:p>
            <w:pPr>
              <w:spacing w:after="0"/>
              <w:rPr>
                <w:sz w:val="21"/>
                <w:szCs w:val="21"/>
                <w:color w:val="auto"/>
              </w:rPr>
            </w:pPr>
          </w:p>
        </w:tc>
        <w:tc>
          <w:tcPr>
            <w:tcW w:w="2500" w:type="dxa"/>
            <w:vAlign w:val="bottom"/>
            <w:shd w:val="clear" w:color="auto" w:fill="E5E5E5"/>
          </w:tcPr>
          <w:p>
            <w:pPr>
              <w:spacing w:after="0"/>
              <w:rPr>
                <w:sz w:val="21"/>
                <w:szCs w:val="21"/>
                <w:color w:val="auto"/>
              </w:rPr>
            </w:pPr>
          </w:p>
        </w:tc>
        <w:tc>
          <w:tcPr>
            <w:tcW w:w="340" w:type="dxa"/>
            <w:vAlign w:val="bottom"/>
            <w:shd w:val="clear" w:color="auto" w:fill="E5E5E5"/>
          </w:tcPr>
          <w:p>
            <w:pPr>
              <w:spacing w:after="0"/>
              <w:rPr>
                <w:sz w:val="21"/>
                <w:szCs w:val="21"/>
                <w:color w:val="auto"/>
              </w:rPr>
            </w:pPr>
          </w:p>
        </w:tc>
        <w:tc>
          <w:tcPr>
            <w:tcW w:w="1680" w:type="dxa"/>
            <w:vAlign w:val="bottom"/>
            <w:shd w:val="clear" w:color="auto" w:fill="E5E5E5"/>
          </w:tcPr>
          <w:p>
            <w:pPr>
              <w:spacing w:after="0"/>
              <w:rPr>
                <w:sz w:val="21"/>
                <w:szCs w:val="21"/>
                <w:color w:val="auto"/>
              </w:rPr>
            </w:pPr>
          </w:p>
        </w:tc>
        <w:tc>
          <w:tcPr>
            <w:tcW w:w="340" w:type="dxa"/>
            <w:vAlign w:val="bottom"/>
            <w:shd w:val="clear" w:color="auto" w:fill="E5E5E5"/>
          </w:tcPr>
          <w:p>
            <w:pPr>
              <w:spacing w:after="0"/>
              <w:rPr>
                <w:sz w:val="21"/>
                <w:szCs w:val="21"/>
                <w:color w:val="auto"/>
              </w:rPr>
            </w:pPr>
          </w:p>
        </w:tc>
        <w:tc>
          <w:tcPr>
            <w:tcW w:w="1340" w:type="dxa"/>
            <w:vAlign w:val="bottom"/>
            <w:shd w:val="clear" w:color="auto" w:fill="E5E5E5"/>
          </w:tcPr>
          <w:p>
            <w:pPr>
              <w:spacing w:after="0"/>
              <w:rPr>
                <w:sz w:val="21"/>
                <w:szCs w:val="21"/>
                <w:color w:val="auto"/>
              </w:rPr>
            </w:pPr>
          </w:p>
        </w:tc>
        <w:tc>
          <w:tcPr>
            <w:tcW w:w="1120" w:type="dxa"/>
            <w:vAlign w:val="bottom"/>
            <w:shd w:val="clear" w:color="auto" w:fill="E5E5E5"/>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2260" w:type="dxa"/>
            <w:vAlign w:val="bottom"/>
            <w:shd w:val="clear" w:color="auto" w:fill="E5E5E5"/>
          </w:tcPr>
          <w:p>
            <w:pPr>
              <w:ind w:left="480"/>
              <w:spacing w:after="0"/>
              <w:rPr>
                <w:sz w:val="20"/>
                <w:szCs w:val="20"/>
                <w:color w:val="auto"/>
              </w:rPr>
            </w:pPr>
            <w:r>
              <w:rPr>
                <w:rFonts w:ascii="Arial" w:cs="Arial" w:eastAsia="Arial" w:hAnsi="Arial"/>
                <w:sz w:val="16"/>
                <w:szCs w:val="16"/>
                <w:color w:val="auto"/>
              </w:rPr>
              <w:t>Cash Bonus</w:t>
            </w:r>
          </w:p>
        </w:tc>
        <w:tc>
          <w:tcPr>
            <w:tcW w:w="1120" w:type="dxa"/>
            <w:vAlign w:val="bottom"/>
            <w:shd w:val="clear" w:color="auto" w:fill="E5E5E5"/>
          </w:tcPr>
          <w:p>
            <w:pPr>
              <w:spacing w:after="0"/>
              <w:rPr>
                <w:sz w:val="24"/>
                <w:szCs w:val="24"/>
                <w:color w:val="auto"/>
              </w:rPr>
            </w:pPr>
          </w:p>
        </w:tc>
        <w:tc>
          <w:tcPr>
            <w:tcW w:w="2820" w:type="dxa"/>
            <w:vAlign w:val="bottom"/>
            <w:gridSpan w:val="2"/>
            <w:shd w:val="clear" w:color="auto" w:fill="E5E5E5"/>
          </w:tcPr>
          <w:p>
            <w:pPr>
              <w:jc w:val="right"/>
              <w:ind w:right="801"/>
              <w:spacing w:after="0"/>
              <w:rPr>
                <w:sz w:val="20"/>
                <w:szCs w:val="20"/>
                <w:color w:val="auto"/>
              </w:rPr>
            </w:pPr>
            <w:r>
              <w:rPr>
                <w:rFonts w:ascii="Arial" w:cs="Arial" w:eastAsia="Arial" w:hAnsi="Arial"/>
                <w:sz w:val="16"/>
                <w:szCs w:val="16"/>
                <w:color w:val="auto"/>
              </w:rPr>
              <w:t>$194,670</w:t>
            </w:r>
          </w:p>
        </w:tc>
        <w:tc>
          <w:tcPr>
            <w:tcW w:w="340" w:type="dxa"/>
            <w:vAlign w:val="bottom"/>
            <w:shd w:val="clear" w:color="auto" w:fill="E5E5E5"/>
          </w:tcPr>
          <w:p>
            <w:pPr>
              <w:spacing w:after="0"/>
              <w:rPr>
                <w:sz w:val="24"/>
                <w:szCs w:val="24"/>
                <w:color w:val="auto"/>
              </w:rPr>
            </w:pPr>
          </w:p>
        </w:tc>
        <w:tc>
          <w:tcPr>
            <w:tcW w:w="1680" w:type="dxa"/>
            <w:vAlign w:val="bottom"/>
            <w:shd w:val="clear" w:color="auto" w:fill="E5E5E5"/>
          </w:tcPr>
          <w:p>
            <w:pPr>
              <w:jc w:val="right"/>
              <w:ind w:right="442"/>
              <w:spacing w:after="0"/>
              <w:rPr>
                <w:sz w:val="20"/>
                <w:szCs w:val="20"/>
                <w:color w:val="auto"/>
              </w:rPr>
            </w:pPr>
            <w:r>
              <w:rPr>
                <w:rFonts w:ascii="Arial" w:cs="Arial" w:eastAsia="Arial" w:hAnsi="Arial"/>
                <w:sz w:val="16"/>
                <w:szCs w:val="16"/>
                <w:color w:val="auto"/>
              </w:rPr>
              <w:t>—</w:t>
            </w:r>
          </w:p>
        </w:tc>
        <w:tc>
          <w:tcPr>
            <w:tcW w:w="340" w:type="dxa"/>
            <w:vAlign w:val="bottom"/>
            <w:shd w:val="clear" w:color="auto" w:fill="E5E5E5"/>
          </w:tcPr>
          <w:p>
            <w:pPr>
              <w:spacing w:after="0"/>
              <w:rPr>
                <w:sz w:val="24"/>
                <w:szCs w:val="24"/>
                <w:color w:val="auto"/>
              </w:rPr>
            </w:pPr>
          </w:p>
        </w:tc>
        <w:tc>
          <w:tcPr>
            <w:tcW w:w="1340" w:type="dxa"/>
            <w:vAlign w:val="bottom"/>
            <w:shd w:val="clear" w:color="auto" w:fill="E5E5E5"/>
          </w:tcPr>
          <w:p>
            <w:pPr>
              <w:jc w:val="right"/>
              <w:ind w:right="321"/>
              <w:spacing w:after="0"/>
              <w:rPr>
                <w:sz w:val="20"/>
                <w:szCs w:val="20"/>
                <w:color w:val="auto"/>
              </w:rPr>
            </w:pPr>
            <w:r>
              <w:rPr>
                <w:rFonts w:ascii="Arial" w:cs="Arial" w:eastAsia="Arial" w:hAnsi="Arial"/>
                <w:sz w:val="16"/>
                <w:szCs w:val="16"/>
                <w:color w:val="auto"/>
              </w:rPr>
              <w:t>—</w:t>
            </w:r>
          </w:p>
        </w:tc>
        <w:tc>
          <w:tcPr>
            <w:tcW w:w="112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7"/>
        </w:trPr>
        <w:tc>
          <w:tcPr>
            <w:tcW w:w="2260" w:type="dxa"/>
            <w:vAlign w:val="bottom"/>
            <w:tcBorders>
              <w:bottom w:val="single" w:sz="8" w:color="E5E5E5"/>
            </w:tcBorders>
            <w:shd w:val="clear" w:color="auto" w:fill="E5E5E5"/>
          </w:tcPr>
          <w:p>
            <w:pPr>
              <w:ind w:left="480"/>
              <w:spacing w:after="0"/>
              <w:rPr>
                <w:sz w:val="20"/>
                <w:szCs w:val="20"/>
                <w:color w:val="auto"/>
              </w:rPr>
            </w:pPr>
            <w:r>
              <w:rPr>
                <w:rFonts w:ascii="Arial" w:cs="Arial" w:eastAsia="Arial" w:hAnsi="Arial"/>
                <w:sz w:val="16"/>
                <w:szCs w:val="16"/>
                <w:color w:val="auto"/>
              </w:rPr>
              <w:t>RSUs</w:t>
            </w:r>
          </w:p>
        </w:tc>
        <w:tc>
          <w:tcPr>
            <w:tcW w:w="11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1/1/2021</w:t>
            </w:r>
          </w:p>
        </w:tc>
        <w:tc>
          <w:tcPr>
            <w:tcW w:w="320" w:type="dxa"/>
            <w:vAlign w:val="bottom"/>
            <w:tcBorders>
              <w:bottom w:val="single" w:sz="8" w:color="E5E5E5"/>
            </w:tcBorders>
            <w:shd w:val="clear" w:color="auto" w:fill="E5E5E5"/>
          </w:tcPr>
          <w:p>
            <w:pPr>
              <w:spacing w:after="0"/>
              <w:rPr>
                <w:sz w:val="24"/>
                <w:szCs w:val="24"/>
                <w:color w:val="auto"/>
              </w:rPr>
            </w:pPr>
          </w:p>
        </w:tc>
        <w:tc>
          <w:tcPr>
            <w:tcW w:w="2500" w:type="dxa"/>
            <w:vAlign w:val="bottom"/>
            <w:tcBorders>
              <w:bottom w:val="single" w:sz="8" w:color="E5E5E5"/>
            </w:tcBorders>
            <w:shd w:val="clear" w:color="auto" w:fill="E5E5E5"/>
          </w:tcPr>
          <w:p>
            <w:pPr>
              <w:jc w:val="right"/>
              <w:ind w:right="80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E5E5E5"/>
            </w:tcBorders>
            <w:shd w:val="clear" w:color="auto" w:fill="E5E5E5"/>
          </w:tcPr>
          <w:p>
            <w:pPr>
              <w:spacing w:after="0"/>
              <w:rPr>
                <w:sz w:val="24"/>
                <w:szCs w:val="24"/>
                <w:color w:val="auto"/>
              </w:rPr>
            </w:pPr>
          </w:p>
        </w:tc>
        <w:tc>
          <w:tcPr>
            <w:tcW w:w="1680" w:type="dxa"/>
            <w:vAlign w:val="bottom"/>
            <w:tcBorders>
              <w:bottom w:val="single" w:sz="8" w:color="E5E5E5"/>
            </w:tcBorders>
            <w:shd w:val="clear" w:color="auto" w:fill="E5E5E5"/>
          </w:tcPr>
          <w:p>
            <w:pPr>
              <w:jc w:val="right"/>
              <w:ind w:right="442"/>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E5E5E5"/>
            </w:tcBorders>
            <w:gridSpan w:val="2"/>
            <w:shd w:val="clear" w:color="auto" w:fill="E5E5E5"/>
          </w:tcPr>
          <w:p>
            <w:pPr>
              <w:jc w:val="right"/>
              <w:ind w:right="321"/>
              <w:spacing w:after="0"/>
              <w:rPr>
                <w:sz w:val="20"/>
                <w:szCs w:val="20"/>
                <w:color w:val="auto"/>
              </w:rPr>
            </w:pPr>
            <w:r>
              <w:rPr>
                <w:rFonts w:ascii="Arial" w:cs="Arial" w:eastAsia="Arial" w:hAnsi="Arial"/>
                <w:sz w:val="16"/>
                <w:szCs w:val="16"/>
                <w:color w:val="auto"/>
              </w:rPr>
              <w:t>50,000</w:t>
            </w:r>
          </w:p>
        </w:tc>
        <w:tc>
          <w:tcPr>
            <w:tcW w:w="1120" w:type="dxa"/>
            <w:vAlign w:val="bottom"/>
            <w:tcBorders>
              <w:bottom w:val="single" w:sz="8" w:color="E5E5E5"/>
            </w:tcBorders>
            <w:shd w:val="clear" w:color="auto" w:fill="E5E5E5"/>
          </w:tcPr>
          <w:p>
            <w:pPr>
              <w:jc w:val="right"/>
              <w:ind w:right="40"/>
              <w:spacing w:after="0"/>
              <w:rPr>
                <w:sz w:val="20"/>
                <w:szCs w:val="20"/>
                <w:color w:val="auto"/>
              </w:rPr>
            </w:pPr>
            <w:r>
              <w:rPr>
                <w:rFonts w:ascii="Arial" w:cs="Arial" w:eastAsia="Arial" w:hAnsi="Arial"/>
                <w:sz w:val="16"/>
                <w:szCs w:val="16"/>
                <w:color w:val="auto"/>
              </w:rPr>
              <w:t>$3,836,500</w:t>
            </w:r>
          </w:p>
        </w:tc>
        <w:tc>
          <w:tcPr>
            <w:tcW w:w="0" w:type="dxa"/>
            <w:vAlign w:val="bottom"/>
          </w:tcPr>
          <w:p>
            <w:pPr>
              <w:spacing w:after="0"/>
              <w:rPr>
                <w:sz w:val="1"/>
                <w:szCs w:val="1"/>
                <w:color w:val="auto"/>
              </w:rPr>
            </w:pPr>
          </w:p>
        </w:tc>
      </w:tr>
      <w:tr>
        <w:trPr>
          <w:trHeight w:val="250"/>
        </w:trPr>
        <w:tc>
          <w:tcPr>
            <w:tcW w:w="2260" w:type="dxa"/>
            <w:vAlign w:val="bottom"/>
          </w:tcPr>
          <w:p>
            <w:pPr>
              <w:ind w:left="140"/>
              <w:spacing w:after="0"/>
              <w:rPr>
                <w:sz w:val="20"/>
                <w:szCs w:val="20"/>
                <w:color w:val="auto"/>
              </w:rPr>
            </w:pPr>
            <w:r>
              <w:rPr>
                <w:rFonts w:ascii="Arial" w:cs="Arial" w:eastAsia="Arial" w:hAnsi="Arial"/>
                <w:sz w:val="16"/>
                <w:szCs w:val="16"/>
                <w:b w:val="1"/>
                <w:bCs w:val="1"/>
                <w:color w:val="0071CE"/>
              </w:rPr>
              <w:t>James Hassard (5)</w:t>
            </w:r>
          </w:p>
        </w:tc>
        <w:tc>
          <w:tcPr>
            <w:tcW w:w="1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2260" w:type="dxa"/>
            <w:vAlign w:val="bottom"/>
          </w:tcPr>
          <w:p>
            <w:pPr>
              <w:ind w:left="480"/>
              <w:spacing w:after="0"/>
              <w:rPr>
                <w:sz w:val="20"/>
                <w:szCs w:val="20"/>
                <w:color w:val="auto"/>
              </w:rPr>
            </w:pPr>
            <w:r>
              <w:rPr>
                <w:rFonts w:ascii="Arial" w:cs="Arial" w:eastAsia="Arial" w:hAnsi="Arial"/>
                <w:sz w:val="16"/>
                <w:szCs w:val="16"/>
                <w:color w:val="auto"/>
              </w:rPr>
              <w:t>Cash Bonus</w:t>
            </w: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00" w:type="dxa"/>
            <w:vAlign w:val="bottom"/>
          </w:tcPr>
          <w:p>
            <w:pPr>
              <w:jc w:val="right"/>
              <w:ind w:right="80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4"/>
                <w:szCs w:val="24"/>
                <w:color w:val="auto"/>
              </w:rPr>
            </w:pPr>
          </w:p>
        </w:tc>
        <w:tc>
          <w:tcPr>
            <w:tcW w:w="1680" w:type="dxa"/>
            <w:vAlign w:val="bottom"/>
          </w:tcPr>
          <w:p>
            <w:pPr>
              <w:jc w:val="right"/>
              <w:ind w:right="442"/>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4"/>
                <w:szCs w:val="24"/>
                <w:color w:val="auto"/>
              </w:rPr>
            </w:pPr>
          </w:p>
        </w:tc>
        <w:tc>
          <w:tcPr>
            <w:tcW w:w="1340" w:type="dxa"/>
            <w:vAlign w:val="bottom"/>
          </w:tcPr>
          <w:p>
            <w:pPr>
              <w:jc w:val="right"/>
              <w:ind w:right="321"/>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2260" w:type="dxa"/>
            <w:vAlign w:val="bottom"/>
          </w:tcPr>
          <w:p>
            <w:pPr>
              <w:ind w:left="480"/>
              <w:spacing w:after="0"/>
              <w:rPr>
                <w:sz w:val="20"/>
                <w:szCs w:val="20"/>
                <w:color w:val="auto"/>
              </w:rPr>
            </w:pPr>
            <w:r>
              <w:rPr>
                <w:rFonts w:ascii="Arial" w:cs="Arial" w:eastAsia="Arial" w:hAnsi="Arial"/>
                <w:sz w:val="16"/>
                <w:szCs w:val="16"/>
                <w:color w:val="auto"/>
              </w:rPr>
              <w:t>RSUs</w:t>
            </w: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00" w:type="dxa"/>
            <w:vAlign w:val="bottom"/>
          </w:tcPr>
          <w:p>
            <w:pPr>
              <w:jc w:val="right"/>
              <w:ind w:right="80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4"/>
                <w:szCs w:val="24"/>
                <w:color w:val="auto"/>
              </w:rPr>
            </w:pPr>
          </w:p>
        </w:tc>
        <w:tc>
          <w:tcPr>
            <w:tcW w:w="1680" w:type="dxa"/>
            <w:vAlign w:val="bottom"/>
          </w:tcPr>
          <w:p>
            <w:pPr>
              <w:jc w:val="right"/>
              <w:ind w:right="442"/>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4"/>
                <w:szCs w:val="24"/>
                <w:color w:val="auto"/>
              </w:rPr>
            </w:pPr>
          </w:p>
        </w:tc>
        <w:tc>
          <w:tcPr>
            <w:tcW w:w="1340" w:type="dxa"/>
            <w:vAlign w:val="bottom"/>
          </w:tcPr>
          <w:p>
            <w:pPr>
              <w:jc w:val="right"/>
              <w:ind w:right="321"/>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260" w:type="dxa"/>
            <w:vAlign w:val="bottom"/>
            <w:tcBorders>
              <w:bottom w:val="single" w:sz="8" w:color="0071CE"/>
            </w:tcBorders>
          </w:tcPr>
          <w:p>
            <w:pPr>
              <w:spacing w:after="0"/>
              <w:rPr>
                <w:sz w:val="2"/>
                <w:szCs w:val="2"/>
                <w:color w:val="auto"/>
              </w:rPr>
            </w:pPr>
          </w:p>
        </w:tc>
        <w:tc>
          <w:tcPr>
            <w:tcW w:w="1120" w:type="dxa"/>
            <w:vAlign w:val="bottom"/>
            <w:tcBorders>
              <w:bottom w:val="single" w:sz="8" w:color="0071CE"/>
            </w:tcBorders>
          </w:tcPr>
          <w:p>
            <w:pPr>
              <w:spacing w:after="0"/>
              <w:rPr>
                <w:sz w:val="2"/>
                <w:szCs w:val="2"/>
                <w:color w:val="auto"/>
              </w:rPr>
            </w:pPr>
          </w:p>
        </w:tc>
        <w:tc>
          <w:tcPr>
            <w:tcW w:w="320" w:type="dxa"/>
            <w:vAlign w:val="bottom"/>
            <w:tcBorders>
              <w:bottom w:val="single" w:sz="8" w:color="0071CE"/>
            </w:tcBorders>
          </w:tcPr>
          <w:p>
            <w:pPr>
              <w:spacing w:after="0"/>
              <w:rPr>
                <w:sz w:val="2"/>
                <w:szCs w:val="2"/>
                <w:color w:val="auto"/>
              </w:rPr>
            </w:pPr>
          </w:p>
        </w:tc>
        <w:tc>
          <w:tcPr>
            <w:tcW w:w="2500" w:type="dxa"/>
            <w:vAlign w:val="bottom"/>
            <w:tcBorders>
              <w:bottom w:val="single" w:sz="8" w:color="0071CE"/>
            </w:tcBorders>
          </w:tcPr>
          <w:p>
            <w:pPr>
              <w:spacing w:after="0"/>
              <w:rPr>
                <w:sz w:val="2"/>
                <w:szCs w:val="2"/>
                <w:color w:val="auto"/>
              </w:rPr>
            </w:pPr>
          </w:p>
        </w:tc>
        <w:tc>
          <w:tcPr>
            <w:tcW w:w="340" w:type="dxa"/>
            <w:vAlign w:val="bottom"/>
            <w:tcBorders>
              <w:bottom w:val="single" w:sz="8" w:color="0071CE"/>
            </w:tcBorders>
          </w:tcPr>
          <w:p>
            <w:pPr>
              <w:spacing w:after="0"/>
              <w:rPr>
                <w:sz w:val="2"/>
                <w:szCs w:val="2"/>
                <w:color w:val="auto"/>
              </w:rPr>
            </w:pPr>
          </w:p>
        </w:tc>
        <w:tc>
          <w:tcPr>
            <w:tcW w:w="1680" w:type="dxa"/>
            <w:vAlign w:val="bottom"/>
            <w:tcBorders>
              <w:bottom w:val="single" w:sz="8" w:color="0071CE"/>
            </w:tcBorders>
          </w:tcPr>
          <w:p>
            <w:pPr>
              <w:spacing w:after="0"/>
              <w:rPr>
                <w:sz w:val="2"/>
                <w:szCs w:val="2"/>
                <w:color w:val="auto"/>
              </w:rPr>
            </w:pPr>
          </w:p>
        </w:tc>
        <w:tc>
          <w:tcPr>
            <w:tcW w:w="340" w:type="dxa"/>
            <w:vAlign w:val="bottom"/>
            <w:tcBorders>
              <w:bottom w:val="single" w:sz="8" w:color="0071CE"/>
            </w:tcBorders>
          </w:tcPr>
          <w:p>
            <w:pPr>
              <w:spacing w:after="0"/>
              <w:rPr>
                <w:sz w:val="2"/>
                <w:szCs w:val="2"/>
                <w:color w:val="auto"/>
              </w:rPr>
            </w:pPr>
          </w:p>
        </w:tc>
        <w:tc>
          <w:tcPr>
            <w:tcW w:w="1340" w:type="dxa"/>
            <w:vAlign w:val="bottom"/>
            <w:tcBorders>
              <w:bottom w:val="single" w:sz="8" w:color="0071CE"/>
            </w:tcBorders>
          </w:tcPr>
          <w:p>
            <w:pPr>
              <w:spacing w:after="0"/>
              <w:rPr>
                <w:sz w:val="2"/>
                <w:szCs w:val="2"/>
                <w:color w:val="auto"/>
              </w:rPr>
            </w:pPr>
          </w:p>
        </w:tc>
        <w:tc>
          <w:tcPr>
            <w:tcW w:w="1120" w:type="dxa"/>
            <w:vAlign w:val="bottom"/>
            <w:tcBorders>
              <w:bottom w:val="single" w:sz="8" w:color="0071CE"/>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-4671060</wp:posOffset>
            </wp:positionV>
            <wp:extent cx="286321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66" w:lineRule="exact"/>
        <w:rPr>
          <w:sz w:val="20"/>
          <w:szCs w:val="20"/>
          <w:color w:val="auto"/>
        </w:rPr>
      </w:pPr>
    </w:p>
    <w:p>
      <w:pPr>
        <w:ind w:left="540" w:right="600" w:hanging="424"/>
        <w:spacing w:after="0" w:line="258" w:lineRule="auto"/>
        <w:tabs>
          <w:tab w:leader="none" w:pos="5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Amounts listed represent cash award targets for our NEOs in 2021. Actual payments were made in fiscal 2021 and the amounts are reported in the Summary Compensation Table above. There are no thresholds or maximum levels applicable under our annual cash incentive awards.</w:t>
      </w:r>
    </w:p>
    <w:p>
      <w:pPr>
        <w:spacing w:after="0" w:line="58" w:lineRule="exact"/>
        <w:rPr>
          <w:rFonts w:ascii="Arial" w:cs="Arial" w:eastAsia="Arial" w:hAnsi="Arial"/>
          <w:sz w:val="14"/>
          <w:szCs w:val="14"/>
          <w:color w:val="auto"/>
        </w:rPr>
      </w:pPr>
    </w:p>
    <w:p>
      <w:pPr>
        <w:ind w:left="540" w:hanging="424"/>
        <w:spacing w:after="0"/>
        <w:tabs>
          <w:tab w:leader="none" w:pos="5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These RSU and PRSU are described above in the “Compensation Discussion and Analysis” under the heading “Equity Compensation”.</w:t>
      </w:r>
    </w:p>
    <w:p>
      <w:pPr>
        <w:spacing w:after="0" w:line="82" w:lineRule="exact"/>
        <w:rPr>
          <w:rFonts w:ascii="Arial" w:cs="Arial" w:eastAsia="Arial" w:hAnsi="Arial"/>
          <w:sz w:val="14"/>
          <w:szCs w:val="14"/>
          <w:color w:val="auto"/>
        </w:rPr>
      </w:pPr>
    </w:p>
    <w:p>
      <w:pPr>
        <w:ind w:left="540" w:hanging="424"/>
        <w:spacing w:after="0"/>
        <w:tabs>
          <w:tab w:leader="none" w:pos="5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RSUs have various vesting parameters. The RSUs granted in 2021 vest in four equal annual installments beginning 1 year from the grant date.</w:t>
      </w:r>
    </w:p>
    <w:p>
      <w:pPr>
        <w:spacing w:after="0" w:line="82" w:lineRule="exact"/>
        <w:rPr>
          <w:rFonts w:ascii="Arial" w:cs="Arial" w:eastAsia="Arial" w:hAnsi="Arial"/>
          <w:sz w:val="14"/>
          <w:szCs w:val="14"/>
          <w:color w:val="auto"/>
        </w:rPr>
      </w:pPr>
    </w:p>
    <w:p>
      <w:pPr>
        <w:ind w:left="540" w:right="60" w:hanging="424"/>
        <w:spacing w:after="0" w:line="258" w:lineRule="auto"/>
        <w:tabs>
          <w:tab w:leader="none" w:pos="5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We determined that as of the date of the grant it was not probable as defined under applicable accounting guidance that any of the performance vesting conditions for these PRSU awards would be achieved and assigned a grant date fair value of $0 based on this evaluation.</w:t>
      </w:r>
    </w:p>
    <w:p>
      <w:pPr>
        <w:spacing w:after="0" w:line="58" w:lineRule="exact"/>
        <w:rPr>
          <w:rFonts w:ascii="Arial" w:cs="Arial" w:eastAsia="Arial" w:hAnsi="Arial"/>
          <w:sz w:val="14"/>
          <w:szCs w:val="14"/>
          <w:color w:val="auto"/>
        </w:rPr>
      </w:pPr>
    </w:p>
    <w:p>
      <w:pPr>
        <w:ind w:left="540" w:right="160" w:hanging="424"/>
        <w:spacing w:after="0" w:line="258" w:lineRule="auto"/>
        <w:tabs>
          <w:tab w:leader="none" w:pos="5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Mr. Hassard’s employment with us was terminated in August 2021. Under his fiscal 2021 compensation arrangements Mr. Hassard had the opportunity to receive an incentive cash bonus of 40% of his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77470</wp:posOffset>
            </wp:positionV>
            <wp:extent cx="986155" cy="2057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1CE"/>
        </w:rPr>
        <w:t>40</w:t>
      </w:r>
    </w:p>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7500"/>
        <w:spacing w:after="0"/>
        <w:tabs>
          <w:tab w:leader="none" w:pos="9400" w:val="left"/>
        </w:tabs>
        <w:rPr>
          <w:sz w:val="20"/>
          <w:szCs w:val="20"/>
          <w:color w:val="auto"/>
        </w:rPr>
      </w:pPr>
      <w:r>
        <w:rPr>
          <w:rFonts w:ascii="Arial" w:cs="Arial" w:eastAsia="Arial" w:hAnsi="Arial"/>
          <w:sz w:val="14"/>
          <w:szCs w:val="14"/>
          <w:b w:val="1"/>
          <w:bCs w:val="1"/>
          <w:color w:val="0071CE"/>
        </w:rPr>
        <w:t>2022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C4C4C"/>
        </w:rPr>
        <w:t>Fiscal 2021 Outstanding Equity Awards at Fiscal Year End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57150</wp:posOffset>
            </wp:positionV>
            <wp:extent cx="69951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7" w:lineRule="exact"/>
        <w:rPr>
          <w:sz w:val="20"/>
          <w:szCs w:val="20"/>
          <w:color w:val="auto"/>
        </w:rPr>
      </w:pPr>
    </w:p>
    <w:p>
      <w:pPr>
        <w:ind w:left="120" w:right="60"/>
        <w:spacing w:after="0" w:line="260" w:lineRule="auto"/>
        <w:rPr>
          <w:sz w:val="20"/>
          <w:szCs w:val="20"/>
          <w:color w:val="auto"/>
        </w:rPr>
      </w:pPr>
      <w:r>
        <w:rPr>
          <w:rFonts w:ascii="Arial" w:cs="Arial" w:eastAsia="Arial" w:hAnsi="Arial"/>
          <w:sz w:val="16"/>
          <w:szCs w:val="16"/>
          <w:color w:val="auto"/>
        </w:rPr>
        <w:t>The following table provides information, with respect to the NEOs, concerning the outstanding equity awards covering shares of the Company’s common stock as of September 30, 2021.</w:t>
      </w:r>
    </w:p>
    <w:p>
      <w:pPr>
        <w:spacing w:after="0" w:line="99"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2300" w:type="dxa"/>
            <w:vAlign w:val="bottom"/>
            <w:shd w:val="clear" w:color="auto" w:fill="0071CE"/>
          </w:tcPr>
          <w:p>
            <w:pPr>
              <w:spacing w:after="0"/>
              <w:rPr>
                <w:sz w:val="16"/>
                <w:szCs w:val="16"/>
                <w:color w:val="auto"/>
              </w:rPr>
            </w:pPr>
          </w:p>
        </w:tc>
        <w:tc>
          <w:tcPr>
            <w:tcW w:w="940" w:type="dxa"/>
            <w:vAlign w:val="bottom"/>
            <w:shd w:val="clear" w:color="auto" w:fill="0071CE"/>
          </w:tcPr>
          <w:p>
            <w:pPr>
              <w:spacing w:after="0"/>
              <w:rPr>
                <w:sz w:val="16"/>
                <w:szCs w:val="16"/>
                <w:color w:val="auto"/>
              </w:rPr>
            </w:pPr>
          </w:p>
        </w:tc>
        <w:tc>
          <w:tcPr>
            <w:tcW w:w="1040" w:type="dxa"/>
            <w:vAlign w:val="bottom"/>
            <w:shd w:val="clear" w:color="auto" w:fill="0071CE"/>
          </w:tcPr>
          <w:p>
            <w:pPr>
              <w:spacing w:after="0"/>
              <w:rPr>
                <w:sz w:val="16"/>
                <w:szCs w:val="16"/>
                <w:color w:val="auto"/>
              </w:rPr>
            </w:pPr>
          </w:p>
        </w:tc>
        <w:tc>
          <w:tcPr>
            <w:tcW w:w="2060" w:type="dxa"/>
            <w:vAlign w:val="bottom"/>
            <w:gridSpan w:val="2"/>
            <w:shd w:val="clear" w:color="auto" w:fill="0071CE"/>
          </w:tcPr>
          <w:p>
            <w:pPr>
              <w:jc w:val="right"/>
              <w:ind w:right="468"/>
              <w:spacing w:after="0"/>
              <w:rPr>
                <w:sz w:val="20"/>
                <w:szCs w:val="20"/>
                <w:color w:val="auto"/>
              </w:rPr>
            </w:pPr>
            <w:r>
              <w:rPr>
                <w:rFonts w:ascii="Arial" w:cs="Arial" w:eastAsia="Arial" w:hAnsi="Arial"/>
                <w:sz w:val="14"/>
                <w:szCs w:val="14"/>
                <w:b w:val="1"/>
                <w:bCs w:val="1"/>
                <w:color w:val="FFFFFF"/>
              </w:rPr>
              <w:t>Option Awards</w:t>
            </w:r>
          </w:p>
        </w:tc>
        <w:tc>
          <w:tcPr>
            <w:tcW w:w="1020" w:type="dxa"/>
            <w:vAlign w:val="bottom"/>
            <w:shd w:val="clear" w:color="auto" w:fill="0071CE"/>
          </w:tcPr>
          <w:p>
            <w:pPr>
              <w:spacing w:after="0"/>
              <w:rPr>
                <w:sz w:val="16"/>
                <w:szCs w:val="16"/>
                <w:color w:val="auto"/>
              </w:rPr>
            </w:pPr>
          </w:p>
        </w:tc>
        <w:tc>
          <w:tcPr>
            <w:tcW w:w="840" w:type="dxa"/>
            <w:vAlign w:val="bottom"/>
            <w:shd w:val="clear" w:color="auto" w:fill="0071CE"/>
          </w:tcPr>
          <w:p>
            <w:pPr>
              <w:spacing w:after="0"/>
              <w:rPr>
                <w:sz w:val="16"/>
                <w:szCs w:val="16"/>
                <w:color w:val="auto"/>
              </w:rPr>
            </w:pPr>
          </w:p>
        </w:tc>
        <w:tc>
          <w:tcPr>
            <w:tcW w:w="1820" w:type="dxa"/>
            <w:vAlign w:val="bottom"/>
            <w:gridSpan w:val="2"/>
            <w:shd w:val="clear" w:color="auto" w:fill="0071CE"/>
          </w:tcPr>
          <w:p>
            <w:pPr>
              <w:jc w:val="right"/>
              <w:ind w:right="388"/>
              <w:spacing w:after="0"/>
              <w:rPr>
                <w:sz w:val="20"/>
                <w:szCs w:val="20"/>
                <w:color w:val="auto"/>
              </w:rPr>
            </w:pPr>
            <w:r>
              <w:rPr>
                <w:rFonts w:ascii="Arial" w:cs="Arial" w:eastAsia="Arial" w:hAnsi="Arial"/>
                <w:sz w:val="14"/>
                <w:szCs w:val="14"/>
                <w:b w:val="1"/>
                <w:bCs w:val="1"/>
                <w:color w:val="FFFFFF"/>
              </w:rPr>
              <w:t>Stock Awards</w:t>
            </w:r>
          </w:p>
        </w:tc>
        <w:tc>
          <w:tcPr>
            <w:tcW w:w="920" w:type="dxa"/>
            <w:vAlign w:val="bottom"/>
            <w:vMerge w:val="restart"/>
            <w:shd w:val="clear" w:color="auto" w:fill="0071CE"/>
          </w:tcPr>
          <w:p>
            <w:pPr>
              <w:jc w:val="center"/>
              <w:spacing w:after="0"/>
              <w:rPr>
                <w:sz w:val="20"/>
                <w:szCs w:val="20"/>
                <w:color w:val="auto"/>
              </w:rPr>
            </w:pPr>
            <w:r>
              <w:rPr>
                <w:rFonts w:ascii="Arial" w:cs="Arial" w:eastAsia="Arial" w:hAnsi="Arial"/>
                <w:sz w:val="14"/>
                <w:szCs w:val="14"/>
                <w:b w:val="1"/>
                <w:bCs w:val="1"/>
                <w:color w:val="FFFFFF"/>
              </w:rPr>
              <w:t>Equity</w:t>
            </w:r>
          </w:p>
        </w:tc>
        <w:tc>
          <w:tcPr>
            <w:tcW w:w="80" w:type="dxa"/>
            <w:vAlign w:val="bottom"/>
            <w:shd w:val="clear" w:color="auto" w:fill="0071C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300" w:type="dxa"/>
            <w:vAlign w:val="bottom"/>
            <w:shd w:val="clear" w:color="auto" w:fill="0071CE"/>
          </w:tcPr>
          <w:p>
            <w:pPr>
              <w:spacing w:after="0"/>
              <w:rPr>
                <w:sz w:val="15"/>
                <w:szCs w:val="15"/>
                <w:color w:val="auto"/>
              </w:rPr>
            </w:pPr>
          </w:p>
        </w:tc>
        <w:tc>
          <w:tcPr>
            <w:tcW w:w="940" w:type="dxa"/>
            <w:vAlign w:val="bottom"/>
            <w:shd w:val="clear" w:color="auto" w:fill="0071CE"/>
          </w:tcPr>
          <w:p>
            <w:pPr>
              <w:spacing w:after="0"/>
              <w:rPr>
                <w:sz w:val="15"/>
                <w:szCs w:val="15"/>
                <w:color w:val="auto"/>
              </w:rPr>
            </w:pPr>
          </w:p>
        </w:tc>
        <w:tc>
          <w:tcPr>
            <w:tcW w:w="1040" w:type="dxa"/>
            <w:vAlign w:val="bottom"/>
            <w:shd w:val="clear" w:color="auto" w:fill="0071CE"/>
          </w:tcPr>
          <w:p>
            <w:pPr>
              <w:spacing w:after="0"/>
              <w:rPr>
                <w:sz w:val="15"/>
                <w:szCs w:val="15"/>
                <w:color w:val="auto"/>
              </w:rPr>
            </w:pPr>
          </w:p>
        </w:tc>
        <w:tc>
          <w:tcPr>
            <w:tcW w:w="1260" w:type="dxa"/>
            <w:vAlign w:val="bottom"/>
            <w:shd w:val="clear" w:color="auto" w:fill="0071CE"/>
          </w:tcPr>
          <w:p>
            <w:pPr>
              <w:spacing w:after="0"/>
              <w:rPr>
                <w:sz w:val="15"/>
                <w:szCs w:val="15"/>
                <w:color w:val="auto"/>
              </w:rPr>
            </w:pPr>
          </w:p>
        </w:tc>
        <w:tc>
          <w:tcPr>
            <w:tcW w:w="800" w:type="dxa"/>
            <w:vAlign w:val="bottom"/>
            <w:shd w:val="clear" w:color="auto" w:fill="0071CE"/>
          </w:tcPr>
          <w:p>
            <w:pPr>
              <w:spacing w:after="0"/>
              <w:rPr>
                <w:sz w:val="15"/>
                <w:szCs w:val="15"/>
                <w:color w:val="auto"/>
              </w:rPr>
            </w:pPr>
          </w:p>
        </w:tc>
        <w:tc>
          <w:tcPr>
            <w:tcW w:w="1020" w:type="dxa"/>
            <w:vAlign w:val="bottom"/>
            <w:shd w:val="clear" w:color="auto" w:fill="0071CE"/>
          </w:tcPr>
          <w:p>
            <w:pPr>
              <w:spacing w:after="0"/>
              <w:rPr>
                <w:sz w:val="15"/>
                <w:szCs w:val="15"/>
                <w:color w:val="auto"/>
              </w:rPr>
            </w:pPr>
          </w:p>
        </w:tc>
        <w:tc>
          <w:tcPr>
            <w:tcW w:w="840" w:type="dxa"/>
            <w:vAlign w:val="bottom"/>
            <w:shd w:val="clear" w:color="auto" w:fill="0071CE"/>
          </w:tcPr>
          <w:p>
            <w:pPr>
              <w:spacing w:after="0"/>
              <w:rPr>
                <w:sz w:val="15"/>
                <w:szCs w:val="15"/>
                <w:color w:val="auto"/>
              </w:rPr>
            </w:pPr>
          </w:p>
        </w:tc>
        <w:tc>
          <w:tcPr>
            <w:tcW w:w="880" w:type="dxa"/>
            <w:vAlign w:val="bottom"/>
            <w:shd w:val="clear" w:color="auto" w:fill="0071CE"/>
          </w:tcPr>
          <w:p>
            <w:pPr>
              <w:spacing w:after="0"/>
              <w:rPr>
                <w:sz w:val="15"/>
                <w:szCs w:val="15"/>
                <w:color w:val="auto"/>
              </w:rPr>
            </w:pPr>
          </w:p>
        </w:tc>
        <w:tc>
          <w:tcPr>
            <w:tcW w:w="940" w:type="dxa"/>
            <w:vAlign w:val="bottom"/>
            <w:shd w:val="clear" w:color="auto" w:fill="0071CE"/>
          </w:tcPr>
          <w:p>
            <w:pPr>
              <w:spacing w:after="0"/>
              <w:rPr>
                <w:sz w:val="15"/>
                <w:szCs w:val="15"/>
                <w:color w:val="auto"/>
              </w:rPr>
            </w:pPr>
          </w:p>
        </w:tc>
        <w:tc>
          <w:tcPr>
            <w:tcW w:w="920" w:type="dxa"/>
            <w:vAlign w:val="bottom"/>
            <w:vMerge w:val="continue"/>
            <w:shd w:val="clear" w:color="auto" w:fill="0071CE"/>
          </w:tcPr>
          <w:p>
            <w:pPr>
              <w:spacing w:after="0"/>
              <w:rPr>
                <w:sz w:val="15"/>
                <w:szCs w:val="15"/>
                <w:color w:val="auto"/>
              </w:rPr>
            </w:pPr>
          </w:p>
        </w:tc>
        <w:tc>
          <w:tcPr>
            <w:tcW w:w="80" w:type="dxa"/>
            <w:vAlign w:val="bottom"/>
            <w:shd w:val="clear" w:color="auto" w:fill="0071C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300" w:type="dxa"/>
            <w:vAlign w:val="bottom"/>
            <w:shd w:val="clear" w:color="auto" w:fill="0071CE"/>
          </w:tcPr>
          <w:p>
            <w:pPr>
              <w:spacing w:after="0"/>
              <w:rPr>
                <w:sz w:val="14"/>
                <w:szCs w:val="14"/>
                <w:color w:val="auto"/>
              </w:rPr>
            </w:pPr>
          </w:p>
        </w:tc>
        <w:tc>
          <w:tcPr>
            <w:tcW w:w="940" w:type="dxa"/>
            <w:vAlign w:val="bottom"/>
            <w:shd w:val="clear" w:color="auto" w:fill="0071CE"/>
          </w:tcPr>
          <w:p>
            <w:pPr>
              <w:spacing w:after="0"/>
              <w:rPr>
                <w:sz w:val="14"/>
                <w:szCs w:val="14"/>
                <w:color w:val="auto"/>
              </w:rPr>
            </w:pPr>
          </w:p>
        </w:tc>
        <w:tc>
          <w:tcPr>
            <w:tcW w:w="1040" w:type="dxa"/>
            <w:vAlign w:val="bottom"/>
            <w:shd w:val="clear" w:color="auto" w:fill="0071CE"/>
          </w:tcPr>
          <w:p>
            <w:pPr>
              <w:spacing w:after="0"/>
              <w:rPr>
                <w:sz w:val="14"/>
                <w:szCs w:val="14"/>
                <w:color w:val="auto"/>
              </w:rPr>
            </w:pPr>
          </w:p>
        </w:tc>
        <w:tc>
          <w:tcPr>
            <w:tcW w:w="1260" w:type="dxa"/>
            <w:vAlign w:val="bottom"/>
            <w:shd w:val="clear" w:color="auto" w:fill="0071CE"/>
          </w:tcPr>
          <w:p>
            <w:pPr>
              <w:spacing w:after="0"/>
              <w:rPr>
                <w:sz w:val="14"/>
                <w:szCs w:val="14"/>
                <w:color w:val="auto"/>
              </w:rPr>
            </w:pPr>
          </w:p>
        </w:tc>
        <w:tc>
          <w:tcPr>
            <w:tcW w:w="800" w:type="dxa"/>
            <w:vAlign w:val="bottom"/>
            <w:shd w:val="clear" w:color="auto" w:fill="0071CE"/>
          </w:tcPr>
          <w:p>
            <w:pPr>
              <w:spacing w:after="0"/>
              <w:rPr>
                <w:sz w:val="14"/>
                <w:szCs w:val="14"/>
                <w:color w:val="auto"/>
              </w:rPr>
            </w:pPr>
          </w:p>
        </w:tc>
        <w:tc>
          <w:tcPr>
            <w:tcW w:w="1020" w:type="dxa"/>
            <w:vAlign w:val="bottom"/>
            <w:shd w:val="clear" w:color="auto" w:fill="0071CE"/>
          </w:tcPr>
          <w:p>
            <w:pPr>
              <w:spacing w:after="0"/>
              <w:rPr>
                <w:sz w:val="14"/>
                <w:szCs w:val="14"/>
                <w:color w:val="auto"/>
              </w:rPr>
            </w:pPr>
          </w:p>
        </w:tc>
        <w:tc>
          <w:tcPr>
            <w:tcW w:w="840" w:type="dxa"/>
            <w:vAlign w:val="bottom"/>
            <w:shd w:val="clear" w:color="auto" w:fill="0071CE"/>
          </w:tcPr>
          <w:p>
            <w:pPr>
              <w:spacing w:after="0"/>
              <w:rPr>
                <w:sz w:val="14"/>
                <w:szCs w:val="14"/>
                <w:color w:val="auto"/>
              </w:rPr>
            </w:pPr>
          </w:p>
        </w:tc>
        <w:tc>
          <w:tcPr>
            <w:tcW w:w="880" w:type="dxa"/>
            <w:vAlign w:val="bottom"/>
            <w:shd w:val="clear" w:color="auto" w:fill="0071CE"/>
          </w:tcPr>
          <w:p>
            <w:pPr>
              <w:spacing w:after="0"/>
              <w:rPr>
                <w:sz w:val="14"/>
                <w:szCs w:val="14"/>
                <w:color w:val="auto"/>
              </w:rPr>
            </w:pPr>
          </w:p>
        </w:tc>
        <w:tc>
          <w:tcPr>
            <w:tcW w:w="940" w:type="dxa"/>
            <w:vAlign w:val="bottom"/>
            <w:shd w:val="clear" w:color="auto" w:fill="0071CE"/>
          </w:tcPr>
          <w:p>
            <w:pPr>
              <w:spacing w:after="0"/>
              <w:rPr>
                <w:sz w:val="14"/>
                <w:szCs w:val="14"/>
                <w:color w:val="auto"/>
              </w:rPr>
            </w:pPr>
          </w:p>
        </w:tc>
        <w:tc>
          <w:tcPr>
            <w:tcW w:w="1000" w:type="dxa"/>
            <w:vAlign w:val="bottom"/>
            <w:gridSpan w:val="2"/>
            <w:shd w:val="clear" w:color="auto" w:fill="0071CE"/>
          </w:tcPr>
          <w:p>
            <w:pPr>
              <w:jc w:val="center"/>
              <w:ind w:right="20"/>
              <w:spacing w:after="0"/>
              <w:rPr>
                <w:sz w:val="20"/>
                <w:szCs w:val="20"/>
                <w:color w:val="auto"/>
              </w:rPr>
            </w:pPr>
            <w:r>
              <w:rPr>
                <w:rFonts w:ascii="Arial" w:cs="Arial" w:eastAsia="Arial" w:hAnsi="Arial"/>
                <w:sz w:val="14"/>
                <w:szCs w:val="14"/>
                <w:b w:val="1"/>
                <w:bCs w:val="1"/>
                <w:color w:val="FFFFFF"/>
              </w:rPr>
              <w:t>Incentive</w:t>
            </w:r>
          </w:p>
        </w:tc>
        <w:tc>
          <w:tcPr>
            <w:tcW w:w="0" w:type="dxa"/>
            <w:vAlign w:val="bottom"/>
          </w:tcPr>
          <w:p>
            <w:pPr>
              <w:spacing w:after="0"/>
              <w:rPr>
                <w:sz w:val="1"/>
                <w:szCs w:val="1"/>
                <w:color w:val="auto"/>
              </w:rPr>
            </w:pPr>
          </w:p>
        </w:tc>
      </w:tr>
      <w:tr>
        <w:trPr>
          <w:trHeight w:val="162"/>
        </w:trPr>
        <w:tc>
          <w:tcPr>
            <w:tcW w:w="2300" w:type="dxa"/>
            <w:vAlign w:val="bottom"/>
            <w:shd w:val="clear" w:color="auto" w:fill="0071CE"/>
          </w:tcPr>
          <w:p>
            <w:pPr>
              <w:spacing w:after="0"/>
              <w:rPr>
                <w:sz w:val="14"/>
                <w:szCs w:val="14"/>
                <w:color w:val="auto"/>
              </w:rPr>
            </w:pPr>
          </w:p>
        </w:tc>
        <w:tc>
          <w:tcPr>
            <w:tcW w:w="940" w:type="dxa"/>
            <w:vAlign w:val="bottom"/>
            <w:shd w:val="clear" w:color="auto" w:fill="0071CE"/>
          </w:tcPr>
          <w:p>
            <w:pPr>
              <w:spacing w:after="0"/>
              <w:rPr>
                <w:sz w:val="14"/>
                <w:szCs w:val="14"/>
                <w:color w:val="auto"/>
              </w:rPr>
            </w:pPr>
          </w:p>
        </w:tc>
        <w:tc>
          <w:tcPr>
            <w:tcW w:w="1040" w:type="dxa"/>
            <w:vAlign w:val="bottom"/>
            <w:shd w:val="clear" w:color="auto" w:fill="0071CE"/>
          </w:tcPr>
          <w:p>
            <w:pPr>
              <w:spacing w:after="0"/>
              <w:rPr>
                <w:sz w:val="14"/>
                <w:szCs w:val="14"/>
                <w:color w:val="auto"/>
              </w:rPr>
            </w:pPr>
          </w:p>
        </w:tc>
        <w:tc>
          <w:tcPr>
            <w:tcW w:w="1260" w:type="dxa"/>
            <w:vAlign w:val="bottom"/>
            <w:shd w:val="clear" w:color="auto" w:fill="0071CE"/>
          </w:tcPr>
          <w:p>
            <w:pPr>
              <w:spacing w:after="0"/>
              <w:rPr>
                <w:sz w:val="14"/>
                <w:szCs w:val="14"/>
                <w:color w:val="auto"/>
              </w:rPr>
            </w:pPr>
          </w:p>
        </w:tc>
        <w:tc>
          <w:tcPr>
            <w:tcW w:w="800" w:type="dxa"/>
            <w:vAlign w:val="bottom"/>
            <w:shd w:val="clear" w:color="auto" w:fill="0071CE"/>
          </w:tcPr>
          <w:p>
            <w:pPr>
              <w:spacing w:after="0"/>
              <w:rPr>
                <w:sz w:val="14"/>
                <w:szCs w:val="14"/>
                <w:color w:val="auto"/>
              </w:rPr>
            </w:pPr>
          </w:p>
        </w:tc>
        <w:tc>
          <w:tcPr>
            <w:tcW w:w="1020" w:type="dxa"/>
            <w:vAlign w:val="bottom"/>
            <w:shd w:val="clear" w:color="auto" w:fill="0071CE"/>
          </w:tcPr>
          <w:p>
            <w:pPr>
              <w:spacing w:after="0"/>
              <w:rPr>
                <w:sz w:val="14"/>
                <w:szCs w:val="14"/>
                <w:color w:val="auto"/>
              </w:rPr>
            </w:pPr>
          </w:p>
        </w:tc>
        <w:tc>
          <w:tcPr>
            <w:tcW w:w="840" w:type="dxa"/>
            <w:vAlign w:val="bottom"/>
            <w:shd w:val="clear" w:color="auto" w:fill="0071CE"/>
          </w:tcPr>
          <w:p>
            <w:pPr>
              <w:spacing w:after="0"/>
              <w:rPr>
                <w:sz w:val="14"/>
                <w:szCs w:val="14"/>
                <w:color w:val="auto"/>
              </w:rPr>
            </w:pPr>
          </w:p>
        </w:tc>
        <w:tc>
          <w:tcPr>
            <w:tcW w:w="880" w:type="dxa"/>
            <w:vAlign w:val="bottom"/>
            <w:shd w:val="clear" w:color="auto" w:fill="0071CE"/>
          </w:tcPr>
          <w:p>
            <w:pPr>
              <w:spacing w:after="0"/>
              <w:rPr>
                <w:sz w:val="14"/>
                <w:szCs w:val="14"/>
                <w:color w:val="auto"/>
              </w:rPr>
            </w:pPr>
          </w:p>
        </w:tc>
        <w:tc>
          <w:tcPr>
            <w:tcW w:w="9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Equity</w:t>
            </w:r>
          </w:p>
        </w:tc>
        <w:tc>
          <w:tcPr>
            <w:tcW w:w="1000" w:type="dxa"/>
            <w:vAlign w:val="bottom"/>
            <w:gridSpan w:val="2"/>
            <w:shd w:val="clear" w:color="auto" w:fill="0071CE"/>
          </w:tcPr>
          <w:p>
            <w:pPr>
              <w:jc w:val="center"/>
              <w:ind w:right="20"/>
              <w:spacing w:after="0"/>
              <w:rPr>
                <w:sz w:val="20"/>
                <w:szCs w:val="20"/>
                <w:color w:val="auto"/>
              </w:rPr>
            </w:pPr>
            <w:r>
              <w:rPr>
                <w:rFonts w:ascii="Arial" w:cs="Arial" w:eastAsia="Arial" w:hAnsi="Arial"/>
                <w:sz w:val="14"/>
                <w:szCs w:val="14"/>
                <w:b w:val="1"/>
                <w:bCs w:val="1"/>
                <w:color w:val="FFFFFF"/>
              </w:rPr>
              <w:t>Plan</w:t>
            </w:r>
          </w:p>
        </w:tc>
        <w:tc>
          <w:tcPr>
            <w:tcW w:w="0" w:type="dxa"/>
            <w:vAlign w:val="bottom"/>
          </w:tcPr>
          <w:p>
            <w:pPr>
              <w:spacing w:after="0"/>
              <w:rPr>
                <w:sz w:val="1"/>
                <w:szCs w:val="1"/>
                <w:color w:val="auto"/>
              </w:rPr>
            </w:pPr>
          </w:p>
        </w:tc>
      </w:tr>
      <w:tr>
        <w:trPr>
          <w:trHeight w:val="162"/>
        </w:trPr>
        <w:tc>
          <w:tcPr>
            <w:tcW w:w="2300" w:type="dxa"/>
            <w:vAlign w:val="bottom"/>
            <w:shd w:val="clear" w:color="auto" w:fill="0071CE"/>
          </w:tcPr>
          <w:p>
            <w:pPr>
              <w:spacing w:after="0"/>
              <w:rPr>
                <w:sz w:val="14"/>
                <w:szCs w:val="14"/>
                <w:color w:val="auto"/>
              </w:rPr>
            </w:pPr>
          </w:p>
        </w:tc>
        <w:tc>
          <w:tcPr>
            <w:tcW w:w="940" w:type="dxa"/>
            <w:vAlign w:val="bottom"/>
            <w:shd w:val="clear" w:color="auto" w:fill="0071CE"/>
          </w:tcPr>
          <w:p>
            <w:pPr>
              <w:spacing w:after="0"/>
              <w:rPr>
                <w:sz w:val="14"/>
                <w:szCs w:val="14"/>
                <w:color w:val="auto"/>
              </w:rPr>
            </w:pPr>
          </w:p>
        </w:tc>
        <w:tc>
          <w:tcPr>
            <w:tcW w:w="1040" w:type="dxa"/>
            <w:vAlign w:val="bottom"/>
            <w:shd w:val="clear" w:color="auto" w:fill="0071CE"/>
          </w:tcPr>
          <w:p>
            <w:pPr>
              <w:spacing w:after="0"/>
              <w:rPr>
                <w:sz w:val="14"/>
                <w:szCs w:val="14"/>
                <w:color w:val="auto"/>
              </w:rPr>
            </w:pPr>
          </w:p>
        </w:tc>
        <w:tc>
          <w:tcPr>
            <w:tcW w:w="1260" w:type="dxa"/>
            <w:vAlign w:val="bottom"/>
            <w:shd w:val="clear" w:color="auto" w:fill="0071CE"/>
          </w:tcPr>
          <w:p>
            <w:pPr>
              <w:spacing w:after="0"/>
              <w:rPr>
                <w:sz w:val="14"/>
                <w:szCs w:val="14"/>
                <w:color w:val="auto"/>
              </w:rPr>
            </w:pPr>
          </w:p>
        </w:tc>
        <w:tc>
          <w:tcPr>
            <w:tcW w:w="800" w:type="dxa"/>
            <w:vAlign w:val="bottom"/>
            <w:shd w:val="clear" w:color="auto" w:fill="0071CE"/>
          </w:tcPr>
          <w:p>
            <w:pPr>
              <w:spacing w:after="0"/>
              <w:rPr>
                <w:sz w:val="14"/>
                <w:szCs w:val="14"/>
                <w:color w:val="auto"/>
              </w:rPr>
            </w:pPr>
          </w:p>
        </w:tc>
        <w:tc>
          <w:tcPr>
            <w:tcW w:w="1020" w:type="dxa"/>
            <w:vAlign w:val="bottom"/>
            <w:shd w:val="clear" w:color="auto" w:fill="0071CE"/>
          </w:tcPr>
          <w:p>
            <w:pPr>
              <w:spacing w:after="0"/>
              <w:rPr>
                <w:sz w:val="14"/>
                <w:szCs w:val="14"/>
                <w:color w:val="auto"/>
              </w:rPr>
            </w:pPr>
          </w:p>
        </w:tc>
        <w:tc>
          <w:tcPr>
            <w:tcW w:w="840" w:type="dxa"/>
            <w:vAlign w:val="bottom"/>
            <w:shd w:val="clear" w:color="auto" w:fill="0071CE"/>
          </w:tcPr>
          <w:p>
            <w:pPr>
              <w:spacing w:after="0"/>
              <w:rPr>
                <w:sz w:val="14"/>
                <w:szCs w:val="14"/>
                <w:color w:val="auto"/>
              </w:rPr>
            </w:pPr>
          </w:p>
        </w:tc>
        <w:tc>
          <w:tcPr>
            <w:tcW w:w="880" w:type="dxa"/>
            <w:vAlign w:val="bottom"/>
            <w:shd w:val="clear" w:color="auto" w:fill="0071CE"/>
          </w:tcPr>
          <w:p>
            <w:pPr>
              <w:spacing w:after="0"/>
              <w:rPr>
                <w:sz w:val="14"/>
                <w:szCs w:val="14"/>
                <w:color w:val="auto"/>
              </w:rPr>
            </w:pPr>
          </w:p>
        </w:tc>
        <w:tc>
          <w:tcPr>
            <w:tcW w:w="9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Incentive</w:t>
            </w:r>
          </w:p>
        </w:tc>
        <w:tc>
          <w:tcPr>
            <w:tcW w:w="1000" w:type="dxa"/>
            <w:vAlign w:val="bottom"/>
            <w:gridSpan w:val="2"/>
            <w:shd w:val="clear" w:color="auto" w:fill="0071CE"/>
          </w:tcPr>
          <w:p>
            <w:pPr>
              <w:jc w:val="center"/>
              <w:ind w:right="40"/>
              <w:spacing w:after="0"/>
              <w:rPr>
                <w:sz w:val="20"/>
                <w:szCs w:val="20"/>
                <w:color w:val="auto"/>
              </w:rPr>
            </w:pPr>
            <w:r>
              <w:rPr>
                <w:rFonts w:ascii="Arial" w:cs="Arial" w:eastAsia="Arial" w:hAnsi="Arial"/>
                <w:sz w:val="14"/>
                <w:szCs w:val="14"/>
                <w:b w:val="1"/>
                <w:bCs w:val="1"/>
                <w:color w:val="FFFFFF"/>
              </w:rPr>
              <w:t>Awards:</w:t>
            </w:r>
          </w:p>
        </w:tc>
        <w:tc>
          <w:tcPr>
            <w:tcW w:w="0" w:type="dxa"/>
            <w:vAlign w:val="bottom"/>
          </w:tcPr>
          <w:p>
            <w:pPr>
              <w:spacing w:after="0"/>
              <w:rPr>
                <w:sz w:val="1"/>
                <w:szCs w:val="1"/>
                <w:color w:val="auto"/>
              </w:rPr>
            </w:pPr>
          </w:p>
        </w:tc>
      </w:tr>
      <w:tr>
        <w:trPr>
          <w:trHeight w:val="162"/>
        </w:trPr>
        <w:tc>
          <w:tcPr>
            <w:tcW w:w="2300" w:type="dxa"/>
            <w:vAlign w:val="bottom"/>
            <w:shd w:val="clear" w:color="auto" w:fill="0071CE"/>
          </w:tcPr>
          <w:p>
            <w:pPr>
              <w:spacing w:after="0"/>
              <w:rPr>
                <w:sz w:val="14"/>
                <w:szCs w:val="14"/>
                <w:color w:val="auto"/>
              </w:rPr>
            </w:pPr>
          </w:p>
        </w:tc>
        <w:tc>
          <w:tcPr>
            <w:tcW w:w="940" w:type="dxa"/>
            <w:vAlign w:val="bottom"/>
            <w:shd w:val="clear" w:color="auto" w:fill="0071CE"/>
          </w:tcPr>
          <w:p>
            <w:pPr>
              <w:spacing w:after="0"/>
              <w:rPr>
                <w:sz w:val="14"/>
                <w:szCs w:val="14"/>
                <w:color w:val="auto"/>
              </w:rPr>
            </w:pPr>
          </w:p>
        </w:tc>
        <w:tc>
          <w:tcPr>
            <w:tcW w:w="1040" w:type="dxa"/>
            <w:vAlign w:val="bottom"/>
            <w:shd w:val="clear" w:color="auto" w:fill="0071CE"/>
          </w:tcPr>
          <w:p>
            <w:pPr>
              <w:spacing w:after="0"/>
              <w:rPr>
                <w:sz w:val="14"/>
                <w:szCs w:val="14"/>
                <w:color w:val="auto"/>
              </w:rPr>
            </w:pPr>
          </w:p>
        </w:tc>
        <w:tc>
          <w:tcPr>
            <w:tcW w:w="1260" w:type="dxa"/>
            <w:vAlign w:val="bottom"/>
            <w:shd w:val="clear" w:color="auto" w:fill="0071CE"/>
          </w:tcPr>
          <w:p>
            <w:pPr>
              <w:spacing w:after="0"/>
              <w:rPr>
                <w:sz w:val="14"/>
                <w:szCs w:val="14"/>
                <w:color w:val="auto"/>
              </w:rPr>
            </w:pPr>
          </w:p>
        </w:tc>
        <w:tc>
          <w:tcPr>
            <w:tcW w:w="800" w:type="dxa"/>
            <w:vAlign w:val="bottom"/>
            <w:shd w:val="clear" w:color="auto" w:fill="0071CE"/>
          </w:tcPr>
          <w:p>
            <w:pPr>
              <w:spacing w:after="0"/>
              <w:rPr>
                <w:sz w:val="14"/>
                <w:szCs w:val="14"/>
                <w:color w:val="auto"/>
              </w:rPr>
            </w:pPr>
          </w:p>
        </w:tc>
        <w:tc>
          <w:tcPr>
            <w:tcW w:w="1020" w:type="dxa"/>
            <w:vAlign w:val="bottom"/>
            <w:shd w:val="clear" w:color="auto" w:fill="0071CE"/>
          </w:tcPr>
          <w:p>
            <w:pPr>
              <w:spacing w:after="0"/>
              <w:rPr>
                <w:sz w:val="14"/>
                <w:szCs w:val="14"/>
                <w:color w:val="auto"/>
              </w:rPr>
            </w:pPr>
          </w:p>
        </w:tc>
        <w:tc>
          <w:tcPr>
            <w:tcW w:w="840" w:type="dxa"/>
            <w:vAlign w:val="bottom"/>
            <w:shd w:val="clear" w:color="auto" w:fill="0071CE"/>
          </w:tcPr>
          <w:p>
            <w:pPr>
              <w:spacing w:after="0"/>
              <w:rPr>
                <w:sz w:val="14"/>
                <w:szCs w:val="14"/>
                <w:color w:val="auto"/>
              </w:rPr>
            </w:pPr>
          </w:p>
        </w:tc>
        <w:tc>
          <w:tcPr>
            <w:tcW w:w="880" w:type="dxa"/>
            <w:vAlign w:val="bottom"/>
            <w:shd w:val="clear" w:color="auto" w:fill="0071CE"/>
          </w:tcPr>
          <w:p>
            <w:pPr>
              <w:spacing w:after="0"/>
              <w:rPr>
                <w:sz w:val="14"/>
                <w:szCs w:val="14"/>
                <w:color w:val="auto"/>
              </w:rPr>
            </w:pPr>
          </w:p>
        </w:tc>
        <w:tc>
          <w:tcPr>
            <w:tcW w:w="9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Plan</w:t>
            </w:r>
          </w:p>
        </w:tc>
        <w:tc>
          <w:tcPr>
            <w:tcW w:w="1000" w:type="dxa"/>
            <w:vAlign w:val="bottom"/>
            <w:gridSpan w:val="2"/>
            <w:shd w:val="clear" w:color="auto" w:fill="0071CE"/>
          </w:tcPr>
          <w:p>
            <w:pPr>
              <w:jc w:val="center"/>
              <w:ind w:right="20"/>
              <w:spacing w:after="0"/>
              <w:rPr>
                <w:sz w:val="20"/>
                <w:szCs w:val="20"/>
                <w:color w:val="auto"/>
              </w:rPr>
            </w:pPr>
            <w:r>
              <w:rPr>
                <w:rFonts w:ascii="Arial" w:cs="Arial" w:eastAsia="Arial" w:hAnsi="Arial"/>
                <w:sz w:val="14"/>
                <w:szCs w:val="14"/>
                <w:b w:val="1"/>
                <w:bCs w:val="1"/>
                <w:color w:val="FFFFFF"/>
              </w:rPr>
              <w:t>Market</w:t>
            </w:r>
          </w:p>
        </w:tc>
        <w:tc>
          <w:tcPr>
            <w:tcW w:w="0" w:type="dxa"/>
            <w:vAlign w:val="bottom"/>
          </w:tcPr>
          <w:p>
            <w:pPr>
              <w:spacing w:after="0"/>
              <w:rPr>
                <w:sz w:val="1"/>
                <w:szCs w:val="1"/>
                <w:color w:val="auto"/>
              </w:rPr>
            </w:pPr>
          </w:p>
        </w:tc>
      </w:tr>
      <w:tr>
        <w:trPr>
          <w:trHeight w:val="162"/>
        </w:trPr>
        <w:tc>
          <w:tcPr>
            <w:tcW w:w="2300" w:type="dxa"/>
            <w:vAlign w:val="bottom"/>
            <w:shd w:val="clear" w:color="auto" w:fill="0071CE"/>
          </w:tcPr>
          <w:p>
            <w:pPr>
              <w:spacing w:after="0"/>
              <w:rPr>
                <w:sz w:val="14"/>
                <w:szCs w:val="14"/>
                <w:color w:val="auto"/>
              </w:rPr>
            </w:pPr>
          </w:p>
        </w:tc>
        <w:tc>
          <w:tcPr>
            <w:tcW w:w="940" w:type="dxa"/>
            <w:vAlign w:val="bottom"/>
            <w:shd w:val="clear" w:color="auto" w:fill="0071CE"/>
          </w:tcPr>
          <w:p>
            <w:pPr>
              <w:spacing w:after="0"/>
              <w:rPr>
                <w:sz w:val="14"/>
                <w:szCs w:val="14"/>
                <w:color w:val="auto"/>
              </w:rPr>
            </w:pPr>
          </w:p>
        </w:tc>
        <w:tc>
          <w:tcPr>
            <w:tcW w:w="1040" w:type="dxa"/>
            <w:vAlign w:val="bottom"/>
            <w:shd w:val="clear" w:color="auto" w:fill="0071CE"/>
          </w:tcPr>
          <w:p>
            <w:pPr>
              <w:spacing w:after="0"/>
              <w:rPr>
                <w:sz w:val="14"/>
                <w:szCs w:val="14"/>
                <w:color w:val="auto"/>
              </w:rPr>
            </w:pPr>
          </w:p>
        </w:tc>
        <w:tc>
          <w:tcPr>
            <w:tcW w:w="1260" w:type="dxa"/>
            <w:vAlign w:val="bottom"/>
            <w:shd w:val="clear" w:color="auto" w:fill="0071CE"/>
          </w:tcPr>
          <w:p>
            <w:pPr>
              <w:spacing w:after="0"/>
              <w:rPr>
                <w:sz w:val="14"/>
                <w:szCs w:val="14"/>
                <w:color w:val="auto"/>
              </w:rPr>
            </w:pPr>
          </w:p>
        </w:tc>
        <w:tc>
          <w:tcPr>
            <w:tcW w:w="800" w:type="dxa"/>
            <w:vAlign w:val="bottom"/>
            <w:shd w:val="clear" w:color="auto" w:fill="0071CE"/>
          </w:tcPr>
          <w:p>
            <w:pPr>
              <w:spacing w:after="0"/>
              <w:rPr>
                <w:sz w:val="14"/>
                <w:szCs w:val="14"/>
                <w:color w:val="auto"/>
              </w:rPr>
            </w:pPr>
          </w:p>
        </w:tc>
        <w:tc>
          <w:tcPr>
            <w:tcW w:w="1020" w:type="dxa"/>
            <w:vAlign w:val="bottom"/>
            <w:shd w:val="clear" w:color="auto" w:fill="0071CE"/>
          </w:tcPr>
          <w:p>
            <w:pPr>
              <w:spacing w:after="0"/>
              <w:rPr>
                <w:sz w:val="14"/>
                <w:szCs w:val="14"/>
                <w:color w:val="auto"/>
              </w:rPr>
            </w:pPr>
          </w:p>
        </w:tc>
        <w:tc>
          <w:tcPr>
            <w:tcW w:w="840" w:type="dxa"/>
            <w:vAlign w:val="bottom"/>
            <w:shd w:val="clear" w:color="auto" w:fill="0071CE"/>
          </w:tcPr>
          <w:p>
            <w:pPr>
              <w:spacing w:after="0"/>
              <w:rPr>
                <w:sz w:val="14"/>
                <w:szCs w:val="14"/>
                <w:color w:val="auto"/>
              </w:rPr>
            </w:pPr>
          </w:p>
        </w:tc>
        <w:tc>
          <w:tcPr>
            <w:tcW w:w="880" w:type="dxa"/>
            <w:vAlign w:val="bottom"/>
            <w:shd w:val="clear" w:color="auto" w:fill="0071CE"/>
          </w:tcPr>
          <w:p>
            <w:pPr>
              <w:spacing w:after="0"/>
              <w:rPr>
                <w:sz w:val="14"/>
                <w:szCs w:val="14"/>
                <w:color w:val="auto"/>
              </w:rPr>
            </w:pPr>
          </w:p>
        </w:tc>
        <w:tc>
          <w:tcPr>
            <w:tcW w:w="9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Awards:</w:t>
            </w:r>
          </w:p>
        </w:tc>
        <w:tc>
          <w:tcPr>
            <w:tcW w:w="1000" w:type="dxa"/>
            <w:vAlign w:val="bottom"/>
            <w:gridSpan w:val="2"/>
            <w:shd w:val="clear" w:color="auto" w:fill="0071CE"/>
          </w:tcPr>
          <w:p>
            <w:pPr>
              <w:jc w:val="center"/>
              <w:ind w:right="20"/>
              <w:spacing w:after="0"/>
              <w:rPr>
                <w:sz w:val="20"/>
                <w:szCs w:val="20"/>
                <w:color w:val="auto"/>
              </w:rPr>
            </w:pPr>
            <w:r>
              <w:rPr>
                <w:rFonts w:ascii="Arial" w:cs="Arial" w:eastAsia="Arial" w:hAnsi="Arial"/>
                <w:sz w:val="14"/>
                <w:szCs w:val="14"/>
                <w:b w:val="1"/>
                <w:bCs w:val="1"/>
                <w:color w:val="FFFFFF"/>
              </w:rPr>
              <w:t>Value</w:t>
            </w:r>
          </w:p>
        </w:tc>
        <w:tc>
          <w:tcPr>
            <w:tcW w:w="0" w:type="dxa"/>
            <w:vAlign w:val="bottom"/>
          </w:tcPr>
          <w:p>
            <w:pPr>
              <w:spacing w:after="0"/>
              <w:rPr>
                <w:sz w:val="1"/>
                <w:szCs w:val="1"/>
                <w:color w:val="auto"/>
              </w:rPr>
            </w:pPr>
          </w:p>
        </w:tc>
      </w:tr>
      <w:tr>
        <w:trPr>
          <w:trHeight w:val="162"/>
        </w:trPr>
        <w:tc>
          <w:tcPr>
            <w:tcW w:w="2300" w:type="dxa"/>
            <w:vAlign w:val="bottom"/>
            <w:shd w:val="clear" w:color="auto" w:fill="0071CE"/>
          </w:tcPr>
          <w:p>
            <w:pPr>
              <w:spacing w:after="0"/>
              <w:rPr>
                <w:sz w:val="14"/>
                <w:szCs w:val="14"/>
                <w:color w:val="auto"/>
              </w:rPr>
            </w:pPr>
          </w:p>
        </w:tc>
        <w:tc>
          <w:tcPr>
            <w:tcW w:w="940" w:type="dxa"/>
            <w:vAlign w:val="bottom"/>
            <w:shd w:val="clear" w:color="auto" w:fill="0071CE"/>
          </w:tcPr>
          <w:p>
            <w:pPr>
              <w:spacing w:after="0"/>
              <w:rPr>
                <w:sz w:val="14"/>
                <w:szCs w:val="14"/>
                <w:color w:val="auto"/>
              </w:rPr>
            </w:pPr>
          </w:p>
        </w:tc>
        <w:tc>
          <w:tcPr>
            <w:tcW w:w="1040" w:type="dxa"/>
            <w:vAlign w:val="bottom"/>
            <w:shd w:val="clear" w:color="auto" w:fill="0071CE"/>
          </w:tcPr>
          <w:p>
            <w:pPr>
              <w:spacing w:after="0"/>
              <w:rPr>
                <w:sz w:val="14"/>
                <w:szCs w:val="14"/>
                <w:color w:val="auto"/>
              </w:rPr>
            </w:pPr>
          </w:p>
        </w:tc>
        <w:tc>
          <w:tcPr>
            <w:tcW w:w="1260" w:type="dxa"/>
            <w:vAlign w:val="bottom"/>
            <w:shd w:val="clear" w:color="auto" w:fill="0071CE"/>
          </w:tcPr>
          <w:p>
            <w:pPr>
              <w:spacing w:after="0"/>
              <w:rPr>
                <w:sz w:val="14"/>
                <w:szCs w:val="14"/>
                <w:color w:val="auto"/>
              </w:rPr>
            </w:pPr>
          </w:p>
        </w:tc>
        <w:tc>
          <w:tcPr>
            <w:tcW w:w="800" w:type="dxa"/>
            <w:vAlign w:val="bottom"/>
            <w:shd w:val="clear" w:color="auto" w:fill="0071CE"/>
          </w:tcPr>
          <w:p>
            <w:pPr>
              <w:spacing w:after="0"/>
              <w:rPr>
                <w:sz w:val="14"/>
                <w:szCs w:val="14"/>
                <w:color w:val="auto"/>
              </w:rPr>
            </w:pPr>
          </w:p>
        </w:tc>
        <w:tc>
          <w:tcPr>
            <w:tcW w:w="1020" w:type="dxa"/>
            <w:vAlign w:val="bottom"/>
            <w:shd w:val="clear" w:color="auto" w:fill="0071CE"/>
          </w:tcPr>
          <w:p>
            <w:pPr>
              <w:spacing w:after="0"/>
              <w:rPr>
                <w:sz w:val="14"/>
                <w:szCs w:val="14"/>
                <w:color w:val="auto"/>
              </w:rPr>
            </w:pPr>
          </w:p>
        </w:tc>
        <w:tc>
          <w:tcPr>
            <w:tcW w:w="840" w:type="dxa"/>
            <w:vAlign w:val="bottom"/>
            <w:shd w:val="clear" w:color="auto" w:fill="0071CE"/>
          </w:tcPr>
          <w:p>
            <w:pPr>
              <w:spacing w:after="0"/>
              <w:rPr>
                <w:sz w:val="14"/>
                <w:szCs w:val="14"/>
                <w:color w:val="auto"/>
              </w:rPr>
            </w:pPr>
          </w:p>
        </w:tc>
        <w:tc>
          <w:tcPr>
            <w:tcW w:w="8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Market</w:t>
            </w:r>
          </w:p>
        </w:tc>
        <w:tc>
          <w:tcPr>
            <w:tcW w:w="9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Number of</w:t>
            </w:r>
          </w:p>
        </w:tc>
        <w:tc>
          <w:tcPr>
            <w:tcW w:w="1000" w:type="dxa"/>
            <w:vAlign w:val="bottom"/>
            <w:gridSpan w:val="2"/>
            <w:shd w:val="clear" w:color="auto" w:fill="0071CE"/>
          </w:tcPr>
          <w:p>
            <w:pPr>
              <w:jc w:val="center"/>
              <w:ind w:right="20"/>
              <w:spacing w:after="0"/>
              <w:rPr>
                <w:sz w:val="20"/>
                <w:szCs w:val="20"/>
                <w:color w:val="auto"/>
              </w:rPr>
            </w:pPr>
            <w:r>
              <w:rPr>
                <w:rFonts w:ascii="Arial" w:cs="Arial" w:eastAsia="Arial" w:hAnsi="Arial"/>
                <w:sz w:val="14"/>
                <w:szCs w:val="14"/>
                <w:b w:val="1"/>
                <w:bCs w:val="1"/>
                <w:color w:val="FFFFFF"/>
              </w:rPr>
              <w:t>of</w:t>
            </w:r>
          </w:p>
        </w:tc>
        <w:tc>
          <w:tcPr>
            <w:tcW w:w="0" w:type="dxa"/>
            <w:vAlign w:val="bottom"/>
          </w:tcPr>
          <w:p>
            <w:pPr>
              <w:spacing w:after="0"/>
              <w:rPr>
                <w:sz w:val="1"/>
                <w:szCs w:val="1"/>
                <w:color w:val="auto"/>
              </w:rPr>
            </w:pPr>
          </w:p>
        </w:tc>
      </w:tr>
      <w:tr>
        <w:trPr>
          <w:trHeight w:val="162"/>
        </w:trPr>
        <w:tc>
          <w:tcPr>
            <w:tcW w:w="2300" w:type="dxa"/>
            <w:vAlign w:val="bottom"/>
            <w:shd w:val="clear" w:color="auto" w:fill="0071CE"/>
          </w:tcPr>
          <w:p>
            <w:pPr>
              <w:spacing w:after="0"/>
              <w:rPr>
                <w:sz w:val="14"/>
                <w:szCs w:val="14"/>
                <w:color w:val="auto"/>
              </w:rPr>
            </w:pPr>
          </w:p>
        </w:tc>
        <w:tc>
          <w:tcPr>
            <w:tcW w:w="940" w:type="dxa"/>
            <w:vAlign w:val="bottom"/>
            <w:shd w:val="clear" w:color="auto" w:fill="0071CE"/>
          </w:tcPr>
          <w:p>
            <w:pPr>
              <w:spacing w:after="0"/>
              <w:rPr>
                <w:sz w:val="14"/>
                <w:szCs w:val="14"/>
                <w:color w:val="auto"/>
              </w:rPr>
            </w:pPr>
          </w:p>
        </w:tc>
        <w:tc>
          <w:tcPr>
            <w:tcW w:w="1040" w:type="dxa"/>
            <w:vAlign w:val="bottom"/>
            <w:shd w:val="clear" w:color="auto" w:fill="0071CE"/>
          </w:tcPr>
          <w:p>
            <w:pPr>
              <w:spacing w:after="0"/>
              <w:rPr>
                <w:sz w:val="14"/>
                <w:szCs w:val="14"/>
                <w:color w:val="auto"/>
              </w:rPr>
            </w:pPr>
          </w:p>
        </w:tc>
        <w:tc>
          <w:tcPr>
            <w:tcW w:w="1260" w:type="dxa"/>
            <w:vAlign w:val="bottom"/>
            <w:shd w:val="clear" w:color="auto" w:fill="0071CE"/>
          </w:tcPr>
          <w:p>
            <w:pPr>
              <w:spacing w:after="0"/>
              <w:rPr>
                <w:sz w:val="14"/>
                <w:szCs w:val="14"/>
                <w:color w:val="auto"/>
              </w:rPr>
            </w:pPr>
          </w:p>
        </w:tc>
        <w:tc>
          <w:tcPr>
            <w:tcW w:w="800" w:type="dxa"/>
            <w:vAlign w:val="bottom"/>
            <w:shd w:val="clear" w:color="auto" w:fill="0071CE"/>
          </w:tcPr>
          <w:p>
            <w:pPr>
              <w:spacing w:after="0"/>
              <w:rPr>
                <w:sz w:val="14"/>
                <w:szCs w:val="14"/>
                <w:color w:val="auto"/>
              </w:rPr>
            </w:pPr>
          </w:p>
        </w:tc>
        <w:tc>
          <w:tcPr>
            <w:tcW w:w="1020" w:type="dxa"/>
            <w:vAlign w:val="bottom"/>
            <w:shd w:val="clear" w:color="auto" w:fill="0071CE"/>
          </w:tcPr>
          <w:p>
            <w:pPr>
              <w:spacing w:after="0"/>
              <w:rPr>
                <w:sz w:val="14"/>
                <w:szCs w:val="14"/>
                <w:color w:val="auto"/>
              </w:rPr>
            </w:pPr>
          </w:p>
        </w:tc>
        <w:tc>
          <w:tcPr>
            <w:tcW w:w="840" w:type="dxa"/>
            <w:vAlign w:val="bottom"/>
            <w:shd w:val="clear" w:color="auto" w:fill="0071CE"/>
          </w:tcPr>
          <w:p>
            <w:pPr>
              <w:spacing w:after="0"/>
              <w:rPr>
                <w:sz w:val="14"/>
                <w:szCs w:val="14"/>
                <w:color w:val="auto"/>
              </w:rPr>
            </w:pPr>
          </w:p>
        </w:tc>
        <w:tc>
          <w:tcPr>
            <w:tcW w:w="8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w w:val="99"/>
              </w:rPr>
              <w:t>Value of</w:t>
            </w:r>
          </w:p>
        </w:tc>
        <w:tc>
          <w:tcPr>
            <w:tcW w:w="9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Unearned</w:t>
            </w:r>
          </w:p>
        </w:tc>
        <w:tc>
          <w:tcPr>
            <w:tcW w:w="1000" w:type="dxa"/>
            <w:vAlign w:val="bottom"/>
            <w:gridSpan w:val="2"/>
            <w:shd w:val="clear" w:color="auto" w:fill="0071CE"/>
          </w:tcPr>
          <w:p>
            <w:pPr>
              <w:jc w:val="center"/>
              <w:ind w:right="20"/>
              <w:spacing w:after="0"/>
              <w:rPr>
                <w:sz w:val="20"/>
                <w:szCs w:val="20"/>
                <w:color w:val="auto"/>
              </w:rPr>
            </w:pPr>
            <w:r>
              <w:rPr>
                <w:rFonts w:ascii="Arial" w:cs="Arial" w:eastAsia="Arial" w:hAnsi="Arial"/>
                <w:sz w:val="14"/>
                <w:szCs w:val="14"/>
                <w:b w:val="1"/>
                <w:bCs w:val="1"/>
                <w:color w:val="FFFFFF"/>
              </w:rPr>
              <w:t>Unearned</w:t>
            </w:r>
          </w:p>
        </w:tc>
        <w:tc>
          <w:tcPr>
            <w:tcW w:w="0" w:type="dxa"/>
            <w:vAlign w:val="bottom"/>
          </w:tcPr>
          <w:p>
            <w:pPr>
              <w:spacing w:after="0"/>
              <w:rPr>
                <w:sz w:val="1"/>
                <w:szCs w:val="1"/>
                <w:color w:val="auto"/>
              </w:rPr>
            </w:pPr>
          </w:p>
        </w:tc>
      </w:tr>
      <w:tr>
        <w:trPr>
          <w:trHeight w:val="162"/>
        </w:trPr>
        <w:tc>
          <w:tcPr>
            <w:tcW w:w="2300" w:type="dxa"/>
            <w:vAlign w:val="bottom"/>
            <w:shd w:val="clear" w:color="auto" w:fill="0071CE"/>
          </w:tcPr>
          <w:p>
            <w:pPr>
              <w:spacing w:after="0"/>
              <w:rPr>
                <w:sz w:val="14"/>
                <w:szCs w:val="14"/>
                <w:color w:val="auto"/>
              </w:rPr>
            </w:pPr>
          </w:p>
        </w:tc>
        <w:tc>
          <w:tcPr>
            <w:tcW w:w="940" w:type="dxa"/>
            <w:vAlign w:val="bottom"/>
            <w:shd w:val="clear" w:color="auto" w:fill="0071CE"/>
          </w:tcPr>
          <w:p>
            <w:pPr>
              <w:spacing w:after="0"/>
              <w:rPr>
                <w:sz w:val="14"/>
                <w:szCs w:val="14"/>
                <w:color w:val="auto"/>
              </w:rPr>
            </w:pPr>
          </w:p>
        </w:tc>
        <w:tc>
          <w:tcPr>
            <w:tcW w:w="1040" w:type="dxa"/>
            <w:vAlign w:val="bottom"/>
            <w:shd w:val="clear" w:color="auto" w:fill="0071CE"/>
          </w:tcPr>
          <w:p>
            <w:pPr>
              <w:spacing w:after="0"/>
              <w:rPr>
                <w:sz w:val="14"/>
                <w:szCs w:val="14"/>
                <w:color w:val="auto"/>
              </w:rPr>
            </w:pPr>
          </w:p>
        </w:tc>
        <w:tc>
          <w:tcPr>
            <w:tcW w:w="1260" w:type="dxa"/>
            <w:vAlign w:val="bottom"/>
            <w:shd w:val="clear" w:color="auto" w:fill="0071CE"/>
          </w:tcPr>
          <w:p>
            <w:pPr>
              <w:spacing w:after="0"/>
              <w:rPr>
                <w:sz w:val="14"/>
                <w:szCs w:val="14"/>
                <w:color w:val="auto"/>
              </w:rPr>
            </w:pPr>
          </w:p>
        </w:tc>
        <w:tc>
          <w:tcPr>
            <w:tcW w:w="800" w:type="dxa"/>
            <w:vAlign w:val="bottom"/>
            <w:shd w:val="clear" w:color="auto" w:fill="0071CE"/>
          </w:tcPr>
          <w:p>
            <w:pPr>
              <w:spacing w:after="0"/>
              <w:rPr>
                <w:sz w:val="14"/>
                <w:szCs w:val="14"/>
                <w:color w:val="auto"/>
              </w:rPr>
            </w:pPr>
          </w:p>
        </w:tc>
        <w:tc>
          <w:tcPr>
            <w:tcW w:w="1020" w:type="dxa"/>
            <w:vAlign w:val="bottom"/>
            <w:shd w:val="clear" w:color="auto" w:fill="0071CE"/>
          </w:tcPr>
          <w:p>
            <w:pPr>
              <w:spacing w:after="0"/>
              <w:rPr>
                <w:sz w:val="14"/>
                <w:szCs w:val="14"/>
                <w:color w:val="auto"/>
              </w:rPr>
            </w:pPr>
          </w:p>
        </w:tc>
        <w:tc>
          <w:tcPr>
            <w:tcW w:w="840" w:type="dxa"/>
            <w:vAlign w:val="bottom"/>
            <w:shd w:val="clear" w:color="auto" w:fill="0071CE"/>
          </w:tcPr>
          <w:p>
            <w:pPr>
              <w:jc w:val="center"/>
              <w:ind w:right="8"/>
              <w:spacing w:after="0"/>
              <w:rPr>
                <w:sz w:val="20"/>
                <w:szCs w:val="20"/>
                <w:color w:val="auto"/>
              </w:rPr>
            </w:pPr>
            <w:r>
              <w:rPr>
                <w:rFonts w:ascii="Arial" w:cs="Arial" w:eastAsia="Arial" w:hAnsi="Arial"/>
                <w:sz w:val="14"/>
                <w:szCs w:val="14"/>
                <w:b w:val="1"/>
                <w:bCs w:val="1"/>
                <w:color w:val="FFFFFF"/>
              </w:rPr>
              <w:t>Number of</w:t>
            </w:r>
          </w:p>
        </w:tc>
        <w:tc>
          <w:tcPr>
            <w:tcW w:w="8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Shares or</w:t>
            </w:r>
          </w:p>
        </w:tc>
        <w:tc>
          <w:tcPr>
            <w:tcW w:w="9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Shares or</w:t>
            </w:r>
          </w:p>
        </w:tc>
        <w:tc>
          <w:tcPr>
            <w:tcW w:w="1000" w:type="dxa"/>
            <w:vAlign w:val="bottom"/>
            <w:gridSpan w:val="2"/>
            <w:shd w:val="clear" w:color="auto" w:fill="0071CE"/>
          </w:tcPr>
          <w:p>
            <w:pPr>
              <w:jc w:val="center"/>
              <w:ind w:right="20"/>
              <w:spacing w:after="0"/>
              <w:rPr>
                <w:sz w:val="20"/>
                <w:szCs w:val="20"/>
                <w:color w:val="auto"/>
              </w:rPr>
            </w:pPr>
            <w:r>
              <w:rPr>
                <w:rFonts w:ascii="Arial" w:cs="Arial" w:eastAsia="Arial" w:hAnsi="Arial"/>
                <w:sz w:val="14"/>
                <w:szCs w:val="14"/>
                <w:b w:val="1"/>
                <w:bCs w:val="1"/>
                <w:color w:val="FFFFFF"/>
              </w:rPr>
              <w:t>Shares or</w:t>
            </w:r>
          </w:p>
        </w:tc>
        <w:tc>
          <w:tcPr>
            <w:tcW w:w="0" w:type="dxa"/>
            <w:vAlign w:val="bottom"/>
          </w:tcPr>
          <w:p>
            <w:pPr>
              <w:spacing w:after="0"/>
              <w:rPr>
                <w:sz w:val="1"/>
                <w:szCs w:val="1"/>
                <w:color w:val="auto"/>
              </w:rPr>
            </w:pPr>
          </w:p>
        </w:tc>
      </w:tr>
      <w:tr>
        <w:trPr>
          <w:trHeight w:val="162"/>
        </w:trPr>
        <w:tc>
          <w:tcPr>
            <w:tcW w:w="2300" w:type="dxa"/>
            <w:vAlign w:val="bottom"/>
            <w:shd w:val="clear" w:color="auto" w:fill="0071CE"/>
          </w:tcPr>
          <w:p>
            <w:pPr>
              <w:spacing w:after="0"/>
              <w:rPr>
                <w:sz w:val="14"/>
                <w:szCs w:val="14"/>
                <w:color w:val="auto"/>
              </w:rPr>
            </w:pPr>
          </w:p>
        </w:tc>
        <w:tc>
          <w:tcPr>
            <w:tcW w:w="940" w:type="dxa"/>
            <w:vAlign w:val="bottom"/>
            <w:shd w:val="clear" w:color="auto" w:fill="0071CE"/>
          </w:tcPr>
          <w:p>
            <w:pPr>
              <w:spacing w:after="0"/>
              <w:rPr>
                <w:sz w:val="14"/>
                <w:szCs w:val="14"/>
                <w:color w:val="auto"/>
              </w:rPr>
            </w:pPr>
          </w:p>
        </w:tc>
        <w:tc>
          <w:tcPr>
            <w:tcW w:w="1040" w:type="dxa"/>
            <w:vAlign w:val="bottom"/>
            <w:shd w:val="clear" w:color="auto" w:fill="0071CE"/>
          </w:tcPr>
          <w:p>
            <w:pPr>
              <w:jc w:val="center"/>
              <w:ind w:left="8"/>
              <w:spacing w:after="0"/>
              <w:rPr>
                <w:sz w:val="20"/>
                <w:szCs w:val="20"/>
                <w:color w:val="auto"/>
              </w:rPr>
            </w:pPr>
            <w:r>
              <w:rPr>
                <w:rFonts w:ascii="Arial" w:cs="Arial" w:eastAsia="Arial" w:hAnsi="Arial"/>
                <w:sz w:val="14"/>
                <w:szCs w:val="14"/>
                <w:b w:val="1"/>
                <w:bCs w:val="1"/>
                <w:color w:val="FFFFFF"/>
              </w:rPr>
              <w:t>Number of</w:t>
            </w:r>
          </w:p>
        </w:tc>
        <w:tc>
          <w:tcPr>
            <w:tcW w:w="1260" w:type="dxa"/>
            <w:vAlign w:val="bottom"/>
            <w:shd w:val="clear" w:color="auto" w:fill="0071CE"/>
          </w:tcPr>
          <w:p>
            <w:pPr>
              <w:spacing w:after="0"/>
              <w:rPr>
                <w:sz w:val="14"/>
                <w:szCs w:val="14"/>
                <w:color w:val="auto"/>
              </w:rPr>
            </w:pPr>
          </w:p>
        </w:tc>
        <w:tc>
          <w:tcPr>
            <w:tcW w:w="800" w:type="dxa"/>
            <w:vAlign w:val="bottom"/>
            <w:shd w:val="clear" w:color="auto" w:fill="0071CE"/>
          </w:tcPr>
          <w:p>
            <w:pPr>
              <w:spacing w:after="0"/>
              <w:rPr>
                <w:sz w:val="14"/>
                <w:szCs w:val="14"/>
                <w:color w:val="auto"/>
              </w:rPr>
            </w:pPr>
          </w:p>
        </w:tc>
        <w:tc>
          <w:tcPr>
            <w:tcW w:w="1020" w:type="dxa"/>
            <w:vAlign w:val="bottom"/>
            <w:shd w:val="clear" w:color="auto" w:fill="0071CE"/>
          </w:tcPr>
          <w:p>
            <w:pPr>
              <w:spacing w:after="0"/>
              <w:rPr>
                <w:sz w:val="14"/>
                <w:szCs w:val="14"/>
                <w:color w:val="auto"/>
              </w:rPr>
            </w:pPr>
          </w:p>
        </w:tc>
        <w:tc>
          <w:tcPr>
            <w:tcW w:w="840" w:type="dxa"/>
            <w:vAlign w:val="bottom"/>
            <w:shd w:val="clear" w:color="auto" w:fill="0071CE"/>
          </w:tcPr>
          <w:p>
            <w:pPr>
              <w:jc w:val="center"/>
              <w:ind w:right="28"/>
              <w:spacing w:after="0"/>
              <w:rPr>
                <w:sz w:val="20"/>
                <w:szCs w:val="20"/>
                <w:color w:val="auto"/>
              </w:rPr>
            </w:pPr>
            <w:r>
              <w:rPr>
                <w:rFonts w:ascii="Arial" w:cs="Arial" w:eastAsia="Arial" w:hAnsi="Arial"/>
                <w:sz w:val="14"/>
                <w:szCs w:val="14"/>
                <w:b w:val="1"/>
                <w:bCs w:val="1"/>
                <w:color w:val="FFFFFF"/>
              </w:rPr>
              <w:t>Shares or</w:t>
            </w:r>
          </w:p>
        </w:tc>
        <w:tc>
          <w:tcPr>
            <w:tcW w:w="8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Units of</w:t>
            </w:r>
          </w:p>
        </w:tc>
        <w:tc>
          <w:tcPr>
            <w:tcW w:w="9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Units of</w:t>
            </w:r>
          </w:p>
        </w:tc>
        <w:tc>
          <w:tcPr>
            <w:tcW w:w="1000" w:type="dxa"/>
            <w:vAlign w:val="bottom"/>
            <w:gridSpan w:val="2"/>
            <w:shd w:val="clear" w:color="auto" w:fill="0071CE"/>
          </w:tcPr>
          <w:p>
            <w:pPr>
              <w:jc w:val="center"/>
              <w:ind w:right="20"/>
              <w:spacing w:after="0"/>
              <w:rPr>
                <w:sz w:val="20"/>
                <w:szCs w:val="20"/>
                <w:color w:val="auto"/>
              </w:rPr>
            </w:pPr>
            <w:r>
              <w:rPr>
                <w:rFonts w:ascii="Arial" w:cs="Arial" w:eastAsia="Arial" w:hAnsi="Arial"/>
                <w:sz w:val="14"/>
                <w:szCs w:val="14"/>
                <w:b w:val="1"/>
                <w:bCs w:val="1"/>
                <w:color w:val="FFFFFF"/>
              </w:rPr>
              <w:t>Units of</w:t>
            </w:r>
          </w:p>
        </w:tc>
        <w:tc>
          <w:tcPr>
            <w:tcW w:w="0" w:type="dxa"/>
            <w:vAlign w:val="bottom"/>
          </w:tcPr>
          <w:p>
            <w:pPr>
              <w:spacing w:after="0"/>
              <w:rPr>
                <w:sz w:val="1"/>
                <w:szCs w:val="1"/>
                <w:color w:val="auto"/>
              </w:rPr>
            </w:pPr>
          </w:p>
        </w:tc>
      </w:tr>
      <w:tr>
        <w:trPr>
          <w:trHeight w:val="162"/>
        </w:trPr>
        <w:tc>
          <w:tcPr>
            <w:tcW w:w="2300" w:type="dxa"/>
            <w:vAlign w:val="bottom"/>
            <w:shd w:val="clear" w:color="auto" w:fill="0071CE"/>
          </w:tcPr>
          <w:p>
            <w:pPr>
              <w:spacing w:after="0"/>
              <w:rPr>
                <w:sz w:val="14"/>
                <w:szCs w:val="14"/>
                <w:color w:val="auto"/>
              </w:rPr>
            </w:pPr>
          </w:p>
        </w:tc>
        <w:tc>
          <w:tcPr>
            <w:tcW w:w="940" w:type="dxa"/>
            <w:vAlign w:val="bottom"/>
            <w:shd w:val="clear" w:color="auto" w:fill="0071CE"/>
          </w:tcPr>
          <w:p>
            <w:pPr>
              <w:spacing w:after="0"/>
              <w:rPr>
                <w:sz w:val="14"/>
                <w:szCs w:val="14"/>
                <w:color w:val="auto"/>
              </w:rPr>
            </w:pPr>
          </w:p>
        </w:tc>
        <w:tc>
          <w:tcPr>
            <w:tcW w:w="1040" w:type="dxa"/>
            <w:vAlign w:val="bottom"/>
            <w:shd w:val="clear" w:color="auto" w:fill="0071CE"/>
          </w:tcPr>
          <w:p>
            <w:pPr>
              <w:jc w:val="center"/>
              <w:ind w:left="8"/>
              <w:spacing w:after="0"/>
              <w:rPr>
                <w:sz w:val="20"/>
                <w:szCs w:val="20"/>
                <w:color w:val="auto"/>
              </w:rPr>
            </w:pPr>
            <w:r>
              <w:rPr>
                <w:rFonts w:ascii="Arial" w:cs="Arial" w:eastAsia="Arial" w:hAnsi="Arial"/>
                <w:sz w:val="14"/>
                <w:szCs w:val="14"/>
                <w:b w:val="1"/>
                <w:bCs w:val="1"/>
                <w:color w:val="FFFFFF"/>
              </w:rPr>
              <w:t>Securities</w:t>
            </w:r>
          </w:p>
        </w:tc>
        <w:tc>
          <w:tcPr>
            <w:tcW w:w="126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Number of</w:t>
            </w:r>
          </w:p>
        </w:tc>
        <w:tc>
          <w:tcPr>
            <w:tcW w:w="800" w:type="dxa"/>
            <w:vAlign w:val="bottom"/>
            <w:shd w:val="clear" w:color="auto" w:fill="0071CE"/>
          </w:tcPr>
          <w:p>
            <w:pPr>
              <w:spacing w:after="0"/>
              <w:rPr>
                <w:sz w:val="14"/>
                <w:szCs w:val="14"/>
                <w:color w:val="auto"/>
              </w:rPr>
            </w:pPr>
          </w:p>
        </w:tc>
        <w:tc>
          <w:tcPr>
            <w:tcW w:w="1020" w:type="dxa"/>
            <w:vAlign w:val="bottom"/>
            <w:shd w:val="clear" w:color="auto" w:fill="0071CE"/>
          </w:tcPr>
          <w:p>
            <w:pPr>
              <w:spacing w:after="0"/>
              <w:rPr>
                <w:sz w:val="14"/>
                <w:szCs w:val="14"/>
                <w:color w:val="auto"/>
              </w:rPr>
            </w:pPr>
          </w:p>
        </w:tc>
        <w:tc>
          <w:tcPr>
            <w:tcW w:w="840" w:type="dxa"/>
            <w:vAlign w:val="bottom"/>
            <w:shd w:val="clear" w:color="auto" w:fill="0071CE"/>
          </w:tcPr>
          <w:p>
            <w:pPr>
              <w:jc w:val="center"/>
              <w:ind w:right="28"/>
              <w:spacing w:after="0"/>
              <w:rPr>
                <w:sz w:val="20"/>
                <w:szCs w:val="20"/>
                <w:color w:val="auto"/>
              </w:rPr>
            </w:pPr>
            <w:r>
              <w:rPr>
                <w:rFonts w:ascii="Arial" w:cs="Arial" w:eastAsia="Arial" w:hAnsi="Arial"/>
                <w:sz w:val="14"/>
                <w:szCs w:val="14"/>
                <w:b w:val="1"/>
                <w:bCs w:val="1"/>
                <w:color w:val="FFFFFF"/>
              </w:rPr>
              <w:t>Units of</w:t>
            </w:r>
          </w:p>
        </w:tc>
        <w:tc>
          <w:tcPr>
            <w:tcW w:w="8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w w:val="99"/>
              </w:rPr>
              <w:t>Stock</w:t>
            </w:r>
          </w:p>
        </w:tc>
        <w:tc>
          <w:tcPr>
            <w:tcW w:w="9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w w:val="99"/>
              </w:rPr>
              <w:t>Stock</w:t>
            </w:r>
          </w:p>
        </w:tc>
        <w:tc>
          <w:tcPr>
            <w:tcW w:w="1000" w:type="dxa"/>
            <w:vAlign w:val="bottom"/>
            <w:gridSpan w:val="2"/>
            <w:shd w:val="clear" w:color="auto" w:fill="0071CE"/>
          </w:tcPr>
          <w:p>
            <w:pPr>
              <w:jc w:val="center"/>
              <w:ind w:right="40"/>
              <w:spacing w:after="0"/>
              <w:rPr>
                <w:sz w:val="20"/>
                <w:szCs w:val="20"/>
                <w:color w:val="auto"/>
              </w:rPr>
            </w:pPr>
            <w:r>
              <w:rPr>
                <w:rFonts w:ascii="Arial" w:cs="Arial" w:eastAsia="Arial" w:hAnsi="Arial"/>
                <w:sz w:val="14"/>
                <w:szCs w:val="14"/>
                <w:b w:val="1"/>
                <w:bCs w:val="1"/>
                <w:color w:val="FFFFFF"/>
              </w:rPr>
              <w:t>Stock</w:t>
            </w:r>
          </w:p>
        </w:tc>
        <w:tc>
          <w:tcPr>
            <w:tcW w:w="0" w:type="dxa"/>
            <w:vAlign w:val="bottom"/>
          </w:tcPr>
          <w:p>
            <w:pPr>
              <w:spacing w:after="0"/>
              <w:rPr>
                <w:sz w:val="1"/>
                <w:szCs w:val="1"/>
                <w:color w:val="auto"/>
              </w:rPr>
            </w:pPr>
          </w:p>
        </w:tc>
      </w:tr>
      <w:tr>
        <w:trPr>
          <w:trHeight w:val="162"/>
        </w:trPr>
        <w:tc>
          <w:tcPr>
            <w:tcW w:w="2300" w:type="dxa"/>
            <w:vAlign w:val="bottom"/>
            <w:shd w:val="clear" w:color="auto" w:fill="0071CE"/>
          </w:tcPr>
          <w:p>
            <w:pPr>
              <w:spacing w:after="0"/>
              <w:rPr>
                <w:sz w:val="14"/>
                <w:szCs w:val="14"/>
                <w:color w:val="auto"/>
              </w:rPr>
            </w:pPr>
          </w:p>
        </w:tc>
        <w:tc>
          <w:tcPr>
            <w:tcW w:w="940" w:type="dxa"/>
            <w:vAlign w:val="bottom"/>
            <w:shd w:val="clear" w:color="auto" w:fill="0071CE"/>
          </w:tcPr>
          <w:p>
            <w:pPr>
              <w:spacing w:after="0"/>
              <w:rPr>
                <w:sz w:val="14"/>
                <w:szCs w:val="14"/>
                <w:color w:val="auto"/>
              </w:rPr>
            </w:pPr>
          </w:p>
        </w:tc>
        <w:tc>
          <w:tcPr>
            <w:tcW w:w="1040" w:type="dxa"/>
            <w:vAlign w:val="bottom"/>
            <w:shd w:val="clear" w:color="auto" w:fill="0071CE"/>
          </w:tcPr>
          <w:p>
            <w:pPr>
              <w:jc w:val="center"/>
              <w:ind w:left="8"/>
              <w:spacing w:after="0"/>
              <w:rPr>
                <w:sz w:val="20"/>
                <w:szCs w:val="20"/>
                <w:color w:val="auto"/>
              </w:rPr>
            </w:pPr>
            <w:r>
              <w:rPr>
                <w:rFonts w:ascii="Arial" w:cs="Arial" w:eastAsia="Arial" w:hAnsi="Arial"/>
                <w:sz w:val="14"/>
                <w:szCs w:val="14"/>
                <w:b w:val="1"/>
                <w:bCs w:val="1"/>
                <w:color w:val="FFFFFF"/>
              </w:rPr>
              <w:t>Underlying</w:t>
            </w:r>
          </w:p>
        </w:tc>
        <w:tc>
          <w:tcPr>
            <w:tcW w:w="126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Securities</w:t>
            </w:r>
          </w:p>
        </w:tc>
        <w:tc>
          <w:tcPr>
            <w:tcW w:w="800" w:type="dxa"/>
            <w:vAlign w:val="bottom"/>
            <w:shd w:val="clear" w:color="auto" w:fill="0071CE"/>
          </w:tcPr>
          <w:p>
            <w:pPr>
              <w:spacing w:after="0"/>
              <w:rPr>
                <w:sz w:val="14"/>
                <w:szCs w:val="14"/>
                <w:color w:val="auto"/>
              </w:rPr>
            </w:pPr>
          </w:p>
        </w:tc>
        <w:tc>
          <w:tcPr>
            <w:tcW w:w="1020" w:type="dxa"/>
            <w:vAlign w:val="bottom"/>
            <w:shd w:val="clear" w:color="auto" w:fill="0071CE"/>
          </w:tcPr>
          <w:p>
            <w:pPr>
              <w:spacing w:after="0"/>
              <w:rPr>
                <w:sz w:val="14"/>
                <w:szCs w:val="14"/>
                <w:color w:val="auto"/>
              </w:rPr>
            </w:pPr>
          </w:p>
        </w:tc>
        <w:tc>
          <w:tcPr>
            <w:tcW w:w="840" w:type="dxa"/>
            <w:vAlign w:val="bottom"/>
            <w:shd w:val="clear" w:color="auto" w:fill="0071CE"/>
          </w:tcPr>
          <w:p>
            <w:pPr>
              <w:jc w:val="center"/>
              <w:ind w:right="28"/>
              <w:spacing w:after="0"/>
              <w:rPr>
                <w:sz w:val="20"/>
                <w:szCs w:val="20"/>
                <w:color w:val="auto"/>
              </w:rPr>
            </w:pPr>
            <w:r>
              <w:rPr>
                <w:rFonts w:ascii="Arial" w:cs="Arial" w:eastAsia="Arial" w:hAnsi="Arial"/>
                <w:sz w:val="14"/>
                <w:szCs w:val="14"/>
                <w:b w:val="1"/>
                <w:bCs w:val="1"/>
                <w:color w:val="FFFFFF"/>
                <w:w w:val="99"/>
              </w:rPr>
              <w:t>Stock</w:t>
            </w:r>
          </w:p>
        </w:tc>
        <w:tc>
          <w:tcPr>
            <w:tcW w:w="8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That</w:t>
            </w:r>
          </w:p>
        </w:tc>
        <w:tc>
          <w:tcPr>
            <w:tcW w:w="9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That</w:t>
            </w:r>
          </w:p>
        </w:tc>
        <w:tc>
          <w:tcPr>
            <w:tcW w:w="1000" w:type="dxa"/>
            <w:vAlign w:val="bottom"/>
            <w:gridSpan w:val="2"/>
            <w:shd w:val="clear" w:color="auto" w:fill="0071CE"/>
          </w:tcPr>
          <w:p>
            <w:pPr>
              <w:jc w:val="center"/>
              <w:ind w:right="20"/>
              <w:spacing w:after="0"/>
              <w:rPr>
                <w:sz w:val="20"/>
                <w:szCs w:val="20"/>
                <w:color w:val="auto"/>
              </w:rPr>
            </w:pPr>
            <w:r>
              <w:rPr>
                <w:rFonts w:ascii="Arial" w:cs="Arial" w:eastAsia="Arial" w:hAnsi="Arial"/>
                <w:sz w:val="14"/>
                <w:szCs w:val="14"/>
                <w:b w:val="1"/>
                <w:bCs w:val="1"/>
                <w:color w:val="FFFFFF"/>
              </w:rPr>
              <w:t>That</w:t>
            </w:r>
          </w:p>
        </w:tc>
        <w:tc>
          <w:tcPr>
            <w:tcW w:w="0" w:type="dxa"/>
            <w:vAlign w:val="bottom"/>
          </w:tcPr>
          <w:p>
            <w:pPr>
              <w:spacing w:after="0"/>
              <w:rPr>
                <w:sz w:val="1"/>
                <w:szCs w:val="1"/>
                <w:color w:val="auto"/>
              </w:rPr>
            </w:pPr>
          </w:p>
        </w:tc>
      </w:tr>
      <w:tr>
        <w:trPr>
          <w:trHeight w:val="162"/>
        </w:trPr>
        <w:tc>
          <w:tcPr>
            <w:tcW w:w="2300" w:type="dxa"/>
            <w:vAlign w:val="bottom"/>
            <w:shd w:val="clear" w:color="auto" w:fill="0071CE"/>
          </w:tcPr>
          <w:p>
            <w:pPr>
              <w:spacing w:after="0"/>
              <w:rPr>
                <w:sz w:val="14"/>
                <w:szCs w:val="14"/>
                <w:color w:val="auto"/>
              </w:rPr>
            </w:pPr>
          </w:p>
        </w:tc>
        <w:tc>
          <w:tcPr>
            <w:tcW w:w="940" w:type="dxa"/>
            <w:vAlign w:val="bottom"/>
            <w:shd w:val="clear" w:color="auto" w:fill="0071CE"/>
          </w:tcPr>
          <w:p>
            <w:pPr>
              <w:spacing w:after="0"/>
              <w:rPr>
                <w:sz w:val="14"/>
                <w:szCs w:val="14"/>
                <w:color w:val="auto"/>
              </w:rPr>
            </w:pPr>
          </w:p>
        </w:tc>
        <w:tc>
          <w:tcPr>
            <w:tcW w:w="1040" w:type="dxa"/>
            <w:vAlign w:val="bottom"/>
            <w:shd w:val="clear" w:color="auto" w:fill="0071CE"/>
          </w:tcPr>
          <w:p>
            <w:pPr>
              <w:jc w:val="center"/>
              <w:ind w:left="28"/>
              <w:spacing w:after="0"/>
              <w:rPr>
                <w:sz w:val="20"/>
                <w:szCs w:val="20"/>
                <w:color w:val="auto"/>
              </w:rPr>
            </w:pPr>
            <w:r>
              <w:rPr>
                <w:rFonts w:ascii="Arial" w:cs="Arial" w:eastAsia="Arial" w:hAnsi="Arial"/>
                <w:sz w:val="14"/>
                <w:szCs w:val="14"/>
                <w:b w:val="1"/>
                <w:bCs w:val="1"/>
                <w:color w:val="FFFFFF"/>
              </w:rPr>
              <w:t>Unexercised</w:t>
            </w:r>
          </w:p>
        </w:tc>
        <w:tc>
          <w:tcPr>
            <w:tcW w:w="126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Underlying</w:t>
            </w:r>
          </w:p>
        </w:tc>
        <w:tc>
          <w:tcPr>
            <w:tcW w:w="800" w:type="dxa"/>
            <w:vAlign w:val="bottom"/>
            <w:shd w:val="clear" w:color="auto" w:fill="0071CE"/>
          </w:tcPr>
          <w:p>
            <w:pPr>
              <w:spacing w:after="0"/>
              <w:rPr>
                <w:sz w:val="14"/>
                <w:szCs w:val="14"/>
                <w:color w:val="auto"/>
              </w:rPr>
            </w:pPr>
          </w:p>
        </w:tc>
        <w:tc>
          <w:tcPr>
            <w:tcW w:w="1020" w:type="dxa"/>
            <w:vAlign w:val="bottom"/>
            <w:shd w:val="clear" w:color="auto" w:fill="0071CE"/>
          </w:tcPr>
          <w:p>
            <w:pPr>
              <w:spacing w:after="0"/>
              <w:rPr>
                <w:sz w:val="14"/>
                <w:szCs w:val="14"/>
                <w:color w:val="auto"/>
              </w:rPr>
            </w:pPr>
          </w:p>
        </w:tc>
        <w:tc>
          <w:tcPr>
            <w:tcW w:w="840" w:type="dxa"/>
            <w:vAlign w:val="bottom"/>
            <w:shd w:val="clear" w:color="auto" w:fill="0071CE"/>
          </w:tcPr>
          <w:p>
            <w:pPr>
              <w:jc w:val="center"/>
              <w:ind w:right="28"/>
              <w:spacing w:after="0"/>
              <w:rPr>
                <w:sz w:val="20"/>
                <w:szCs w:val="20"/>
                <w:color w:val="auto"/>
              </w:rPr>
            </w:pPr>
            <w:r>
              <w:rPr>
                <w:rFonts w:ascii="Arial" w:cs="Arial" w:eastAsia="Arial" w:hAnsi="Arial"/>
                <w:sz w:val="14"/>
                <w:szCs w:val="14"/>
                <w:b w:val="1"/>
                <w:bCs w:val="1"/>
                <w:color w:val="FFFFFF"/>
              </w:rPr>
              <w:t>That</w:t>
            </w:r>
          </w:p>
        </w:tc>
        <w:tc>
          <w:tcPr>
            <w:tcW w:w="8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Have</w:t>
            </w:r>
          </w:p>
        </w:tc>
        <w:tc>
          <w:tcPr>
            <w:tcW w:w="9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Have</w:t>
            </w:r>
          </w:p>
        </w:tc>
        <w:tc>
          <w:tcPr>
            <w:tcW w:w="1000" w:type="dxa"/>
            <w:vAlign w:val="bottom"/>
            <w:gridSpan w:val="2"/>
            <w:shd w:val="clear" w:color="auto" w:fill="0071CE"/>
          </w:tcPr>
          <w:p>
            <w:pPr>
              <w:jc w:val="center"/>
              <w:ind w:right="20"/>
              <w:spacing w:after="0"/>
              <w:rPr>
                <w:sz w:val="20"/>
                <w:szCs w:val="20"/>
                <w:color w:val="auto"/>
              </w:rPr>
            </w:pPr>
            <w:r>
              <w:rPr>
                <w:rFonts w:ascii="Arial" w:cs="Arial" w:eastAsia="Arial" w:hAnsi="Arial"/>
                <w:sz w:val="14"/>
                <w:szCs w:val="14"/>
                <w:b w:val="1"/>
                <w:bCs w:val="1"/>
                <w:color w:val="FFFFFF"/>
              </w:rPr>
              <w:t>Have</w:t>
            </w:r>
          </w:p>
        </w:tc>
        <w:tc>
          <w:tcPr>
            <w:tcW w:w="0" w:type="dxa"/>
            <w:vAlign w:val="bottom"/>
          </w:tcPr>
          <w:p>
            <w:pPr>
              <w:spacing w:after="0"/>
              <w:rPr>
                <w:sz w:val="1"/>
                <w:szCs w:val="1"/>
                <w:color w:val="auto"/>
              </w:rPr>
            </w:pPr>
          </w:p>
        </w:tc>
      </w:tr>
      <w:tr>
        <w:trPr>
          <w:trHeight w:val="162"/>
        </w:trPr>
        <w:tc>
          <w:tcPr>
            <w:tcW w:w="2300" w:type="dxa"/>
            <w:vAlign w:val="bottom"/>
            <w:shd w:val="clear" w:color="auto" w:fill="0071CE"/>
          </w:tcPr>
          <w:p>
            <w:pPr>
              <w:spacing w:after="0"/>
              <w:rPr>
                <w:sz w:val="14"/>
                <w:szCs w:val="14"/>
                <w:color w:val="auto"/>
              </w:rPr>
            </w:pPr>
          </w:p>
        </w:tc>
        <w:tc>
          <w:tcPr>
            <w:tcW w:w="940" w:type="dxa"/>
            <w:vAlign w:val="bottom"/>
            <w:shd w:val="clear" w:color="auto" w:fill="0071CE"/>
          </w:tcPr>
          <w:p>
            <w:pPr>
              <w:spacing w:after="0"/>
              <w:rPr>
                <w:sz w:val="14"/>
                <w:szCs w:val="14"/>
                <w:color w:val="auto"/>
              </w:rPr>
            </w:pPr>
          </w:p>
        </w:tc>
        <w:tc>
          <w:tcPr>
            <w:tcW w:w="1040" w:type="dxa"/>
            <w:vAlign w:val="bottom"/>
            <w:shd w:val="clear" w:color="auto" w:fill="0071CE"/>
          </w:tcPr>
          <w:p>
            <w:pPr>
              <w:jc w:val="center"/>
              <w:ind w:left="8"/>
              <w:spacing w:after="0"/>
              <w:rPr>
                <w:sz w:val="20"/>
                <w:szCs w:val="20"/>
                <w:color w:val="auto"/>
              </w:rPr>
            </w:pPr>
            <w:r>
              <w:rPr>
                <w:rFonts w:ascii="Arial" w:cs="Arial" w:eastAsia="Arial" w:hAnsi="Arial"/>
                <w:sz w:val="14"/>
                <w:szCs w:val="14"/>
                <w:b w:val="1"/>
                <w:bCs w:val="1"/>
                <w:color w:val="FFFFFF"/>
              </w:rPr>
              <w:t>Options (#</w:t>
            </w:r>
          </w:p>
        </w:tc>
        <w:tc>
          <w:tcPr>
            <w:tcW w:w="126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Unexercised</w:t>
            </w:r>
          </w:p>
        </w:tc>
        <w:tc>
          <w:tcPr>
            <w:tcW w:w="800" w:type="dxa"/>
            <w:vAlign w:val="bottom"/>
            <w:shd w:val="clear" w:color="auto" w:fill="0071CE"/>
          </w:tcPr>
          <w:p>
            <w:pPr>
              <w:jc w:val="right"/>
              <w:ind w:right="108"/>
              <w:spacing w:after="0"/>
              <w:rPr>
                <w:sz w:val="20"/>
                <w:szCs w:val="20"/>
                <w:color w:val="auto"/>
              </w:rPr>
            </w:pPr>
            <w:r>
              <w:rPr>
                <w:rFonts w:ascii="Arial" w:cs="Arial" w:eastAsia="Arial" w:hAnsi="Arial"/>
                <w:sz w:val="14"/>
                <w:szCs w:val="14"/>
                <w:b w:val="1"/>
                <w:bCs w:val="1"/>
                <w:color w:val="FFFFFF"/>
              </w:rPr>
              <w:t>Option</w:t>
            </w:r>
          </w:p>
        </w:tc>
        <w:tc>
          <w:tcPr>
            <w:tcW w:w="1020" w:type="dxa"/>
            <w:vAlign w:val="bottom"/>
            <w:shd w:val="clear" w:color="auto" w:fill="0071CE"/>
          </w:tcPr>
          <w:p>
            <w:pPr>
              <w:jc w:val="center"/>
              <w:ind w:right="48"/>
              <w:spacing w:after="0"/>
              <w:rPr>
                <w:sz w:val="20"/>
                <w:szCs w:val="20"/>
                <w:color w:val="auto"/>
              </w:rPr>
            </w:pPr>
            <w:r>
              <w:rPr>
                <w:rFonts w:ascii="Arial" w:cs="Arial" w:eastAsia="Arial" w:hAnsi="Arial"/>
                <w:sz w:val="14"/>
                <w:szCs w:val="14"/>
                <w:b w:val="1"/>
                <w:bCs w:val="1"/>
                <w:color w:val="FFFFFF"/>
              </w:rPr>
              <w:t>Option</w:t>
            </w:r>
          </w:p>
        </w:tc>
        <w:tc>
          <w:tcPr>
            <w:tcW w:w="840" w:type="dxa"/>
            <w:vAlign w:val="bottom"/>
            <w:shd w:val="clear" w:color="auto" w:fill="0071CE"/>
          </w:tcPr>
          <w:p>
            <w:pPr>
              <w:jc w:val="center"/>
              <w:ind w:right="28"/>
              <w:spacing w:after="0"/>
              <w:rPr>
                <w:sz w:val="20"/>
                <w:szCs w:val="20"/>
                <w:color w:val="auto"/>
              </w:rPr>
            </w:pPr>
            <w:r>
              <w:rPr>
                <w:rFonts w:ascii="Arial" w:cs="Arial" w:eastAsia="Arial" w:hAnsi="Arial"/>
                <w:sz w:val="14"/>
                <w:szCs w:val="14"/>
                <w:b w:val="1"/>
                <w:bCs w:val="1"/>
                <w:color w:val="FFFFFF"/>
              </w:rPr>
              <w:t>Have Not</w:t>
            </w:r>
          </w:p>
        </w:tc>
        <w:tc>
          <w:tcPr>
            <w:tcW w:w="8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Not</w:t>
            </w:r>
          </w:p>
        </w:tc>
        <w:tc>
          <w:tcPr>
            <w:tcW w:w="9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Not</w:t>
            </w:r>
          </w:p>
        </w:tc>
        <w:tc>
          <w:tcPr>
            <w:tcW w:w="1000" w:type="dxa"/>
            <w:vAlign w:val="bottom"/>
            <w:gridSpan w:val="2"/>
            <w:shd w:val="clear" w:color="auto" w:fill="0071CE"/>
          </w:tcPr>
          <w:p>
            <w:pPr>
              <w:jc w:val="center"/>
              <w:ind w:right="40"/>
              <w:spacing w:after="0"/>
              <w:rPr>
                <w:sz w:val="20"/>
                <w:szCs w:val="20"/>
                <w:color w:val="auto"/>
              </w:rPr>
            </w:pPr>
            <w:r>
              <w:rPr>
                <w:rFonts w:ascii="Arial" w:cs="Arial" w:eastAsia="Arial" w:hAnsi="Arial"/>
                <w:sz w:val="14"/>
                <w:szCs w:val="14"/>
                <w:b w:val="1"/>
                <w:bCs w:val="1"/>
                <w:color w:val="FFFFFF"/>
              </w:rPr>
              <w:t>Not</w:t>
            </w:r>
          </w:p>
        </w:tc>
        <w:tc>
          <w:tcPr>
            <w:tcW w:w="0" w:type="dxa"/>
            <w:vAlign w:val="bottom"/>
          </w:tcPr>
          <w:p>
            <w:pPr>
              <w:spacing w:after="0"/>
              <w:rPr>
                <w:sz w:val="1"/>
                <w:szCs w:val="1"/>
                <w:color w:val="auto"/>
              </w:rPr>
            </w:pPr>
          </w:p>
        </w:tc>
      </w:tr>
      <w:tr>
        <w:trPr>
          <w:trHeight w:val="162"/>
        </w:trPr>
        <w:tc>
          <w:tcPr>
            <w:tcW w:w="2300" w:type="dxa"/>
            <w:vAlign w:val="bottom"/>
            <w:shd w:val="clear" w:color="auto" w:fill="0071CE"/>
          </w:tcPr>
          <w:p>
            <w:pPr>
              <w:spacing w:after="0"/>
              <w:rPr>
                <w:sz w:val="14"/>
                <w:szCs w:val="14"/>
                <w:color w:val="auto"/>
              </w:rPr>
            </w:pPr>
          </w:p>
        </w:tc>
        <w:tc>
          <w:tcPr>
            <w:tcW w:w="940" w:type="dxa"/>
            <w:vAlign w:val="bottom"/>
            <w:shd w:val="clear" w:color="auto" w:fill="0071CE"/>
          </w:tcPr>
          <w:p>
            <w:pPr>
              <w:jc w:val="right"/>
              <w:ind w:right="168"/>
              <w:spacing w:after="0"/>
              <w:rPr>
                <w:sz w:val="20"/>
                <w:szCs w:val="20"/>
                <w:color w:val="auto"/>
              </w:rPr>
            </w:pPr>
            <w:r>
              <w:rPr>
                <w:rFonts w:ascii="Arial" w:cs="Arial" w:eastAsia="Arial" w:hAnsi="Arial"/>
                <w:sz w:val="14"/>
                <w:szCs w:val="14"/>
                <w:b w:val="1"/>
                <w:bCs w:val="1"/>
                <w:color w:val="FFFFFF"/>
              </w:rPr>
              <w:t>Grant</w:t>
            </w:r>
          </w:p>
        </w:tc>
        <w:tc>
          <w:tcPr>
            <w:tcW w:w="1040" w:type="dxa"/>
            <w:vAlign w:val="bottom"/>
            <w:shd w:val="clear" w:color="auto" w:fill="0071CE"/>
          </w:tcPr>
          <w:p>
            <w:pPr>
              <w:jc w:val="center"/>
              <w:ind w:left="8"/>
              <w:spacing w:after="0"/>
              <w:rPr>
                <w:sz w:val="20"/>
                <w:szCs w:val="20"/>
                <w:color w:val="auto"/>
              </w:rPr>
            </w:pPr>
            <w:r>
              <w:rPr>
                <w:rFonts w:ascii="Arial" w:cs="Arial" w:eastAsia="Arial" w:hAnsi="Arial"/>
                <w:sz w:val="14"/>
                <w:szCs w:val="14"/>
                <w:b w:val="1"/>
                <w:bCs w:val="1"/>
                <w:color w:val="FFFFFF"/>
              </w:rPr>
              <w:t>Exercisable)</w:t>
            </w:r>
          </w:p>
        </w:tc>
        <w:tc>
          <w:tcPr>
            <w:tcW w:w="126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Options (#</w:t>
            </w:r>
          </w:p>
        </w:tc>
        <w:tc>
          <w:tcPr>
            <w:tcW w:w="800" w:type="dxa"/>
            <w:vAlign w:val="bottom"/>
            <w:shd w:val="clear" w:color="auto" w:fill="0071CE"/>
          </w:tcPr>
          <w:p>
            <w:pPr>
              <w:jc w:val="right"/>
              <w:ind w:right="48"/>
              <w:spacing w:after="0"/>
              <w:rPr>
                <w:sz w:val="20"/>
                <w:szCs w:val="20"/>
                <w:color w:val="auto"/>
              </w:rPr>
            </w:pPr>
            <w:r>
              <w:rPr>
                <w:rFonts w:ascii="Arial" w:cs="Arial" w:eastAsia="Arial" w:hAnsi="Arial"/>
                <w:sz w:val="14"/>
                <w:szCs w:val="14"/>
                <w:b w:val="1"/>
                <w:bCs w:val="1"/>
                <w:color w:val="FFFFFF"/>
              </w:rPr>
              <w:t>Exercise</w:t>
            </w:r>
          </w:p>
        </w:tc>
        <w:tc>
          <w:tcPr>
            <w:tcW w:w="1020" w:type="dxa"/>
            <w:vAlign w:val="bottom"/>
            <w:shd w:val="clear" w:color="auto" w:fill="0071CE"/>
          </w:tcPr>
          <w:p>
            <w:pPr>
              <w:jc w:val="center"/>
              <w:ind w:right="48"/>
              <w:spacing w:after="0"/>
              <w:rPr>
                <w:sz w:val="20"/>
                <w:szCs w:val="20"/>
                <w:color w:val="auto"/>
              </w:rPr>
            </w:pPr>
            <w:r>
              <w:rPr>
                <w:rFonts w:ascii="Arial" w:cs="Arial" w:eastAsia="Arial" w:hAnsi="Arial"/>
                <w:sz w:val="14"/>
                <w:szCs w:val="14"/>
                <w:b w:val="1"/>
                <w:bCs w:val="1"/>
                <w:color w:val="FFFFFF"/>
              </w:rPr>
              <w:t>Expiration</w:t>
            </w:r>
          </w:p>
        </w:tc>
        <w:tc>
          <w:tcPr>
            <w:tcW w:w="840" w:type="dxa"/>
            <w:vAlign w:val="bottom"/>
            <w:shd w:val="clear" w:color="auto" w:fill="0071CE"/>
          </w:tcPr>
          <w:p>
            <w:pPr>
              <w:jc w:val="center"/>
              <w:ind w:right="28"/>
              <w:spacing w:after="0"/>
              <w:rPr>
                <w:sz w:val="20"/>
                <w:szCs w:val="20"/>
                <w:color w:val="auto"/>
              </w:rPr>
            </w:pPr>
            <w:r>
              <w:rPr>
                <w:rFonts w:ascii="Arial" w:cs="Arial" w:eastAsia="Arial" w:hAnsi="Arial"/>
                <w:sz w:val="14"/>
                <w:szCs w:val="14"/>
                <w:b w:val="1"/>
                <w:bCs w:val="1"/>
                <w:color w:val="FFFFFF"/>
              </w:rPr>
              <w:t>Vested</w:t>
            </w:r>
          </w:p>
        </w:tc>
        <w:tc>
          <w:tcPr>
            <w:tcW w:w="8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Vested</w:t>
            </w:r>
          </w:p>
        </w:tc>
        <w:tc>
          <w:tcPr>
            <w:tcW w:w="9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Vested</w:t>
            </w:r>
          </w:p>
        </w:tc>
        <w:tc>
          <w:tcPr>
            <w:tcW w:w="1000" w:type="dxa"/>
            <w:vAlign w:val="bottom"/>
            <w:gridSpan w:val="2"/>
            <w:shd w:val="clear" w:color="auto" w:fill="0071CE"/>
          </w:tcPr>
          <w:p>
            <w:pPr>
              <w:jc w:val="center"/>
              <w:ind w:right="20"/>
              <w:spacing w:after="0"/>
              <w:rPr>
                <w:sz w:val="20"/>
                <w:szCs w:val="20"/>
                <w:color w:val="auto"/>
              </w:rPr>
            </w:pPr>
            <w:r>
              <w:rPr>
                <w:rFonts w:ascii="Arial" w:cs="Arial" w:eastAsia="Arial" w:hAnsi="Arial"/>
                <w:sz w:val="14"/>
                <w:szCs w:val="14"/>
                <w:b w:val="1"/>
                <w:bCs w:val="1"/>
                <w:color w:val="FFFFFF"/>
              </w:rPr>
              <w:t>Vested</w:t>
            </w:r>
          </w:p>
        </w:tc>
        <w:tc>
          <w:tcPr>
            <w:tcW w:w="0" w:type="dxa"/>
            <w:vAlign w:val="bottom"/>
          </w:tcPr>
          <w:p>
            <w:pPr>
              <w:spacing w:after="0"/>
              <w:rPr>
                <w:sz w:val="1"/>
                <w:szCs w:val="1"/>
                <w:color w:val="auto"/>
              </w:rPr>
            </w:pPr>
          </w:p>
        </w:tc>
      </w:tr>
      <w:tr>
        <w:trPr>
          <w:trHeight w:val="196"/>
        </w:trPr>
        <w:tc>
          <w:tcPr>
            <w:tcW w:w="2300" w:type="dxa"/>
            <w:vAlign w:val="bottom"/>
            <w:tcBorders>
              <w:bottom w:val="single" w:sz="8" w:color="0071CE"/>
            </w:tcBorders>
            <w:shd w:val="clear" w:color="auto" w:fill="0071CE"/>
          </w:tcPr>
          <w:p>
            <w:pPr>
              <w:ind w:left="160"/>
              <w:spacing w:after="0"/>
              <w:rPr>
                <w:sz w:val="20"/>
                <w:szCs w:val="20"/>
                <w:color w:val="auto"/>
              </w:rPr>
            </w:pPr>
            <w:r>
              <w:rPr>
                <w:rFonts w:ascii="Arial" w:cs="Arial" w:eastAsia="Arial" w:hAnsi="Arial"/>
                <w:sz w:val="14"/>
                <w:szCs w:val="14"/>
                <w:b w:val="1"/>
                <w:bCs w:val="1"/>
                <w:color w:val="FFFFFF"/>
              </w:rPr>
              <w:t>Name</w:t>
            </w:r>
          </w:p>
        </w:tc>
        <w:tc>
          <w:tcPr>
            <w:tcW w:w="940" w:type="dxa"/>
            <w:vAlign w:val="bottom"/>
            <w:tcBorders>
              <w:bottom w:val="single" w:sz="8" w:color="0071CE"/>
            </w:tcBorders>
            <w:shd w:val="clear" w:color="auto" w:fill="0071CE"/>
          </w:tcPr>
          <w:p>
            <w:pPr>
              <w:jc w:val="right"/>
              <w:ind w:right="208"/>
              <w:spacing w:after="0"/>
              <w:rPr>
                <w:sz w:val="20"/>
                <w:szCs w:val="20"/>
                <w:color w:val="auto"/>
              </w:rPr>
            </w:pPr>
            <w:r>
              <w:rPr>
                <w:rFonts w:ascii="Arial" w:cs="Arial" w:eastAsia="Arial" w:hAnsi="Arial"/>
                <w:sz w:val="14"/>
                <w:szCs w:val="14"/>
                <w:b w:val="1"/>
                <w:bCs w:val="1"/>
                <w:color w:val="FFFFFF"/>
              </w:rPr>
              <w:t>Date</w:t>
            </w:r>
          </w:p>
        </w:tc>
        <w:tc>
          <w:tcPr>
            <w:tcW w:w="1040" w:type="dxa"/>
            <w:vAlign w:val="bottom"/>
            <w:tcBorders>
              <w:bottom w:val="single" w:sz="8" w:color="0071CE"/>
            </w:tcBorders>
            <w:shd w:val="clear" w:color="auto" w:fill="0071CE"/>
          </w:tcPr>
          <w:p>
            <w:pPr>
              <w:jc w:val="center"/>
              <w:ind w:left="28"/>
              <w:spacing w:after="0"/>
              <w:rPr>
                <w:sz w:val="20"/>
                <w:szCs w:val="20"/>
                <w:color w:val="auto"/>
              </w:rPr>
            </w:pPr>
            <w:r>
              <w:rPr>
                <w:rFonts w:ascii="Arial" w:cs="Arial" w:eastAsia="Arial" w:hAnsi="Arial"/>
                <w:sz w:val="14"/>
                <w:szCs w:val="14"/>
                <w:b w:val="1"/>
                <w:bCs w:val="1"/>
                <w:color w:val="FFFFFF"/>
              </w:rPr>
              <w:t>(1)</w:t>
            </w:r>
          </w:p>
        </w:tc>
        <w:tc>
          <w:tcPr>
            <w:tcW w:w="2060" w:type="dxa"/>
            <w:vAlign w:val="bottom"/>
            <w:tcBorders>
              <w:bottom w:val="single" w:sz="8" w:color="0071CE"/>
            </w:tcBorders>
            <w:gridSpan w:val="2"/>
            <w:shd w:val="clear" w:color="auto" w:fill="0071CE"/>
          </w:tcPr>
          <w:p>
            <w:pPr>
              <w:jc w:val="right"/>
              <w:ind w:right="68"/>
              <w:spacing w:after="0"/>
              <w:rPr>
                <w:sz w:val="20"/>
                <w:szCs w:val="20"/>
                <w:color w:val="auto"/>
              </w:rPr>
            </w:pPr>
            <w:r>
              <w:rPr>
                <w:rFonts w:ascii="Arial" w:cs="Arial" w:eastAsia="Arial" w:hAnsi="Arial"/>
                <w:sz w:val="14"/>
                <w:szCs w:val="14"/>
                <w:b w:val="1"/>
                <w:bCs w:val="1"/>
                <w:color w:val="FFFFFF"/>
              </w:rPr>
              <w:t>Unexercisable)   Price ($)</w:t>
            </w:r>
          </w:p>
        </w:tc>
        <w:tc>
          <w:tcPr>
            <w:tcW w:w="1020" w:type="dxa"/>
            <w:vAlign w:val="bottom"/>
            <w:tcBorders>
              <w:bottom w:val="single" w:sz="8" w:color="0071CE"/>
            </w:tcBorders>
            <w:shd w:val="clear" w:color="auto" w:fill="0071CE"/>
          </w:tcPr>
          <w:p>
            <w:pPr>
              <w:jc w:val="center"/>
              <w:ind w:right="48"/>
              <w:spacing w:after="0"/>
              <w:rPr>
                <w:sz w:val="20"/>
                <w:szCs w:val="20"/>
                <w:color w:val="auto"/>
              </w:rPr>
            </w:pPr>
            <w:r>
              <w:rPr>
                <w:rFonts w:ascii="Arial" w:cs="Arial" w:eastAsia="Arial" w:hAnsi="Arial"/>
                <w:sz w:val="14"/>
                <w:szCs w:val="14"/>
                <w:b w:val="1"/>
                <w:bCs w:val="1"/>
                <w:color w:val="FFFFFF"/>
                <w:w w:val="98"/>
              </w:rPr>
              <w:t>Date</w:t>
            </w:r>
          </w:p>
        </w:tc>
        <w:tc>
          <w:tcPr>
            <w:tcW w:w="840" w:type="dxa"/>
            <w:vAlign w:val="bottom"/>
            <w:tcBorders>
              <w:bottom w:val="single" w:sz="8" w:color="0071CE"/>
            </w:tcBorders>
            <w:shd w:val="clear" w:color="auto" w:fill="0071CE"/>
          </w:tcPr>
          <w:p>
            <w:pPr>
              <w:jc w:val="center"/>
              <w:ind w:right="28"/>
              <w:spacing w:after="0"/>
              <w:rPr>
                <w:sz w:val="20"/>
                <w:szCs w:val="20"/>
                <w:color w:val="auto"/>
              </w:rPr>
            </w:pPr>
            <w:r>
              <w:rPr>
                <w:rFonts w:ascii="Arial" w:cs="Arial" w:eastAsia="Arial" w:hAnsi="Arial"/>
                <w:sz w:val="14"/>
                <w:szCs w:val="14"/>
                <w:b w:val="1"/>
                <w:bCs w:val="1"/>
                <w:color w:val="FFFFFF"/>
                <w:w w:val="99"/>
              </w:rPr>
              <w:t>(#) (3)</w:t>
            </w:r>
          </w:p>
        </w:tc>
        <w:tc>
          <w:tcPr>
            <w:tcW w:w="88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w w:val="99"/>
              </w:rPr>
              <w:t>($) (4)</w:t>
            </w:r>
          </w:p>
        </w:tc>
        <w:tc>
          <w:tcPr>
            <w:tcW w:w="94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w w:val="99"/>
              </w:rPr>
              <w:t>(#) (2)</w:t>
            </w:r>
          </w:p>
        </w:tc>
        <w:tc>
          <w:tcPr>
            <w:tcW w:w="92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w w:val="99"/>
              </w:rPr>
              <w:t>($) (4)</w:t>
            </w:r>
          </w:p>
        </w:tc>
        <w:tc>
          <w:tcPr>
            <w:tcW w:w="80" w:type="dxa"/>
            <w:vAlign w:val="bottom"/>
            <w:tcBorders>
              <w:bottom w:val="single" w:sz="8" w:color="0071CE"/>
            </w:tcBorders>
            <w:shd w:val="clear" w:color="auto" w:fill="0071C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E5E5E5"/>
          </w:tcPr>
          <w:p>
            <w:pPr>
              <w:ind w:left="140"/>
              <w:spacing w:after="0"/>
              <w:rPr>
                <w:sz w:val="20"/>
                <w:szCs w:val="20"/>
                <w:color w:val="auto"/>
              </w:rPr>
            </w:pPr>
            <w:r>
              <w:rPr>
                <w:rFonts w:ascii="Arial" w:cs="Arial" w:eastAsia="Arial" w:hAnsi="Arial"/>
                <w:sz w:val="14"/>
                <w:szCs w:val="14"/>
                <w:b w:val="1"/>
                <w:bCs w:val="1"/>
                <w:color w:val="0071CE"/>
              </w:rPr>
              <w:t>Christopher Anzalone</w:t>
            </w: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10/21/2011</w:t>
            </w: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15,000</w:t>
            </w:r>
          </w:p>
        </w:tc>
        <w:tc>
          <w:tcPr>
            <w:tcW w:w="1260" w:type="dxa"/>
            <w:vAlign w:val="bottom"/>
            <w:shd w:val="clear" w:color="auto" w:fill="E5E5E5"/>
          </w:tcPr>
          <w:p>
            <w:pPr>
              <w:ind w:left="1020"/>
              <w:spacing w:after="0"/>
              <w:rPr>
                <w:sz w:val="20"/>
                <w:szCs w:val="20"/>
                <w:color w:val="auto"/>
              </w:rPr>
            </w:pPr>
            <w:r>
              <w:rPr>
                <w:rFonts w:ascii="Arial" w:cs="Arial" w:eastAsia="Arial" w:hAnsi="Arial"/>
                <w:sz w:val="14"/>
                <w:szCs w:val="14"/>
                <w:color w:val="auto"/>
              </w:rPr>
              <w:t>—</w:t>
            </w:r>
          </w:p>
        </w:tc>
        <w:tc>
          <w:tcPr>
            <w:tcW w:w="80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4.60</w:t>
            </w:r>
          </w:p>
        </w:tc>
        <w:tc>
          <w:tcPr>
            <w:tcW w:w="102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10/21/2021</w:t>
            </w:r>
          </w:p>
        </w:tc>
        <w:tc>
          <w:tcPr>
            <w:tcW w:w="8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E5E5E5"/>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300" w:type="dxa"/>
            <w:vAlign w:val="bottom"/>
            <w:shd w:val="clear" w:color="auto" w:fill="E5E5E5"/>
          </w:tcPr>
          <w:p>
            <w:pPr>
              <w:spacing w:after="0"/>
              <w:rPr>
                <w:sz w:val="14"/>
                <w:szCs w:val="14"/>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2/16/2012</w:t>
            </w: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170,000</w:t>
            </w:r>
          </w:p>
        </w:tc>
        <w:tc>
          <w:tcPr>
            <w:tcW w:w="1260" w:type="dxa"/>
            <w:vAlign w:val="bottom"/>
            <w:shd w:val="clear" w:color="auto" w:fill="E5E5E5"/>
          </w:tcPr>
          <w:p>
            <w:pPr>
              <w:ind w:left="1020"/>
              <w:spacing w:after="0"/>
              <w:rPr>
                <w:sz w:val="20"/>
                <w:szCs w:val="20"/>
                <w:color w:val="auto"/>
              </w:rPr>
            </w:pPr>
            <w:r>
              <w:rPr>
                <w:rFonts w:ascii="Arial" w:cs="Arial" w:eastAsia="Arial" w:hAnsi="Arial"/>
                <w:sz w:val="14"/>
                <w:szCs w:val="14"/>
                <w:color w:val="auto"/>
              </w:rPr>
              <w:t>—</w:t>
            </w:r>
          </w:p>
        </w:tc>
        <w:tc>
          <w:tcPr>
            <w:tcW w:w="80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5.19</w:t>
            </w:r>
          </w:p>
        </w:tc>
        <w:tc>
          <w:tcPr>
            <w:tcW w:w="102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2/16/2022</w:t>
            </w:r>
          </w:p>
        </w:tc>
        <w:tc>
          <w:tcPr>
            <w:tcW w:w="8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E5E5E5"/>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300" w:type="dxa"/>
            <w:vAlign w:val="bottom"/>
            <w:shd w:val="clear" w:color="auto" w:fill="E5E5E5"/>
          </w:tcPr>
          <w:p>
            <w:pPr>
              <w:spacing w:after="0"/>
              <w:rPr>
                <w:sz w:val="14"/>
                <w:szCs w:val="14"/>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9/28/2012</w:t>
            </w: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40,624</w:t>
            </w:r>
          </w:p>
        </w:tc>
        <w:tc>
          <w:tcPr>
            <w:tcW w:w="1260" w:type="dxa"/>
            <w:vAlign w:val="bottom"/>
            <w:shd w:val="clear" w:color="auto" w:fill="E5E5E5"/>
          </w:tcPr>
          <w:p>
            <w:pPr>
              <w:ind w:left="1020"/>
              <w:spacing w:after="0"/>
              <w:rPr>
                <w:sz w:val="20"/>
                <w:szCs w:val="20"/>
                <w:color w:val="auto"/>
              </w:rPr>
            </w:pPr>
            <w:r>
              <w:rPr>
                <w:rFonts w:ascii="Arial" w:cs="Arial" w:eastAsia="Arial" w:hAnsi="Arial"/>
                <w:sz w:val="14"/>
                <w:szCs w:val="14"/>
                <w:color w:val="auto"/>
              </w:rPr>
              <w:t>—</w:t>
            </w:r>
          </w:p>
        </w:tc>
        <w:tc>
          <w:tcPr>
            <w:tcW w:w="80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2.62</w:t>
            </w:r>
          </w:p>
        </w:tc>
        <w:tc>
          <w:tcPr>
            <w:tcW w:w="102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9/28/2022</w:t>
            </w:r>
          </w:p>
        </w:tc>
        <w:tc>
          <w:tcPr>
            <w:tcW w:w="8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E5E5E5"/>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300" w:type="dxa"/>
            <w:vAlign w:val="bottom"/>
            <w:shd w:val="clear" w:color="auto" w:fill="E5E5E5"/>
          </w:tcPr>
          <w:p>
            <w:pPr>
              <w:spacing w:after="0"/>
              <w:rPr>
                <w:sz w:val="14"/>
                <w:szCs w:val="14"/>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5/6/2013</w:t>
            </w: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104,928</w:t>
            </w:r>
          </w:p>
        </w:tc>
        <w:tc>
          <w:tcPr>
            <w:tcW w:w="1260" w:type="dxa"/>
            <w:vAlign w:val="bottom"/>
            <w:shd w:val="clear" w:color="auto" w:fill="E5E5E5"/>
          </w:tcPr>
          <w:p>
            <w:pPr>
              <w:ind w:left="1020"/>
              <w:spacing w:after="0"/>
              <w:rPr>
                <w:sz w:val="20"/>
                <w:szCs w:val="20"/>
                <w:color w:val="auto"/>
              </w:rPr>
            </w:pPr>
            <w:r>
              <w:rPr>
                <w:rFonts w:ascii="Arial" w:cs="Arial" w:eastAsia="Arial" w:hAnsi="Arial"/>
                <w:sz w:val="14"/>
                <w:szCs w:val="14"/>
                <w:color w:val="auto"/>
              </w:rPr>
              <w:t>—</w:t>
            </w:r>
          </w:p>
        </w:tc>
        <w:tc>
          <w:tcPr>
            <w:tcW w:w="80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2.01</w:t>
            </w:r>
          </w:p>
        </w:tc>
        <w:tc>
          <w:tcPr>
            <w:tcW w:w="102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5/6/2023</w:t>
            </w:r>
          </w:p>
        </w:tc>
        <w:tc>
          <w:tcPr>
            <w:tcW w:w="8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E5E5E5"/>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300" w:type="dxa"/>
            <w:vAlign w:val="bottom"/>
            <w:shd w:val="clear" w:color="auto" w:fill="E5E5E5"/>
          </w:tcPr>
          <w:p>
            <w:pPr>
              <w:spacing w:after="0"/>
              <w:rPr>
                <w:sz w:val="14"/>
                <w:szCs w:val="14"/>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9/21/2013</w:t>
            </w: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57,755</w:t>
            </w:r>
          </w:p>
        </w:tc>
        <w:tc>
          <w:tcPr>
            <w:tcW w:w="1260" w:type="dxa"/>
            <w:vAlign w:val="bottom"/>
            <w:shd w:val="clear" w:color="auto" w:fill="E5E5E5"/>
          </w:tcPr>
          <w:p>
            <w:pPr>
              <w:ind w:left="1020"/>
              <w:spacing w:after="0"/>
              <w:rPr>
                <w:sz w:val="20"/>
                <w:szCs w:val="20"/>
                <w:color w:val="auto"/>
              </w:rPr>
            </w:pPr>
            <w:r>
              <w:rPr>
                <w:rFonts w:ascii="Arial" w:cs="Arial" w:eastAsia="Arial" w:hAnsi="Arial"/>
                <w:sz w:val="14"/>
                <w:szCs w:val="14"/>
                <w:color w:val="auto"/>
              </w:rPr>
              <w:t>—</w:t>
            </w:r>
          </w:p>
        </w:tc>
        <w:tc>
          <w:tcPr>
            <w:tcW w:w="80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4.75</w:t>
            </w:r>
          </w:p>
        </w:tc>
        <w:tc>
          <w:tcPr>
            <w:tcW w:w="102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9/21/2023</w:t>
            </w:r>
          </w:p>
        </w:tc>
        <w:tc>
          <w:tcPr>
            <w:tcW w:w="8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E5E5E5"/>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300" w:type="dxa"/>
            <w:vAlign w:val="bottom"/>
            <w:shd w:val="clear" w:color="auto" w:fill="E5E5E5"/>
          </w:tcPr>
          <w:p>
            <w:pPr>
              <w:spacing w:after="0"/>
              <w:rPr>
                <w:sz w:val="14"/>
                <w:szCs w:val="14"/>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2/6/2014</w:t>
            </w: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60,000</w:t>
            </w:r>
          </w:p>
        </w:tc>
        <w:tc>
          <w:tcPr>
            <w:tcW w:w="1260" w:type="dxa"/>
            <w:vAlign w:val="bottom"/>
            <w:shd w:val="clear" w:color="auto" w:fill="E5E5E5"/>
          </w:tcPr>
          <w:p>
            <w:pPr>
              <w:ind w:left="1020"/>
              <w:spacing w:after="0"/>
              <w:rPr>
                <w:sz w:val="20"/>
                <w:szCs w:val="20"/>
                <w:color w:val="auto"/>
              </w:rPr>
            </w:pPr>
            <w:r>
              <w:rPr>
                <w:rFonts w:ascii="Arial" w:cs="Arial" w:eastAsia="Arial" w:hAnsi="Arial"/>
                <w:sz w:val="14"/>
                <w:szCs w:val="14"/>
                <w:color w:val="auto"/>
              </w:rPr>
              <w:t>—</w:t>
            </w:r>
          </w:p>
        </w:tc>
        <w:tc>
          <w:tcPr>
            <w:tcW w:w="80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14.54</w:t>
            </w:r>
          </w:p>
        </w:tc>
        <w:tc>
          <w:tcPr>
            <w:tcW w:w="102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2/6/2024</w:t>
            </w:r>
          </w:p>
        </w:tc>
        <w:tc>
          <w:tcPr>
            <w:tcW w:w="8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E5E5E5"/>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300" w:type="dxa"/>
            <w:vAlign w:val="bottom"/>
            <w:shd w:val="clear" w:color="auto" w:fill="E5E5E5"/>
          </w:tcPr>
          <w:p>
            <w:pPr>
              <w:spacing w:after="0"/>
              <w:rPr>
                <w:sz w:val="14"/>
                <w:szCs w:val="14"/>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3/6/2015</w:t>
            </w: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300,000</w:t>
            </w:r>
          </w:p>
        </w:tc>
        <w:tc>
          <w:tcPr>
            <w:tcW w:w="1260" w:type="dxa"/>
            <w:vAlign w:val="bottom"/>
            <w:shd w:val="clear" w:color="auto" w:fill="E5E5E5"/>
          </w:tcPr>
          <w:p>
            <w:pPr>
              <w:ind w:left="1020"/>
              <w:spacing w:after="0"/>
              <w:rPr>
                <w:sz w:val="20"/>
                <w:szCs w:val="20"/>
                <w:color w:val="auto"/>
              </w:rPr>
            </w:pPr>
            <w:r>
              <w:rPr>
                <w:rFonts w:ascii="Arial" w:cs="Arial" w:eastAsia="Arial" w:hAnsi="Arial"/>
                <w:sz w:val="14"/>
                <w:szCs w:val="14"/>
                <w:color w:val="auto"/>
              </w:rPr>
              <w:t>—</w:t>
            </w:r>
          </w:p>
        </w:tc>
        <w:tc>
          <w:tcPr>
            <w:tcW w:w="80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7.75</w:t>
            </w:r>
          </w:p>
        </w:tc>
        <w:tc>
          <w:tcPr>
            <w:tcW w:w="102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3/6/2025</w:t>
            </w:r>
          </w:p>
        </w:tc>
        <w:tc>
          <w:tcPr>
            <w:tcW w:w="8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E5E5E5"/>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300" w:type="dxa"/>
            <w:vAlign w:val="bottom"/>
            <w:shd w:val="clear" w:color="auto" w:fill="E5E5E5"/>
          </w:tcPr>
          <w:p>
            <w:pPr>
              <w:spacing w:after="0"/>
              <w:rPr>
                <w:sz w:val="14"/>
                <w:szCs w:val="14"/>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1/1/2016</w:t>
            </w: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51,726</w:t>
            </w:r>
          </w:p>
        </w:tc>
        <w:tc>
          <w:tcPr>
            <w:tcW w:w="1260" w:type="dxa"/>
            <w:vAlign w:val="bottom"/>
            <w:shd w:val="clear" w:color="auto" w:fill="E5E5E5"/>
          </w:tcPr>
          <w:p>
            <w:pPr>
              <w:ind w:left="1020"/>
              <w:spacing w:after="0"/>
              <w:rPr>
                <w:sz w:val="20"/>
                <w:szCs w:val="20"/>
                <w:color w:val="auto"/>
              </w:rPr>
            </w:pPr>
            <w:r>
              <w:rPr>
                <w:rFonts w:ascii="Arial" w:cs="Arial" w:eastAsia="Arial" w:hAnsi="Arial"/>
                <w:sz w:val="14"/>
                <w:szCs w:val="14"/>
                <w:color w:val="auto"/>
              </w:rPr>
              <w:t>—</w:t>
            </w:r>
          </w:p>
        </w:tc>
        <w:tc>
          <w:tcPr>
            <w:tcW w:w="80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6.15</w:t>
            </w:r>
          </w:p>
        </w:tc>
        <w:tc>
          <w:tcPr>
            <w:tcW w:w="102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1/1/2026</w:t>
            </w:r>
          </w:p>
        </w:tc>
        <w:tc>
          <w:tcPr>
            <w:tcW w:w="8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E5E5E5"/>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300" w:type="dxa"/>
            <w:vAlign w:val="bottom"/>
            <w:shd w:val="clear" w:color="auto" w:fill="E5E5E5"/>
          </w:tcPr>
          <w:p>
            <w:pPr>
              <w:spacing w:after="0"/>
              <w:rPr>
                <w:sz w:val="14"/>
                <w:szCs w:val="14"/>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1/1/2020</w:t>
            </w: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E5E5E5"/>
          </w:tcPr>
          <w:p>
            <w:pPr>
              <w:ind w:left="1020"/>
              <w:spacing w:after="0"/>
              <w:rPr>
                <w:sz w:val="20"/>
                <w:szCs w:val="20"/>
                <w:color w:val="auto"/>
              </w:rPr>
            </w:pPr>
            <w:r>
              <w:rPr>
                <w:rFonts w:ascii="Arial" w:cs="Arial" w:eastAsia="Arial" w:hAnsi="Arial"/>
                <w:sz w:val="14"/>
                <w:szCs w:val="14"/>
                <w:color w:val="auto"/>
              </w:rPr>
              <w:t>—</w:t>
            </w:r>
          </w:p>
        </w:tc>
        <w:tc>
          <w:tcPr>
            <w:tcW w:w="80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900,000</w:t>
            </w:r>
          </w:p>
        </w:tc>
        <w:tc>
          <w:tcPr>
            <w:tcW w:w="92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56,187,000</w:t>
            </w:r>
          </w:p>
        </w:tc>
        <w:tc>
          <w:tcPr>
            <w:tcW w:w="8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shd w:val="clear" w:color="auto" w:fill="E5E5E5"/>
          </w:tcPr>
          <w:p>
            <w:pPr>
              <w:spacing w:after="0"/>
              <w:rPr>
                <w:sz w:val="14"/>
                <w:szCs w:val="14"/>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1/1/2021</w:t>
            </w: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E5E5E5"/>
          </w:tcPr>
          <w:p>
            <w:pPr>
              <w:ind w:left="1020"/>
              <w:spacing w:after="0"/>
              <w:rPr>
                <w:sz w:val="20"/>
                <w:szCs w:val="20"/>
                <w:color w:val="auto"/>
              </w:rPr>
            </w:pPr>
            <w:r>
              <w:rPr>
                <w:rFonts w:ascii="Arial" w:cs="Arial" w:eastAsia="Arial" w:hAnsi="Arial"/>
                <w:sz w:val="14"/>
                <w:szCs w:val="14"/>
                <w:color w:val="auto"/>
              </w:rPr>
              <w:t>—</w:t>
            </w:r>
          </w:p>
        </w:tc>
        <w:tc>
          <w:tcPr>
            <w:tcW w:w="80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800,000</w:t>
            </w:r>
          </w:p>
        </w:tc>
        <w:tc>
          <w:tcPr>
            <w:tcW w:w="92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49,944,000</w:t>
            </w:r>
          </w:p>
        </w:tc>
        <w:tc>
          <w:tcPr>
            <w:tcW w:w="8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300" w:type="dxa"/>
            <w:vAlign w:val="bottom"/>
          </w:tcPr>
          <w:p>
            <w:pPr>
              <w:ind w:left="140"/>
              <w:spacing w:after="0"/>
              <w:rPr>
                <w:sz w:val="20"/>
                <w:szCs w:val="20"/>
                <w:color w:val="auto"/>
              </w:rPr>
            </w:pPr>
            <w:r>
              <w:rPr>
                <w:rFonts w:ascii="Arial" w:cs="Arial" w:eastAsia="Arial" w:hAnsi="Arial"/>
                <w:sz w:val="14"/>
                <w:szCs w:val="14"/>
                <w:b w:val="1"/>
                <w:bCs w:val="1"/>
                <w:color w:val="0071CE"/>
              </w:rPr>
              <w:t>Kenneth Myszkowski</w:t>
            </w:r>
          </w:p>
        </w:tc>
        <w:tc>
          <w:tcPr>
            <w:tcW w:w="940" w:type="dxa"/>
            <w:vAlign w:val="bottom"/>
          </w:tcPr>
          <w:p>
            <w:pPr>
              <w:jc w:val="right"/>
              <w:spacing w:after="0"/>
              <w:rPr>
                <w:sz w:val="20"/>
                <w:szCs w:val="20"/>
                <w:color w:val="auto"/>
              </w:rPr>
            </w:pPr>
            <w:r>
              <w:rPr>
                <w:rFonts w:ascii="Arial" w:cs="Arial" w:eastAsia="Arial" w:hAnsi="Arial"/>
                <w:sz w:val="14"/>
                <w:szCs w:val="14"/>
                <w:color w:val="auto"/>
              </w:rPr>
              <w:t>1/1/2018</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ind w:left="10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18,750</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1,170,563</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1/1/2019</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ind w:left="10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42,500</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2,653,275</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1/1/2020</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ind w:left="10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63,750</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3,979,913</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300" w:type="dxa"/>
            <w:vAlign w:val="bottom"/>
          </w:tcPr>
          <w:p>
            <w:pPr>
              <w:spacing w:after="0"/>
              <w:rPr>
                <w:sz w:val="13"/>
                <w:szCs w:val="13"/>
                <w:color w:val="auto"/>
              </w:rPr>
            </w:pPr>
          </w:p>
        </w:tc>
        <w:tc>
          <w:tcPr>
            <w:tcW w:w="940" w:type="dxa"/>
            <w:vAlign w:val="bottom"/>
          </w:tcPr>
          <w:p>
            <w:pPr>
              <w:jc w:val="right"/>
              <w:spacing w:after="0" w:line="157" w:lineRule="exact"/>
              <w:rPr>
                <w:sz w:val="20"/>
                <w:szCs w:val="20"/>
                <w:color w:val="auto"/>
              </w:rPr>
            </w:pPr>
            <w:r>
              <w:rPr>
                <w:rFonts w:ascii="Arial" w:cs="Arial" w:eastAsia="Arial" w:hAnsi="Arial"/>
                <w:sz w:val="14"/>
                <w:szCs w:val="14"/>
                <w:color w:val="auto"/>
              </w:rPr>
              <w:t>1/1/2021</w:t>
            </w:r>
          </w:p>
        </w:tc>
        <w:tc>
          <w:tcPr>
            <w:tcW w:w="104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260" w:type="dxa"/>
            <w:vAlign w:val="bottom"/>
          </w:tcPr>
          <w:p>
            <w:pPr>
              <w:ind w:left="1020"/>
              <w:spacing w:after="0" w:line="157"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line="157"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line="157" w:lineRule="exact"/>
              <w:rPr>
                <w:sz w:val="20"/>
                <w:szCs w:val="20"/>
                <w:color w:val="auto"/>
              </w:rPr>
            </w:pPr>
            <w:r>
              <w:rPr>
                <w:rFonts w:ascii="Arial" w:cs="Arial" w:eastAsia="Arial" w:hAnsi="Arial"/>
                <w:sz w:val="14"/>
                <w:szCs w:val="14"/>
                <w:color w:val="auto"/>
              </w:rPr>
              <w:t>60,000</w:t>
            </w:r>
          </w:p>
        </w:tc>
        <w:tc>
          <w:tcPr>
            <w:tcW w:w="880" w:type="dxa"/>
            <w:vAlign w:val="bottom"/>
          </w:tcPr>
          <w:p>
            <w:pPr>
              <w:jc w:val="right"/>
              <w:ind w:right="28"/>
              <w:spacing w:after="0" w:line="157" w:lineRule="exact"/>
              <w:rPr>
                <w:sz w:val="20"/>
                <w:szCs w:val="20"/>
                <w:color w:val="auto"/>
              </w:rPr>
            </w:pPr>
            <w:r>
              <w:rPr>
                <w:rFonts w:ascii="Arial" w:cs="Arial" w:eastAsia="Arial" w:hAnsi="Arial"/>
                <w:sz w:val="14"/>
                <w:szCs w:val="14"/>
                <w:color w:val="auto"/>
              </w:rPr>
              <w:t>3,745,800</w:t>
            </w:r>
          </w:p>
        </w:tc>
        <w:tc>
          <w:tcPr>
            <w:tcW w:w="94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300" w:type="dxa"/>
            <w:vAlign w:val="bottom"/>
            <w:shd w:val="clear" w:color="auto" w:fill="E5E5E5"/>
          </w:tcPr>
          <w:p>
            <w:pPr>
              <w:ind w:left="140"/>
              <w:spacing w:after="0"/>
              <w:rPr>
                <w:sz w:val="20"/>
                <w:szCs w:val="20"/>
                <w:color w:val="auto"/>
              </w:rPr>
            </w:pPr>
            <w:r>
              <w:rPr>
                <w:rFonts w:ascii="Arial" w:cs="Arial" w:eastAsia="Arial" w:hAnsi="Arial"/>
                <w:sz w:val="14"/>
                <w:szCs w:val="14"/>
                <w:b w:val="1"/>
                <w:bCs w:val="1"/>
                <w:color w:val="0071CE"/>
              </w:rPr>
              <w:t>Patrick O’Brien</w:t>
            </w: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1/1/2016</w:t>
            </w: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60,000</w:t>
            </w:r>
          </w:p>
        </w:tc>
        <w:tc>
          <w:tcPr>
            <w:tcW w:w="1260" w:type="dxa"/>
            <w:vAlign w:val="bottom"/>
            <w:shd w:val="clear" w:color="auto" w:fill="E5E5E5"/>
          </w:tcPr>
          <w:p>
            <w:pPr>
              <w:ind w:left="1020"/>
              <w:spacing w:after="0"/>
              <w:rPr>
                <w:sz w:val="20"/>
                <w:szCs w:val="20"/>
                <w:color w:val="auto"/>
              </w:rPr>
            </w:pPr>
            <w:r>
              <w:rPr>
                <w:rFonts w:ascii="Arial" w:cs="Arial" w:eastAsia="Arial" w:hAnsi="Arial"/>
                <w:sz w:val="14"/>
                <w:szCs w:val="14"/>
                <w:color w:val="auto"/>
              </w:rPr>
              <w:t>—</w:t>
            </w:r>
          </w:p>
        </w:tc>
        <w:tc>
          <w:tcPr>
            <w:tcW w:w="80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6.15</w:t>
            </w:r>
          </w:p>
        </w:tc>
        <w:tc>
          <w:tcPr>
            <w:tcW w:w="102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1/1/2026</w:t>
            </w:r>
          </w:p>
        </w:tc>
        <w:tc>
          <w:tcPr>
            <w:tcW w:w="8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E5E5E5"/>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300" w:type="dxa"/>
            <w:vAlign w:val="bottom"/>
            <w:shd w:val="clear" w:color="auto" w:fill="E5E5E5"/>
          </w:tcPr>
          <w:p>
            <w:pPr>
              <w:spacing w:after="0"/>
              <w:rPr>
                <w:sz w:val="14"/>
                <w:szCs w:val="14"/>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1/1/2018</w:t>
            </w: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E5E5E5"/>
          </w:tcPr>
          <w:p>
            <w:pPr>
              <w:ind w:left="1020"/>
              <w:spacing w:after="0"/>
              <w:rPr>
                <w:sz w:val="20"/>
                <w:szCs w:val="20"/>
                <w:color w:val="auto"/>
              </w:rPr>
            </w:pPr>
            <w:r>
              <w:rPr>
                <w:rFonts w:ascii="Arial" w:cs="Arial" w:eastAsia="Arial" w:hAnsi="Arial"/>
                <w:sz w:val="14"/>
                <w:szCs w:val="14"/>
                <w:color w:val="auto"/>
              </w:rPr>
              <w:t>—</w:t>
            </w:r>
          </w:p>
        </w:tc>
        <w:tc>
          <w:tcPr>
            <w:tcW w:w="80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15,000</w:t>
            </w:r>
          </w:p>
        </w:tc>
        <w:tc>
          <w:tcPr>
            <w:tcW w:w="88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936,450</w:t>
            </w:r>
          </w:p>
        </w:tc>
        <w:tc>
          <w:tcPr>
            <w:tcW w:w="94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E5E5E5"/>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300" w:type="dxa"/>
            <w:vAlign w:val="bottom"/>
            <w:shd w:val="clear" w:color="auto" w:fill="E5E5E5"/>
          </w:tcPr>
          <w:p>
            <w:pPr>
              <w:spacing w:after="0"/>
              <w:rPr>
                <w:sz w:val="14"/>
                <w:szCs w:val="14"/>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1/1/2019</w:t>
            </w: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E5E5E5"/>
          </w:tcPr>
          <w:p>
            <w:pPr>
              <w:ind w:left="1020"/>
              <w:spacing w:after="0"/>
              <w:rPr>
                <w:sz w:val="20"/>
                <w:szCs w:val="20"/>
                <w:color w:val="auto"/>
              </w:rPr>
            </w:pPr>
            <w:r>
              <w:rPr>
                <w:rFonts w:ascii="Arial" w:cs="Arial" w:eastAsia="Arial" w:hAnsi="Arial"/>
                <w:sz w:val="14"/>
                <w:szCs w:val="14"/>
                <w:color w:val="auto"/>
              </w:rPr>
              <w:t>—</w:t>
            </w:r>
          </w:p>
        </w:tc>
        <w:tc>
          <w:tcPr>
            <w:tcW w:w="80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35,000</w:t>
            </w:r>
          </w:p>
        </w:tc>
        <w:tc>
          <w:tcPr>
            <w:tcW w:w="88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2,185,050</w:t>
            </w:r>
          </w:p>
        </w:tc>
        <w:tc>
          <w:tcPr>
            <w:tcW w:w="94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E5E5E5"/>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300" w:type="dxa"/>
            <w:vAlign w:val="bottom"/>
            <w:shd w:val="clear" w:color="auto" w:fill="E5E5E5"/>
          </w:tcPr>
          <w:p>
            <w:pPr>
              <w:spacing w:after="0"/>
              <w:rPr>
                <w:sz w:val="14"/>
                <w:szCs w:val="14"/>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1/1/2020</w:t>
            </w: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E5E5E5"/>
          </w:tcPr>
          <w:p>
            <w:pPr>
              <w:ind w:left="1020"/>
              <w:spacing w:after="0"/>
              <w:rPr>
                <w:sz w:val="20"/>
                <w:szCs w:val="20"/>
                <w:color w:val="auto"/>
              </w:rPr>
            </w:pPr>
            <w:r>
              <w:rPr>
                <w:rFonts w:ascii="Arial" w:cs="Arial" w:eastAsia="Arial" w:hAnsi="Arial"/>
                <w:sz w:val="14"/>
                <w:szCs w:val="14"/>
                <w:color w:val="auto"/>
              </w:rPr>
              <w:t>—</w:t>
            </w:r>
          </w:p>
        </w:tc>
        <w:tc>
          <w:tcPr>
            <w:tcW w:w="80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52,500</w:t>
            </w:r>
          </w:p>
        </w:tc>
        <w:tc>
          <w:tcPr>
            <w:tcW w:w="88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3,277,575</w:t>
            </w:r>
          </w:p>
        </w:tc>
        <w:tc>
          <w:tcPr>
            <w:tcW w:w="94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E5E5E5"/>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300" w:type="dxa"/>
            <w:vAlign w:val="bottom"/>
            <w:shd w:val="clear" w:color="auto" w:fill="E5E5E5"/>
          </w:tcPr>
          <w:p>
            <w:pPr>
              <w:spacing w:after="0"/>
              <w:rPr>
                <w:sz w:val="14"/>
                <w:szCs w:val="14"/>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1/1/2021</w:t>
            </w: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E5E5E5"/>
          </w:tcPr>
          <w:p>
            <w:pPr>
              <w:ind w:left="1020"/>
              <w:spacing w:after="0"/>
              <w:rPr>
                <w:sz w:val="20"/>
                <w:szCs w:val="20"/>
                <w:color w:val="auto"/>
              </w:rPr>
            </w:pPr>
            <w:r>
              <w:rPr>
                <w:rFonts w:ascii="Arial" w:cs="Arial" w:eastAsia="Arial" w:hAnsi="Arial"/>
                <w:sz w:val="14"/>
                <w:szCs w:val="14"/>
                <w:color w:val="auto"/>
              </w:rPr>
              <w:t>—</w:t>
            </w:r>
          </w:p>
        </w:tc>
        <w:tc>
          <w:tcPr>
            <w:tcW w:w="80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60,000</w:t>
            </w:r>
          </w:p>
        </w:tc>
        <w:tc>
          <w:tcPr>
            <w:tcW w:w="88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3,745,800</w:t>
            </w:r>
          </w:p>
        </w:tc>
        <w:tc>
          <w:tcPr>
            <w:tcW w:w="94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E5E5E5"/>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300" w:type="dxa"/>
            <w:vAlign w:val="bottom"/>
          </w:tcPr>
          <w:p>
            <w:pPr>
              <w:ind w:left="140"/>
              <w:spacing w:after="0"/>
              <w:rPr>
                <w:sz w:val="20"/>
                <w:szCs w:val="20"/>
                <w:color w:val="auto"/>
              </w:rPr>
            </w:pPr>
            <w:r>
              <w:rPr>
                <w:rFonts w:ascii="Arial" w:cs="Arial" w:eastAsia="Arial" w:hAnsi="Arial"/>
                <w:sz w:val="14"/>
                <w:szCs w:val="14"/>
                <w:b w:val="1"/>
                <w:bCs w:val="1"/>
                <w:color w:val="0071CE"/>
              </w:rPr>
              <w:t>Javier San Martin</w:t>
            </w:r>
          </w:p>
        </w:tc>
        <w:tc>
          <w:tcPr>
            <w:tcW w:w="940" w:type="dxa"/>
            <w:vAlign w:val="bottom"/>
          </w:tcPr>
          <w:p>
            <w:pPr>
              <w:jc w:val="right"/>
              <w:spacing w:after="0"/>
              <w:rPr>
                <w:sz w:val="20"/>
                <w:szCs w:val="20"/>
                <w:color w:val="auto"/>
              </w:rPr>
            </w:pPr>
            <w:r>
              <w:rPr>
                <w:rFonts w:ascii="Arial" w:cs="Arial" w:eastAsia="Arial" w:hAnsi="Arial"/>
                <w:sz w:val="14"/>
                <w:szCs w:val="14"/>
                <w:color w:val="auto"/>
              </w:rPr>
              <w:t>11/18/2019</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ind w:left="10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112,500</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7,023,375</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300" w:type="dxa"/>
            <w:vAlign w:val="bottom"/>
            <w:shd w:val="clear" w:color="auto" w:fill="E5E5E5"/>
          </w:tcPr>
          <w:p>
            <w:pPr>
              <w:ind w:left="140"/>
              <w:spacing w:after="0"/>
              <w:rPr>
                <w:sz w:val="20"/>
                <w:szCs w:val="20"/>
                <w:color w:val="auto"/>
              </w:rPr>
            </w:pPr>
            <w:r>
              <w:rPr>
                <w:rFonts w:ascii="Arial" w:cs="Arial" w:eastAsia="Arial" w:hAnsi="Arial"/>
                <w:sz w:val="14"/>
                <w:szCs w:val="14"/>
                <w:b w:val="1"/>
                <w:bCs w:val="1"/>
                <w:color w:val="0071CE"/>
              </w:rPr>
              <w:t>James Hamilton</w:t>
            </w: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1/1/2018</w:t>
            </w: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E5E5E5"/>
          </w:tcPr>
          <w:p>
            <w:pPr>
              <w:ind w:left="1020"/>
              <w:spacing w:after="0"/>
              <w:rPr>
                <w:sz w:val="20"/>
                <w:szCs w:val="20"/>
                <w:color w:val="auto"/>
              </w:rPr>
            </w:pPr>
            <w:r>
              <w:rPr>
                <w:rFonts w:ascii="Arial" w:cs="Arial" w:eastAsia="Arial" w:hAnsi="Arial"/>
                <w:sz w:val="14"/>
                <w:szCs w:val="14"/>
                <w:color w:val="auto"/>
              </w:rPr>
              <w:t>—</w:t>
            </w:r>
          </w:p>
        </w:tc>
        <w:tc>
          <w:tcPr>
            <w:tcW w:w="80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12,500</w:t>
            </w:r>
          </w:p>
        </w:tc>
        <w:tc>
          <w:tcPr>
            <w:tcW w:w="88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780,375</w:t>
            </w:r>
          </w:p>
        </w:tc>
        <w:tc>
          <w:tcPr>
            <w:tcW w:w="94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E5E5E5"/>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300" w:type="dxa"/>
            <w:vAlign w:val="bottom"/>
            <w:shd w:val="clear" w:color="auto" w:fill="E5E5E5"/>
          </w:tcPr>
          <w:p>
            <w:pPr>
              <w:spacing w:after="0"/>
              <w:rPr>
                <w:sz w:val="14"/>
                <w:szCs w:val="14"/>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1/1/2019</w:t>
            </w: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E5E5E5"/>
          </w:tcPr>
          <w:p>
            <w:pPr>
              <w:ind w:left="1020"/>
              <w:spacing w:after="0"/>
              <w:rPr>
                <w:sz w:val="20"/>
                <w:szCs w:val="20"/>
                <w:color w:val="auto"/>
              </w:rPr>
            </w:pPr>
            <w:r>
              <w:rPr>
                <w:rFonts w:ascii="Arial" w:cs="Arial" w:eastAsia="Arial" w:hAnsi="Arial"/>
                <w:sz w:val="14"/>
                <w:szCs w:val="14"/>
                <w:color w:val="auto"/>
              </w:rPr>
              <w:t>—</w:t>
            </w:r>
          </w:p>
        </w:tc>
        <w:tc>
          <w:tcPr>
            <w:tcW w:w="80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30,000</w:t>
            </w:r>
          </w:p>
        </w:tc>
        <w:tc>
          <w:tcPr>
            <w:tcW w:w="88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1,872,900</w:t>
            </w:r>
          </w:p>
        </w:tc>
        <w:tc>
          <w:tcPr>
            <w:tcW w:w="94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E5E5E5"/>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300" w:type="dxa"/>
            <w:vAlign w:val="bottom"/>
            <w:shd w:val="clear" w:color="auto" w:fill="E5E5E5"/>
          </w:tcPr>
          <w:p>
            <w:pPr>
              <w:spacing w:after="0"/>
              <w:rPr>
                <w:sz w:val="14"/>
                <w:szCs w:val="14"/>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1/1/2020</w:t>
            </w: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E5E5E5"/>
          </w:tcPr>
          <w:p>
            <w:pPr>
              <w:ind w:left="1020"/>
              <w:spacing w:after="0"/>
              <w:rPr>
                <w:sz w:val="20"/>
                <w:szCs w:val="20"/>
                <w:color w:val="auto"/>
              </w:rPr>
            </w:pPr>
            <w:r>
              <w:rPr>
                <w:rFonts w:ascii="Arial" w:cs="Arial" w:eastAsia="Arial" w:hAnsi="Arial"/>
                <w:sz w:val="14"/>
                <w:szCs w:val="14"/>
                <w:color w:val="auto"/>
              </w:rPr>
              <w:t>—</w:t>
            </w:r>
          </w:p>
        </w:tc>
        <w:tc>
          <w:tcPr>
            <w:tcW w:w="80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33,750</w:t>
            </w:r>
          </w:p>
        </w:tc>
        <w:tc>
          <w:tcPr>
            <w:tcW w:w="88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2,107,013</w:t>
            </w:r>
          </w:p>
        </w:tc>
        <w:tc>
          <w:tcPr>
            <w:tcW w:w="94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E5E5E5"/>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300" w:type="dxa"/>
            <w:vAlign w:val="bottom"/>
            <w:shd w:val="clear" w:color="auto" w:fill="E5E5E5"/>
          </w:tcPr>
          <w:p>
            <w:pPr>
              <w:spacing w:after="0"/>
              <w:rPr>
                <w:sz w:val="14"/>
                <w:szCs w:val="14"/>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1/1/2021</w:t>
            </w: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E5E5E5"/>
          </w:tcPr>
          <w:p>
            <w:pPr>
              <w:ind w:left="1020"/>
              <w:spacing w:after="0"/>
              <w:rPr>
                <w:sz w:val="20"/>
                <w:szCs w:val="20"/>
                <w:color w:val="auto"/>
              </w:rPr>
            </w:pPr>
            <w:r>
              <w:rPr>
                <w:rFonts w:ascii="Arial" w:cs="Arial" w:eastAsia="Arial" w:hAnsi="Arial"/>
                <w:sz w:val="14"/>
                <w:szCs w:val="14"/>
                <w:color w:val="auto"/>
              </w:rPr>
              <w:t>—</w:t>
            </w:r>
          </w:p>
        </w:tc>
        <w:tc>
          <w:tcPr>
            <w:tcW w:w="80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50,000</w:t>
            </w:r>
          </w:p>
        </w:tc>
        <w:tc>
          <w:tcPr>
            <w:tcW w:w="88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3,121,500</w:t>
            </w:r>
          </w:p>
        </w:tc>
        <w:tc>
          <w:tcPr>
            <w:tcW w:w="94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E5E5E5"/>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300" w:type="dxa"/>
            <w:vAlign w:val="bottom"/>
            <w:tcBorders>
              <w:bottom w:val="single" w:sz="8" w:color="0071CE"/>
            </w:tcBorders>
          </w:tcPr>
          <w:p>
            <w:pPr>
              <w:ind w:left="140"/>
              <w:spacing w:after="0"/>
              <w:rPr>
                <w:sz w:val="20"/>
                <w:szCs w:val="20"/>
                <w:color w:val="auto"/>
              </w:rPr>
            </w:pPr>
            <w:r>
              <w:rPr>
                <w:rFonts w:ascii="Arial" w:cs="Arial" w:eastAsia="Arial" w:hAnsi="Arial"/>
                <w:sz w:val="14"/>
                <w:szCs w:val="14"/>
                <w:b w:val="1"/>
                <w:bCs w:val="1"/>
                <w:color w:val="0071CE"/>
              </w:rPr>
              <w:t>James Hassard (5)</w:t>
            </w:r>
          </w:p>
        </w:tc>
        <w:tc>
          <w:tcPr>
            <w:tcW w:w="940" w:type="dxa"/>
            <w:vAlign w:val="bottom"/>
            <w:tcBorders>
              <w:bottom w:val="single" w:sz="8" w:color="0071CE"/>
            </w:tcBorders>
          </w:tcPr>
          <w:p>
            <w:pPr>
              <w:spacing w:after="0"/>
              <w:rPr>
                <w:sz w:val="18"/>
                <w:szCs w:val="18"/>
                <w:color w:val="auto"/>
              </w:rPr>
            </w:pPr>
          </w:p>
        </w:tc>
        <w:tc>
          <w:tcPr>
            <w:tcW w:w="1040" w:type="dxa"/>
            <w:vAlign w:val="bottom"/>
            <w:tcBorders>
              <w:bottom w:val="single" w:sz="8" w:color="0071CE"/>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0071CE"/>
            </w:tcBorders>
          </w:tcPr>
          <w:p>
            <w:pPr>
              <w:ind w:left="102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0071CE"/>
            </w:tcBorders>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0071CE"/>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0071CE"/>
            </w:tcBorders>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0071CE"/>
            </w:tcBorders>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0071CE"/>
            </w:tcBorders>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0071CE"/>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-4465320</wp:posOffset>
            </wp:positionV>
            <wp:extent cx="48006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800600" cy="8890"/>
                    </a:xfrm>
                    <a:prstGeom prst="rect">
                      <a:avLst/>
                    </a:prstGeom>
                    <a:noFill/>
                  </pic:spPr>
                </pic:pic>
              </a:graphicData>
            </a:graphic>
          </wp:anchor>
        </w:drawing>
      </w:r>
    </w:p>
    <w:p>
      <w:pPr>
        <w:ind w:left="540" w:right="240" w:hanging="424"/>
        <w:spacing w:after="0" w:line="258" w:lineRule="auto"/>
        <w:tabs>
          <w:tab w:leader="none" w:pos="5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Options are priced at the market closing price on the date of grant. Options have various vesting parameters, but generally vest within 48 months after the award is granted.</w:t>
      </w:r>
    </w:p>
    <w:p>
      <w:pPr>
        <w:spacing w:after="0" w:line="45" w:lineRule="exact"/>
        <w:rPr>
          <w:rFonts w:ascii="Arial" w:cs="Arial" w:eastAsia="Arial" w:hAnsi="Arial"/>
          <w:sz w:val="14"/>
          <w:szCs w:val="14"/>
          <w:color w:val="auto"/>
        </w:rPr>
      </w:pPr>
    </w:p>
    <w:p>
      <w:pPr>
        <w:ind w:left="540" w:right="60" w:hanging="424"/>
        <w:spacing w:after="0" w:line="258" w:lineRule="auto"/>
        <w:tabs>
          <w:tab w:leader="none" w:pos="5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amounts reported for Christopher Anzalone in this column reflect the January 2020 and January 2021 awards that contain performance-based vesting conditions. These awards and their vesting conditions are described above in the “Compensation Discussion and Analysis” under the heading “Equity Compensation”.</w:t>
      </w:r>
    </w:p>
    <w:p>
      <w:pPr>
        <w:spacing w:after="0" w:line="45" w:lineRule="exact"/>
        <w:rPr>
          <w:rFonts w:ascii="Arial" w:cs="Arial" w:eastAsia="Arial" w:hAnsi="Arial"/>
          <w:sz w:val="14"/>
          <w:szCs w:val="14"/>
          <w:color w:val="auto"/>
        </w:rPr>
      </w:pPr>
    </w:p>
    <w:p>
      <w:pPr>
        <w:ind w:left="540" w:hanging="424"/>
        <w:spacing w:after="0"/>
        <w:tabs>
          <w:tab w:leader="none" w:pos="5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Restricted stock units have various vesting parameters but generally vest in four equal annual installments beginning 1 year from the grant date.</w:t>
      </w:r>
    </w:p>
    <w:p>
      <w:pPr>
        <w:spacing w:after="0" w:line="68" w:lineRule="exact"/>
        <w:rPr>
          <w:rFonts w:ascii="Arial" w:cs="Arial" w:eastAsia="Arial" w:hAnsi="Arial"/>
          <w:sz w:val="14"/>
          <w:szCs w:val="14"/>
          <w:color w:val="auto"/>
        </w:rPr>
      </w:pPr>
    </w:p>
    <w:p>
      <w:pPr>
        <w:ind w:left="540" w:hanging="424"/>
        <w:spacing w:after="0"/>
        <w:tabs>
          <w:tab w:leader="none" w:pos="5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Value is based on our Company’s Common Stock closing price of $62.43 on September 30, 2021.</w:t>
      </w:r>
    </w:p>
    <w:p>
      <w:pPr>
        <w:spacing w:after="0" w:line="68" w:lineRule="exact"/>
        <w:rPr>
          <w:rFonts w:ascii="Arial" w:cs="Arial" w:eastAsia="Arial" w:hAnsi="Arial"/>
          <w:sz w:val="14"/>
          <w:szCs w:val="14"/>
          <w:color w:val="auto"/>
        </w:rPr>
      </w:pPr>
    </w:p>
    <w:p>
      <w:pPr>
        <w:ind w:left="540" w:hanging="424"/>
        <w:spacing w:after="0"/>
        <w:tabs>
          <w:tab w:leader="none" w:pos="5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Mr. Hassard’s employment with us was terminated in August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92075</wp:posOffset>
            </wp:positionV>
            <wp:extent cx="986155" cy="2057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56" w:lineRule="exact"/>
        <w:rPr>
          <w:sz w:val="20"/>
          <w:szCs w:val="20"/>
          <w:color w:val="auto"/>
        </w:rPr>
      </w:pPr>
    </w:p>
    <w:p>
      <w:pPr>
        <w:ind w:left="10880"/>
        <w:spacing w:after="0"/>
        <w:rPr>
          <w:sz w:val="20"/>
          <w:szCs w:val="20"/>
          <w:color w:val="auto"/>
        </w:rPr>
      </w:pPr>
      <w:r>
        <w:rPr>
          <w:rFonts w:ascii="Arial" w:cs="Arial" w:eastAsia="Arial" w:hAnsi="Arial"/>
          <w:sz w:val="18"/>
          <w:szCs w:val="18"/>
          <w:b w:val="1"/>
          <w:bCs w:val="1"/>
          <w:color w:val="0071CE"/>
        </w:rPr>
        <w:t>41</w:t>
      </w:r>
    </w:p>
    <w:p>
      <w:pPr>
        <w:sectPr>
          <w:pgSz w:w="11900" w:h="16838" w:orient="portrait"/>
          <w:cols w:equalWidth="0" w:num="1">
            <w:col w:w="11140"/>
          </w:cols>
          <w:pgMar w:left="32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20"/>
        <w:spacing w:after="0"/>
        <w:tabs>
          <w:tab w:leader="none" w:pos="2020" w:val="left"/>
        </w:tabs>
        <w:rPr>
          <w:sz w:val="20"/>
          <w:szCs w:val="20"/>
          <w:color w:val="auto"/>
        </w:rPr>
      </w:pPr>
      <w:r>
        <w:rPr>
          <w:rFonts w:ascii="Arial" w:cs="Arial" w:eastAsia="Arial" w:hAnsi="Arial"/>
          <w:sz w:val="14"/>
          <w:szCs w:val="14"/>
          <w:b w:val="1"/>
          <w:bCs w:val="1"/>
          <w:color w:val="0071CE"/>
        </w:rPr>
        <w:t>2022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C4C4C"/>
        </w:rPr>
        <w:t>Fiscal 2021 Options Exercises and Stock Vested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57150</wp:posOffset>
            </wp:positionV>
            <wp:extent cx="69951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provides information, with respect to the NEOs, concerning options exercised or RSUs or PRSUs vested during fiscal 2021.</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580" w:type="dxa"/>
            <w:vAlign w:val="bottom"/>
            <w:shd w:val="clear" w:color="auto" w:fill="0071CE"/>
          </w:tcPr>
          <w:p>
            <w:pPr>
              <w:spacing w:after="0"/>
              <w:rPr>
                <w:sz w:val="14"/>
                <w:szCs w:val="14"/>
                <w:color w:val="auto"/>
              </w:rPr>
            </w:pPr>
          </w:p>
        </w:tc>
        <w:tc>
          <w:tcPr>
            <w:tcW w:w="3920" w:type="dxa"/>
            <w:vAlign w:val="bottom"/>
            <w:gridSpan w:val="2"/>
            <w:shd w:val="clear" w:color="auto" w:fill="0071CE"/>
          </w:tcPr>
          <w:p>
            <w:pPr>
              <w:jc w:val="right"/>
              <w:ind w:right="1241"/>
              <w:spacing w:after="0"/>
              <w:rPr>
                <w:sz w:val="20"/>
                <w:szCs w:val="20"/>
                <w:color w:val="auto"/>
              </w:rPr>
            </w:pPr>
            <w:r>
              <w:rPr>
                <w:rFonts w:ascii="Arial" w:cs="Arial" w:eastAsia="Arial" w:hAnsi="Arial"/>
                <w:sz w:val="14"/>
                <w:szCs w:val="14"/>
                <w:b w:val="1"/>
                <w:bCs w:val="1"/>
                <w:color w:val="FFFFFF"/>
              </w:rPr>
              <w:t>Option Awards</w:t>
            </w:r>
          </w:p>
        </w:tc>
        <w:tc>
          <w:tcPr>
            <w:tcW w:w="3520" w:type="dxa"/>
            <w:vAlign w:val="bottom"/>
            <w:gridSpan w:val="2"/>
            <w:shd w:val="clear" w:color="auto" w:fill="0071CE"/>
          </w:tcPr>
          <w:p>
            <w:pPr>
              <w:jc w:val="right"/>
              <w:ind w:right="1081"/>
              <w:spacing w:after="0"/>
              <w:rPr>
                <w:sz w:val="20"/>
                <w:szCs w:val="20"/>
                <w:color w:val="auto"/>
              </w:rPr>
            </w:pPr>
            <w:r>
              <w:rPr>
                <w:rFonts w:ascii="Arial" w:cs="Arial" w:eastAsia="Arial" w:hAnsi="Arial"/>
                <w:sz w:val="14"/>
                <w:szCs w:val="14"/>
                <w:b w:val="1"/>
                <w:bCs w:val="1"/>
                <w:color w:val="FFFFFF"/>
              </w:rPr>
              <w:t>Stock Awards</w:t>
            </w:r>
          </w:p>
        </w:tc>
      </w:tr>
      <w:tr>
        <w:trPr>
          <w:trHeight w:val="243"/>
        </w:trPr>
        <w:tc>
          <w:tcPr>
            <w:tcW w:w="3580" w:type="dxa"/>
            <w:vAlign w:val="bottom"/>
            <w:shd w:val="clear" w:color="auto" w:fill="0071CE"/>
          </w:tcPr>
          <w:p>
            <w:pPr>
              <w:spacing w:after="0"/>
              <w:rPr>
                <w:sz w:val="21"/>
                <w:szCs w:val="21"/>
                <w:color w:val="auto"/>
              </w:rPr>
            </w:pPr>
          </w:p>
        </w:tc>
        <w:tc>
          <w:tcPr>
            <w:tcW w:w="2100" w:type="dxa"/>
            <w:vAlign w:val="bottom"/>
            <w:shd w:val="clear" w:color="auto" w:fill="0071CE"/>
          </w:tcPr>
          <w:p>
            <w:pPr>
              <w:jc w:val="center"/>
              <w:ind w:left="143"/>
              <w:spacing w:after="0"/>
              <w:rPr>
                <w:sz w:val="20"/>
                <w:szCs w:val="20"/>
                <w:color w:val="auto"/>
              </w:rPr>
            </w:pPr>
            <w:r>
              <w:rPr>
                <w:rFonts w:ascii="Arial" w:cs="Arial" w:eastAsia="Arial" w:hAnsi="Arial"/>
                <w:sz w:val="14"/>
                <w:szCs w:val="14"/>
                <w:b w:val="1"/>
                <w:bCs w:val="1"/>
                <w:color w:val="FFFFFF"/>
              </w:rPr>
              <w:t>Number of Shares</w:t>
            </w:r>
          </w:p>
        </w:tc>
        <w:tc>
          <w:tcPr>
            <w:tcW w:w="1820" w:type="dxa"/>
            <w:vAlign w:val="bottom"/>
            <w:shd w:val="clear" w:color="auto" w:fill="0071CE"/>
          </w:tcPr>
          <w:p>
            <w:pPr>
              <w:spacing w:after="0"/>
              <w:rPr>
                <w:sz w:val="21"/>
                <w:szCs w:val="21"/>
                <w:color w:val="auto"/>
              </w:rPr>
            </w:pPr>
          </w:p>
        </w:tc>
        <w:tc>
          <w:tcPr>
            <w:tcW w:w="186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Number of Shares</w:t>
            </w:r>
          </w:p>
        </w:tc>
        <w:tc>
          <w:tcPr>
            <w:tcW w:w="1660" w:type="dxa"/>
            <w:vAlign w:val="bottom"/>
            <w:shd w:val="clear" w:color="auto" w:fill="0071CE"/>
          </w:tcPr>
          <w:p>
            <w:pPr>
              <w:spacing w:after="0"/>
              <w:rPr>
                <w:sz w:val="21"/>
                <w:szCs w:val="21"/>
                <w:color w:val="auto"/>
              </w:rPr>
            </w:pPr>
          </w:p>
        </w:tc>
      </w:tr>
      <w:tr>
        <w:trPr>
          <w:trHeight w:val="162"/>
        </w:trPr>
        <w:tc>
          <w:tcPr>
            <w:tcW w:w="3580" w:type="dxa"/>
            <w:vAlign w:val="bottom"/>
            <w:shd w:val="clear" w:color="auto" w:fill="0071CE"/>
          </w:tcPr>
          <w:p>
            <w:pPr>
              <w:spacing w:after="0"/>
              <w:rPr>
                <w:sz w:val="14"/>
                <w:szCs w:val="14"/>
                <w:color w:val="auto"/>
              </w:rPr>
            </w:pPr>
          </w:p>
        </w:tc>
        <w:tc>
          <w:tcPr>
            <w:tcW w:w="2100" w:type="dxa"/>
            <w:vAlign w:val="bottom"/>
            <w:shd w:val="clear" w:color="auto" w:fill="0071CE"/>
          </w:tcPr>
          <w:p>
            <w:pPr>
              <w:jc w:val="center"/>
              <w:ind w:left="143"/>
              <w:spacing w:after="0"/>
              <w:rPr>
                <w:sz w:val="20"/>
                <w:szCs w:val="20"/>
                <w:color w:val="auto"/>
              </w:rPr>
            </w:pPr>
            <w:r>
              <w:rPr>
                <w:rFonts w:ascii="Arial" w:cs="Arial" w:eastAsia="Arial" w:hAnsi="Arial"/>
                <w:sz w:val="14"/>
                <w:szCs w:val="14"/>
                <w:b w:val="1"/>
                <w:bCs w:val="1"/>
                <w:color w:val="FFFFFF"/>
              </w:rPr>
              <w:t>Acquired on</w:t>
            </w:r>
          </w:p>
        </w:tc>
        <w:tc>
          <w:tcPr>
            <w:tcW w:w="1820" w:type="dxa"/>
            <w:vAlign w:val="bottom"/>
            <w:shd w:val="clear" w:color="auto" w:fill="0071CE"/>
          </w:tcPr>
          <w:p>
            <w:pPr>
              <w:jc w:val="right"/>
              <w:ind w:right="221"/>
              <w:spacing w:after="0"/>
              <w:rPr>
                <w:sz w:val="20"/>
                <w:szCs w:val="20"/>
                <w:color w:val="auto"/>
              </w:rPr>
            </w:pPr>
            <w:r>
              <w:rPr>
                <w:rFonts w:ascii="Arial" w:cs="Arial" w:eastAsia="Arial" w:hAnsi="Arial"/>
                <w:sz w:val="14"/>
                <w:szCs w:val="14"/>
                <w:b w:val="1"/>
                <w:bCs w:val="1"/>
                <w:color w:val="FFFFFF"/>
              </w:rPr>
              <w:t>Value Realized on</w:t>
            </w:r>
          </w:p>
        </w:tc>
        <w:tc>
          <w:tcPr>
            <w:tcW w:w="186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Acquired on</w:t>
            </w:r>
          </w:p>
        </w:tc>
        <w:tc>
          <w:tcPr>
            <w:tcW w:w="1660" w:type="dxa"/>
            <w:vAlign w:val="bottom"/>
            <w:shd w:val="clear" w:color="auto" w:fill="0071CE"/>
          </w:tcPr>
          <w:p>
            <w:pPr>
              <w:jc w:val="right"/>
              <w:ind w:right="61"/>
              <w:spacing w:after="0"/>
              <w:rPr>
                <w:sz w:val="20"/>
                <w:szCs w:val="20"/>
                <w:color w:val="auto"/>
              </w:rPr>
            </w:pPr>
            <w:r>
              <w:rPr>
                <w:rFonts w:ascii="Arial" w:cs="Arial" w:eastAsia="Arial" w:hAnsi="Arial"/>
                <w:sz w:val="14"/>
                <w:szCs w:val="14"/>
                <w:b w:val="1"/>
                <w:bCs w:val="1"/>
                <w:color w:val="FFFFFF"/>
              </w:rPr>
              <w:t>Value Realized on</w:t>
            </w:r>
          </w:p>
        </w:tc>
      </w:tr>
      <w:tr>
        <w:trPr>
          <w:trHeight w:val="189"/>
        </w:trPr>
        <w:tc>
          <w:tcPr>
            <w:tcW w:w="3580" w:type="dxa"/>
            <w:vAlign w:val="bottom"/>
            <w:shd w:val="clear" w:color="auto" w:fill="0071CE"/>
          </w:tcPr>
          <w:p>
            <w:pPr>
              <w:ind w:left="160"/>
              <w:spacing w:after="0"/>
              <w:rPr>
                <w:sz w:val="20"/>
                <w:szCs w:val="20"/>
                <w:color w:val="auto"/>
              </w:rPr>
            </w:pPr>
            <w:r>
              <w:rPr>
                <w:rFonts w:ascii="Arial" w:cs="Arial" w:eastAsia="Arial" w:hAnsi="Arial"/>
                <w:sz w:val="14"/>
                <w:szCs w:val="14"/>
                <w:b w:val="1"/>
                <w:bCs w:val="1"/>
                <w:color w:val="FFFFFF"/>
              </w:rPr>
              <w:t>Name</w:t>
            </w:r>
          </w:p>
        </w:tc>
        <w:tc>
          <w:tcPr>
            <w:tcW w:w="2100" w:type="dxa"/>
            <w:vAlign w:val="bottom"/>
            <w:shd w:val="clear" w:color="auto" w:fill="0071CE"/>
          </w:tcPr>
          <w:p>
            <w:pPr>
              <w:jc w:val="center"/>
              <w:ind w:left="163"/>
              <w:spacing w:after="0"/>
              <w:rPr>
                <w:sz w:val="20"/>
                <w:szCs w:val="20"/>
                <w:color w:val="auto"/>
              </w:rPr>
            </w:pPr>
            <w:r>
              <w:rPr>
                <w:rFonts w:ascii="Arial" w:cs="Arial" w:eastAsia="Arial" w:hAnsi="Arial"/>
                <w:sz w:val="14"/>
                <w:szCs w:val="14"/>
                <w:b w:val="1"/>
                <w:bCs w:val="1"/>
                <w:color w:val="FFFFFF"/>
              </w:rPr>
              <w:t>Exercise</w:t>
            </w:r>
          </w:p>
        </w:tc>
        <w:tc>
          <w:tcPr>
            <w:tcW w:w="1820" w:type="dxa"/>
            <w:vAlign w:val="bottom"/>
            <w:shd w:val="clear" w:color="auto" w:fill="0071CE"/>
          </w:tcPr>
          <w:p>
            <w:pPr>
              <w:jc w:val="right"/>
              <w:ind w:right="421"/>
              <w:spacing w:after="0"/>
              <w:rPr>
                <w:sz w:val="20"/>
                <w:szCs w:val="20"/>
                <w:color w:val="auto"/>
              </w:rPr>
            </w:pPr>
            <w:r>
              <w:rPr>
                <w:rFonts w:ascii="Arial" w:cs="Arial" w:eastAsia="Arial" w:hAnsi="Arial"/>
                <w:sz w:val="14"/>
                <w:szCs w:val="14"/>
                <w:b w:val="1"/>
                <w:bCs w:val="1"/>
                <w:color w:val="FFFFFF"/>
              </w:rPr>
              <w:t>Exercise (1)</w:t>
            </w:r>
          </w:p>
        </w:tc>
        <w:tc>
          <w:tcPr>
            <w:tcW w:w="186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w w:val="98"/>
              </w:rPr>
              <w:t>Vesting</w:t>
            </w:r>
          </w:p>
        </w:tc>
        <w:tc>
          <w:tcPr>
            <w:tcW w:w="1660" w:type="dxa"/>
            <w:vAlign w:val="bottom"/>
            <w:shd w:val="clear" w:color="auto" w:fill="0071CE"/>
          </w:tcPr>
          <w:p>
            <w:pPr>
              <w:jc w:val="right"/>
              <w:ind w:right="261"/>
              <w:spacing w:after="0"/>
              <w:rPr>
                <w:sz w:val="20"/>
                <w:szCs w:val="20"/>
                <w:color w:val="auto"/>
              </w:rPr>
            </w:pPr>
            <w:r>
              <w:rPr>
                <w:rFonts w:ascii="Arial" w:cs="Arial" w:eastAsia="Arial" w:hAnsi="Arial"/>
                <w:sz w:val="14"/>
                <w:szCs w:val="14"/>
                <w:b w:val="1"/>
                <w:bCs w:val="1"/>
                <w:color w:val="FFFFFF"/>
              </w:rPr>
              <w:t>Vesting (2)</w:t>
            </w:r>
          </w:p>
        </w:tc>
      </w:tr>
      <w:tr>
        <w:trPr>
          <w:trHeight w:val="291"/>
        </w:trPr>
        <w:tc>
          <w:tcPr>
            <w:tcW w:w="358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Christopher Anzalone</w:t>
            </w:r>
          </w:p>
        </w:tc>
        <w:tc>
          <w:tcPr>
            <w:tcW w:w="2100" w:type="dxa"/>
            <w:vAlign w:val="bottom"/>
            <w:tcBorders>
              <w:bottom w:val="single" w:sz="8" w:color="E5E5E5"/>
            </w:tcBorders>
            <w:shd w:val="clear" w:color="auto" w:fill="E5E5E5"/>
          </w:tcPr>
          <w:p>
            <w:pPr>
              <w:jc w:val="right"/>
              <w:ind w:right="243"/>
              <w:spacing w:after="0"/>
              <w:rPr>
                <w:sz w:val="20"/>
                <w:szCs w:val="20"/>
                <w:color w:val="auto"/>
              </w:rPr>
            </w:pPr>
            <w:r>
              <w:rPr>
                <w:rFonts w:ascii="Arial" w:cs="Arial" w:eastAsia="Arial" w:hAnsi="Arial"/>
                <w:sz w:val="16"/>
                <w:szCs w:val="16"/>
                <w:color w:val="auto"/>
              </w:rPr>
              <w:t>95,510</w:t>
            </w:r>
          </w:p>
        </w:tc>
        <w:tc>
          <w:tcPr>
            <w:tcW w:w="1820" w:type="dxa"/>
            <w:vAlign w:val="bottom"/>
            <w:tcBorders>
              <w:bottom w:val="single" w:sz="8" w:color="E5E5E5"/>
            </w:tcBorders>
            <w:shd w:val="clear" w:color="auto" w:fill="E5E5E5"/>
          </w:tcPr>
          <w:p>
            <w:pPr>
              <w:jc w:val="right"/>
              <w:ind w:right="221"/>
              <w:spacing w:after="0"/>
              <w:rPr>
                <w:sz w:val="20"/>
                <w:szCs w:val="20"/>
                <w:color w:val="auto"/>
              </w:rPr>
            </w:pPr>
            <w:r>
              <w:rPr>
                <w:rFonts w:ascii="Arial" w:cs="Arial" w:eastAsia="Arial" w:hAnsi="Arial"/>
                <w:sz w:val="16"/>
                <w:szCs w:val="16"/>
                <w:color w:val="auto"/>
              </w:rPr>
              <w:t>6,712,408</w:t>
            </w:r>
          </w:p>
        </w:tc>
        <w:tc>
          <w:tcPr>
            <w:tcW w:w="1860" w:type="dxa"/>
            <w:vAlign w:val="bottom"/>
            <w:tcBorders>
              <w:bottom w:val="single" w:sz="8" w:color="E5E5E5"/>
            </w:tcBorders>
            <w:shd w:val="clear" w:color="auto" w:fill="E5E5E5"/>
          </w:tcPr>
          <w:p>
            <w:pPr>
              <w:jc w:val="right"/>
              <w:ind w:right="223"/>
              <w:spacing w:after="0"/>
              <w:rPr>
                <w:sz w:val="20"/>
                <w:szCs w:val="20"/>
                <w:color w:val="auto"/>
              </w:rPr>
            </w:pPr>
            <w:r>
              <w:rPr>
                <w:rFonts w:ascii="Arial" w:cs="Arial" w:eastAsia="Arial" w:hAnsi="Arial"/>
                <w:sz w:val="16"/>
                <w:szCs w:val="16"/>
                <w:color w:val="auto"/>
              </w:rPr>
              <w:t>200,000</w:t>
            </w:r>
          </w:p>
        </w:tc>
        <w:tc>
          <w:tcPr>
            <w:tcW w:w="16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11,712,000</w:t>
            </w:r>
          </w:p>
        </w:tc>
      </w:tr>
      <w:tr>
        <w:trPr>
          <w:trHeight w:val="264"/>
        </w:trPr>
        <w:tc>
          <w:tcPr>
            <w:tcW w:w="3580" w:type="dxa"/>
            <w:vAlign w:val="bottom"/>
          </w:tcPr>
          <w:p>
            <w:pPr>
              <w:ind w:left="60"/>
              <w:spacing w:after="0"/>
              <w:rPr>
                <w:sz w:val="20"/>
                <w:szCs w:val="20"/>
                <w:color w:val="auto"/>
              </w:rPr>
            </w:pPr>
            <w:r>
              <w:rPr>
                <w:rFonts w:ascii="Arial" w:cs="Arial" w:eastAsia="Arial" w:hAnsi="Arial"/>
                <w:sz w:val="16"/>
                <w:szCs w:val="16"/>
                <w:color w:val="auto"/>
              </w:rPr>
              <w:t>Kenneth Myszkowski</w:t>
            </w:r>
          </w:p>
        </w:tc>
        <w:tc>
          <w:tcPr>
            <w:tcW w:w="2100" w:type="dxa"/>
            <w:vAlign w:val="bottom"/>
          </w:tcPr>
          <w:p>
            <w:pPr>
              <w:jc w:val="right"/>
              <w:ind w:right="243"/>
              <w:spacing w:after="0"/>
              <w:rPr>
                <w:sz w:val="20"/>
                <w:szCs w:val="20"/>
                <w:color w:val="auto"/>
              </w:rPr>
            </w:pPr>
            <w:r>
              <w:rPr>
                <w:rFonts w:ascii="Arial" w:cs="Arial" w:eastAsia="Arial" w:hAnsi="Arial"/>
                <w:sz w:val="16"/>
                <w:szCs w:val="16"/>
                <w:color w:val="auto"/>
              </w:rPr>
              <w:t>72,671</w:t>
            </w:r>
          </w:p>
        </w:tc>
        <w:tc>
          <w:tcPr>
            <w:tcW w:w="1820" w:type="dxa"/>
            <w:vAlign w:val="bottom"/>
          </w:tcPr>
          <w:p>
            <w:pPr>
              <w:jc w:val="right"/>
              <w:ind w:right="221"/>
              <w:spacing w:after="0"/>
              <w:rPr>
                <w:sz w:val="20"/>
                <w:szCs w:val="20"/>
                <w:color w:val="auto"/>
              </w:rPr>
            </w:pPr>
            <w:r>
              <w:rPr>
                <w:rFonts w:ascii="Arial" w:cs="Arial" w:eastAsia="Arial" w:hAnsi="Arial"/>
                <w:sz w:val="16"/>
                <w:szCs w:val="16"/>
                <w:color w:val="auto"/>
              </w:rPr>
              <w:t>3,782,190</w:t>
            </w:r>
          </w:p>
        </w:tc>
        <w:tc>
          <w:tcPr>
            <w:tcW w:w="1860" w:type="dxa"/>
            <w:vAlign w:val="bottom"/>
          </w:tcPr>
          <w:p>
            <w:pPr>
              <w:jc w:val="right"/>
              <w:ind w:right="223"/>
              <w:spacing w:after="0"/>
              <w:rPr>
                <w:sz w:val="20"/>
                <w:szCs w:val="20"/>
                <w:color w:val="auto"/>
              </w:rPr>
            </w:pPr>
            <w:r>
              <w:rPr>
                <w:rFonts w:ascii="Arial" w:cs="Arial" w:eastAsia="Arial" w:hAnsi="Arial"/>
                <w:sz w:val="16"/>
                <w:szCs w:val="16"/>
                <w:color w:val="auto"/>
              </w:rPr>
              <w:t>61,250</w:t>
            </w:r>
          </w:p>
        </w:tc>
        <w:tc>
          <w:tcPr>
            <w:tcW w:w="1660" w:type="dxa"/>
            <w:vAlign w:val="bottom"/>
          </w:tcPr>
          <w:p>
            <w:pPr>
              <w:jc w:val="right"/>
              <w:spacing w:after="0"/>
              <w:rPr>
                <w:sz w:val="20"/>
                <w:szCs w:val="20"/>
                <w:color w:val="auto"/>
              </w:rPr>
            </w:pPr>
            <w:r>
              <w:rPr>
                <w:rFonts w:ascii="Arial" w:cs="Arial" w:eastAsia="Arial" w:hAnsi="Arial"/>
                <w:sz w:val="16"/>
                <w:szCs w:val="16"/>
                <w:color w:val="auto"/>
              </w:rPr>
              <w:t>4,448,588</w:t>
            </w:r>
          </w:p>
        </w:tc>
      </w:tr>
      <w:tr>
        <w:trPr>
          <w:trHeight w:val="46"/>
        </w:trPr>
        <w:tc>
          <w:tcPr>
            <w:tcW w:w="3580" w:type="dxa"/>
            <w:vAlign w:val="bottom"/>
          </w:tcPr>
          <w:p>
            <w:pPr>
              <w:spacing w:after="0"/>
              <w:rPr>
                <w:sz w:val="4"/>
                <w:szCs w:val="4"/>
                <w:color w:val="auto"/>
              </w:rPr>
            </w:pPr>
          </w:p>
        </w:tc>
        <w:tc>
          <w:tcPr>
            <w:tcW w:w="21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660" w:type="dxa"/>
            <w:vAlign w:val="bottom"/>
          </w:tcPr>
          <w:p>
            <w:pPr>
              <w:spacing w:after="0"/>
              <w:rPr>
                <w:sz w:val="4"/>
                <w:szCs w:val="4"/>
                <w:color w:val="auto"/>
              </w:rPr>
            </w:pPr>
          </w:p>
        </w:tc>
      </w:tr>
      <w:tr>
        <w:trPr>
          <w:trHeight w:val="291"/>
        </w:trPr>
        <w:tc>
          <w:tcPr>
            <w:tcW w:w="358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Patrick O’Brien</w:t>
            </w:r>
          </w:p>
        </w:tc>
        <w:tc>
          <w:tcPr>
            <w:tcW w:w="2100" w:type="dxa"/>
            <w:vAlign w:val="bottom"/>
            <w:tcBorders>
              <w:bottom w:val="single" w:sz="8" w:color="E5E5E5"/>
            </w:tcBorders>
            <w:shd w:val="clear" w:color="auto" w:fill="E5E5E5"/>
          </w:tcPr>
          <w:p>
            <w:pPr>
              <w:jc w:val="right"/>
              <w:ind w:right="243"/>
              <w:spacing w:after="0"/>
              <w:rPr>
                <w:sz w:val="20"/>
                <w:szCs w:val="20"/>
                <w:color w:val="auto"/>
              </w:rPr>
            </w:pPr>
            <w:r>
              <w:rPr>
                <w:rFonts w:ascii="Arial" w:cs="Arial" w:eastAsia="Arial" w:hAnsi="Arial"/>
                <w:sz w:val="16"/>
                <w:szCs w:val="16"/>
                <w:color w:val="auto"/>
              </w:rPr>
              <w:t>90,000</w:t>
            </w:r>
          </w:p>
        </w:tc>
        <w:tc>
          <w:tcPr>
            <w:tcW w:w="1820" w:type="dxa"/>
            <w:vAlign w:val="bottom"/>
            <w:tcBorders>
              <w:bottom w:val="single" w:sz="8" w:color="E5E5E5"/>
            </w:tcBorders>
            <w:shd w:val="clear" w:color="auto" w:fill="E5E5E5"/>
          </w:tcPr>
          <w:p>
            <w:pPr>
              <w:jc w:val="right"/>
              <w:ind w:right="221"/>
              <w:spacing w:after="0"/>
              <w:rPr>
                <w:sz w:val="20"/>
                <w:szCs w:val="20"/>
                <w:color w:val="auto"/>
              </w:rPr>
            </w:pPr>
            <w:r>
              <w:rPr>
                <w:rFonts w:ascii="Arial" w:cs="Arial" w:eastAsia="Arial" w:hAnsi="Arial"/>
                <w:sz w:val="16"/>
                <w:szCs w:val="16"/>
                <w:color w:val="auto"/>
              </w:rPr>
              <w:t>7,491,114</w:t>
            </w:r>
          </w:p>
        </w:tc>
        <w:tc>
          <w:tcPr>
            <w:tcW w:w="1860" w:type="dxa"/>
            <w:vAlign w:val="bottom"/>
            <w:tcBorders>
              <w:bottom w:val="single" w:sz="8" w:color="E5E5E5"/>
            </w:tcBorders>
            <w:shd w:val="clear" w:color="auto" w:fill="E5E5E5"/>
          </w:tcPr>
          <w:p>
            <w:pPr>
              <w:jc w:val="right"/>
              <w:ind w:right="223"/>
              <w:spacing w:after="0"/>
              <w:rPr>
                <w:sz w:val="20"/>
                <w:szCs w:val="20"/>
                <w:color w:val="auto"/>
              </w:rPr>
            </w:pPr>
            <w:r>
              <w:rPr>
                <w:rFonts w:ascii="Arial" w:cs="Arial" w:eastAsia="Arial" w:hAnsi="Arial"/>
                <w:sz w:val="16"/>
                <w:szCs w:val="16"/>
                <w:color w:val="auto"/>
              </w:rPr>
              <w:t>50,000</w:t>
            </w:r>
          </w:p>
        </w:tc>
        <w:tc>
          <w:tcPr>
            <w:tcW w:w="16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3,631,500</w:t>
            </w:r>
          </w:p>
        </w:tc>
      </w:tr>
      <w:tr>
        <w:trPr>
          <w:trHeight w:val="264"/>
        </w:trPr>
        <w:tc>
          <w:tcPr>
            <w:tcW w:w="3580" w:type="dxa"/>
            <w:vAlign w:val="bottom"/>
          </w:tcPr>
          <w:p>
            <w:pPr>
              <w:ind w:left="60"/>
              <w:spacing w:after="0"/>
              <w:rPr>
                <w:sz w:val="20"/>
                <w:szCs w:val="20"/>
                <w:color w:val="auto"/>
              </w:rPr>
            </w:pPr>
            <w:r>
              <w:rPr>
                <w:rFonts w:ascii="Arial" w:cs="Arial" w:eastAsia="Arial" w:hAnsi="Arial"/>
                <w:sz w:val="16"/>
                <w:szCs w:val="16"/>
                <w:color w:val="auto"/>
              </w:rPr>
              <w:t>Javier San Martin</w:t>
            </w:r>
          </w:p>
        </w:tc>
        <w:tc>
          <w:tcPr>
            <w:tcW w:w="2100" w:type="dxa"/>
            <w:vAlign w:val="bottom"/>
          </w:tcPr>
          <w:p>
            <w:pPr>
              <w:jc w:val="right"/>
              <w:ind w:right="243"/>
              <w:spacing w:after="0"/>
              <w:rPr>
                <w:sz w:val="20"/>
                <w:szCs w:val="20"/>
                <w:color w:val="auto"/>
              </w:rPr>
            </w:pPr>
            <w:r>
              <w:rPr>
                <w:rFonts w:ascii="Arial" w:cs="Arial" w:eastAsia="Arial" w:hAnsi="Arial"/>
                <w:sz w:val="16"/>
                <w:szCs w:val="16"/>
                <w:color w:val="auto"/>
              </w:rPr>
              <w:t>—</w:t>
            </w:r>
          </w:p>
        </w:tc>
        <w:tc>
          <w:tcPr>
            <w:tcW w:w="182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223"/>
              <w:spacing w:after="0"/>
              <w:rPr>
                <w:sz w:val="20"/>
                <w:szCs w:val="20"/>
                <w:color w:val="auto"/>
              </w:rPr>
            </w:pPr>
            <w:r>
              <w:rPr>
                <w:rFonts w:ascii="Arial" w:cs="Arial" w:eastAsia="Arial" w:hAnsi="Arial"/>
                <w:sz w:val="16"/>
                <w:szCs w:val="16"/>
                <w:color w:val="auto"/>
              </w:rPr>
              <w:t>37,500</w:t>
            </w:r>
          </w:p>
        </w:tc>
        <w:tc>
          <w:tcPr>
            <w:tcW w:w="1660" w:type="dxa"/>
            <w:vAlign w:val="bottom"/>
          </w:tcPr>
          <w:p>
            <w:pPr>
              <w:jc w:val="right"/>
              <w:spacing w:after="0"/>
              <w:rPr>
                <w:sz w:val="20"/>
                <w:szCs w:val="20"/>
                <w:color w:val="auto"/>
              </w:rPr>
            </w:pPr>
            <w:r>
              <w:rPr>
                <w:rFonts w:ascii="Arial" w:cs="Arial" w:eastAsia="Arial" w:hAnsi="Arial"/>
                <w:sz w:val="16"/>
                <w:szCs w:val="16"/>
                <w:color w:val="auto"/>
              </w:rPr>
              <w:t>2,563,500</w:t>
            </w:r>
          </w:p>
        </w:tc>
      </w:tr>
      <w:tr>
        <w:trPr>
          <w:trHeight w:val="46"/>
        </w:trPr>
        <w:tc>
          <w:tcPr>
            <w:tcW w:w="3580" w:type="dxa"/>
            <w:vAlign w:val="bottom"/>
          </w:tcPr>
          <w:p>
            <w:pPr>
              <w:spacing w:after="0"/>
              <w:rPr>
                <w:sz w:val="4"/>
                <w:szCs w:val="4"/>
                <w:color w:val="auto"/>
              </w:rPr>
            </w:pPr>
          </w:p>
        </w:tc>
        <w:tc>
          <w:tcPr>
            <w:tcW w:w="21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660" w:type="dxa"/>
            <w:vAlign w:val="bottom"/>
          </w:tcPr>
          <w:p>
            <w:pPr>
              <w:spacing w:after="0"/>
              <w:rPr>
                <w:sz w:val="4"/>
                <w:szCs w:val="4"/>
                <w:color w:val="auto"/>
              </w:rPr>
            </w:pPr>
          </w:p>
        </w:tc>
      </w:tr>
      <w:tr>
        <w:trPr>
          <w:trHeight w:val="291"/>
        </w:trPr>
        <w:tc>
          <w:tcPr>
            <w:tcW w:w="358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James Hamilton</w:t>
            </w:r>
          </w:p>
        </w:tc>
        <w:tc>
          <w:tcPr>
            <w:tcW w:w="2100" w:type="dxa"/>
            <w:vAlign w:val="bottom"/>
            <w:tcBorders>
              <w:bottom w:val="single" w:sz="8" w:color="E5E5E5"/>
            </w:tcBorders>
            <w:shd w:val="clear" w:color="auto" w:fill="E5E5E5"/>
          </w:tcPr>
          <w:p>
            <w:pPr>
              <w:jc w:val="right"/>
              <w:ind w:right="243"/>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E5E5E5"/>
            </w:tcBorders>
            <w:shd w:val="clear" w:color="auto" w:fill="E5E5E5"/>
          </w:tcPr>
          <w:p>
            <w:pPr>
              <w:jc w:val="right"/>
              <w:ind w:right="221"/>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E5E5E5"/>
            </w:tcBorders>
            <w:shd w:val="clear" w:color="auto" w:fill="E5E5E5"/>
          </w:tcPr>
          <w:p>
            <w:pPr>
              <w:jc w:val="right"/>
              <w:ind w:right="223"/>
              <w:spacing w:after="0"/>
              <w:rPr>
                <w:sz w:val="20"/>
                <w:szCs w:val="20"/>
                <w:color w:val="auto"/>
              </w:rPr>
            </w:pPr>
            <w:r>
              <w:rPr>
                <w:rFonts w:ascii="Arial" w:cs="Arial" w:eastAsia="Arial" w:hAnsi="Arial"/>
                <w:sz w:val="16"/>
                <w:szCs w:val="16"/>
                <w:color w:val="auto"/>
              </w:rPr>
              <w:t>38,750</w:t>
            </w:r>
          </w:p>
        </w:tc>
        <w:tc>
          <w:tcPr>
            <w:tcW w:w="16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2,899,663</w:t>
            </w:r>
          </w:p>
        </w:tc>
      </w:tr>
      <w:tr>
        <w:trPr>
          <w:trHeight w:val="264"/>
        </w:trPr>
        <w:tc>
          <w:tcPr>
            <w:tcW w:w="3580" w:type="dxa"/>
            <w:vAlign w:val="bottom"/>
          </w:tcPr>
          <w:p>
            <w:pPr>
              <w:ind w:left="60"/>
              <w:spacing w:after="0"/>
              <w:rPr>
                <w:sz w:val="20"/>
                <w:szCs w:val="20"/>
                <w:color w:val="auto"/>
              </w:rPr>
            </w:pPr>
            <w:r>
              <w:rPr>
                <w:rFonts w:ascii="Arial" w:cs="Arial" w:eastAsia="Arial" w:hAnsi="Arial"/>
                <w:sz w:val="16"/>
                <w:szCs w:val="16"/>
                <w:color w:val="auto"/>
              </w:rPr>
              <w:t>James Hassard</w:t>
            </w:r>
          </w:p>
        </w:tc>
        <w:tc>
          <w:tcPr>
            <w:tcW w:w="2100" w:type="dxa"/>
            <w:vAlign w:val="bottom"/>
          </w:tcPr>
          <w:p>
            <w:pPr>
              <w:jc w:val="right"/>
              <w:ind w:right="243"/>
              <w:spacing w:after="0"/>
              <w:rPr>
                <w:sz w:val="20"/>
                <w:szCs w:val="20"/>
                <w:color w:val="auto"/>
              </w:rPr>
            </w:pPr>
            <w:r>
              <w:rPr>
                <w:rFonts w:ascii="Arial" w:cs="Arial" w:eastAsia="Arial" w:hAnsi="Arial"/>
                <w:sz w:val="16"/>
                <w:szCs w:val="16"/>
                <w:color w:val="auto"/>
              </w:rPr>
              <w:t>—</w:t>
            </w:r>
          </w:p>
        </w:tc>
        <w:tc>
          <w:tcPr>
            <w:tcW w:w="182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223"/>
              <w:spacing w:after="0"/>
              <w:rPr>
                <w:sz w:val="20"/>
                <w:szCs w:val="20"/>
                <w:color w:val="auto"/>
              </w:rPr>
            </w:pPr>
            <w:r>
              <w:rPr>
                <w:rFonts w:ascii="Arial" w:cs="Arial" w:eastAsia="Arial" w:hAnsi="Arial"/>
                <w:sz w:val="16"/>
                <w:szCs w:val="16"/>
                <w:color w:val="auto"/>
              </w:rPr>
              <w:t>31,250</w:t>
            </w:r>
          </w:p>
        </w:tc>
        <w:tc>
          <w:tcPr>
            <w:tcW w:w="1660" w:type="dxa"/>
            <w:vAlign w:val="bottom"/>
          </w:tcPr>
          <w:p>
            <w:pPr>
              <w:jc w:val="right"/>
              <w:spacing w:after="0"/>
              <w:rPr>
                <w:sz w:val="20"/>
                <w:szCs w:val="20"/>
                <w:color w:val="auto"/>
              </w:rPr>
            </w:pPr>
            <w:r>
              <w:rPr>
                <w:rFonts w:ascii="Arial" w:cs="Arial" w:eastAsia="Arial" w:hAnsi="Arial"/>
                <w:sz w:val="16"/>
                <w:szCs w:val="16"/>
                <w:color w:val="auto"/>
              </w:rPr>
              <w:t>2,324,375</w:t>
            </w:r>
          </w:p>
        </w:tc>
      </w:tr>
      <w:tr>
        <w:trPr>
          <w:trHeight w:val="47"/>
        </w:trPr>
        <w:tc>
          <w:tcPr>
            <w:tcW w:w="3580" w:type="dxa"/>
            <w:vAlign w:val="bottom"/>
            <w:tcBorders>
              <w:bottom w:val="single" w:sz="8" w:color="0071CE"/>
            </w:tcBorders>
          </w:tcPr>
          <w:p>
            <w:pPr>
              <w:spacing w:after="0"/>
              <w:rPr>
                <w:sz w:val="4"/>
                <w:szCs w:val="4"/>
                <w:color w:val="auto"/>
              </w:rPr>
            </w:pPr>
          </w:p>
        </w:tc>
        <w:tc>
          <w:tcPr>
            <w:tcW w:w="2100" w:type="dxa"/>
            <w:vAlign w:val="bottom"/>
            <w:tcBorders>
              <w:bottom w:val="single" w:sz="8" w:color="0071CE"/>
            </w:tcBorders>
          </w:tcPr>
          <w:p>
            <w:pPr>
              <w:spacing w:after="0"/>
              <w:rPr>
                <w:sz w:val="4"/>
                <w:szCs w:val="4"/>
                <w:color w:val="auto"/>
              </w:rPr>
            </w:pPr>
          </w:p>
        </w:tc>
        <w:tc>
          <w:tcPr>
            <w:tcW w:w="1820" w:type="dxa"/>
            <w:vAlign w:val="bottom"/>
            <w:tcBorders>
              <w:bottom w:val="single" w:sz="8" w:color="0071CE"/>
            </w:tcBorders>
          </w:tcPr>
          <w:p>
            <w:pPr>
              <w:spacing w:after="0"/>
              <w:rPr>
                <w:sz w:val="4"/>
                <w:szCs w:val="4"/>
                <w:color w:val="auto"/>
              </w:rPr>
            </w:pPr>
          </w:p>
        </w:tc>
        <w:tc>
          <w:tcPr>
            <w:tcW w:w="1860" w:type="dxa"/>
            <w:vAlign w:val="bottom"/>
            <w:tcBorders>
              <w:bottom w:val="single" w:sz="8" w:color="0071CE"/>
            </w:tcBorders>
          </w:tcPr>
          <w:p>
            <w:pPr>
              <w:spacing w:after="0"/>
              <w:rPr>
                <w:sz w:val="4"/>
                <w:szCs w:val="4"/>
                <w:color w:val="auto"/>
              </w:rPr>
            </w:pPr>
          </w:p>
        </w:tc>
        <w:tc>
          <w:tcPr>
            <w:tcW w:w="1660" w:type="dxa"/>
            <w:vAlign w:val="bottom"/>
            <w:tcBorders>
              <w:bottom w:val="single" w:sz="8" w:color="0071CE"/>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-1568450</wp:posOffset>
            </wp:positionV>
            <wp:extent cx="433768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337685" cy="8890"/>
                    </a:xfrm>
                    <a:prstGeom prst="rect">
                      <a:avLst/>
                    </a:prstGeom>
                    <a:noFill/>
                  </pic:spPr>
                </pic:pic>
              </a:graphicData>
            </a:graphic>
          </wp:anchor>
        </w:drawing>
      </w:r>
    </w:p>
    <w:p>
      <w:pPr>
        <w:spacing w:after="0" w:line="66" w:lineRule="exact"/>
        <w:rPr>
          <w:sz w:val="20"/>
          <w:szCs w:val="20"/>
          <w:color w:val="auto"/>
        </w:rPr>
      </w:pPr>
    </w:p>
    <w:p>
      <w:pPr>
        <w:ind w:left="540" w:hanging="424"/>
        <w:spacing w:after="0"/>
        <w:tabs>
          <w:tab w:leader="none" w:pos="5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Value is calculated as the price of our Common Stock upon exercise, less the exercise price, multiplied by the number of shares exercised.</w:t>
      </w:r>
    </w:p>
    <w:p>
      <w:pPr>
        <w:spacing w:after="0" w:line="82" w:lineRule="exact"/>
        <w:rPr>
          <w:rFonts w:ascii="Arial" w:cs="Arial" w:eastAsia="Arial" w:hAnsi="Arial"/>
          <w:sz w:val="14"/>
          <w:szCs w:val="14"/>
          <w:color w:val="auto"/>
        </w:rPr>
      </w:pPr>
    </w:p>
    <w:p>
      <w:pPr>
        <w:ind w:left="540" w:hanging="424"/>
        <w:spacing w:after="0"/>
        <w:tabs>
          <w:tab w:leader="none" w:pos="5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Value is calculated as the price of our Common Stock upon vesting, multiplied by the number of shares vested.</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Termination Benefits — Potential Payments Upon Termination or Change in Control</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Company has the following severance or change of control arrangements with its NEOs:</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Dr. Anzalone’s employment agreement with the Company provides that, if the Company terminates Dr. Anzalone’s employment without Cause or if</w:t>
      </w:r>
    </w:p>
    <w:p>
      <w:pPr>
        <w:spacing w:after="0" w:line="5" w:lineRule="exact"/>
        <w:rPr>
          <w:sz w:val="20"/>
          <w:szCs w:val="20"/>
          <w:color w:val="auto"/>
        </w:rPr>
      </w:pPr>
    </w:p>
    <w:p>
      <w:pPr>
        <w:jc w:val="both"/>
        <w:ind w:left="120" w:right="240"/>
        <w:spacing w:after="0" w:line="253" w:lineRule="auto"/>
        <w:rPr>
          <w:sz w:val="20"/>
          <w:szCs w:val="20"/>
          <w:color w:val="auto"/>
        </w:rPr>
      </w:pPr>
      <w:r>
        <w:rPr>
          <w:rFonts w:ascii="Arial" w:cs="Arial" w:eastAsia="Arial" w:hAnsi="Arial"/>
          <w:sz w:val="16"/>
          <w:szCs w:val="16"/>
          <w:color w:val="auto"/>
        </w:rPr>
        <w:t>Dr. Anzalone terminates his employment for Good Reason, on his date of termination, Dr. Anzalone will receive a one-time lump sum payment equal to the sum of: (i) one month of base salary and (ii) premiums for thirty (30) days of medical and dental benefits. To receive such payments Dr. Anzalone is required to execute a general release in favor of the Company.</w:t>
      </w:r>
    </w:p>
    <w:p>
      <w:pPr>
        <w:spacing w:after="0" w:line="20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purposes of Dr. Anzalone’s employment agreement:</w:t>
      </w:r>
    </w:p>
    <w:p>
      <w:pPr>
        <w:spacing w:after="0" w:line="93" w:lineRule="exact"/>
        <w:rPr>
          <w:sz w:val="20"/>
          <w:szCs w:val="20"/>
          <w:color w:val="auto"/>
        </w:rPr>
      </w:pPr>
    </w:p>
    <w:p>
      <w:pPr>
        <w:ind w:left="120" w:right="100"/>
        <w:spacing w:after="0" w:line="25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Cause</w:t>
      </w:r>
      <w:r>
        <w:rPr>
          <w:rFonts w:ascii="Arial" w:cs="Arial" w:eastAsia="Arial" w:hAnsi="Arial"/>
          <w:sz w:val="16"/>
          <w:szCs w:val="16"/>
          <w:color w:val="auto"/>
        </w:rPr>
        <w:t>” means (i) the conviction (by trial or upon a plea of nolo contendere) of a felony or other crime involving moral turpitude or the commission of any other material act or omission involving dishonesty, disloyalty or fraud with respect to the Company or any of its subsidiaries or any of their customers or suppliers, (ii) reporting to work under the influence of alcohol or illegal drugs, the use of illegal drugs (whether or not at the workplace) or other repeated conduct causing the Company or any of its subsidiaries substantial public disgrace or disrepute or economic harm, (iii) the engaging of gross misconduct and the failure to cease such conduct and rectify any harm to the Company resulting therefrom within 30 days after written demand therefor by the Company identifying with reasonable particularity such conduct and harm, or (iv) any other material breach of the employment agreement by Executive and the failure to cease such breach and rectify any harm to the Company within 30 days after written demand by the Company identifying with reasonable particularity such breach and harm; and</w:t>
      </w:r>
    </w:p>
    <w:p>
      <w:pPr>
        <w:spacing w:after="0" w:line="183" w:lineRule="exact"/>
        <w:rPr>
          <w:sz w:val="20"/>
          <w:szCs w:val="20"/>
          <w:color w:val="auto"/>
        </w:rPr>
      </w:pPr>
    </w:p>
    <w:p>
      <w:pPr>
        <w:ind w:left="120" w:right="40"/>
        <w:spacing w:after="0" w:line="25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Good Reason</w:t>
      </w:r>
      <w:r>
        <w:rPr>
          <w:rFonts w:ascii="Arial" w:cs="Arial" w:eastAsia="Arial" w:hAnsi="Arial"/>
          <w:sz w:val="16"/>
          <w:szCs w:val="16"/>
          <w:color w:val="auto"/>
        </w:rPr>
        <w:t>” means (i) Executive’s duties, responsibilities, titles or offices are diminished as compared to those described in the employment agreement without Executive’s written consent, and the Company fails to reinstate such duties, responsibilities, titles or offices within 30 days after written demand by Executive identifying with reasonable particularity the diminishment, (ii) the relocation of Executive’s base office to an office that is more than thirty (30) highway miles from Pasadena, CA, (iii) the failure of the Company to obtain a satisfactory agreement from any successor to assume and agree to perform the obligations under the employment agreement and (iv) any other material breach of this employment agreement by the Company and the failure to cease such breach and rectify any harm to Executive resulting within 30 days after written demand by Executive identifying with reasonable particularity the breach and harm.</w:t>
      </w:r>
    </w:p>
    <w:p>
      <w:pPr>
        <w:spacing w:after="0" w:line="201" w:lineRule="exact"/>
        <w:rPr>
          <w:sz w:val="20"/>
          <w:szCs w:val="20"/>
          <w:color w:val="auto"/>
        </w:rPr>
      </w:pPr>
    </w:p>
    <w:p>
      <w:pPr>
        <w:ind w:left="120" w:right="360"/>
        <w:spacing w:after="0" w:line="260" w:lineRule="auto"/>
        <w:rPr>
          <w:sz w:val="20"/>
          <w:szCs w:val="20"/>
          <w:color w:val="auto"/>
        </w:rPr>
      </w:pPr>
      <w:r>
        <w:rPr>
          <w:rFonts w:ascii="Arial" w:cs="Arial" w:eastAsia="Arial" w:hAnsi="Arial"/>
          <w:sz w:val="16"/>
          <w:szCs w:val="16"/>
          <w:color w:val="auto"/>
        </w:rPr>
        <w:t>Pursuant to his offer of employment by the Company, Mr. Myszkowski is entitled to severance pay equal to three months’ base salary plus an amount equal to the premiums on his medical and dental benefits for the same period upon termination of his employment without cause.</w:t>
      </w:r>
    </w:p>
    <w:p>
      <w:pPr>
        <w:spacing w:after="0" w:line="195" w:lineRule="exact"/>
        <w:rPr>
          <w:sz w:val="20"/>
          <w:szCs w:val="20"/>
          <w:color w:val="auto"/>
        </w:rPr>
      </w:pPr>
    </w:p>
    <w:p>
      <w:pPr>
        <w:ind w:left="120" w:right="720"/>
        <w:spacing w:after="0" w:line="260" w:lineRule="auto"/>
        <w:rPr>
          <w:sz w:val="20"/>
          <w:szCs w:val="20"/>
          <w:color w:val="auto"/>
        </w:rPr>
      </w:pPr>
      <w:r>
        <w:rPr>
          <w:rFonts w:ascii="Arial" w:cs="Arial" w:eastAsia="Arial" w:hAnsi="Arial"/>
          <w:sz w:val="16"/>
          <w:szCs w:val="16"/>
          <w:color w:val="auto"/>
        </w:rPr>
        <w:t>Pursuant to his offer of employment by the Company, Mr. O’Brien is entitled to severance pay equal to six months’ base salary upon a qualifying termination of his employment without case only upon change of control as defined in the Company’s 2013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80010</wp:posOffset>
            </wp:positionV>
            <wp:extent cx="986155" cy="2057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1CE"/>
        </w:rPr>
        <w:t>42</w:t>
      </w:r>
    </w:p>
    <w:p>
      <w:pPr>
        <w:sectPr>
          <w:pgSz w:w="11900" w:h="16838" w:orient="portrait"/>
          <w:cols w:equalWidth="0" w:num="1">
            <w:col w:w="11140"/>
          </w:cols>
          <w:pgMar w:left="32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7500"/>
        <w:spacing w:after="0"/>
        <w:tabs>
          <w:tab w:leader="none" w:pos="9400" w:val="left"/>
        </w:tabs>
        <w:rPr>
          <w:sz w:val="20"/>
          <w:szCs w:val="20"/>
          <w:color w:val="auto"/>
        </w:rPr>
      </w:pPr>
      <w:r>
        <w:rPr>
          <w:rFonts w:ascii="Arial" w:cs="Arial" w:eastAsia="Arial" w:hAnsi="Arial"/>
          <w:sz w:val="14"/>
          <w:szCs w:val="14"/>
          <w:b w:val="1"/>
          <w:bCs w:val="1"/>
          <w:color w:val="0071CE"/>
        </w:rPr>
        <w:t>2022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65" w:lineRule="exact"/>
        <w:rPr>
          <w:sz w:val="20"/>
          <w:szCs w:val="20"/>
          <w:color w:val="auto"/>
        </w:rPr>
      </w:pPr>
    </w:p>
    <w:p>
      <w:pPr>
        <w:ind w:left="120" w:right="240"/>
        <w:spacing w:after="0" w:line="260" w:lineRule="auto"/>
        <w:rPr>
          <w:sz w:val="20"/>
          <w:szCs w:val="20"/>
          <w:color w:val="auto"/>
        </w:rPr>
      </w:pPr>
      <w:r>
        <w:rPr>
          <w:rFonts w:ascii="Arial" w:cs="Arial" w:eastAsia="Arial" w:hAnsi="Arial"/>
          <w:sz w:val="16"/>
          <w:szCs w:val="16"/>
          <w:color w:val="auto"/>
        </w:rPr>
        <w:t>The Company has not entered into a severance arrangement with Dr. San Martin or Dr. Hamilton. Mr. Hassard’s employment was terminated in August 2021 and the Company entered into a severance agreement with Mr. Hassard whereby he received a lump sum payment of $335,608.</w:t>
      </w:r>
    </w:p>
    <w:p>
      <w:pPr>
        <w:spacing w:after="0" w:line="195" w:lineRule="exact"/>
        <w:rPr>
          <w:sz w:val="20"/>
          <w:szCs w:val="20"/>
          <w:color w:val="auto"/>
        </w:rPr>
      </w:pPr>
    </w:p>
    <w:p>
      <w:pPr>
        <w:ind w:left="120" w:right="80"/>
        <w:spacing w:after="0" w:line="253" w:lineRule="auto"/>
        <w:rPr>
          <w:sz w:val="20"/>
          <w:szCs w:val="20"/>
          <w:color w:val="auto"/>
        </w:rPr>
      </w:pPr>
      <w:r>
        <w:rPr>
          <w:rFonts w:ascii="Arial" w:cs="Arial" w:eastAsia="Arial" w:hAnsi="Arial"/>
          <w:sz w:val="16"/>
          <w:szCs w:val="16"/>
          <w:color w:val="auto"/>
        </w:rPr>
        <w:t>Additionally, pursuant to the 2004 Equity Incentive Plan and the 2013 Incentive Plan, any unvested awards held by plan participants, including the NEOs, become fully vested upon a change of control, except as otherwise determined by the Board and except with respect to the outstanding awards held by the CEO whose awards will only become fully vested upon a qualifying termination of employment following a change of control.</w:t>
      </w:r>
    </w:p>
    <w:p>
      <w:pPr>
        <w:spacing w:after="0" w:line="201" w:lineRule="exact"/>
        <w:rPr>
          <w:sz w:val="20"/>
          <w:szCs w:val="20"/>
          <w:color w:val="auto"/>
        </w:rPr>
      </w:pPr>
    </w:p>
    <w:p>
      <w:pPr>
        <w:ind w:left="120" w:right="660"/>
        <w:spacing w:after="0" w:line="260" w:lineRule="auto"/>
        <w:rPr>
          <w:sz w:val="20"/>
          <w:szCs w:val="20"/>
          <w:color w:val="auto"/>
        </w:rPr>
      </w:pPr>
      <w:r>
        <w:rPr>
          <w:rFonts w:ascii="Arial" w:cs="Arial" w:eastAsia="Arial" w:hAnsi="Arial"/>
          <w:sz w:val="16"/>
          <w:szCs w:val="16"/>
          <w:color w:val="auto"/>
        </w:rPr>
        <w:t>The following tables set forth information regarding potential termination and change of control arrangements with our executive officers had their employment been terminated or a change in control of the Company taken place on September 30, 2021:</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C4C4C"/>
        </w:rPr>
        <w:t>Termination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57150</wp:posOffset>
            </wp:positionV>
            <wp:extent cx="69951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7" w:lineRule="exact"/>
        <w:rPr>
          <w:sz w:val="20"/>
          <w:szCs w:val="20"/>
          <w:color w:val="auto"/>
        </w:rPr>
      </w:pPr>
    </w:p>
    <w:tbl>
      <w:tblPr>
        <w:tblLayout w:type="fixed"/>
        <w:tblInd w:w="120" w:type="dxa"/>
        <w:tblCellMar>
          <w:top w:w="0" w:type="dxa"/>
          <w:left w:w="0" w:type="dxa"/>
          <w:bottom w:w="0" w:type="dxa"/>
          <w:right w:w="0" w:type="dxa"/>
        </w:tblCellMar>
      </w:tblPr>
      <w:tr>
        <w:trPr>
          <w:trHeight w:val="176"/>
        </w:trPr>
        <w:tc>
          <w:tcPr>
            <w:tcW w:w="5860" w:type="dxa"/>
            <w:vAlign w:val="bottom"/>
            <w:shd w:val="clear" w:color="auto" w:fill="0071CE"/>
          </w:tcPr>
          <w:p>
            <w:pPr>
              <w:spacing w:after="0"/>
              <w:rPr>
                <w:sz w:val="15"/>
                <w:szCs w:val="15"/>
                <w:color w:val="auto"/>
              </w:rPr>
            </w:pPr>
          </w:p>
        </w:tc>
        <w:tc>
          <w:tcPr>
            <w:tcW w:w="1020" w:type="dxa"/>
            <w:vAlign w:val="bottom"/>
            <w:shd w:val="clear" w:color="auto" w:fill="0071CE"/>
          </w:tcPr>
          <w:p>
            <w:pPr>
              <w:spacing w:after="0"/>
              <w:rPr>
                <w:sz w:val="15"/>
                <w:szCs w:val="15"/>
                <w:color w:val="auto"/>
              </w:rPr>
            </w:pPr>
          </w:p>
        </w:tc>
        <w:tc>
          <w:tcPr>
            <w:tcW w:w="860" w:type="dxa"/>
            <w:vAlign w:val="bottom"/>
            <w:shd w:val="clear" w:color="auto" w:fill="0071CE"/>
          </w:tcPr>
          <w:p>
            <w:pPr>
              <w:spacing w:after="0"/>
              <w:rPr>
                <w:sz w:val="15"/>
                <w:szCs w:val="15"/>
                <w:color w:val="auto"/>
              </w:rPr>
            </w:pPr>
          </w:p>
        </w:tc>
        <w:tc>
          <w:tcPr>
            <w:tcW w:w="120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w w:val="99"/>
              </w:rPr>
              <w:t>Stock</w:t>
            </w:r>
          </w:p>
        </w:tc>
        <w:tc>
          <w:tcPr>
            <w:tcW w:w="840" w:type="dxa"/>
            <w:vAlign w:val="bottom"/>
            <w:shd w:val="clear" w:color="auto" w:fill="0071CE"/>
          </w:tcPr>
          <w:p>
            <w:pPr>
              <w:jc w:val="right"/>
              <w:ind w:right="121"/>
              <w:spacing w:after="0"/>
              <w:rPr>
                <w:sz w:val="20"/>
                <w:szCs w:val="20"/>
                <w:color w:val="auto"/>
              </w:rPr>
            </w:pPr>
            <w:r>
              <w:rPr>
                <w:rFonts w:ascii="Arial" w:cs="Arial" w:eastAsia="Arial" w:hAnsi="Arial"/>
                <w:sz w:val="14"/>
                <w:szCs w:val="14"/>
                <w:b w:val="1"/>
                <w:bCs w:val="1"/>
                <w:color w:val="FFFFFF"/>
              </w:rPr>
              <w:t>Option</w:t>
            </w:r>
          </w:p>
        </w:tc>
        <w:tc>
          <w:tcPr>
            <w:tcW w:w="1240" w:type="dxa"/>
            <w:vAlign w:val="bottom"/>
            <w:shd w:val="clear" w:color="auto" w:fill="0071CE"/>
          </w:tcPr>
          <w:p>
            <w:pPr>
              <w:spacing w:after="0"/>
              <w:rPr>
                <w:sz w:val="15"/>
                <w:szCs w:val="15"/>
                <w:color w:val="auto"/>
              </w:rPr>
            </w:pPr>
          </w:p>
        </w:tc>
      </w:tr>
      <w:tr>
        <w:trPr>
          <w:trHeight w:val="162"/>
        </w:trPr>
        <w:tc>
          <w:tcPr>
            <w:tcW w:w="5860" w:type="dxa"/>
            <w:vAlign w:val="bottom"/>
            <w:shd w:val="clear" w:color="auto" w:fill="0071CE"/>
          </w:tcPr>
          <w:p>
            <w:pPr>
              <w:spacing w:after="0"/>
              <w:rPr>
                <w:sz w:val="14"/>
                <w:szCs w:val="14"/>
                <w:color w:val="auto"/>
              </w:rPr>
            </w:pPr>
          </w:p>
        </w:tc>
        <w:tc>
          <w:tcPr>
            <w:tcW w:w="1020" w:type="dxa"/>
            <w:vAlign w:val="bottom"/>
            <w:shd w:val="clear" w:color="auto" w:fill="0071CE"/>
          </w:tcPr>
          <w:p>
            <w:pPr>
              <w:jc w:val="right"/>
              <w:ind w:right="180"/>
              <w:spacing w:after="0"/>
              <w:rPr>
                <w:sz w:val="20"/>
                <w:szCs w:val="20"/>
                <w:color w:val="auto"/>
              </w:rPr>
            </w:pPr>
            <w:r>
              <w:rPr>
                <w:rFonts w:ascii="Arial" w:cs="Arial" w:eastAsia="Arial" w:hAnsi="Arial"/>
                <w:sz w:val="14"/>
                <w:szCs w:val="14"/>
                <w:b w:val="1"/>
                <w:bCs w:val="1"/>
                <w:color w:val="FFFFFF"/>
              </w:rPr>
              <w:t>Salary</w:t>
            </w:r>
          </w:p>
        </w:tc>
        <w:tc>
          <w:tcPr>
            <w:tcW w:w="860" w:type="dxa"/>
            <w:vAlign w:val="bottom"/>
            <w:shd w:val="clear" w:color="auto" w:fill="0071CE"/>
          </w:tcPr>
          <w:p>
            <w:pPr>
              <w:jc w:val="right"/>
              <w:ind w:right="80"/>
              <w:spacing w:after="0"/>
              <w:rPr>
                <w:sz w:val="20"/>
                <w:szCs w:val="20"/>
                <w:color w:val="auto"/>
              </w:rPr>
            </w:pPr>
            <w:r>
              <w:rPr>
                <w:rFonts w:ascii="Arial" w:cs="Arial" w:eastAsia="Arial" w:hAnsi="Arial"/>
                <w:sz w:val="14"/>
                <w:szCs w:val="14"/>
                <w:b w:val="1"/>
                <w:bCs w:val="1"/>
                <w:color w:val="FFFFFF"/>
              </w:rPr>
              <w:t>Benefits</w:t>
            </w:r>
          </w:p>
        </w:tc>
        <w:tc>
          <w:tcPr>
            <w:tcW w:w="120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Awards</w:t>
            </w:r>
          </w:p>
        </w:tc>
        <w:tc>
          <w:tcPr>
            <w:tcW w:w="840" w:type="dxa"/>
            <w:vAlign w:val="bottom"/>
            <w:shd w:val="clear" w:color="auto" w:fill="0071CE"/>
          </w:tcPr>
          <w:p>
            <w:pPr>
              <w:jc w:val="right"/>
              <w:ind w:right="101"/>
              <w:spacing w:after="0"/>
              <w:rPr>
                <w:sz w:val="20"/>
                <w:szCs w:val="20"/>
                <w:color w:val="auto"/>
              </w:rPr>
            </w:pPr>
            <w:r>
              <w:rPr>
                <w:rFonts w:ascii="Arial" w:cs="Arial" w:eastAsia="Arial" w:hAnsi="Arial"/>
                <w:sz w:val="14"/>
                <w:szCs w:val="14"/>
                <w:b w:val="1"/>
                <w:bCs w:val="1"/>
                <w:color w:val="FFFFFF"/>
              </w:rPr>
              <w:t>Awards</w:t>
            </w:r>
          </w:p>
        </w:tc>
        <w:tc>
          <w:tcPr>
            <w:tcW w:w="1240" w:type="dxa"/>
            <w:vAlign w:val="bottom"/>
            <w:shd w:val="clear" w:color="auto" w:fill="0071CE"/>
          </w:tcPr>
          <w:p>
            <w:pPr>
              <w:spacing w:after="0"/>
              <w:rPr>
                <w:sz w:val="14"/>
                <w:szCs w:val="14"/>
                <w:color w:val="auto"/>
              </w:rPr>
            </w:pPr>
          </w:p>
        </w:tc>
      </w:tr>
      <w:tr>
        <w:trPr>
          <w:trHeight w:val="182"/>
        </w:trPr>
        <w:tc>
          <w:tcPr>
            <w:tcW w:w="5860" w:type="dxa"/>
            <w:vAlign w:val="bottom"/>
            <w:tcBorders>
              <w:bottom w:val="single" w:sz="8" w:color="0071CE"/>
            </w:tcBorders>
            <w:shd w:val="clear" w:color="auto" w:fill="0071CE"/>
          </w:tcPr>
          <w:p>
            <w:pPr>
              <w:ind w:left="240"/>
              <w:spacing w:after="0"/>
              <w:rPr>
                <w:sz w:val="20"/>
                <w:szCs w:val="20"/>
                <w:color w:val="auto"/>
              </w:rPr>
            </w:pPr>
            <w:r>
              <w:rPr>
                <w:rFonts w:ascii="Arial" w:cs="Arial" w:eastAsia="Arial" w:hAnsi="Arial"/>
                <w:sz w:val="14"/>
                <w:szCs w:val="14"/>
                <w:b w:val="1"/>
                <w:bCs w:val="1"/>
                <w:color w:val="FFFFFF"/>
              </w:rPr>
              <w:t>Triggering Event</w:t>
            </w:r>
          </w:p>
        </w:tc>
        <w:tc>
          <w:tcPr>
            <w:tcW w:w="1020" w:type="dxa"/>
            <w:vAlign w:val="bottom"/>
            <w:tcBorders>
              <w:bottom w:val="single" w:sz="8" w:color="0071CE"/>
            </w:tcBorders>
            <w:shd w:val="clear" w:color="auto" w:fill="0071CE"/>
          </w:tcPr>
          <w:p>
            <w:pPr>
              <w:jc w:val="right"/>
              <w:ind w:right="300"/>
              <w:spacing w:after="0"/>
              <w:rPr>
                <w:sz w:val="20"/>
                <w:szCs w:val="20"/>
                <w:color w:val="auto"/>
              </w:rPr>
            </w:pPr>
            <w:r>
              <w:rPr>
                <w:rFonts w:ascii="Arial" w:cs="Arial" w:eastAsia="Arial" w:hAnsi="Arial"/>
                <w:sz w:val="14"/>
                <w:szCs w:val="14"/>
                <w:b w:val="1"/>
                <w:bCs w:val="1"/>
                <w:color w:val="FFFFFF"/>
              </w:rPr>
              <w:t>($)</w:t>
            </w:r>
          </w:p>
        </w:tc>
        <w:tc>
          <w:tcPr>
            <w:tcW w:w="860" w:type="dxa"/>
            <w:vAlign w:val="bottom"/>
            <w:tcBorders>
              <w:bottom w:val="single" w:sz="8" w:color="0071CE"/>
            </w:tcBorders>
            <w:shd w:val="clear" w:color="auto" w:fill="0071CE"/>
          </w:tcPr>
          <w:p>
            <w:pPr>
              <w:jc w:val="right"/>
              <w:ind w:right="280"/>
              <w:spacing w:after="0"/>
              <w:rPr>
                <w:sz w:val="20"/>
                <w:szCs w:val="20"/>
                <w:color w:val="auto"/>
              </w:rPr>
            </w:pPr>
            <w:r>
              <w:rPr>
                <w:rFonts w:ascii="Arial" w:cs="Arial" w:eastAsia="Arial" w:hAnsi="Arial"/>
                <w:sz w:val="14"/>
                <w:szCs w:val="14"/>
                <w:b w:val="1"/>
                <w:bCs w:val="1"/>
                <w:color w:val="FFFFFF"/>
              </w:rPr>
              <w:t>($)</w:t>
            </w:r>
          </w:p>
        </w:tc>
        <w:tc>
          <w:tcPr>
            <w:tcW w:w="120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w w:val="99"/>
              </w:rPr>
              <w:t>(1)($)</w:t>
            </w:r>
          </w:p>
        </w:tc>
        <w:tc>
          <w:tcPr>
            <w:tcW w:w="840" w:type="dxa"/>
            <w:vAlign w:val="bottom"/>
            <w:tcBorders>
              <w:bottom w:val="single" w:sz="8" w:color="0071CE"/>
            </w:tcBorders>
            <w:shd w:val="clear" w:color="auto" w:fill="0071CE"/>
          </w:tcPr>
          <w:p>
            <w:pPr>
              <w:jc w:val="right"/>
              <w:ind w:right="181"/>
              <w:spacing w:after="0"/>
              <w:rPr>
                <w:sz w:val="20"/>
                <w:szCs w:val="20"/>
                <w:color w:val="auto"/>
              </w:rPr>
            </w:pPr>
            <w:r>
              <w:rPr>
                <w:rFonts w:ascii="Arial" w:cs="Arial" w:eastAsia="Arial" w:hAnsi="Arial"/>
                <w:sz w:val="14"/>
                <w:szCs w:val="14"/>
                <w:b w:val="1"/>
                <w:bCs w:val="1"/>
                <w:color w:val="FFFFFF"/>
              </w:rPr>
              <w:t>(1)($)</w:t>
            </w:r>
          </w:p>
        </w:tc>
        <w:tc>
          <w:tcPr>
            <w:tcW w:w="1240" w:type="dxa"/>
            <w:vAlign w:val="bottom"/>
            <w:tcBorders>
              <w:bottom w:val="single" w:sz="8" w:color="0071CE"/>
            </w:tcBorders>
            <w:shd w:val="clear" w:color="auto" w:fill="0071CE"/>
          </w:tcPr>
          <w:p>
            <w:pPr>
              <w:jc w:val="right"/>
              <w:ind w:right="400"/>
              <w:spacing w:after="0"/>
              <w:rPr>
                <w:sz w:val="20"/>
                <w:szCs w:val="20"/>
                <w:color w:val="auto"/>
              </w:rPr>
            </w:pPr>
            <w:r>
              <w:rPr>
                <w:rFonts w:ascii="Arial" w:cs="Arial" w:eastAsia="Arial" w:hAnsi="Arial"/>
                <w:sz w:val="14"/>
                <w:szCs w:val="14"/>
                <w:b w:val="1"/>
                <w:bCs w:val="1"/>
                <w:color w:val="FFFFFF"/>
              </w:rPr>
              <w:t>Total</w:t>
            </w:r>
          </w:p>
        </w:tc>
      </w:tr>
      <w:tr>
        <w:trPr>
          <w:trHeight w:val="277"/>
        </w:trPr>
        <w:tc>
          <w:tcPr>
            <w:tcW w:w="5860" w:type="dxa"/>
            <w:vAlign w:val="bottom"/>
            <w:tcBorders>
              <w:bottom w:val="single" w:sz="8" w:color="E5E5E5"/>
            </w:tcBorders>
            <w:shd w:val="clear" w:color="auto" w:fill="E5E5E5"/>
          </w:tcPr>
          <w:p>
            <w:pPr>
              <w:ind w:left="220"/>
              <w:spacing w:after="0"/>
              <w:rPr>
                <w:sz w:val="20"/>
                <w:szCs w:val="20"/>
                <w:color w:val="auto"/>
              </w:rPr>
            </w:pPr>
            <w:r>
              <w:rPr>
                <w:rFonts w:ascii="Arial" w:cs="Arial" w:eastAsia="Arial" w:hAnsi="Arial"/>
                <w:sz w:val="16"/>
                <w:szCs w:val="16"/>
                <w:color w:val="auto"/>
              </w:rPr>
              <w:t>Termination by Employer without Cause</w:t>
            </w:r>
          </w:p>
        </w:tc>
        <w:tc>
          <w:tcPr>
            <w:tcW w:w="1020" w:type="dxa"/>
            <w:vAlign w:val="bottom"/>
            <w:tcBorders>
              <w:bottom w:val="single" w:sz="8" w:color="E5E5E5"/>
            </w:tcBorders>
            <w:shd w:val="clear" w:color="auto" w:fill="E5E5E5"/>
          </w:tcPr>
          <w:p>
            <w:pPr>
              <w:spacing w:after="0"/>
              <w:rPr>
                <w:sz w:val="24"/>
                <w:szCs w:val="24"/>
                <w:color w:val="auto"/>
              </w:rPr>
            </w:pPr>
          </w:p>
        </w:tc>
        <w:tc>
          <w:tcPr>
            <w:tcW w:w="860" w:type="dxa"/>
            <w:vAlign w:val="bottom"/>
            <w:tcBorders>
              <w:bottom w:val="single" w:sz="8" w:color="E5E5E5"/>
            </w:tcBorders>
            <w:shd w:val="clear" w:color="auto" w:fill="E5E5E5"/>
          </w:tcPr>
          <w:p>
            <w:pPr>
              <w:spacing w:after="0"/>
              <w:rPr>
                <w:sz w:val="24"/>
                <w:szCs w:val="24"/>
                <w:color w:val="auto"/>
              </w:rPr>
            </w:pPr>
          </w:p>
        </w:tc>
        <w:tc>
          <w:tcPr>
            <w:tcW w:w="1200" w:type="dxa"/>
            <w:vAlign w:val="bottom"/>
            <w:tcBorders>
              <w:bottom w:val="single" w:sz="8" w:color="E5E5E5"/>
            </w:tcBorders>
            <w:shd w:val="clear" w:color="auto" w:fill="E5E5E5"/>
          </w:tcPr>
          <w:p>
            <w:pPr>
              <w:spacing w:after="0"/>
              <w:rPr>
                <w:sz w:val="24"/>
                <w:szCs w:val="24"/>
                <w:color w:val="auto"/>
              </w:rPr>
            </w:pPr>
          </w:p>
        </w:tc>
        <w:tc>
          <w:tcPr>
            <w:tcW w:w="840" w:type="dxa"/>
            <w:vAlign w:val="bottom"/>
            <w:tcBorders>
              <w:bottom w:val="single" w:sz="8" w:color="E5E5E5"/>
            </w:tcBorders>
            <w:shd w:val="clear" w:color="auto" w:fill="E5E5E5"/>
          </w:tcPr>
          <w:p>
            <w:pPr>
              <w:spacing w:after="0"/>
              <w:rPr>
                <w:sz w:val="24"/>
                <w:szCs w:val="24"/>
                <w:color w:val="auto"/>
              </w:rPr>
            </w:pPr>
          </w:p>
        </w:tc>
        <w:tc>
          <w:tcPr>
            <w:tcW w:w="1240" w:type="dxa"/>
            <w:vAlign w:val="bottom"/>
            <w:tcBorders>
              <w:bottom w:val="single" w:sz="8" w:color="E5E5E5"/>
            </w:tcBorders>
            <w:shd w:val="clear" w:color="auto" w:fill="E5E5E5"/>
          </w:tcPr>
          <w:p>
            <w:pPr>
              <w:spacing w:after="0"/>
              <w:rPr>
                <w:sz w:val="24"/>
                <w:szCs w:val="24"/>
                <w:color w:val="auto"/>
              </w:rPr>
            </w:pPr>
          </w:p>
        </w:tc>
      </w:tr>
      <w:tr>
        <w:trPr>
          <w:trHeight w:val="291"/>
        </w:trPr>
        <w:tc>
          <w:tcPr>
            <w:tcW w:w="5860" w:type="dxa"/>
            <w:vAlign w:val="bottom"/>
          </w:tcPr>
          <w:p>
            <w:pPr>
              <w:ind w:left="480"/>
              <w:spacing w:after="0"/>
              <w:rPr>
                <w:sz w:val="20"/>
                <w:szCs w:val="20"/>
                <w:color w:val="auto"/>
              </w:rPr>
            </w:pPr>
            <w:r>
              <w:rPr>
                <w:rFonts w:ascii="Arial" w:cs="Arial" w:eastAsia="Arial" w:hAnsi="Arial"/>
                <w:sz w:val="16"/>
                <w:szCs w:val="16"/>
                <w:color w:val="auto"/>
              </w:rPr>
              <w:t>Christopher Anzalone (2)</w:t>
            </w: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70,417</w:t>
            </w: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2,307</w:t>
            </w: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00"/>
              <w:spacing w:after="0"/>
              <w:rPr>
                <w:sz w:val="20"/>
                <w:szCs w:val="20"/>
                <w:color w:val="auto"/>
              </w:rPr>
            </w:pPr>
            <w:r>
              <w:rPr>
                <w:rFonts w:ascii="Arial" w:cs="Arial" w:eastAsia="Arial" w:hAnsi="Arial"/>
                <w:sz w:val="16"/>
                <w:szCs w:val="16"/>
                <w:color w:val="auto"/>
              </w:rPr>
              <w:t>72,724</w:t>
            </w:r>
          </w:p>
        </w:tc>
      </w:tr>
      <w:tr>
        <w:trPr>
          <w:trHeight w:val="87"/>
        </w:trPr>
        <w:tc>
          <w:tcPr>
            <w:tcW w:w="58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40" w:type="dxa"/>
            <w:vAlign w:val="bottom"/>
          </w:tcPr>
          <w:p>
            <w:pPr>
              <w:spacing w:after="0"/>
              <w:rPr>
                <w:sz w:val="7"/>
                <w:szCs w:val="7"/>
                <w:color w:val="auto"/>
              </w:rPr>
            </w:pPr>
          </w:p>
        </w:tc>
      </w:tr>
      <w:tr>
        <w:trPr>
          <w:trHeight w:val="291"/>
        </w:trPr>
        <w:tc>
          <w:tcPr>
            <w:tcW w:w="5860" w:type="dxa"/>
            <w:vAlign w:val="bottom"/>
            <w:shd w:val="clear" w:color="auto" w:fill="E5E5E5"/>
          </w:tcPr>
          <w:p>
            <w:pPr>
              <w:ind w:left="480"/>
              <w:spacing w:after="0"/>
              <w:rPr>
                <w:sz w:val="20"/>
                <w:szCs w:val="20"/>
                <w:color w:val="auto"/>
              </w:rPr>
            </w:pPr>
            <w:r>
              <w:rPr>
                <w:rFonts w:ascii="Arial" w:cs="Arial" w:eastAsia="Arial" w:hAnsi="Arial"/>
                <w:sz w:val="16"/>
                <w:szCs w:val="16"/>
                <w:color w:val="auto"/>
              </w:rPr>
              <w:t>Kenneth Myszkowski</w:t>
            </w:r>
          </w:p>
        </w:tc>
        <w:tc>
          <w:tcPr>
            <w:tcW w:w="1020" w:type="dxa"/>
            <w:vAlign w:val="bottom"/>
            <w:shd w:val="clear" w:color="auto" w:fill="E5E5E5"/>
          </w:tcPr>
          <w:p>
            <w:pPr>
              <w:jc w:val="right"/>
              <w:ind w:right="60"/>
              <w:spacing w:after="0"/>
              <w:rPr>
                <w:sz w:val="20"/>
                <w:szCs w:val="20"/>
                <w:color w:val="auto"/>
              </w:rPr>
            </w:pPr>
            <w:r>
              <w:rPr>
                <w:rFonts w:ascii="Arial" w:cs="Arial" w:eastAsia="Arial" w:hAnsi="Arial"/>
                <w:sz w:val="16"/>
                <w:szCs w:val="16"/>
                <w:color w:val="auto"/>
              </w:rPr>
              <w:t>122,313</w:t>
            </w:r>
          </w:p>
        </w:tc>
        <w:tc>
          <w:tcPr>
            <w:tcW w:w="860" w:type="dxa"/>
            <w:vAlign w:val="bottom"/>
            <w:shd w:val="clear" w:color="auto" w:fill="E5E5E5"/>
          </w:tcPr>
          <w:p>
            <w:pPr>
              <w:jc w:val="right"/>
              <w:ind w:right="80"/>
              <w:spacing w:after="0"/>
              <w:rPr>
                <w:sz w:val="20"/>
                <w:szCs w:val="20"/>
                <w:color w:val="auto"/>
              </w:rPr>
            </w:pPr>
            <w:r>
              <w:rPr>
                <w:rFonts w:ascii="Arial" w:cs="Arial" w:eastAsia="Arial" w:hAnsi="Arial"/>
                <w:sz w:val="16"/>
                <w:szCs w:val="16"/>
                <w:color w:val="auto"/>
              </w:rPr>
              <w:t>10,203</w:t>
            </w:r>
          </w:p>
        </w:tc>
        <w:tc>
          <w:tcPr>
            <w:tcW w:w="1200" w:type="dxa"/>
            <w:vAlign w:val="bottom"/>
            <w:shd w:val="clear" w:color="auto" w:fill="E5E5E5"/>
          </w:tcPr>
          <w:p>
            <w:pPr>
              <w:jc w:val="right"/>
              <w:ind w:right="41"/>
              <w:spacing w:after="0"/>
              <w:rPr>
                <w:sz w:val="20"/>
                <w:szCs w:val="20"/>
                <w:color w:val="auto"/>
              </w:rPr>
            </w:pPr>
            <w:r>
              <w:rPr>
                <w:rFonts w:ascii="Arial" w:cs="Arial" w:eastAsia="Arial" w:hAnsi="Arial"/>
                <w:sz w:val="16"/>
                <w:szCs w:val="16"/>
                <w:color w:val="auto"/>
              </w:rPr>
              <w:t>—</w:t>
            </w:r>
          </w:p>
        </w:tc>
        <w:tc>
          <w:tcPr>
            <w:tcW w:w="840" w:type="dxa"/>
            <w:vAlign w:val="bottom"/>
            <w:shd w:val="clear" w:color="auto" w:fill="E5E5E5"/>
          </w:tcPr>
          <w:p>
            <w:pPr>
              <w:jc w:val="right"/>
              <w:ind w:right="101"/>
              <w:spacing w:after="0"/>
              <w:rPr>
                <w:sz w:val="20"/>
                <w:szCs w:val="20"/>
                <w:color w:val="auto"/>
              </w:rPr>
            </w:pPr>
            <w:r>
              <w:rPr>
                <w:rFonts w:ascii="Arial" w:cs="Arial" w:eastAsia="Arial" w:hAnsi="Arial"/>
                <w:sz w:val="16"/>
                <w:szCs w:val="16"/>
                <w:color w:val="auto"/>
              </w:rPr>
              <w:t>—</w:t>
            </w:r>
          </w:p>
        </w:tc>
        <w:tc>
          <w:tcPr>
            <w:tcW w:w="1240" w:type="dxa"/>
            <w:vAlign w:val="bottom"/>
            <w:shd w:val="clear" w:color="auto" w:fill="E5E5E5"/>
          </w:tcPr>
          <w:p>
            <w:pPr>
              <w:jc w:val="right"/>
              <w:ind w:right="100"/>
              <w:spacing w:after="0"/>
              <w:rPr>
                <w:sz w:val="20"/>
                <w:szCs w:val="20"/>
                <w:color w:val="auto"/>
              </w:rPr>
            </w:pPr>
            <w:r>
              <w:rPr>
                <w:rFonts w:ascii="Arial" w:cs="Arial" w:eastAsia="Arial" w:hAnsi="Arial"/>
                <w:sz w:val="16"/>
                <w:szCs w:val="16"/>
                <w:color w:val="auto"/>
              </w:rPr>
              <w:t>132,516</w:t>
            </w:r>
          </w:p>
        </w:tc>
      </w:tr>
      <w:tr>
        <w:trPr>
          <w:trHeight w:val="87"/>
        </w:trPr>
        <w:tc>
          <w:tcPr>
            <w:tcW w:w="5860" w:type="dxa"/>
            <w:vAlign w:val="bottom"/>
            <w:shd w:val="clear" w:color="auto" w:fill="E5E5E5"/>
          </w:tcPr>
          <w:p>
            <w:pPr>
              <w:spacing w:after="0"/>
              <w:rPr>
                <w:sz w:val="7"/>
                <w:szCs w:val="7"/>
                <w:color w:val="auto"/>
              </w:rPr>
            </w:pPr>
          </w:p>
        </w:tc>
        <w:tc>
          <w:tcPr>
            <w:tcW w:w="1020" w:type="dxa"/>
            <w:vAlign w:val="bottom"/>
            <w:shd w:val="clear" w:color="auto" w:fill="E5E5E5"/>
          </w:tcPr>
          <w:p>
            <w:pPr>
              <w:spacing w:after="0"/>
              <w:rPr>
                <w:sz w:val="7"/>
                <w:szCs w:val="7"/>
                <w:color w:val="auto"/>
              </w:rPr>
            </w:pPr>
          </w:p>
        </w:tc>
        <w:tc>
          <w:tcPr>
            <w:tcW w:w="860" w:type="dxa"/>
            <w:vAlign w:val="bottom"/>
            <w:shd w:val="clear" w:color="auto" w:fill="E5E5E5"/>
          </w:tcPr>
          <w:p>
            <w:pPr>
              <w:spacing w:after="0"/>
              <w:rPr>
                <w:sz w:val="7"/>
                <w:szCs w:val="7"/>
                <w:color w:val="auto"/>
              </w:rPr>
            </w:pPr>
          </w:p>
        </w:tc>
        <w:tc>
          <w:tcPr>
            <w:tcW w:w="1200" w:type="dxa"/>
            <w:vAlign w:val="bottom"/>
            <w:shd w:val="clear" w:color="auto" w:fill="E5E5E5"/>
          </w:tcPr>
          <w:p>
            <w:pPr>
              <w:spacing w:after="0"/>
              <w:rPr>
                <w:sz w:val="7"/>
                <w:szCs w:val="7"/>
                <w:color w:val="auto"/>
              </w:rPr>
            </w:pPr>
          </w:p>
        </w:tc>
        <w:tc>
          <w:tcPr>
            <w:tcW w:w="840" w:type="dxa"/>
            <w:vAlign w:val="bottom"/>
            <w:shd w:val="clear" w:color="auto" w:fill="E5E5E5"/>
          </w:tcPr>
          <w:p>
            <w:pPr>
              <w:spacing w:after="0"/>
              <w:rPr>
                <w:sz w:val="7"/>
                <w:szCs w:val="7"/>
                <w:color w:val="auto"/>
              </w:rPr>
            </w:pPr>
          </w:p>
        </w:tc>
        <w:tc>
          <w:tcPr>
            <w:tcW w:w="1240" w:type="dxa"/>
            <w:vAlign w:val="bottom"/>
            <w:shd w:val="clear" w:color="auto" w:fill="E5E5E5"/>
          </w:tcPr>
          <w:p>
            <w:pPr>
              <w:spacing w:after="0"/>
              <w:rPr>
                <w:sz w:val="7"/>
                <w:szCs w:val="7"/>
                <w:color w:val="auto"/>
              </w:rPr>
            </w:pPr>
          </w:p>
        </w:tc>
      </w:tr>
      <w:tr>
        <w:trPr>
          <w:trHeight w:val="291"/>
        </w:trPr>
        <w:tc>
          <w:tcPr>
            <w:tcW w:w="5860" w:type="dxa"/>
            <w:vAlign w:val="bottom"/>
          </w:tcPr>
          <w:p>
            <w:pPr>
              <w:ind w:left="480"/>
              <w:spacing w:after="0"/>
              <w:rPr>
                <w:sz w:val="20"/>
                <w:szCs w:val="20"/>
                <w:color w:val="auto"/>
              </w:rPr>
            </w:pPr>
            <w:r>
              <w:rPr>
                <w:rFonts w:ascii="Arial" w:cs="Arial" w:eastAsia="Arial" w:hAnsi="Arial"/>
                <w:sz w:val="16"/>
                <w:szCs w:val="16"/>
                <w:color w:val="auto"/>
              </w:rPr>
              <w:t>Patrick O’Brien</w:t>
            </w: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00"/>
              <w:spacing w:after="0"/>
              <w:rPr>
                <w:sz w:val="20"/>
                <w:szCs w:val="20"/>
                <w:color w:val="auto"/>
              </w:rPr>
            </w:pPr>
            <w:r>
              <w:rPr>
                <w:rFonts w:ascii="Arial" w:cs="Arial" w:eastAsia="Arial" w:hAnsi="Arial"/>
                <w:sz w:val="16"/>
                <w:szCs w:val="16"/>
                <w:color w:val="auto"/>
              </w:rPr>
              <w:t>—</w:t>
            </w:r>
          </w:p>
        </w:tc>
      </w:tr>
      <w:tr>
        <w:trPr>
          <w:trHeight w:val="87"/>
        </w:trPr>
        <w:tc>
          <w:tcPr>
            <w:tcW w:w="58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40" w:type="dxa"/>
            <w:vAlign w:val="bottom"/>
          </w:tcPr>
          <w:p>
            <w:pPr>
              <w:spacing w:after="0"/>
              <w:rPr>
                <w:sz w:val="7"/>
                <w:szCs w:val="7"/>
                <w:color w:val="auto"/>
              </w:rPr>
            </w:pPr>
          </w:p>
        </w:tc>
      </w:tr>
      <w:tr>
        <w:trPr>
          <w:trHeight w:val="291"/>
        </w:trPr>
        <w:tc>
          <w:tcPr>
            <w:tcW w:w="5860" w:type="dxa"/>
            <w:vAlign w:val="bottom"/>
            <w:shd w:val="clear" w:color="auto" w:fill="E5E5E5"/>
          </w:tcPr>
          <w:p>
            <w:pPr>
              <w:ind w:left="480"/>
              <w:spacing w:after="0"/>
              <w:rPr>
                <w:sz w:val="20"/>
                <w:szCs w:val="20"/>
                <w:color w:val="auto"/>
              </w:rPr>
            </w:pPr>
            <w:r>
              <w:rPr>
                <w:rFonts w:ascii="Arial" w:cs="Arial" w:eastAsia="Arial" w:hAnsi="Arial"/>
                <w:sz w:val="16"/>
                <w:szCs w:val="16"/>
                <w:color w:val="auto"/>
              </w:rPr>
              <w:t>Javier San Martin</w:t>
            </w:r>
          </w:p>
        </w:tc>
        <w:tc>
          <w:tcPr>
            <w:tcW w:w="1020" w:type="dxa"/>
            <w:vAlign w:val="bottom"/>
            <w:shd w:val="clear" w:color="auto" w:fill="E5E5E5"/>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shd w:val="clear" w:color="auto" w:fill="E5E5E5"/>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E5E5E5"/>
          </w:tcPr>
          <w:p>
            <w:pPr>
              <w:jc w:val="right"/>
              <w:ind w:right="41"/>
              <w:spacing w:after="0"/>
              <w:rPr>
                <w:sz w:val="20"/>
                <w:szCs w:val="20"/>
                <w:color w:val="auto"/>
              </w:rPr>
            </w:pPr>
            <w:r>
              <w:rPr>
                <w:rFonts w:ascii="Arial" w:cs="Arial" w:eastAsia="Arial" w:hAnsi="Arial"/>
                <w:sz w:val="16"/>
                <w:szCs w:val="16"/>
                <w:color w:val="auto"/>
              </w:rPr>
              <w:t>—</w:t>
            </w:r>
          </w:p>
        </w:tc>
        <w:tc>
          <w:tcPr>
            <w:tcW w:w="840" w:type="dxa"/>
            <w:vAlign w:val="bottom"/>
            <w:shd w:val="clear" w:color="auto" w:fill="E5E5E5"/>
          </w:tcPr>
          <w:p>
            <w:pPr>
              <w:jc w:val="right"/>
              <w:ind w:right="101"/>
              <w:spacing w:after="0"/>
              <w:rPr>
                <w:sz w:val="20"/>
                <w:szCs w:val="20"/>
                <w:color w:val="auto"/>
              </w:rPr>
            </w:pPr>
            <w:r>
              <w:rPr>
                <w:rFonts w:ascii="Arial" w:cs="Arial" w:eastAsia="Arial" w:hAnsi="Arial"/>
                <w:sz w:val="16"/>
                <w:szCs w:val="16"/>
                <w:color w:val="auto"/>
              </w:rPr>
              <w:t>—</w:t>
            </w:r>
          </w:p>
        </w:tc>
        <w:tc>
          <w:tcPr>
            <w:tcW w:w="1240" w:type="dxa"/>
            <w:vAlign w:val="bottom"/>
            <w:shd w:val="clear" w:color="auto" w:fill="E5E5E5"/>
          </w:tcPr>
          <w:p>
            <w:pPr>
              <w:jc w:val="right"/>
              <w:ind w:right="100"/>
              <w:spacing w:after="0"/>
              <w:rPr>
                <w:sz w:val="20"/>
                <w:szCs w:val="20"/>
                <w:color w:val="auto"/>
              </w:rPr>
            </w:pPr>
            <w:r>
              <w:rPr>
                <w:rFonts w:ascii="Arial" w:cs="Arial" w:eastAsia="Arial" w:hAnsi="Arial"/>
                <w:sz w:val="16"/>
                <w:szCs w:val="16"/>
                <w:color w:val="auto"/>
              </w:rPr>
              <w:t>—</w:t>
            </w:r>
          </w:p>
        </w:tc>
      </w:tr>
      <w:tr>
        <w:trPr>
          <w:trHeight w:val="87"/>
        </w:trPr>
        <w:tc>
          <w:tcPr>
            <w:tcW w:w="5860" w:type="dxa"/>
            <w:vAlign w:val="bottom"/>
            <w:shd w:val="clear" w:color="auto" w:fill="E5E5E5"/>
          </w:tcPr>
          <w:p>
            <w:pPr>
              <w:spacing w:after="0"/>
              <w:rPr>
                <w:sz w:val="7"/>
                <w:szCs w:val="7"/>
                <w:color w:val="auto"/>
              </w:rPr>
            </w:pPr>
          </w:p>
        </w:tc>
        <w:tc>
          <w:tcPr>
            <w:tcW w:w="1020" w:type="dxa"/>
            <w:vAlign w:val="bottom"/>
            <w:shd w:val="clear" w:color="auto" w:fill="E5E5E5"/>
          </w:tcPr>
          <w:p>
            <w:pPr>
              <w:spacing w:after="0"/>
              <w:rPr>
                <w:sz w:val="7"/>
                <w:szCs w:val="7"/>
                <w:color w:val="auto"/>
              </w:rPr>
            </w:pPr>
          </w:p>
        </w:tc>
        <w:tc>
          <w:tcPr>
            <w:tcW w:w="860" w:type="dxa"/>
            <w:vAlign w:val="bottom"/>
            <w:shd w:val="clear" w:color="auto" w:fill="E5E5E5"/>
          </w:tcPr>
          <w:p>
            <w:pPr>
              <w:spacing w:after="0"/>
              <w:rPr>
                <w:sz w:val="7"/>
                <w:szCs w:val="7"/>
                <w:color w:val="auto"/>
              </w:rPr>
            </w:pPr>
          </w:p>
        </w:tc>
        <w:tc>
          <w:tcPr>
            <w:tcW w:w="1200" w:type="dxa"/>
            <w:vAlign w:val="bottom"/>
            <w:shd w:val="clear" w:color="auto" w:fill="E5E5E5"/>
          </w:tcPr>
          <w:p>
            <w:pPr>
              <w:spacing w:after="0"/>
              <w:rPr>
                <w:sz w:val="7"/>
                <w:szCs w:val="7"/>
                <w:color w:val="auto"/>
              </w:rPr>
            </w:pPr>
          </w:p>
        </w:tc>
        <w:tc>
          <w:tcPr>
            <w:tcW w:w="840" w:type="dxa"/>
            <w:vAlign w:val="bottom"/>
            <w:shd w:val="clear" w:color="auto" w:fill="E5E5E5"/>
          </w:tcPr>
          <w:p>
            <w:pPr>
              <w:spacing w:after="0"/>
              <w:rPr>
                <w:sz w:val="7"/>
                <w:szCs w:val="7"/>
                <w:color w:val="auto"/>
              </w:rPr>
            </w:pPr>
          </w:p>
        </w:tc>
        <w:tc>
          <w:tcPr>
            <w:tcW w:w="1240" w:type="dxa"/>
            <w:vAlign w:val="bottom"/>
            <w:shd w:val="clear" w:color="auto" w:fill="E5E5E5"/>
          </w:tcPr>
          <w:p>
            <w:pPr>
              <w:spacing w:after="0"/>
              <w:rPr>
                <w:sz w:val="7"/>
                <w:szCs w:val="7"/>
                <w:color w:val="auto"/>
              </w:rPr>
            </w:pPr>
          </w:p>
        </w:tc>
      </w:tr>
      <w:tr>
        <w:trPr>
          <w:trHeight w:val="291"/>
        </w:trPr>
        <w:tc>
          <w:tcPr>
            <w:tcW w:w="5860" w:type="dxa"/>
            <w:vAlign w:val="bottom"/>
          </w:tcPr>
          <w:p>
            <w:pPr>
              <w:ind w:left="480"/>
              <w:spacing w:after="0"/>
              <w:rPr>
                <w:sz w:val="20"/>
                <w:szCs w:val="20"/>
                <w:color w:val="auto"/>
              </w:rPr>
            </w:pPr>
            <w:r>
              <w:rPr>
                <w:rFonts w:ascii="Arial" w:cs="Arial" w:eastAsia="Arial" w:hAnsi="Arial"/>
                <w:sz w:val="16"/>
                <w:szCs w:val="16"/>
                <w:color w:val="auto"/>
              </w:rPr>
              <w:t>James Hamilton</w:t>
            </w: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00"/>
              <w:spacing w:after="0"/>
              <w:rPr>
                <w:sz w:val="20"/>
                <w:szCs w:val="20"/>
                <w:color w:val="auto"/>
              </w:rPr>
            </w:pPr>
            <w:r>
              <w:rPr>
                <w:rFonts w:ascii="Arial" w:cs="Arial" w:eastAsia="Arial" w:hAnsi="Arial"/>
                <w:sz w:val="16"/>
                <w:szCs w:val="16"/>
                <w:color w:val="auto"/>
              </w:rPr>
              <w:t>—</w:t>
            </w:r>
          </w:p>
        </w:tc>
      </w:tr>
      <w:tr>
        <w:trPr>
          <w:trHeight w:val="87"/>
        </w:trPr>
        <w:tc>
          <w:tcPr>
            <w:tcW w:w="58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40" w:type="dxa"/>
            <w:vAlign w:val="bottom"/>
          </w:tcPr>
          <w:p>
            <w:pPr>
              <w:spacing w:after="0"/>
              <w:rPr>
                <w:sz w:val="7"/>
                <w:szCs w:val="7"/>
                <w:color w:val="auto"/>
              </w:rPr>
            </w:pPr>
          </w:p>
        </w:tc>
      </w:tr>
      <w:tr>
        <w:trPr>
          <w:trHeight w:val="291"/>
        </w:trPr>
        <w:tc>
          <w:tcPr>
            <w:tcW w:w="5860" w:type="dxa"/>
            <w:vAlign w:val="bottom"/>
            <w:shd w:val="clear" w:color="auto" w:fill="E5E5E5"/>
          </w:tcPr>
          <w:p>
            <w:pPr>
              <w:ind w:left="480"/>
              <w:spacing w:after="0"/>
              <w:rPr>
                <w:sz w:val="20"/>
                <w:szCs w:val="20"/>
                <w:color w:val="auto"/>
              </w:rPr>
            </w:pPr>
            <w:r>
              <w:rPr>
                <w:rFonts w:ascii="Arial" w:cs="Arial" w:eastAsia="Arial" w:hAnsi="Arial"/>
                <w:sz w:val="16"/>
                <w:szCs w:val="16"/>
                <w:color w:val="auto"/>
              </w:rPr>
              <w:t>James Hassard (3)</w:t>
            </w:r>
          </w:p>
        </w:tc>
        <w:tc>
          <w:tcPr>
            <w:tcW w:w="1020" w:type="dxa"/>
            <w:vAlign w:val="bottom"/>
            <w:shd w:val="clear" w:color="auto" w:fill="E5E5E5"/>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shd w:val="clear" w:color="auto" w:fill="E5E5E5"/>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E5E5E5"/>
          </w:tcPr>
          <w:p>
            <w:pPr>
              <w:jc w:val="right"/>
              <w:ind w:right="41"/>
              <w:spacing w:after="0"/>
              <w:rPr>
                <w:sz w:val="20"/>
                <w:szCs w:val="20"/>
                <w:color w:val="auto"/>
              </w:rPr>
            </w:pPr>
            <w:r>
              <w:rPr>
                <w:rFonts w:ascii="Arial" w:cs="Arial" w:eastAsia="Arial" w:hAnsi="Arial"/>
                <w:sz w:val="16"/>
                <w:szCs w:val="16"/>
                <w:color w:val="auto"/>
              </w:rPr>
              <w:t>—</w:t>
            </w:r>
          </w:p>
        </w:tc>
        <w:tc>
          <w:tcPr>
            <w:tcW w:w="840" w:type="dxa"/>
            <w:vAlign w:val="bottom"/>
            <w:shd w:val="clear" w:color="auto" w:fill="E5E5E5"/>
          </w:tcPr>
          <w:p>
            <w:pPr>
              <w:jc w:val="right"/>
              <w:ind w:right="101"/>
              <w:spacing w:after="0"/>
              <w:rPr>
                <w:sz w:val="20"/>
                <w:szCs w:val="20"/>
                <w:color w:val="auto"/>
              </w:rPr>
            </w:pPr>
            <w:r>
              <w:rPr>
                <w:rFonts w:ascii="Arial" w:cs="Arial" w:eastAsia="Arial" w:hAnsi="Arial"/>
                <w:sz w:val="16"/>
                <w:szCs w:val="16"/>
                <w:color w:val="auto"/>
              </w:rPr>
              <w:t>—</w:t>
            </w:r>
          </w:p>
        </w:tc>
        <w:tc>
          <w:tcPr>
            <w:tcW w:w="1240" w:type="dxa"/>
            <w:vAlign w:val="bottom"/>
            <w:shd w:val="clear" w:color="auto" w:fill="E5E5E5"/>
          </w:tcPr>
          <w:p>
            <w:pPr>
              <w:jc w:val="right"/>
              <w:ind w:right="100"/>
              <w:spacing w:after="0"/>
              <w:rPr>
                <w:sz w:val="20"/>
                <w:szCs w:val="20"/>
                <w:color w:val="auto"/>
              </w:rPr>
            </w:pPr>
            <w:r>
              <w:rPr>
                <w:rFonts w:ascii="Arial" w:cs="Arial" w:eastAsia="Arial" w:hAnsi="Arial"/>
                <w:sz w:val="16"/>
                <w:szCs w:val="16"/>
                <w:color w:val="auto"/>
              </w:rPr>
              <w:t>—</w:t>
            </w:r>
          </w:p>
        </w:tc>
      </w:tr>
      <w:tr>
        <w:trPr>
          <w:trHeight w:val="87"/>
        </w:trPr>
        <w:tc>
          <w:tcPr>
            <w:tcW w:w="5860" w:type="dxa"/>
            <w:vAlign w:val="bottom"/>
            <w:shd w:val="clear" w:color="auto" w:fill="E5E5E5"/>
          </w:tcPr>
          <w:p>
            <w:pPr>
              <w:spacing w:after="0"/>
              <w:rPr>
                <w:sz w:val="7"/>
                <w:szCs w:val="7"/>
                <w:color w:val="auto"/>
              </w:rPr>
            </w:pPr>
          </w:p>
        </w:tc>
        <w:tc>
          <w:tcPr>
            <w:tcW w:w="1020" w:type="dxa"/>
            <w:vAlign w:val="bottom"/>
            <w:shd w:val="clear" w:color="auto" w:fill="E5E5E5"/>
          </w:tcPr>
          <w:p>
            <w:pPr>
              <w:spacing w:after="0"/>
              <w:rPr>
                <w:sz w:val="7"/>
                <w:szCs w:val="7"/>
                <w:color w:val="auto"/>
              </w:rPr>
            </w:pPr>
          </w:p>
        </w:tc>
        <w:tc>
          <w:tcPr>
            <w:tcW w:w="860" w:type="dxa"/>
            <w:vAlign w:val="bottom"/>
            <w:shd w:val="clear" w:color="auto" w:fill="E5E5E5"/>
          </w:tcPr>
          <w:p>
            <w:pPr>
              <w:spacing w:after="0"/>
              <w:rPr>
                <w:sz w:val="7"/>
                <w:szCs w:val="7"/>
                <w:color w:val="auto"/>
              </w:rPr>
            </w:pPr>
          </w:p>
        </w:tc>
        <w:tc>
          <w:tcPr>
            <w:tcW w:w="1200" w:type="dxa"/>
            <w:vAlign w:val="bottom"/>
            <w:shd w:val="clear" w:color="auto" w:fill="E5E5E5"/>
          </w:tcPr>
          <w:p>
            <w:pPr>
              <w:spacing w:after="0"/>
              <w:rPr>
                <w:sz w:val="7"/>
                <w:szCs w:val="7"/>
                <w:color w:val="auto"/>
              </w:rPr>
            </w:pPr>
          </w:p>
        </w:tc>
        <w:tc>
          <w:tcPr>
            <w:tcW w:w="840" w:type="dxa"/>
            <w:vAlign w:val="bottom"/>
            <w:shd w:val="clear" w:color="auto" w:fill="E5E5E5"/>
          </w:tcPr>
          <w:p>
            <w:pPr>
              <w:spacing w:after="0"/>
              <w:rPr>
                <w:sz w:val="7"/>
                <w:szCs w:val="7"/>
                <w:color w:val="auto"/>
              </w:rPr>
            </w:pPr>
          </w:p>
        </w:tc>
        <w:tc>
          <w:tcPr>
            <w:tcW w:w="1240" w:type="dxa"/>
            <w:vAlign w:val="bottom"/>
            <w:shd w:val="clear" w:color="auto" w:fill="E5E5E5"/>
          </w:tcPr>
          <w:p>
            <w:pPr>
              <w:spacing w:after="0"/>
              <w:rPr>
                <w:sz w:val="7"/>
                <w:szCs w:val="7"/>
                <w:color w:val="auto"/>
              </w:rPr>
            </w:pPr>
          </w:p>
        </w:tc>
      </w:tr>
      <w:tr>
        <w:trPr>
          <w:trHeight w:val="291"/>
        </w:trPr>
        <w:tc>
          <w:tcPr>
            <w:tcW w:w="5860" w:type="dxa"/>
            <w:vAlign w:val="bottom"/>
          </w:tcPr>
          <w:p>
            <w:pPr>
              <w:ind w:left="220"/>
              <w:spacing w:after="0"/>
              <w:rPr>
                <w:sz w:val="20"/>
                <w:szCs w:val="20"/>
                <w:color w:val="auto"/>
              </w:rPr>
            </w:pPr>
            <w:r>
              <w:rPr>
                <w:rFonts w:ascii="Arial" w:cs="Arial" w:eastAsia="Arial" w:hAnsi="Arial"/>
                <w:sz w:val="16"/>
                <w:szCs w:val="16"/>
                <w:color w:val="auto"/>
              </w:rPr>
              <w:t>Change in Control</w:t>
            </w: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87"/>
        </w:trPr>
        <w:tc>
          <w:tcPr>
            <w:tcW w:w="58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40" w:type="dxa"/>
            <w:vAlign w:val="bottom"/>
          </w:tcPr>
          <w:p>
            <w:pPr>
              <w:spacing w:after="0"/>
              <w:rPr>
                <w:sz w:val="7"/>
                <w:szCs w:val="7"/>
                <w:color w:val="auto"/>
              </w:rPr>
            </w:pPr>
          </w:p>
        </w:tc>
      </w:tr>
      <w:tr>
        <w:trPr>
          <w:trHeight w:val="291"/>
        </w:trPr>
        <w:tc>
          <w:tcPr>
            <w:tcW w:w="5860" w:type="dxa"/>
            <w:vAlign w:val="bottom"/>
            <w:shd w:val="clear" w:color="auto" w:fill="E5E5E5"/>
          </w:tcPr>
          <w:p>
            <w:pPr>
              <w:ind w:left="480"/>
              <w:spacing w:after="0"/>
              <w:rPr>
                <w:sz w:val="20"/>
                <w:szCs w:val="20"/>
                <w:color w:val="auto"/>
              </w:rPr>
            </w:pPr>
            <w:r>
              <w:rPr>
                <w:rFonts w:ascii="Arial" w:cs="Arial" w:eastAsia="Arial" w:hAnsi="Arial"/>
                <w:sz w:val="16"/>
                <w:szCs w:val="16"/>
                <w:color w:val="auto"/>
              </w:rPr>
              <w:t>Christopher Anzalone (2)</w:t>
            </w:r>
          </w:p>
        </w:tc>
        <w:tc>
          <w:tcPr>
            <w:tcW w:w="1020" w:type="dxa"/>
            <w:vAlign w:val="bottom"/>
            <w:shd w:val="clear" w:color="auto" w:fill="E5E5E5"/>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shd w:val="clear" w:color="auto" w:fill="E5E5E5"/>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E5E5E5"/>
          </w:tcPr>
          <w:p>
            <w:pPr>
              <w:jc w:val="right"/>
              <w:ind w:right="41"/>
              <w:spacing w:after="0"/>
              <w:rPr>
                <w:sz w:val="20"/>
                <w:szCs w:val="20"/>
                <w:color w:val="auto"/>
              </w:rPr>
            </w:pPr>
            <w:r>
              <w:rPr>
                <w:rFonts w:ascii="Arial" w:cs="Arial" w:eastAsia="Arial" w:hAnsi="Arial"/>
                <w:sz w:val="16"/>
                <w:szCs w:val="16"/>
                <w:color w:val="auto"/>
              </w:rPr>
              <w:t>—</w:t>
            </w:r>
          </w:p>
        </w:tc>
        <w:tc>
          <w:tcPr>
            <w:tcW w:w="840" w:type="dxa"/>
            <w:vAlign w:val="bottom"/>
            <w:shd w:val="clear" w:color="auto" w:fill="E5E5E5"/>
          </w:tcPr>
          <w:p>
            <w:pPr>
              <w:jc w:val="right"/>
              <w:ind w:right="101"/>
              <w:spacing w:after="0"/>
              <w:rPr>
                <w:sz w:val="20"/>
                <w:szCs w:val="20"/>
                <w:color w:val="auto"/>
              </w:rPr>
            </w:pPr>
            <w:r>
              <w:rPr>
                <w:rFonts w:ascii="Arial" w:cs="Arial" w:eastAsia="Arial" w:hAnsi="Arial"/>
                <w:sz w:val="16"/>
                <w:szCs w:val="16"/>
                <w:color w:val="auto"/>
              </w:rPr>
              <w:t>—</w:t>
            </w:r>
          </w:p>
        </w:tc>
        <w:tc>
          <w:tcPr>
            <w:tcW w:w="1240" w:type="dxa"/>
            <w:vAlign w:val="bottom"/>
            <w:shd w:val="clear" w:color="auto" w:fill="E5E5E5"/>
          </w:tcPr>
          <w:p>
            <w:pPr>
              <w:jc w:val="right"/>
              <w:ind w:right="100"/>
              <w:spacing w:after="0"/>
              <w:rPr>
                <w:sz w:val="20"/>
                <w:szCs w:val="20"/>
                <w:color w:val="auto"/>
              </w:rPr>
            </w:pPr>
            <w:r>
              <w:rPr>
                <w:rFonts w:ascii="Arial" w:cs="Arial" w:eastAsia="Arial" w:hAnsi="Arial"/>
                <w:sz w:val="16"/>
                <w:szCs w:val="16"/>
                <w:color w:val="auto"/>
              </w:rPr>
              <w:t>—</w:t>
            </w:r>
          </w:p>
        </w:tc>
      </w:tr>
      <w:tr>
        <w:trPr>
          <w:trHeight w:val="87"/>
        </w:trPr>
        <w:tc>
          <w:tcPr>
            <w:tcW w:w="5860" w:type="dxa"/>
            <w:vAlign w:val="bottom"/>
            <w:shd w:val="clear" w:color="auto" w:fill="E5E5E5"/>
          </w:tcPr>
          <w:p>
            <w:pPr>
              <w:spacing w:after="0"/>
              <w:rPr>
                <w:sz w:val="7"/>
                <w:szCs w:val="7"/>
                <w:color w:val="auto"/>
              </w:rPr>
            </w:pPr>
          </w:p>
        </w:tc>
        <w:tc>
          <w:tcPr>
            <w:tcW w:w="1020" w:type="dxa"/>
            <w:vAlign w:val="bottom"/>
            <w:shd w:val="clear" w:color="auto" w:fill="E5E5E5"/>
          </w:tcPr>
          <w:p>
            <w:pPr>
              <w:spacing w:after="0"/>
              <w:rPr>
                <w:sz w:val="7"/>
                <w:szCs w:val="7"/>
                <w:color w:val="auto"/>
              </w:rPr>
            </w:pPr>
          </w:p>
        </w:tc>
        <w:tc>
          <w:tcPr>
            <w:tcW w:w="860" w:type="dxa"/>
            <w:vAlign w:val="bottom"/>
            <w:shd w:val="clear" w:color="auto" w:fill="E5E5E5"/>
          </w:tcPr>
          <w:p>
            <w:pPr>
              <w:spacing w:after="0"/>
              <w:rPr>
                <w:sz w:val="7"/>
                <w:szCs w:val="7"/>
                <w:color w:val="auto"/>
              </w:rPr>
            </w:pPr>
          </w:p>
        </w:tc>
        <w:tc>
          <w:tcPr>
            <w:tcW w:w="1200" w:type="dxa"/>
            <w:vAlign w:val="bottom"/>
            <w:shd w:val="clear" w:color="auto" w:fill="E5E5E5"/>
          </w:tcPr>
          <w:p>
            <w:pPr>
              <w:spacing w:after="0"/>
              <w:rPr>
                <w:sz w:val="7"/>
                <w:szCs w:val="7"/>
                <w:color w:val="auto"/>
              </w:rPr>
            </w:pPr>
          </w:p>
        </w:tc>
        <w:tc>
          <w:tcPr>
            <w:tcW w:w="840" w:type="dxa"/>
            <w:vAlign w:val="bottom"/>
            <w:shd w:val="clear" w:color="auto" w:fill="E5E5E5"/>
          </w:tcPr>
          <w:p>
            <w:pPr>
              <w:spacing w:after="0"/>
              <w:rPr>
                <w:sz w:val="7"/>
                <w:szCs w:val="7"/>
                <w:color w:val="auto"/>
              </w:rPr>
            </w:pPr>
          </w:p>
        </w:tc>
        <w:tc>
          <w:tcPr>
            <w:tcW w:w="1240" w:type="dxa"/>
            <w:vAlign w:val="bottom"/>
            <w:shd w:val="clear" w:color="auto" w:fill="E5E5E5"/>
          </w:tcPr>
          <w:p>
            <w:pPr>
              <w:spacing w:after="0"/>
              <w:rPr>
                <w:sz w:val="7"/>
                <w:szCs w:val="7"/>
                <w:color w:val="auto"/>
              </w:rPr>
            </w:pPr>
          </w:p>
        </w:tc>
      </w:tr>
      <w:tr>
        <w:trPr>
          <w:trHeight w:val="291"/>
        </w:trPr>
        <w:tc>
          <w:tcPr>
            <w:tcW w:w="5860" w:type="dxa"/>
            <w:vAlign w:val="bottom"/>
          </w:tcPr>
          <w:p>
            <w:pPr>
              <w:ind w:left="480"/>
              <w:spacing w:after="0"/>
              <w:rPr>
                <w:sz w:val="20"/>
                <w:szCs w:val="20"/>
                <w:color w:val="auto"/>
              </w:rPr>
            </w:pPr>
            <w:r>
              <w:rPr>
                <w:rFonts w:ascii="Arial" w:cs="Arial" w:eastAsia="Arial" w:hAnsi="Arial"/>
                <w:sz w:val="16"/>
                <w:szCs w:val="16"/>
                <w:color w:val="auto"/>
              </w:rPr>
              <w:t>Kenneth Myszkowski</w:t>
            </w: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122,313</w:t>
            </w: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10,203</w:t>
            </w: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11,549,550</w:t>
            </w:r>
          </w:p>
        </w:tc>
        <w:tc>
          <w:tcPr>
            <w:tcW w:w="84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00"/>
              <w:spacing w:after="0"/>
              <w:rPr>
                <w:sz w:val="20"/>
                <w:szCs w:val="20"/>
                <w:color w:val="auto"/>
              </w:rPr>
            </w:pPr>
            <w:r>
              <w:rPr>
                <w:rFonts w:ascii="Arial" w:cs="Arial" w:eastAsia="Arial" w:hAnsi="Arial"/>
                <w:sz w:val="16"/>
                <w:szCs w:val="16"/>
                <w:color w:val="auto"/>
              </w:rPr>
              <w:t>11,682,066</w:t>
            </w:r>
          </w:p>
        </w:tc>
      </w:tr>
      <w:tr>
        <w:trPr>
          <w:trHeight w:val="87"/>
        </w:trPr>
        <w:tc>
          <w:tcPr>
            <w:tcW w:w="58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40" w:type="dxa"/>
            <w:vAlign w:val="bottom"/>
          </w:tcPr>
          <w:p>
            <w:pPr>
              <w:spacing w:after="0"/>
              <w:rPr>
                <w:sz w:val="7"/>
                <w:szCs w:val="7"/>
                <w:color w:val="auto"/>
              </w:rPr>
            </w:pPr>
          </w:p>
        </w:tc>
      </w:tr>
      <w:tr>
        <w:trPr>
          <w:trHeight w:val="291"/>
        </w:trPr>
        <w:tc>
          <w:tcPr>
            <w:tcW w:w="5860" w:type="dxa"/>
            <w:vAlign w:val="bottom"/>
            <w:shd w:val="clear" w:color="auto" w:fill="E5E5E5"/>
          </w:tcPr>
          <w:p>
            <w:pPr>
              <w:ind w:left="480"/>
              <w:spacing w:after="0"/>
              <w:rPr>
                <w:sz w:val="20"/>
                <w:szCs w:val="20"/>
                <w:color w:val="auto"/>
              </w:rPr>
            </w:pPr>
            <w:r>
              <w:rPr>
                <w:rFonts w:ascii="Arial" w:cs="Arial" w:eastAsia="Arial" w:hAnsi="Arial"/>
                <w:sz w:val="16"/>
                <w:szCs w:val="16"/>
                <w:color w:val="auto"/>
              </w:rPr>
              <w:t>Patrick O’Brien</w:t>
            </w:r>
          </w:p>
        </w:tc>
        <w:tc>
          <w:tcPr>
            <w:tcW w:w="1020" w:type="dxa"/>
            <w:vAlign w:val="bottom"/>
            <w:shd w:val="clear" w:color="auto" w:fill="E5E5E5"/>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shd w:val="clear" w:color="auto" w:fill="E5E5E5"/>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E5E5E5"/>
          </w:tcPr>
          <w:p>
            <w:pPr>
              <w:jc w:val="right"/>
              <w:ind w:right="41"/>
              <w:spacing w:after="0"/>
              <w:rPr>
                <w:sz w:val="20"/>
                <w:szCs w:val="20"/>
                <w:color w:val="auto"/>
              </w:rPr>
            </w:pPr>
            <w:r>
              <w:rPr>
                <w:rFonts w:ascii="Arial" w:cs="Arial" w:eastAsia="Arial" w:hAnsi="Arial"/>
                <w:sz w:val="16"/>
                <w:szCs w:val="16"/>
                <w:color w:val="auto"/>
              </w:rPr>
              <w:t>10,144,875</w:t>
            </w:r>
          </w:p>
        </w:tc>
        <w:tc>
          <w:tcPr>
            <w:tcW w:w="840" w:type="dxa"/>
            <w:vAlign w:val="bottom"/>
            <w:shd w:val="clear" w:color="auto" w:fill="E5E5E5"/>
          </w:tcPr>
          <w:p>
            <w:pPr>
              <w:jc w:val="right"/>
              <w:ind w:right="101"/>
              <w:spacing w:after="0"/>
              <w:rPr>
                <w:sz w:val="20"/>
                <w:szCs w:val="20"/>
                <w:color w:val="auto"/>
              </w:rPr>
            </w:pPr>
            <w:r>
              <w:rPr>
                <w:rFonts w:ascii="Arial" w:cs="Arial" w:eastAsia="Arial" w:hAnsi="Arial"/>
                <w:sz w:val="16"/>
                <w:szCs w:val="16"/>
                <w:color w:val="auto"/>
              </w:rPr>
              <w:t>—</w:t>
            </w:r>
          </w:p>
        </w:tc>
        <w:tc>
          <w:tcPr>
            <w:tcW w:w="1240" w:type="dxa"/>
            <w:vAlign w:val="bottom"/>
            <w:shd w:val="clear" w:color="auto" w:fill="E5E5E5"/>
          </w:tcPr>
          <w:p>
            <w:pPr>
              <w:jc w:val="right"/>
              <w:ind w:right="100"/>
              <w:spacing w:after="0"/>
              <w:rPr>
                <w:sz w:val="20"/>
                <w:szCs w:val="20"/>
                <w:color w:val="auto"/>
              </w:rPr>
            </w:pPr>
            <w:r>
              <w:rPr>
                <w:rFonts w:ascii="Arial" w:cs="Arial" w:eastAsia="Arial" w:hAnsi="Arial"/>
                <w:sz w:val="16"/>
                <w:szCs w:val="16"/>
                <w:color w:val="auto"/>
              </w:rPr>
              <w:t>10,144,875</w:t>
            </w:r>
          </w:p>
        </w:tc>
      </w:tr>
      <w:tr>
        <w:trPr>
          <w:trHeight w:val="87"/>
        </w:trPr>
        <w:tc>
          <w:tcPr>
            <w:tcW w:w="5860" w:type="dxa"/>
            <w:vAlign w:val="bottom"/>
            <w:shd w:val="clear" w:color="auto" w:fill="E5E5E5"/>
          </w:tcPr>
          <w:p>
            <w:pPr>
              <w:spacing w:after="0"/>
              <w:rPr>
                <w:sz w:val="7"/>
                <w:szCs w:val="7"/>
                <w:color w:val="auto"/>
              </w:rPr>
            </w:pPr>
          </w:p>
        </w:tc>
        <w:tc>
          <w:tcPr>
            <w:tcW w:w="1020" w:type="dxa"/>
            <w:vAlign w:val="bottom"/>
            <w:shd w:val="clear" w:color="auto" w:fill="E5E5E5"/>
          </w:tcPr>
          <w:p>
            <w:pPr>
              <w:spacing w:after="0"/>
              <w:rPr>
                <w:sz w:val="7"/>
                <w:szCs w:val="7"/>
                <w:color w:val="auto"/>
              </w:rPr>
            </w:pPr>
          </w:p>
        </w:tc>
        <w:tc>
          <w:tcPr>
            <w:tcW w:w="860" w:type="dxa"/>
            <w:vAlign w:val="bottom"/>
            <w:shd w:val="clear" w:color="auto" w:fill="E5E5E5"/>
          </w:tcPr>
          <w:p>
            <w:pPr>
              <w:spacing w:after="0"/>
              <w:rPr>
                <w:sz w:val="7"/>
                <w:szCs w:val="7"/>
                <w:color w:val="auto"/>
              </w:rPr>
            </w:pPr>
          </w:p>
        </w:tc>
        <w:tc>
          <w:tcPr>
            <w:tcW w:w="1200" w:type="dxa"/>
            <w:vAlign w:val="bottom"/>
            <w:shd w:val="clear" w:color="auto" w:fill="E5E5E5"/>
          </w:tcPr>
          <w:p>
            <w:pPr>
              <w:spacing w:after="0"/>
              <w:rPr>
                <w:sz w:val="7"/>
                <w:szCs w:val="7"/>
                <w:color w:val="auto"/>
              </w:rPr>
            </w:pPr>
          </w:p>
        </w:tc>
        <w:tc>
          <w:tcPr>
            <w:tcW w:w="840" w:type="dxa"/>
            <w:vAlign w:val="bottom"/>
            <w:shd w:val="clear" w:color="auto" w:fill="E5E5E5"/>
          </w:tcPr>
          <w:p>
            <w:pPr>
              <w:spacing w:after="0"/>
              <w:rPr>
                <w:sz w:val="7"/>
                <w:szCs w:val="7"/>
                <w:color w:val="auto"/>
              </w:rPr>
            </w:pPr>
          </w:p>
        </w:tc>
        <w:tc>
          <w:tcPr>
            <w:tcW w:w="1240" w:type="dxa"/>
            <w:vAlign w:val="bottom"/>
            <w:shd w:val="clear" w:color="auto" w:fill="E5E5E5"/>
          </w:tcPr>
          <w:p>
            <w:pPr>
              <w:spacing w:after="0"/>
              <w:rPr>
                <w:sz w:val="7"/>
                <w:szCs w:val="7"/>
                <w:color w:val="auto"/>
              </w:rPr>
            </w:pPr>
          </w:p>
        </w:tc>
      </w:tr>
      <w:tr>
        <w:trPr>
          <w:trHeight w:val="291"/>
        </w:trPr>
        <w:tc>
          <w:tcPr>
            <w:tcW w:w="5860" w:type="dxa"/>
            <w:vAlign w:val="bottom"/>
          </w:tcPr>
          <w:p>
            <w:pPr>
              <w:ind w:left="480"/>
              <w:spacing w:after="0"/>
              <w:rPr>
                <w:sz w:val="20"/>
                <w:szCs w:val="20"/>
                <w:color w:val="auto"/>
              </w:rPr>
            </w:pPr>
            <w:r>
              <w:rPr>
                <w:rFonts w:ascii="Arial" w:cs="Arial" w:eastAsia="Arial" w:hAnsi="Arial"/>
                <w:sz w:val="16"/>
                <w:szCs w:val="16"/>
                <w:color w:val="auto"/>
              </w:rPr>
              <w:t>Javier San Martin</w:t>
            </w: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7,023,375</w:t>
            </w:r>
          </w:p>
        </w:tc>
        <w:tc>
          <w:tcPr>
            <w:tcW w:w="84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00"/>
              <w:spacing w:after="0"/>
              <w:rPr>
                <w:sz w:val="20"/>
                <w:szCs w:val="20"/>
                <w:color w:val="auto"/>
              </w:rPr>
            </w:pPr>
            <w:r>
              <w:rPr>
                <w:rFonts w:ascii="Arial" w:cs="Arial" w:eastAsia="Arial" w:hAnsi="Arial"/>
                <w:sz w:val="16"/>
                <w:szCs w:val="16"/>
                <w:color w:val="auto"/>
              </w:rPr>
              <w:t>7,023,375</w:t>
            </w:r>
          </w:p>
        </w:tc>
      </w:tr>
      <w:tr>
        <w:trPr>
          <w:trHeight w:val="87"/>
        </w:trPr>
        <w:tc>
          <w:tcPr>
            <w:tcW w:w="58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40" w:type="dxa"/>
            <w:vAlign w:val="bottom"/>
          </w:tcPr>
          <w:p>
            <w:pPr>
              <w:spacing w:after="0"/>
              <w:rPr>
                <w:sz w:val="7"/>
                <w:szCs w:val="7"/>
                <w:color w:val="auto"/>
              </w:rPr>
            </w:pPr>
          </w:p>
        </w:tc>
      </w:tr>
      <w:tr>
        <w:trPr>
          <w:trHeight w:val="291"/>
        </w:trPr>
        <w:tc>
          <w:tcPr>
            <w:tcW w:w="5860" w:type="dxa"/>
            <w:vAlign w:val="bottom"/>
            <w:shd w:val="clear" w:color="auto" w:fill="E5E5E5"/>
          </w:tcPr>
          <w:p>
            <w:pPr>
              <w:ind w:left="480"/>
              <w:spacing w:after="0"/>
              <w:rPr>
                <w:sz w:val="20"/>
                <w:szCs w:val="20"/>
                <w:color w:val="auto"/>
              </w:rPr>
            </w:pPr>
            <w:r>
              <w:rPr>
                <w:rFonts w:ascii="Arial" w:cs="Arial" w:eastAsia="Arial" w:hAnsi="Arial"/>
                <w:sz w:val="16"/>
                <w:szCs w:val="16"/>
                <w:color w:val="auto"/>
              </w:rPr>
              <w:t>James Hamilton</w:t>
            </w:r>
          </w:p>
        </w:tc>
        <w:tc>
          <w:tcPr>
            <w:tcW w:w="1020" w:type="dxa"/>
            <w:vAlign w:val="bottom"/>
            <w:shd w:val="clear" w:color="auto" w:fill="E5E5E5"/>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shd w:val="clear" w:color="auto" w:fill="E5E5E5"/>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E5E5E5"/>
          </w:tcPr>
          <w:p>
            <w:pPr>
              <w:jc w:val="right"/>
              <w:ind w:right="41"/>
              <w:spacing w:after="0"/>
              <w:rPr>
                <w:sz w:val="20"/>
                <w:szCs w:val="20"/>
                <w:color w:val="auto"/>
              </w:rPr>
            </w:pPr>
            <w:r>
              <w:rPr>
                <w:rFonts w:ascii="Arial" w:cs="Arial" w:eastAsia="Arial" w:hAnsi="Arial"/>
                <w:sz w:val="16"/>
                <w:szCs w:val="16"/>
                <w:color w:val="auto"/>
              </w:rPr>
              <w:t>7,881,788</w:t>
            </w:r>
          </w:p>
        </w:tc>
        <w:tc>
          <w:tcPr>
            <w:tcW w:w="840" w:type="dxa"/>
            <w:vAlign w:val="bottom"/>
            <w:shd w:val="clear" w:color="auto" w:fill="E5E5E5"/>
          </w:tcPr>
          <w:p>
            <w:pPr>
              <w:jc w:val="right"/>
              <w:ind w:right="101"/>
              <w:spacing w:after="0"/>
              <w:rPr>
                <w:sz w:val="20"/>
                <w:szCs w:val="20"/>
                <w:color w:val="auto"/>
              </w:rPr>
            </w:pPr>
            <w:r>
              <w:rPr>
                <w:rFonts w:ascii="Arial" w:cs="Arial" w:eastAsia="Arial" w:hAnsi="Arial"/>
                <w:sz w:val="16"/>
                <w:szCs w:val="16"/>
                <w:color w:val="auto"/>
              </w:rPr>
              <w:t>—</w:t>
            </w:r>
          </w:p>
        </w:tc>
        <w:tc>
          <w:tcPr>
            <w:tcW w:w="1240" w:type="dxa"/>
            <w:vAlign w:val="bottom"/>
            <w:shd w:val="clear" w:color="auto" w:fill="E5E5E5"/>
          </w:tcPr>
          <w:p>
            <w:pPr>
              <w:jc w:val="right"/>
              <w:ind w:right="100"/>
              <w:spacing w:after="0"/>
              <w:rPr>
                <w:sz w:val="20"/>
                <w:szCs w:val="20"/>
                <w:color w:val="auto"/>
              </w:rPr>
            </w:pPr>
            <w:r>
              <w:rPr>
                <w:rFonts w:ascii="Arial" w:cs="Arial" w:eastAsia="Arial" w:hAnsi="Arial"/>
                <w:sz w:val="16"/>
                <w:szCs w:val="16"/>
                <w:color w:val="auto"/>
              </w:rPr>
              <w:t>7,881,788</w:t>
            </w:r>
          </w:p>
        </w:tc>
      </w:tr>
      <w:tr>
        <w:trPr>
          <w:trHeight w:val="87"/>
        </w:trPr>
        <w:tc>
          <w:tcPr>
            <w:tcW w:w="5860" w:type="dxa"/>
            <w:vAlign w:val="bottom"/>
            <w:shd w:val="clear" w:color="auto" w:fill="E5E5E5"/>
          </w:tcPr>
          <w:p>
            <w:pPr>
              <w:spacing w:after="0"/>
              <w:rPr>
                <w:sz w:val="7"/>
                <w:szCs w:val="7"/>
                <w:color w:val="auto"/>
              </w:rPr>
            </w:pPr>
          </w:p>
        </w:tc>
        <w:tc>
          <w:tcPr>
            <w:tcW w:w="1020" w:type="dxa"/>
            <w:vAlign w:val="bottom"/>
            <w:shd w:val="clear" w:color="auto" w:fill="E5E5E5"/>
          </w:tcPr>
          <w:p>
            <w:pPr>
              <w:spacing w:after="0"/>
              <w:rPr>
                <w:sz w:val="7"/>
                <w:szCs w:val="7"/>
                <w:color w:val="auto"/>
              </w:rPr>
            </w:pPr>
          </w:p>
        </w:tc>
        <w:tc>
          <w:tcPr>
            <w:tcW w:w="860" w:type="dxa"/>
            <w:vAlign w:val="bottom"/>
            <w:shd w:val="clear" w:color="auto" w:fill="E5E5E5"/>
          </w:tcPr>
          <w:p>
            <w:pPr>
              <w:spacing w:after="0"/>
              <w:rPr>
                <w:sz w:val="7"/>
                <w:szCs w:val="7"/>
                <w:color w:val="auto"/>
              </w:rPr>
            </w:pPr>
          </w:p>
        </w:tc>
        <w:tc>
          <w:tcPr>
            <w:tcW w:w="1200" w:type="dxa"/>
            <w:vAlign w:val="bottom"/>
            <w:shd w:val="clear" w:color="auto" w:fill="E5E5E5"/>
          </w:tcPr>
          <w:p>
            <w:pPr>
              <w:spacing w:after="0"/>
              <w:rPr>
                <w:sz w:val="7"/>
                <w:szCs w:val="7"/>
                <w:color w:val="auto"/>
              </w:rPr>
            </w:pPr>
          </w:p>
        </w:tc>
        <w:tc>
          <w:tcPr>
            <w:tcW w:w="840" w:type="dxa"/>
            <w:vAlign w:val="bottom"/>
            <w:shd w:val="clear" w:color="auto" w:fill="E5E5E5"/>
          </w:tcPr>
          <w:p>
            <w:pPr>
              <w:spacing w:after="0"/>
              <w:rPr>
                <w:sz w:val="7"/>
                <w:szCs w:val="7"/>
                <w:color w:val="auto"/>
              </w:rPr>
            </w:pPr>
          </w:p>
        </w:tc>
        <w:tc>
          <w:tcPr>
            <w:tcW w:w="1240" w:type="dxa"/>
            <w:vAlign w:val="bottom"/>
            <w:shd w:val="clear" w:color="auto" w:fill="E5E5E5"/>
          </w:tcPr>
          <w:p>
            <w:pPr>
              <w:spacing w:after="0"/>
              <w:rPr>
                <w:sz w:val="7"/>
                <w:szCs w:val="7"/>
                <w:color w:val="auto"/>
              </w:rPr>
            </w:pPr>
          </w:p>
        </w:tc>
      </w:tr>
      <w:tr>
        <w:trPr>
          <w:trHeight w:val="291"/>
        </w:trPr>
        <w:tc>
          <w:tcPr>
            <w:tcW w:w="5860" w:type="dxa"/>
            <w:vAlign w:val="bottom"/>
          </w:tcPr>
          <w:p>
            <w:pPr>
              <w:ind w:left="480"/>
              <w:spacing w:after="0"/>
              <w:rPr>
                <w:sz w:val="20"/>
                <w:szCs w:val="20"/>
                <w:color w:val="auto"/>
              </w:rPr>
            </w:pPr>
            <w:r>
              <w:rPr>
                <w:rFonts w:ascii="Arial" w:cs="Arial" w:eastAsia="Arial" w:hAnsi="Arial"/>
                <w:sz w:val="16"/>
                <w:szCs w:val="16"/>
                <w:color w:val="auto"/>
              </w:rPr>
              <w:t>James Hassard (3)</w:t>
            </w: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00"/>
              <w:spacing w:after="0"/>
              <w:rPr>
                <w:sz w:val="20"/>
                <w:szCs w:val="20"/>
                <w:color w:val="auto"/>
              </w:rPr>
            </w:pPr>
            <w:r>
              <w:rPr>
                <w:rFonts w:ascii="Arial" w:cs="Arial" w:eastAsia="Arial" w:hAnsi="Arial"/>
                <w:sz w:val="16"/>
                <w:szCs w:val="16"/>
                <w:color w:val="auto"/>
              </w:rPr>
              <w:t>—</w:t>
            </w:r>
          </w:p>
        </w:tc>
      </w:tr>
      <w:tr>
        <w:trPr>
          <w:trHeight w:val="87"/>
        </w:trPr>
        <w:tc>
          <w:tcPr>
            <w:tcW w:w="58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40" w:type="dxa"/>
            <w:vAlign w:val="bottom"/>
          </w:tcPr>
          <w:p>
            <w:pPr>
              <w:spacing w:after="0"/>
              <w:rPr>
                <w:sz w:val="7"/>
                <w:szCs w:val="7"/>
                <w:color w:val="auto"/>
              </w:rPr>
            </w:pPr>
          </w:p>
        </w:tc>
      </w:tr>
      <w:tr>
        <w:trPr>
          <w:trHeight w:val="291"/>
        </w:trPr>
        <w:tc>
          <w:tcPr>
            <w:tcW w:w="5860" w:type="dxa"/>
            <w:vAlign w:val="bottom"/>
            <w:shd w:val="clear" w:color="auto" w:fill="E5E5E5"/>
          </w:tcPr>
          <w:p>
            <w:pPr>
              <w:ind w:left="220"/>
              <w:spacing w:after="0"/>
              <w:rPr>
                <w:sz w:val="20"/>
                <w:szCs w:val="20"/>
                <w:color w:val="auto"/>
              </w:rPr>
            </w:pPr>
            <w:r>
              <w:rPr>
                <w:rFonts w:ascii="Arial" w:cs="Arial" w:eastAsia="Arial" w:hAnsi="Arial"/>
                <w:sz w:val="16"/>
                <w:szCs w:val="16"/>
                <w:color w:val="auto"/>
              </w:rPr>
              <w:t>Involuntary Termination Following a Change in Control</w:t>
            </w:r>
          </w:p>
        </w:tc>
        <w:tc>
          <w:tcPr>
            <w:tcW w:w="1020" w:type="dxa"/>
            <w:vAlign w:val="bottom"/>
            <w:shd w:val="clear" w:color="auto" w:fill="E5E5E5"/>
          </w:tcPr>
          <w:p>
            <w:pPr>
              <w:spacing w:after="0"/>
              <w:rPr>
                <w:sz w:val="24"/>
                <w:szCs w:val="24"/>
                <w:color w:val="auto"/>
              </w:rPr>
            </w:pPr>
          </w:p>
        </w:tc>
        <w:tc>
          <w:tcPr>
            <w:tcW w:w="860" w:type="dxa"/>
            <w:vAlign w:val="bottom"/>
            <w:shd w:val="clear" w:color="auto" w:fill="E5E5E5"/>
          </w:tcPr>
          <w:p>
            <w:pPr>
              <w:spacing w:after="0"/>
              <w:rPr>
                <w:sz w:val="24"/>
                <w:szCs w:val="24"/>
                <w:color w:val="auto"/>
              </w:rPr>
            </w:pPr>
          </w:p>
        </w:tc>
        <w:tc>
          <w:tcPr>
            <w:tcW w:w="1200" w:type="dxa"/>
            <w:vAlign w:val="bottom"/>
            <w:shd w:val="clear" w:color="auto" w:fill="E5E5E5"/>
          </w:tcPr>
          <w:p>
            <w:pPr>
              <w:spacing w:after="0"/>
              <w:rPr>
                <w:sz w:val="24"/>
                <w:szCs w:val="24"/>
                <w:color w:val="auto"/>
              </w:rPr>
            </w:pPr>
          </w:p>
        </w:tc>
        <w:tc>
          <w:tcPr>
            <w:tcW w:w="840" w:type="dxa"/>
            <w:vAlign w:val="bottom"/>
            <w:shd w:val="clear" w:color="auto" w:fill="E5E5E5"/>
          </w:tcPr>
          <w:p>
            <w:pPr>
              <w:spacing w:after="0"/>
              <w:rPr>
                <w:sz w:val="24"/>
                <w:szCs w:val="24"/>
                <w:color w:val="auto"/>
              </w:rPr>
            </w:pPr>
          </w:p>
        </w:tc>
        <w:tc>
          <w:tcPr>
            <w:tcW w:w="1240" w:type="dxa"/>
            <w:vAlign w:val="bottom"/>
            <w:shd w:val="clear" w:color="auto" w:fill="E5E5E5"/>
          </w:tcPr>
          <w:p>
            <w:pPr>
              <w:spacing w:after="0"/>
              <w:rPr>
                <w:sz w:val="24"/>
                <w:szCs w:val="24"/>
                <w:color w:val="auto"/>
              </w:rPr>
            </w:pPr>
          </w:p>
        </w:tc>
      </w:tr>
      <w:tr>
        <w:trPr>
          <w:trHeight w:val="87"/>
        </w:trPr>
        <w:tc>
          <w:tcPr>
            <w:tcW w:w="5860" w:type="dxa"/>
            <w:vAlign w:val="bottom"/>
            <w:shd w:val="clear" w:color="auto" w:fill="E5E5E5"/>
          </w:tcPr>
          <w:p>
            <w:pPr>
              <w:spacing w:after="0"/>
              <w:rPr>
                <w:sz w:val="7"/>
                <w:szCs w:val="7"/>
                <w:color w:val="auto"/>
              </w:rPr>
            </w:pPr>
          </w:p>
        </w:tc>
        <w:tc>
          <w:tcPr>
            <w:tcW w:w="1020" w:type="dxa"/>
            <w:vAlign w:val="bottom"/>
            <w:shd w:val="clear" w:color="auto" w:fill="E5E5E5"/>
          </w:tcPr>
          <w:p>
            <w:pPr>
              <w:spacing w:after="0"/>
              <w:rPr>
                <w:sz w:val="7"/>
                <w:szCs w:val="7"/>
                <w:color w:val="auto"/>
              </w:rPr>
            </w:pPr>
          </w:p>
        </w:tc>
        <w:tc>
          <w:tcPr>
            <w:tcW w:w="860" w:type="dxa"/>
            <w:vAlign w:val="bottom"/>
            <w:shd w:val="clear" w:color="auto" w:fill="E5E5E5"/>
          </w:tcPr>
          <w:p>
            <w:pPr>
              <w:spacing w:after="0"/>
              <w:rPr>
                <w:sz w:val="7"/>
                <w:szCs w:val="7"/>
                <w:color w:val="auto"/>
              </w:rPr>
            </w:pPr>
          </w:p>
        </w:tc>
        <w:tc>
          <w:tcPr>
            <w:tcW w:w="1200" w:type="dxa"/>
            <w:vAlign w:val="bottom"/>
            <w:shd w:val="clear" w:color="auto" w:fill="E5E5E5"/>
          </w:tcPr>
          <w:p>
            <w:pPr>
              <w:spacing w:after="0"/>
              <w:rPr>
                <w:sz w:val="7"/>
                <w:szCs w:val="7"/>
                <w:color w:val="auto"/>
              </w:rPr>
            </w:pPr>
          </w:p>
        </w:tc>
        <w:tc>
          <w:tcPr>
            <w:tcW w:w="840" w:type="dxa"/>
            <w:vAlign w:val="bottom"/>
            <w:shd w:val="clear" w:color="auto" w:fill="E5E5E5"/>
          </w:tcPr>
          <w:p>
            <w:pPr>
              <w:spacing w:after="0"/>
              <w:rPr>
                <w:sz w:val="7"/>
                <w:szCs w:val="7"/>
                <w:color w:val="auto"/>
              </w:rPr>
            </w:pPr>
          </w:p>
        </w:tc>
        <w:tc>
          <w:tcPr>
            <w:tcW w:w="1240" w:type="dxa"/>
            <w:vAlign w:val="bottom"/>
            <w:shd w:val="clear" w:color="auto" w:fill="E5E5E5"/>
          </w:tcPr>
          <w:p>
            <w:pPr>
              <w:spacing w:after="0"/>
              <w:rPr>
                <w:sz w:val="7"/>
                <w:szCs w:val="7"/>
                <w:color w:val="auto"/>
              </w:rPr>
            </w:pPr>
          </w:p>
        </w:tc>
      </w:tr>
      <w:tr>
        <w:trPr>
          <w:trHeight w:val="291"/>
        </w:trPr>
        <w:tc>
          <w:tcPr>
            <w:tcW w:w="5860" w:type="dxa"/>
            <w:vAlign w:val="bottom"/>
          </w:tcPr>
          <w:p>
            <w:pPr>
              <w:ind w:left="480"/>
              <w:spacing w:after="0"/>
              <w:rPr>
                <w:sz w:val="20"/>
                <w:szCs w:val="20"/>
                <w:color w:val="auto"/>
              </w:rPr>
            </w:pPr>
            <w:r>
              <w:rPr>
                <w:rFonts w:ascii="Arial" w:cs="Arial" w:eastAsia="Arial" w:hAnsi="Arial"/>
                <w:sz w:val="16"/>
                <w:szCs w:val="16"/>
                <w:color w:val="auto"/>
              </w:rPr>
              <w:t>Christopher Anzalone</w:t>
            </w: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70,417</w:t>
            </w: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2,307</w:t>
            </w: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106,131,000</w:t>
            </w:r>
          </w:p>
        </w:tc>
        <w:tc>
          <w:tcPr>
            <w:tcW w:w="84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00"/>
              <w:spacing w:after="0"/>
              <w:rPr>
                <w:sz w:val="20"/>
                <w:szCs w:val="20"/>
                <w:color w:val="auto"/>
              </w:rPr>
            </w:pPr>
            <w:r>
              <w:rPr>
                <w:rFonts w:ascii="Arial" w:cs="Arial" w:eastAsia="Arial" w:hAnsi="Arial"/>
                <w:sz w:val="16"/>
                <w:szCs w:val="16"/>
                <w:color w:val="auto"/>
              </w:rPr>
              <w:t>106,203,874</w:t>
            </w:r>
          </w:p>
        </w:tc>
      </w:tr>
      <w:tr>
        <w:trPr>
          <w:trHeight w:val="87"/>
        </w:trPr>
        <w:tc>
          <w:tcPr>
            <w:tcW w:w="58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40" w:type="dxa"/>
            <w:vAlign w:val="bottom"/>
          </w:tcPr>
          <w:p>
            <w:pPr>
              <w:spacing w:after="0"/>
              <w:rPr>
                <w:sz w:val="7"/>
                <w:szCs w:val="7"/>
                <w:color w:val="auto"/>
              </w:rPr>
            </w:pPr>
          </w:p>
        </w:tc>
      </w:tr>
      <w:tr>
        <w:trPr>
          <w:trHeight w:val="291"/>
        </w:trPr>
        <w:tc>
          <w:tcPr>
            <w:tcW w:w="5860" w:type="dxa"/>
            <w:vAlign w:val="bottom"/>
            <w:shd w:val="clear" w:color="auto" w:fill="E5E5E5"/>
          </w:tcPr>
          <w:p>
            <w:pPr>
              <w:ind w:left="480"/>
              <w:spacing w:after="0"/>
              <w:rPr>
                <w:sz w:val="20"/>
                <w:szCs w:val="20"/>
                <w:color w:val="auto"/>
              </w:rPr>
            </w:pPr>
            <w:r>
              <w:rPr>
                <w:rFonts w:ascii="Arial" w:cs="Arial" w:eastAsia="Arial" w:hAnsi="Arial"/>
                <w:sz w:val="16"/>
                <w:szCs w:val="16"/>
                <w:color w:val="auto"/>
              </w:rPr>
              <w:t>Patrick O’Brien</w:t>
            </w:r>
          </w:p>
        </w:tc>
        <w:tc>
          <w:tcPr>
            <w:tcW w:w="1020" w:type="dxa"/>
            <w:vAlign w:val="bottom"/>
            <w:shd w:val="clear" w:color="auto" w:fill="E5E5E5"/>
          </w:tcPr>
          <w:p>
            <w:pPr>
              <w:jc w:val="right"/>
              <w:ind w:right="60"/>
              <w:spacing w:after="0"/>
              <w:rPr>
                <w:sz w:val="20"/>
                <w:szCs w:val="20"/>
                <w:color w:val="auto"/>
              </w:rPr>
            </w:pPr>
            <w:r>
              <w:rPr>
                <w:rFonts w:ascii="Arial" w:cs="Arial" w:eastAsia="Arial" w:hAnsi="Arial"/>
                <w:sz w:val="16"/>
                <w:szCs w:val="16"/>
                <w:color w:val="auto"/>
              </w:rPr>
              <w:t>242,050</w:t>
            </w:r>
          </w:p>
        </w:tc>
        <w:tc>
          <w:tcPr>
            <w:tcW w:w="860" w:type="dxa"/>
            <w:vAlign w:val="bottom"/>
            <w:shd w:val="clear" w:color="auto" w:fill="E5E5E5"/>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E5E5E5"/>
          </w:tcPr>
          <w:p>
            <w:pPr>
              <w:jc w:val="right"/>
              <w:ind w:right="41"/>
              <w:spacing w:after="0"/>
              <w:rPr>
                <w:sz w:val="20"/>
                <w:szCs w:val="20"/>
                <w:color w:val="auto"/>
              </w:rPr>
            </w:pPr>
            <w:r>
              <w:rPr>
                <w:rFonts w:ascii="Arial" w:cs="Arial" w:eastAsia="Arial" w:hAnsi="Arial"/>
                <w:sz w:val="16"/>
                <w:szCs w:val="16"/>
                <w:color w:val="auto"/>
              </w:rPr>
              <w:t>—</w:t>
            </w:r>
          </w:p>
        </w:tc>
        <w:tc>
          <w:tcPr>
            <w:tcW w:w="840" w:type="dxa"/>
            <w:vAlign w:val="bottom"/>
            <w:shd w:val="clear" w:color="auto" w:fill="E5E5E5"/>
          </w:tcPr>
          <w:p>
            <w:pPr>
              <w:jc w:val="right"/>
              <w:ind w:right="101"/>
              <w:spacing w:after="0"/>
              <w:rPr>
                <w:sz w:val="20"/>
                <w:szCs w:val="20"/>
                <w:color w:val="auto"/>
              </w:rPr>
            </w:pPr>
            <w:r>
              <w:rPr>
                <w:rFonts w:ascii="Arial" w:cs="Arial" w:eastAsia="Arial" w:hAnsi="Arial"/>
                <w:sz w:val="16"/>
                <w:szCs w:val="16"/>
                <w:color w:val="auto"/>
              </w:rPr>
              <w:t>—</w:t>
            </w:r>
          </w:p>
        </w:tc>
        <w:tc>
          <w:tcPr>
            <w:tcW w:w="1240" w:type="dxa"/>
            <w:vAlign w:val="bottom"/>
            <w:shd w:val="clear" w:color="auto" w:fill="E5E5E5"/>
          </w:tcPr>
          <w:p>
            <w:pPr>
              <w:jc w:val="right"/>
              <w:ind w:right="100"/>
              <w:spacing w:after="0"/>
              <w:rPr>
                <w:sz w:val="20"/>
                <w:szCs w:val="20"/>
                <w:color w:val="auto"/>
              </w:rPr>
            </w:pPr>
            <w:r>
              <w:rPr>
                <w:rFonts w:ascii="Arial" w:cs="Arial" w:eastAsia="Arial" w:hAnsi="Arial"/>
                <w:sz w:val="16"/>
                <w:szCs w:val="16"/>
                <w:color w:val="auto"/>
              </w:rPr>
              <w:t>242,050</w:t>
            </w:r>
          </w:p>
        </w:tc>
      </w:tr>
      <w:tr>
        <w:trPr>
          <w:trHeight w:val="87"/>
        </w:trPr>
        <w:tc>
          <w:tcPr>
            <w:tcW w:w="5860" w:type="dxa"/>
            <w:vAlign w:val="bottom"/>
            <w:tcBorders>
              <w:bottom w:val="single" w:sz="8" w:color="0071CE"/>
            </w:tcBorders>
            <w:shd w:val="clear" w:color="auto" w:fill="E5E5E5"/>
          </w:tcPr>
          <w:p>
            <w:pPr>
              <w:spacing w:after="0"/>
              <w:rPr>
                <w:sz w:val="7"/>
                <w:szCs w:val="7"/>
                <w:color w:val="auto"/>
              </w:rPr>
            </w:pPr>
          </w:p>
        </w:tc>
        <w:tc>
          <w:tcPr>
            <w:tcW w:w="1020" w:type="dxa"/>
            <w:vAlign w:val="bottom"/>
            <w:tcBorders>
              <w:bottom w:val="single" w:sz="8" w:color="0071CE"/>
            </w:tcBorders>
            <w:shd w:val="clear" w:color="auto" w:fill="E5E5E5"/>
          </w:tcPr>
          <w:p>
            <w:pPr>
              <w:spacing w:after="0"/>
              <w:rPr>
                <w:sz w:val="7"/>
                <w:szCs w:val="7"/>
                <w:color w:val="auto"/>
              </w:rPr>
            </w:pPr>
          </w:p>
        </w:tc>
        <w:tc>
          <w:tcPr>
            <w:tcW w:w="860" w:type="dxa"/>
            <w:vAlign w:val="bottom"/>
            <w:tcBorders>
              <w:bottom w:val="single" w:sz="8" w:color="0071CE"/>
            </w:tcBorders>
            <w:shd w:val="clear" w:color="auto" w:fill="E5E5E5"/>
          </w:tcPr>
          <w:p>
            <w:pPr>
              <w:spacing w:after="0"/>
              <w:rPr>
                <w:sz w:val="7"/>
                <w:szCs w:val="7"/>
                <w:color w:val="auto"/>
              </w:rPr>
            </w:pPr>
          </w:p>
        </w:tc>
        <w:tc>
          <w:tcPr>
            <w:tcW w:w="1200" w:type="dxa"/>
            <w:vAlign w:val="bottom"/>
            <w:tcBorders>
              <w:bottom w:val="single" w:sz="8" w:color="0071CE"/>
            </w:tcBorders>
            <w:shd w:val="clear" w:color="auto" w:fill="E5E5E5"/>
          </w:tcPr>
          <w:p>
            <w:pPr>
              <w:spacing w:after="0"/>
              <w:rPr>
                <w:sz w:val="7"/>
                <w:szCs w:val="7"/>
                <w:color w:val="auto"/>
              </w:rPr>
            </w:pPr>
          </w:p>
        </w:tc>
        <w:tc>
          <w:tcPr>
            <w:tcW w:w="840" w:type="dxa"/>
            <w:vAlign w:val="bottom"/>
            <w:tcBorders>
              <w:bottom w:val="single" w:sz="8" w:color="0071CE"/>
            </w:tcBorders>
            <w:shd w:val="clear" w:color="auto" w:fill="E5E5E5"/>
          </w:tcPr>
          <w:p>
            <w:pPr>
              <w:spacing w:after="0"/>
              <w:rPr>
                <w:sz w:val="7"/>
                <w:szCs w:val="7"/>
                <w:color w:val="auto"/>
              </w:rPr>
            </w:pPr>
          </w:p>
        </w:tc>
        <w:tc>
          <w:tcPr>
            <w:tcW w:w="1240" w:type="dxa"/>
            <w:vAlign w:val="bottom"/>
            <w:tcBorders>
              <w:bottom w:val="single" w:sz="8" w:color="0071CE"/>
            </w:tcBorders>
            <w:shd w:val="clear" w:color="auto" w:fill="E5E5E5"/>
          </w:tcPr>
          <w:p>
            <w:pPr>
              <w:spacing w:after="0"/>
              <w:rPr>
                <w:sz w:val="7"/>
                <w:szCs w:val="7"/>
                <w:color w:val="auto"/>
              </w:rPr>
            </w:pPr>
          </w:p>
        </w:tc>
      </w:tr>
    </w:tbl>
    <w:p>
      <w:pPr>
        <w:spacing w:after="0" w:line="126" w:lineRule="exact"/>
        <w:rPr>
          <w:sz w:val="20"/>
          <w:szCs w:val="20"/>
          <w:color w:val="auto"/>
        </w:rPr>
      </w:pPr>
    </w:p>
    <w:p>
      <w:pPr>
        <w:ind w:left="540" w:hanging="424"/>
        <w:spacing w:after="0"/>
        <w:tabs>
          <w:tab w:leader="none" w:pos="5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For stock awards the value is calculated as the number of unvested shares multiplied by the Company’s closing stock price at September 30, 2021 of $62.43.</w:t>
      </w:r>
    </w:p>
    <w:p>
      <w:pPr>
        <w:spacing w:after="0" w:line="82" w:lineRule="exact"/>
        <w:rPr>
          <w:rFonts w:ascii="Arial" w:cs="Arial" w:eastAsia="Arial" w:hAnsi="Arial"/>
          <w:sz w:val="14"/>
          <w:szCs w:val="14"/>
          <w:color w:val="auto"/>
        </w:rPr>
      </w:pPr>
    </w:p>
    <w:p>
      <w:pPr>
        <w:ind w:left="540" w:right="400" w:hanging="424"/>
        <w:spacing w:after="0" w:line="258" w:lineRule="auto"/>
        <w:tabs>
          <w:tab w:leader="none" w:pos="5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Dr. Anzalone’s employment contract also provides for payment of the values set forth above upon his resignation for “good reason” as defined in his employment agreement.</w:t>
      </w:r>
    </w:p>
    <w:p>
      <w:pPr>
        <w:spacing w:after="0" w:line="58" w:lineRule="exact"/>
        <w:rPr>
          <w:rFonts w:ascii="Arial" w:cs="Arial" w:eastAsia="Arial" w:hAnsi="Arial"/>
          <w:sz w:val="14"/>
          <w:szCs w:val="14"/>
          <w:color w:val="auto"/>
        </w:rPr>
      </w:pPr>
    </w:p>
    <w:p>
      <w:pPr>
        <w:ind w:left="540" w:right="240" w:hanging="424"/>
        <w:spacing w:after="0" w:line="258" w:lineRule="auto"/>
        <w:tabs>
          <w:tab w:leader="none" w:pos="5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Mr. Hassard’s employment with the Company terminated in August 2021. He entered a severance agreement and received a lump sum payment of $335,608 upon termination.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C4C4C"/>
        </w:rPr>
        <w:t>CEO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57150</wp:posOffset>
            </wp:positionV>
            <wp:extent cx="69951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3" w:lineRule="exact"/>
        <w:rPr>
          <w:sz w:val="20"/>
          <w:szCs w:val="20"/>
          <w:color w:val="auto"/>
        </w:rPr>
      </w:pPr>
    </w:p>
    <w:p>
      <w:pPr>
        <w:ind w:left="120" w:right="80"/>
        <w:spacing w:after="0" w:line="260" w:lineRule="auto"/>
        <w:rPr>
          <w:sz w:val="20"/>
          <w:szCs w:val="20"/>
          <w:color w:val="auto"/>
        </w:rPr>
      </w:pPr>
      <w:r>
        <w:rPr>
          <w:rFonts w:ascii="Arial" w:cs="Arial" w:eastAsia="Arial" w:hAnsi="Arial"/>
          <w:sz w:val="16"/>
          <w:szCs w:val="16"/>
          <w:color w:val="auto"/>
        </w:rPr>
        <w:t>Pursuant to Item 402(u) of Regulation S-K, we are required to calculate and disclose the median of the annual total compensation of all of our employees (excluding our CEO, Dr. Anzalone), the annual total compensation of Dr. Anzalone, and the ratio of these two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80010</wp:posOffset>
            </wp:positionV>
            <wp:extent cx="986155" cy="2057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37" w:lineRule="exact"/>
        <w:rPr>
          <w:sz w:val="20"/>
          <w:szCs w:val="20"/>
          <w:color w:val="auto"/>
        </w:rPr>
      </w:pPr>
    </w:p>
    <w:p>
      <w:pPr>
        <w:ind w:left="10880"/>
        <w:spacing w:after="0"/>
        <w:rPr>
          <w:sz w:val="20"/>
          <w:szCs w:val="20"/>
          <w:color w:val="auto"/>
        </w:rPr>
      </w:pPr>
      <w:r>
        <w:rPr>
          <w:rFonts w:ascii="Arial" w:cs="Arial" w:eastAsia="Arial" w:hAnsi="Arial"/>
          <w:sz w:val="18"/>
          <w:szCs w:val="18"/>
          <w:b w:val="1"/>
          <w:bCs w:val="1"/>
          <w:color w:val="0071CE"/>
        </w:rPr>
        <w:t>43</w:t>
      </w:r>
    </w:p>
    <w:p>
      <w:pPr>
        <w:sectPr>
          <w:pgSz w:w="11900" w:h="16838" w:orient="portrait"/>
          <w:cols w:equalWidth="0" w:num="1">
            <w:col w:w="11140"/>
          </w:cols>
          <w:pgMar w:left="32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20"/>
        <w:spacing w:after="0"/>
        <w:tabs>
          <w:tab w:leader="none" w:pos="2020" w:val="left"/>
        </w:tabs>
        <w:rPr>
          <w:sz w:val="20"/>
          <w:szCs w:val="20"/>
          <w:color w:val="auto"/>
        </w:rPr>
      </w:pPr>
      <w:r>
        <w:rPr>
          <w:rFonts w:ascii="Arial" w:cs="Arial" w:eastAsia="Arial" w:hAnsi="Arial"/>
          <w:sz w:val="14"/>
          <w:szCs w:val="14"/>
          <w:b w:val="1"/>
          <w:bCs w:val="1"/>
          <w:color w:val="0071CE"/>
        </w:rPr>
        <w:t>2022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65" w:lineRule="exact"/>
        <w:rPr>
          <w:sz w:val="20"/>
          <w:szCs w:val="20"/>
          <w:color w:val="auto"/>
        </w:rPr>
      </w:pPr>
    </w:p>
    <w:p>
      <w:pPr>
        <w:ind w:left="120" w:right="120"/>
        <w:spacing w:after="0" w:line="250" w:lineRule="auto"/>
        <w:rPr>
          <w:sz w:val="20"/>
          <w:szCs w:val="20"/>
          <w:color w:val="auto"/>
        </w:rPr>
      </w:pPr>
      <w:r>
        <w:rPr>
          <w:rFonts w:ascii="Arial" w:cs="Arial" w:eastAsia="Arial" w:hAnsi="Arial"/>
          <w:sz w:val="16"/>
          <w:szCs w:val="16"/>
          <w:color w:val="auto"/>
        </w:rPr>
        <w:t>Based on the fact that we had a significant number of new hires during fiscal 2021, we did not elect to use the same median employee as the prior year. Our median employee was identified using the entire population of our employees as of September 30, 2021 based on a consistently applied compensation measure, or CACM, that reasonably reflects the annual compensation of our employees. The CACM selected by us for our disclosure included annual base salary, the cash bonus amount for fiscal 2021, the grant-date fair value for stock-based awards (calculated in accordance with requirements for the Summary Compensation Table), and welfare and health benefits for fiscal 2021.</w:t>
      </w:r>
    </w:p>
    <w:p>
      <w:pPr>
        <w:spacing w:after="0" w:line="203" w:lineRule="exact"/>
        <w:rPr>
          <w:sz w:val="20"/>
          <w:szCs w:val="20"/>
          <w:color w:val="auto"/>
        </w:rPr>
      </w:pPr>
    </w:p>
    <w:p>
      <w:pPr>
        <w:ind w:left="120" w:right="40"/>
        <w:spacing w:after="0" w:line="249" w:lineRule="auto"/>
        <w:rPr>
          <w:sz w:val="20"/>
          <w:szCs w:val="20"/>
          <w:color w:val="auto"/>
        </w:rPr>
      </w:pPr>
      <w:r>
        <w:rPr>
          <w:rFonts w:ascii="Arial" w:cs="Arial" w:eastAsia="Arial" w:hAnsi="Arial"/>
          <w:sz w:val="16"/>
          <w:szCs w:val="16"/>
          <w:color w:val="auto"/>
        </w:rPr>
        <w:t>Based on the CACM methodology described above, we identified the median employee and calculated the fiscal 2021 compensation for this selected employee in the same manner we determine the annual total compensation of our NEOs for purposes of the Summary Compensation Table. The median of the annual total compensation of all our employees was $168,720. Dr. Anzalone’s fiscal 2021 annual total compensation as disclosed in the Fiscal 2021 Summary Compensation Table was $24,703,855. As a result, our CEO to median employee pay ratio for fiscal 2021 is 146:1. This represents an increase from the 2020 ratio of 48:1 primarily due to the PRSU awards granted to Dr. Anzalone that were deemed probable of achievement at the grant date, in accordance with ASC 718.</w:t>
      </w:r>
    </w:p>
    <w:p>
      <w:pPr>
        <w:spacing w:after="0" w:line="205"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auto"/>
        </w:rPr>
        <w:t>This pay ratio is a reasonable estimate calculated by a method consistent with the SEC requirements, described above, based on our payroll and employment records. As a result of a variety of factors, including employee populations, potential differences in the components used for the CACM, compensation philosophies and certain assumptions, pay ratios reported by other companies may not be comparable to our pay ratio. The pay ratio is not utilized by our management or our compensation committee for compensation-related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84455</wp:posOffset>
            </wp:positionV>
            <wp:extent cx="986155" cy="2057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1CE"/>
        </w:rPr>
        <w:t>44</w:t>
      </w:r>
    </w:p>
    <w:p>
      <w:pPr>
        <w:sectPr>
          <w:pgSz w:w="11900" w:h="16838" w:orient="portrait"/>
          <w:cols w:equalWidth="0" w:num="1">
            <w:col w:w="11100"/>
          </w:cols>
          <w:pgMar w:left="320" w:top="459"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4420"/>
        <w:spacing w:after="0"/>
        <w:tabs>
          <w:tab w:leader="none" w:pos="6320" w:val="left"/>
        </w:tabs>
        <w:rPr>
          <w:sz w:val="20"/>
          <w:szCs w:val="20"/>
          <w:color w:val="auto"/>
        </w:rPr>
      </w:pPr>
      <w:r>
        <w:rPr>
          <w:rFonts w:ascii="Arial" w:cs="Arial" w:eastAsia="Arial" w:hAnsi="Arial"/>
          <w:sz w:val="14"/>
          <w:szCs w:val="14"/>
          <w:b w:val="1"/>
          <w:bCs w:val="1"/>
          <w:color w:val="0071CE"/>
        </w:rPr>
        <w:t>2022 PROXY STATEMENT</w:t>
      </w:r>
      <w:r>
        <w:rPr>
          <w:sz w:val="20"/>
          <w:szCs w:val="20"/>
          <w:color w:val="auto"/>
        </w:rPr>
        <w:tab/>
      </w:r>
      <w:r>
        <w:rPr>
          <w:rFonts w:ascii="Arial" w:cs="Arial" w:eastAsia="Arial" w:hAnsi="Arial"/>
          <w:sz w:val="14"/>
          <w:szCs w:val="14"/>
          <w:b w:val="1"/>
          <w:bCs w:val="1"/>
          <w:i w:val="1"/>
          <w:iCs w:val="1"/>
          <w:color w:val="3FAE2A"/>
        </w:rPr>
        <w:t>Proposal Four — Ratification of Appointment of Independent Auditors</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1CE"/>
        </w:rPr>
        <w:t>Proposal Four — Ratification of Appointment of Independent Auditors</w:t>
      </w:r>
    </w:p>
    <w:p>
      <w:pPr>
        <w:spacing w:after="0" w:line="352" w:lineRule="exact"/>
        <w:rPr>
          <w:sz w:val="20"/>
          <w:szCs w:val="20"/>
          <w:color w:val="auto"/>
        </w:rPr>
      </w:pPr>
    </w:p>
    <w:p>
      <w:pPr>
        <w:ind w:left="120" w:right="700"/>
        <w:spacing w:after="0" w:line="286" w:lineRule="auto"/>
        <w:rPr>
          <w:sz w:val="20"/>
          <w:szCs w:val="20"/>
          <w:color w:val="auto"/>
        </w:rPr>
      </w:pPr>
      <w:r>
        <w:rPr>
          <w:rFonts w:ascii="Arial" w:cs="Arial" w:eastAsia="Arial" w:hAnsi="Arial"/>
          <w:sz w:val="16"/>
          <w:szCs w:val="16"/>
          <w:color w:val="auto"/>
        </w:rPr>
        <w:t>Our Audit Committee, with the ratification of our Board, selected the accounting firm of Rose, Snyder &amp; Jacobs, LLP (“</w:t>
      </w:r>
      <w:r>
        <w:rPr>
          <w:rFonts w:ascii="Arial" w:cs="Arial" w:eastAsia="Arial" w:hAnsi="Arial"/>
          <w:sz w:val="16"/>
          <w:szCs w:val="16"/>
          <w:b w:val="1"/>
          <w:bCs w:val="1"/>
          <w:color w:val="auto"/>
        </w:rPr>
        <w:t>RS&amp;J</w:t>
      </w:r>
      <w:r>
        <w:rPr>
          <w:rFonts w:ascii="Arial" w:cs="Arial" w:eastAsia="Arial" w:hAnsi="Arial"/>
          <w:sz w:val="16"/>
          <w:szCs w:val="16"/>
          <w:color w:val="auto"/>
        </w:rPr>
        <w:t>”) as the Company’s independent auditors for the fiscal year ending September 30, 2022, and that selection is now being submitted to the stockholders.</w:t>
      </w:r>
    </w:p>
    <w:p>
      <w:pPr>
        <w:spacing w:after="0" w:line="176" w:lineRule="exact"/>
        <w:rPr>
          <w:sz w:val="20"/>
          <w:szCs w:val="20"/>
          <w:color w:val="auto"/>
        </w:rPr>
      </w:pPr>
    </w:p>
    <w:p>
      <w:pPr>
        <w:ind w:left="120" w:right="820"/>
        <w:spacing w:after="0" w:line="260" w:lineRule="auto"/>
        <w:rPr>
          <w:sz w:val="20"/>
          <w:szCs w:val="20"/>
          <w:color w:val="auto"/>
        </w:rPr>
      </w:pPr>
      <w:r>
        <w:rPr>
          <w:rFonts w:ascii="Arial" w:cs="Arial" w:eastAsia="Arial" w:hAnsi="Arial"/>
          <w:sz w:val="16"/>
          <w:szCs w:val="16"/>
          <w:color w:val="auto"/>
        </w:rPr>
        <w:t>A representative of RS&amp;J is expected to be available at the Annual Meeting to respond to appropriate stockholder questions or make any other statements such representative deems appropriate.</w:t>
      </w:r>
    </w:p>
    <w:p>
      <w:pPr>
        <w:spacing w:after="0" w:line="195" w:lineRule="exact"/>
        <w:rPr>
          <w:sz w:val="20"/>
          <w:szCs w:val="20"/>
          <w:color w:val="auto"/>
        </w:rPr>
      </w:pPr>
    </w:p>
    <w:p>
      <w:pPr>
        <w:ind w:left="120" w:right="200"/>
        <w:spacing w:after="0" w:line="251" w:lineRule="auto"/>
        <w:rPr>
          <w:sz w:val="20"/>
          <w:szCs w:val="20"/>
          <w:color w:val="auto"/>
        </w:rPr>
      </w:pPr>
      <w:r>
        <w:rPr>
          <w:rFonts w:ascii="Arial" w:cs="Arial" w:eastAsia="Arial" w:hAnsi="Arial"/>
          <w:sz w:val="16"/>
          <w:szCs w:val="16"/>
          <w:color w:val="auto"/>
        </w:rPr>
        <w:t>Stockholders are not required to ratify the appointment of RS&amp;J as our independent auditor. However, we are submitting the appointment for ratification as a matter of good corporate practice. If stockholders fail to ratify the appointment, the Audit Committee will consider whether or not to retain RS&amp;J. Even if the appointment is ratified, the Audit Committee may direct the appointment of a different independent auditor at any time during the year if it determines that such a change would be in the best interests of the Company and our stockholders.</w:t>
      </w:r>
    </w:p>
    <w:p>
      <w:pPr>
        <w:spacing w:after="0" w:line="17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Vote Required; Recommendation of the Board</w:t>
      </w:r>
    </w:p>
    <w:p>
      <w:pPr>
        <w:spacing w:after="0" w:line="236" w:lineRule="exact"/>
        <w:rPr>
          <w:sz w:val="20"/>
          <w:szCs w:val="20"/>
          <w:color w:val="auto"/>
        </w:rPr>
      </w:pPr>
    </w:p>
    <w:p>
      <w:pPr>
        <w:ind w:left="120" w:right="580"/>
        <w:spacing w:after="0" w:line="260" w:lineRule="auto"/>
        <w:rPr>
          <w:sz w:val="20"/>
          <w:szCs w:val="20"/>
          <w:color w:val="auto"/>
        </w:rPr>
      </w:pPr>
      <w:r>
        <w:rPr>
          <w:rFonts w:ascii="Arial" w:cs="Arial" w:eastAsia="Arial" w:hAnsi="Arial"/>
          <w:sz w:val="16"/>
          <w:szCs w:val="16"/>
          <w:color w:val="auto"/>
        </w:rPr>
        <w:t>In order to be ratified, Proposal Four must be approved by the Required Vote, assuming a quorum is present. For this purpose, abstentions will be counted as a vote against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139700</wp:posOffset>
            </wp:positionV>
            <wp:extent cx="3505835" cy="5403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505835" cy="54038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3860" w:right="3200"/>
        <w:spacing w:after="0" w:line="274" w:lineRule="auto"/>
        <w:rPr>
          <w:sz w:val="20"/>
          <w:szCs w:val="20"/>
          <w:color w:val="auto"/>
        </w:rPr>
      </w:pPr>
      <w:r>
        <w:rPr>
          <w:rFonts w:ascii="Arial" w:cs="Arial" w:eastAsia="Arial" w:hAnsi="Arial"/>
          <w:sz w:val="16"/>
          <w:szCs w:val="16"/>
          <w:b w:val="1"/>
          <w:bCs w:val="1"/>
          <w:color w:val="auto"/>
        </w:rPr>
        <w:t xml:space="preserve">THE BOARD UNANIMOUSLY RECOMMENDS A VOTE </w:t>
      </w:r>
      <w:r>
        <w:rPr>
          <w:rFonts w:ascii="Arial" w:cs="Arial" w:eastAsia="Arial" w:hAnsi="Arial"/>
          <w:sz w:val="21"/>
          <w:szCs w:val="21"/>
          <w:b w:val="1"/>
          <w:bCs w:val="1"/>
          <w:color w:val="0071CE"/>
        </w:rPr>
        <w:t xml:space="preserve">“FOR” </w:t>
      </w:r>
      <w:r>
        <w:rPr>
          <w:rFonts w:ascii="Arial" w:cs="Arial" w:eastAsia="Arial" w:hAnsi="Arial"/>
          <w:sz w:val="16"/>
          <w:szCs w:val="16"/>
          <w:b w:val="1"/>
          <w:bCs w:val="1"/>
          <w:color w:val="000000"/>
        </w:rPr>
        <w:t>PROPOSAL FOUR.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182880</wp:posOffset>
            </wp:positionV>
            <wp:extent cx="986155" cy="2057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300" w:lineRule="exact"/>
        <w:rPr>
          <w:sz w:val="20"/>
          <w:szCs w:val="20"/>
          <w:color w:val="auto"/>
        </w:rPr>
      </w:pPr>
    </w:p>
    <w:p>
      <w:pPr>
        <w:ind w:left="10880"/>
        <w:spacing w:after="0"/>
        <w:rPr>
          <w:sz w:val="20"/>
          <w:szCs w:val="20"/>
          <w:color w:val="auto"/>
        </w:rPr>
      </w:pPr>
      <w:r>
        <w:rPr>
          <w:rFonts w:ascii="Arial" w:cs="Arial" w:eastAsia="Arial" w:hAnsi="Arial"/>
          <w:sz w:val="18"/>
          <w:szCs w:val="18"/>
          <w:b w:val="1"/>
          <w:bCs w:val="1"/>
          <w:color w:val="0071CE"/>
        </w:rPr>
        <w:t>45</w:t>
      </w:r>
    </w:p>
    <w:p>
      <w:pPr>
        <w:sectPr>
          <w:pgSz w:w="11900" w:h="16838" w:orient="portrait"/>
          <w:cols w:equalWidth="0" w:num="1">
            <w:col w:w="11140"/>
          </w:cols>
          <w:pgMar w:left="32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20"/>
        <w:spacing w:after="0"/>
        <w:tabs>
          <w:tab w:leader="none" w:pos="2020" w:val="left"/>
        </w:tabs>
        <w:rPr>
          <w:sz w:val="20"/>
          <w:szCs w:val="20"/>
          <w:color w:val="auto"/>
        </w:rPr>
      </w:pPr>
      <w:r>
        <w:rPr>
          <w:rFonts w:ascii="Arial" w:cs="Arial" w:eastAsia="Arial" w:hAnsi="Arial"/>
          <w:sz w:val="14"/>
          <w:szCs w:val="14"/>
          <w:b w:val="1"/>
          <w:bCs w:val="1"/>
          <w:color w:val="0071CE"/>
        </w:rPr>
        <w:t>2022 PROXY STATEMENT</w:t>
      </w:r>
      <w:r>
        <w:rPr>
          <w:sz w:val="20"/>
          <w:szCs w:val="20"/>
          <w:color w:val="auto"/>
        </w:rPr>
        <w:tab/>
      </w:r>
      <w:r>
        <w:rPr>
          <w:rFonts w:ascii="Arial" w:cs="Arial" w:eastAsia="Arial" w:hAnsi="Arial"/>
          <w:sz w:val="14"/>
          <w:szCs w:val="14"/>
          <w:b w:val="1"/>
          <w:bCs w:val="1"/>
          <w:i w:val="1"/>
          <w:iCs w:val="1"/>
          <w:color w:val="3FAE2A"/>
        </w:rPr>
        <w:t>Audit Fees</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1CE"/>
        </w:rPr>
        <w:t>Audit Fees</w:t>
      </w:r>
    </w:p>
    <w:p>
      <w:pPr>
        <w:spacing w:after="0" w:line="372" w:lineRule="exact"/>
        <w:rPr>
          <w:sz w:val="20"/>
          <w:szCs w:val="20"/>
          <w:color w:val="auto"/>
        </w:rPr>
      </w:pPr>
    </w:p>
    <w:p>
      <w:pPr>
        <w:ind w:left="120" w:right="100"/>
        <w:spacing w:after="0" w:line="250" w:lineRule="auto"/>
        <w:rPr>
          <w:sz w:val="20"/>
          <w:szCs w:val="20"/>
          <w:color w:val="auto"/>
        </w:rPr>
      </w:pPr>
      <w:r>
        <w:rPr>
          <w:rFonts w:ascii="Arial" w:cs="Arial" w:eastAsia="Arial" w:hAnsi="Arial"/>
          <w:sz w:val="16"/>
          <w:szCs w:val="16"/>
          <w:color w:val="auto"/>
        </w:rPr>
        <w:t>The Audit Committee regularly reviews and determines whether specific projects or expenditures with our independent auditors, RS&amp;J, may potentially affect their independence. The Audit Committee’s policy is to pre-approve all audit and permissible non-audit services provided by RS&amp;J. Pre-approval is generally provided by the Audit Committee for up to one year, detailed to the particular service or category of services to be rendered and is generally subject to a specific budget. The Audit Committee may also pre-approve additional services of specific engagements on a case-by-case basis. All engagements of our independent registered public accounting firm in 2021 and 2020 were pre-approved by the audit committee.</w:t>
      </w:r>
    </w:p>
    <w:p>
      <w:pPr>
        <w:spacing w:after="0" w:line="203" w:lineRule="exact"/>
        <w:rPr>
          <w:sz w:val="20"/>
          <w:szCs w:val="20"/>
          <w:color w:val="auto"/>
        </w:rPr>
      </w:pPr>
    </w:p>
    <w:p>
      <w:pPr>
        <w:ind w:left="120" w:right="220"/>
        <w:spacing w:after="0" w:line="260" w:lineRule="auto"/>
        <w:rPr>
          <w:sz w:val="20"/>
          <w:szCs w:val="20"/>
          <w:color w:val="auto"/>
        </w:rPr>
      </w:pPr>
      <w:r>
        <w:rPr>
          <w:rFonts w:ascii="Arial" w:cs="Arial" w:eastAsia="Arial" w:hAnsi="Arial"/>
          <w:sz w:val="16"/>
          <w:szCs w:val="16"/>
          <w:color w:val="auto"/>
        </w:rPr>
        <w:t>The following table sets forth the aggregate audit fees billed and expected to be billed by RS&amp;J for the indicated fiscal year and the fees billed by RS&amp;J for all other services rendered during the indicated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139700</wp:posOffset>
            </wp:positionV>
            <wp:extent cx="7003415" cy="5314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003415" cy="53149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Audit fees (1)</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Audit-related fees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22225</wp:posOffset>
            </wp:positionV>
            <wp:extent cx="5400675" cy="1631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400675" cy="163195"/>
                    </a:xfrm>
                    <a:prstGeom prst="rect">
                      <a:avLst/>
                    </a:prstGeom>
                    <a:noFill/>
                  </pic:spPr>
                </pic:pic>
              </a:graphicData>
            </a:graphic>
          </wp:anchor>
        </w:drawing>
      </w:r>
    </w:p>
    <w:p>
      <w:pPr>
        <w:spacing w:after="0" w:line="4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Tax Fees</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All other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5400675" cy="1631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400675" cy="163195"/>
                    </a:xfrm>
                    <a:prstGeom prst="rect">
                      <a:avLst/>
                    </a:prstGeom>
                    <a:noFill/>
                  </pic:spPr>
                </pic:pic>
              </a:graphicData>
            </a:graphic>
          </wp:anchor>
        </w:drawing>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FFFFFF"/>
        </w:rPr>
        <w:t>Year Ended September 30,</w:t>
      </w:r>
    </w:p>
    <w:p>
      <w:pPr>
        <w:spacing w:after="0" w:line="29"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FFFFFF"/>
        </w:rPr>
        <w:t>2021</w:t>
      </w:r>
    </w:p>
    <w:p>
      <w:pPr>
        <w:spacing w:after="0" w:line="18"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FFFFFF"/>
        </w:rPr>
        <w:t>2020</w:t>
      </w:r>
    </w:p>
    <w:p>
      <w:pPr>
        <w:spacing w:after="0" w:line="63"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$295,400</w:t>
      </w:r>
      <w:r>
        <w:rPr>
          <w:sz w:val="20"/>
          <w:szCs w:val="20"/>
          <w:color w:val="auto"/>
        </w:rPr>
        <w:tab/>
      </w:r>
      <w:r>
        <w:rPr>
          <w:rFonts w:ascii="Arial" w:cs="Arial" w:eastAsia="Arial" w:hAnsi="Arial"/>
          <w:sz w:val="18"/>
          <w:szCs w:val="18"/>
          <w:color w:val="auto"/>
        </w:rPr>
        <w:t>$226,000</w:t>
      </w:r>
    </w:p>
    <w:p>
      <w:pPr>
        <w:spacing w:after="0" w:line="50" w:lineRule="exact"/>
        <w:rPr>
          <w:sz w:val="20"/>
          <w:szCs w:val="20"/>
          <w:color w:val="auto"/>
        </w:rPr>
      </w:pPr>
    </w:p>
    <w:p>
      <w:pPr>
        <w:jc w:val="both"/>
        <w:ind w:left="220"/>
        <w:spacing w:after="0"/>
        <w:tabs>
          <w:tab w:leader="none" w:pos="1360" w:val="left"/>
        </w:tabs>
        <w:rPr>
          <w:sz w:val="20"/>
          <w:szCs w:val="20"/>
          <w:color w:val="auto"/>
        </w:rPr>
      </w:pPr>
      <w:r>
        <w:rPr>
          <w:rFonts w:ascii="Arial" w:cs="Arial" w:eastAsia="Arial" w:hAnsi="Arial"/>
          <w:sz w:val="18"/>
          <w:szCs w:val="18"/>
          <w:color w:val="auto"/>
        </w:rPr>
        <w:t>70,250</w:t>
      </w:r>
      <w:r>
        <w:rPr>
          <w:sz w:val="20"/>
          <w:szCs w:val="20"/>
          <w:color w:val="auto"/>
        </w:rPr>
        <w:tab/>
      </w:r>
      <w:r>
        <w:rPr>
          <w:rFonts w:ascii="Arial" w:cs="Arial" w:eastAsia="Arial" w:hAnsi="Arial"/>
          <w:sz w:val="18"/>
          <w:szCs w:val="18"/>
          <w:color w:val="auto"/>
        </w:rPr>
        <w:t>163,000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14605</wp:posOffset>
            </wp:positionV>
            <wp:extent cx="159448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594485" cy="17145"/>
                    </a:xfrm>
                    <a:prstGeom prst="rect">
                      <a:avLst/>
                    </a:prstGeom>
                    <a:noFill/>
                  </pic:spPr>
                </pic:pic>
              </a:graphicData>
            </a:graphic>
          </wp:anchor>
        </w:drawing>
      </w:r>
    </w:p>
    <w:p>
      <w:pPr>
        <w:spacing w:after="0" w:line="30" w:lineRule="exact"/>
        <w:rPr>
          <w:sz w:val="20"/>
          <w:szCs w:val="20"/>
          <w:color w:val="auto"/>
        </w:rPr>
      </w:pPr>
    </w:p>
    <w:p>
      <w:pPr>
        <w:jc w:val="both"/>
        <w:ind w:left="600"/>
        <w:spacing w:after="0"/>
        <w:tabs>
          <w:tab w:leader="none" w:pos="18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-130175</wp:posOffset>
            </wp:positionV>
            <wp:extent cx="1594485" cy="1454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594485" cy="145415"/>
                    </a:xfrm>
                    <a:prstGeom prst="rect">
                      <a:avLst/>
                    </a:prstGeom>
                    <a:noFill/>
                  </pic:spPr>
                </pic:pic>
              </a:graphicData>
            </a:graphic>
          </wp:anchor>
        </w:drawing>
      </w:r>
    </w:p>
    <w:p>
      <w:pPr>
        <w:spacing w:after="0" w:line="30" w:lineRule="exact"/>
        <w:rPr>
          <w:sz w:val="20"/>
          <w:szCs w:val="20"/>
          <w:color w:val="auto"/>
        </w:rPr>
      </w:pPr>
    </w:p>
    <w:p>
      <w:pPr>
        <w:jc w:val="both"/>
        <w:ind w:left="600"/>
        <w:spacing w:after="0"/>
        <w:tabs>
          <w:tab w:leader="none" w:pos="18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14605</wp:posOffset>
            </wp:positionV>
            <wp:extent cx="159448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594485" cy="17145"/>
                    </a:xfrm>
                    <a:prstGeom prst="rect">
                      <a:avLst/>
                    </a:prstGeom>
                    <a:noFill/>
                  </pic:spPr>
                </pic:pic>
              </a:graphicData>
            </a:graphic>
          </wp:anchor>
        </w:drawing>
      </w:r>
    </w:p>
    <w:p>
      <w:pPr>
        <w:spacing w:after="0" w:line="30"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$365,650</w:t>
      </w:r>
      <w:r>
        <w:rPr>
          <w:sz w:val="20"/>
          <w:szCs w:val="20"/>
          <w:color w:val="auto"/>
        </w:rPr>
        <w:tab/>
      </w:r>
      <w:r>
        <w:rPr>
          <w:rFonts w:ascii="Arial" w:cs="Arial" w:eastAsia="Arial" w:hAnsi="Arial"/>
          <w:sz w:val="18"/>
          <w:szCs w:val="18"/>
          <w:color w:val="auto"/>
        </w:rPr>
        <w:t>$389,000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-5704205</wp:posOffset>
            </wp:positionH>
            <wp:positionV relativeFrom="paragraph">
              <wp:posOffset>-130175</wp:posOffset>
            </wp:positionV>
            <wp:extent cx="6995160" cy="1543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95160" cy="154305"/>
                    </a:xfrm>
                    <a:prstGeom prst="rect">
                      <a:avLst/>
                    </a:prstGeom>
                    <a:noFill/>
                  </pic:spPr>
                </pic:pic>
              </a:graphicData>
            </a:graphic>
          </wp:anchor>
        </w:drawing>
      </w:r>
    </w:p>
    <w:p>
      <w:pPr>
        <w:spacing w:after="0" w:line="123" w:lineRule="exact"/>
        <w:rPr>
          <w:sz w:val="20"/>
          <w:szCs w:val="20"/>
          <w:color w:val="auto"/>
        </w:rPr>
      </w:pPr>
    </w:p>
    <w:p>
      <w:pPr>
        <w:sectPr>
          <w:pgSz w:w="11900" w:h="16838" w:orient="portrait"/>
          <w:cols w:equalWidth="0" w:num="2">
            <w:col w:w="8380" w:space="720"/>
            <w:col w:w="2040"/>
          </w:cols>
          <w:pgMar w:left="320" w:top="459" w:right="439" w:bottom="1440" w:gutter="0" w:footer="0" w:header="0"/>
          <w:type w:val="continuous"/>
        </w:sectPr>
      </w:pPr>
    </w:p>
    <w:p>
      <w:pPr>
        <w:ind w:left="540" w:hanging="424"/>
        <w:spacing w:after="0"/>
        <w:tabs>
          <w:tab w:leader="none" w:pos="5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Fees invoiced by RS&amp;J include year-end audit and periodic reviews of Forms 10-Q and 10-K.</w:t>
      </w:r>
    </w:p>
    <w:p>
      <w:pPr>
        <w:spacing w:after="0" w:line="82" w:lineRule="exact"/>
        <w:rPr>
          <w:rFonts w:ascii="Arial" w:cs="Arial" w:eastAsia="Arial" w:hAnsi="Arial"/>
          <w:sz w:val="14"/>
          <w:szCs w:val="14"/>
          <w:color w:val="auto"/>
        </w:rPr>
      </w:pPr>
    </w:p>
    <w:p>
      <w:pPr>
        <w:ind w:left="540" w:hanging="424"/>
        <w:spacing w:after="0"/>
        <w:tabs>
          <w:tab w:leader="none" w:pos="5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Fees invoiced by RS&amp;J related to Comfort Letters and Consents for financings and registration statements, and other agreed-upon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92075</wp:posOffset>
            </wp:positionV>
            <wp:extent cx="986155" cy="2057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1CE"/>
        </w:rPr>
        <w:t>46</w:t>
      </w:r>
    </w:p>
    <w:p>
      <w:pPr>
        <w:sectPr>
          <w:pgSz w:w="11900" w:h="16838" w:orient="portrait"/>
          <w:cols w:equalWidth="0" w:num="1">
            <w:col w:w="11140"/>
          </w:cols>
          <w:pgMar w:left="320" w:top="459" w:right="439"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spacing w:after="0"/>
        <w:tabs>
          <w:tab w:leader="none" w:pos="2080" w:val="left"/>
        </w:tabs>
        <w:rPr>
          <w:sz w:val="20"/>
          <w:szCs w:val="20"/>
          <w:color w:val="auto"/>
        </w:rPr>
      </w:pPr>
      <w:r>
        <w:rPr>
          <w:rFonts w:ascii="Arial" w:cs="Arial" w:eastAsia="Arial" w:hAnsi="Arial"/>
          <w:sz w:val="14"/>
          <w:szCs w:val="14"/>
          <w:b w:val="1"/>
          <w:bCs w:val="1"/>
          <w:color w:val="0071CE"/>
        </w:rPr>
        <w:t>2022 PROXY STATEMENT</w:t>
      </w:r>
      <w:r>
        <w:rPr>
          <w:sz w:val="20"/>
          <w:szCs w:val="20"/>
          <w:color w:val="auto"/>
        </w:rPr>
        <w:tab/>
      </w:r>
      <w:r>
        <w:rPr>
          <w:rFonts w:ascii="Arial" w:cs="Arial" w:eastAsia="Arial" w:hAnsi="Arial"/>
          <w:sz w:val="14"/>
          <w:szCs w:val="14"/>
          <w:b w:val="1"/>
          <w:bCs w:val="1"/>
          <w:i w:val="1"/>
          <w:iCs w:val="1"/>
          <w:color w:val="3FAE2A"/>
        </w:rPr>
        <w:t>Report of the Audit Committee</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1CE"/>
        </w:rPr>
        <w:t>Report of the Audit Committee</w:t>
      </w:r>
    </w:p>
    <w:p>
      <w:pPr>
        <w:spacing w:after="0" w:line="372" w:lineRule="exact"/>
        <w:rPr>
          <w:sz w:val="20"/>
          <w:szCs w:val="20"/>
          <w:color w:val="auto"/>
        </w:rPr>
      </w:pPr>
    </w:p>
    <w:p>
      <w:pPr>
        <w:ind w:left="120" w:right="60"/>
        <w:spacing w:after="0" w:line="253" w:lineRule="auto"/>
        <w:rPr>
          <w:sz w:val="20"/>
          <w:szCs w:val="20"/>
          <w:color w:val="auto"/>
        </w:rPr>
      </w:pPr>
      <w:r>
        <w:rPr>
          <w:rFonts w:ascii="Arial" w:cs="Arial" w:eastAsia="Arial" w:hAnsi="Arial"/>
          <w:sz w:val="16"/>
          <w:szCs w:val="16"/>
          <w:color w:val="auto"/>
        </w:rPr>
        <w:t>The following is the report of the Audit Committee with respect to the Company’s audited financial statements for fiscal 2021, which include the consolidated balance sheets of the Company as of September 30, 2021 and September 30, 2020, and the related consolidated statements of operations, stockholders’ equity and cash flows for the fiscal years ended September 30, 2021, September 30, 2020 and September 30, 2019, and the notes thereto.</w:t>
      </w:r>
    </w:p>
    <w:p>
      <w:pPr>
        <w:spacing w:after="0" w:line="181"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b w:val="1"/>
          <w:bCs w:val="1"/>
          <w:color w:val="auto"/>
        </w:rPr>
        <w:t xml:space="preserve">Composition. </w:t>
      </w:r>
      <w:r>
        <w:rPr>
          <w:rFonts w:ascii="Arial" w:cs="Arial" w:eastAsia="Arial" w:hAnsi="Arial"/>
          <w:sz w:val="16"/>
          <w:szCs w:val="16"/>
          <w:color w:val="auto"/>
        </w:rPr>
        <w:t>At September 30, 2021, the Audit Committee of the Board was comprised of five directors and operates under a written charter adopted by</w:t>
      </w:r>
      <w:r>
        <w:rPr>
          <w:rFonts w:ascii="Arial" w:cs="Arial" w:eastAsia="Arial" w:hAnsi="Arial"/>
          <w:sz w:val="16"/>
          <w:szCs w:val="16"/>
          <w:b w:val="1"/>
          <w:bCs w:val="1"/>
          <w:color w:val="auto"/>
        </w:rPr>
        <w:t xml:space="preserve"> </w:t>
      </w:r>
      <w:r>
        <w:rPr>
          <w:rFonts w:ascii="Arial" w:cs="Arial" w:eastAsia="Arial" w:hAnsi="Arial"/>
          <w:sz w:val="16"/>
          <w:szCs w:val="16"/>
          <w:color w:val="auto"/>
        </w:rPr>
        <w:t>the Board. The members of the Audit Committee were William Waddill, Marianne De Backer, Mauro Ferrari, Adeoye Olukotun and Michael S. Perry. All members of the Audit Committee were “independent,” as defined in Rule 10A-3 under the Exchange Act and Rule 5605(c) of the Nasdaq Marketplace Rules, and are financially literate.</w:t>
      </w:r>
    </w:p>
    <w:p>
      <w:pPr>
        <w:spacing w:after="0" w:line="178" w:lineRule="exact"/>
        <w:rPr>
          <w:sz w:val="20"/>
          <w:szCs w:val="20"/>
          <w:color w:val="auto"/>
        </w:rPr>
      </w:pPr>
    </w:p>
    <w:p>
      <w:pPr>
        <w:ind w:left="120" w:right="140"/>
        <w:spacing w:after="0" w:line="259" w:lineRule="auto"/>
        <w:rPr>
          <w:sz w:val="20"/>
          <w:szCs w:val="20"/>
          <w:color w:val="auto"/>
        </w:rPr>
      </w:pPr>
      <w:r>
        <w:rPr>
          <w:rFonts w:ascii="Arial" w:cs="Arial" w:eastAsia="Arial" w:hAnsi="Arial"/>
          <w:sz w:val="16"/>
          <w:szCs w:val="16"/>
          <w:b w:val="1"/>
          <w:bCs w:val="1"/>
          <w:color w:val="auto"/>
        </w:rPr>
        <w:t xml:space="preserve">Responsibilities. </w:t>
      </w:r>
      <w:r>
        <w:rPr>
          <w:rFonts w:ascii="Arial" w:cs="Arial" w:eastAsia="Arial" w:hAnsi="Arial"/>
          <w:sz w:val="16"/>
          <w:szCs w:val="16"/>
          <w:color w:val="auto"/>
        </w:rPr>
        <w:t>The responsibilities of the Audit Committee include engaging an accounting firm as the Company’s independent registered public</w:t>
      </w:r>
      <w:r>
        <w:rPr>
          <w:rFonts w:ascii="Arial" w:cs="Arial" w:eastAsia="Arial" w:hAnsi="Arial"/>
          <w:sz w:val="16"/>
          <w:szCs w:val="16"/>
          <w:b w:val="1"/>
          <w:bCs w:val="1"/>
          <w:color w:val="auto"/>
        </w:rPr>
        <w:t xml:space="preserve"> </w:t>
      </w:r>
      <w:r>
        <w:rPr>
          <w:rFonts w:ascii="Arial" w:cs="Arial" w:eastAsia="Arial" w:hAnsi="Arial"/>
          <w:sz w:val="16"/>
          <w:szCs w:val="16"/>
          <w:color w:val="auto"/>
        </w:rPr>
        <w:t>accounting firm. Management has primary responsibility for the Company’s internal controls and financial reporting process. The independent registered public accounting firm is responsible for performing an independent audit of the Company’s consolidated financial statements in accordance with generally accepted auditing standards and for issuing a report thereon. The Audit Committee’s responsibility is to oversee these processes.</w:t>
      </w:r>
    </w:p>
    <w:p>
      <w:pPr>
        <w:spacing w:after="0" w:line="178" w:lineRule="exact"/>
        <w:rPr>
          <w:sz w:val="20"/>
          <w:szCs w:val="20"/>
          <w:color w:val="auto"/>
        </w:rPr>
      </w:pPr>
    </w:p>
    <w:p>
      <w:pPr>
        <w:ind w:left="120" w:right="20"/>
        <w:spacing w:after="0" w:line="252" w:lineRule="auto"/>
        <w:rPr>
          <w:sz w:val="20"/>
          <w:szCs w:val="20"/>
          <w:color w:val="auto"/>
        </w:rPr>
      </w:pPr>
      <w:r>
        <w:rPr>
          <w:rFonts w:ascii="Arial" w:cs="Arial" w:eastAsia="Arial" w:hAnsi="Arial"/>
          <w:sz w:val="16"/>
          <w:szCs w:val="16"/>
          <w:b w:val="1"/>
          <w:bCs w:val="1"/>
          <w:color w:val="auto"/>
        </w:rPr>
        <w:t xml:space="preserve">Review with Management and independent registered public accounting firm. </w:t>
      </w:r>
      <w:r>
        <w:rPr>
          <w:rFonts w:ascii="Arial" w:cs="Arial" w:eastAsia="Arial" w:hAnsi="Arial"/>
          <w:sz w:val="16"/>
          <w:szCs w:val="16"/>
          <w:color w:val="auto"/>
        </w:rPr>
        <w:t>On November 19, 2021, the Audit Committee consisted of William</w:t>
      </w:r>
      <w:r>
        <w:rPr>
          <w:rFonts w:ascii="Arial" w:cs="Arial" w:eastAsia="Arial" w:hAnsi="Arial"/>
          <w:sz w:val="16"/>
          <w:szCs w:val="16"/>
          <w:b w:val="1"/>
          <w:bCs w:val="1"/>
          <w:color w:val="auto"/>
        </w:rPr>
        <w:t xml:space="preserve"> </w:t>
      </w:r>
      <w:r>
        <w:rPr>
          <w:rFonts w:ascii="Arial" w:cs="Arial" w:eastAsia="Arial" w:hAnsi="Arial"/>
          <w:sz w:val="16"/>
          <w:szCs w:val="16"/>
          <w:color w:val="auto"/>
        </w:rPr>
        <w:t>Waddill, Marianne De Backer, Mauro Ferrari, Adeoye Olukotun and Michael S. Perry. On that date, the Audit Committee met separately to review the Company’s consolidated audited financial statements and held discussions with management and RS&amp;J. Management represented to the Audit Committee that the Company’s consolidated financial statements were prepared in accordance with generally accepted accounting principles. The members of the Audit Committee discussed with RS&amp;J matters required to be discussed under the applicable standards of the Public Company Accounting Oversight Board. The Company’s independent registered public accounting firm also provided to the Audit Committee the written disclosures and the letter required by the Public Company Accounting Oversight Board regarding the independent registered public accounting firm’s communications with the Audit Committee concerning independence and the Audit Committee discussed the firm’s independence with RS&amp;J.</w:t>
      </w:r>
    </w:p>
    <w:p>
      <w:pPr>
        <w:spacing w:after="0" w:line="183" w:lineRule="exact"/>
        <w:rPr>
          <w:sz w:val="20"/>
          <w:szCs w:val="20"/>
          <w:color w:val="auto"/>
        </w:rPr>
      </w:pPr>
    </w:p>
    <w:p>
      <w:pPr>
        <w:jc w:val="both"/>
        <w:ind w:left="120" w:right="120"/>
        <w:spacing w:after="0" w:line="259" w:lineRule="auto"/>
        <w:rPr>
          <w:sz w:val="20"/>
          <w:szCs w:val="20"/>
          <w:color w:val="auto"/>
        </w:rPr>
      </w:pPr>
      <w:r>
        <w:rPr>
          <w:rFonts w:ascii="Arial" w:cs="Arial" w:eastAsia="Arial" w:hAnsi="Arial"/>
          <w:sz w:val="16"/>
          <w:szCs w:val="16"/>
          <w:b w:val="1"/>
          <w:bCs w:val="1"/>
          <w:color w:val="auto"/>
        </w:rPr>
        <w:t xml:space="preserve">Conclusion. </w:t>
      </w:r>
      <w:r>
        <w:rPr>
          <w:rFonts w:ascii="Arial" w:cs="Arial" w:eastAsia="Arial" w:hAnsi="Arial"/>
          <w:sz w:val="16"/>
          <w:szCs w:val="16"/>
          <w:color w:val="auto"/>
        </w:rPr>
        <w:t>Based upon the Audit Committee’s review of the financial statements and discussions with management and RS&amp;J, the Audit Committee’s</w:t>
      </w:r>
      <w:r>
        <w:rPr>
          <w:rFonts w:ascii="Arial" w:cs="Arial" w:eastAsia="Arial" w:hAnsi="Arial"/>
          <w:sz w:val="16"/>
          <w:szCs w:val="16"/>
          <w:b w:val="1"/>
          <w:bCs w:val="1"/>
          <w:color w:val="auto"/>
        </w:rPr>
        <w:t xml:space="preserve"> </w:t>
      </w:r>
      <w:r>
        <w:rPr>
          <w:rFonts w:ascii="Arial" w:cs="Arial" w:eastAsia="Arial" w:hAnsi="Arial"/>
          <w:sz w:val="16"/>
          <w:szCs w:val="16"/>
          <w:color w:val="auto"/>
        </w:rPr>
        <w:t>review of the representations of management and the report of RS&amp;J to the Audit Committee, the Audit Committee recommended that the Board include the audited consolidated financial statements in the Company’s Annual Report on Form 10-K for the fiscal year ended September 30, 2021, as filed with the SEC.</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This report is submitted by the Audit Committee of the Board.</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William Waddill, Committee Chair</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Marianne De Backer</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Mauro Ferrari</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Adeoye Olukotun</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Michael S. Perry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96520</wp:posOffset>
            </wp:positionV>
            <wp:extent cx="986155" cy="2057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63" w:lineRule="exact"/>
        <w:rPr>
          <w:sz w:val="20"/>
          <w:szCs w:val="20"/>
          <w:color w:val="auto"/>
        </w:rPr>
      </w:pPr>
    </w:p>
    <w:p>
      <w:pPr>
        <w:ind w:left="10880"/>
        <w:spacing w:after="0"/>
        <w:rPr>
          <w:sz w:val="20"/>
          <w:szCs w:val="20"/>
          <w:color w:val="auto"/>
        </w:rPr>
      </w:pPr>
      <w:r>
        <w:rPr>
          <w:rFonts w:ascii="Arial" w:cs="Arial" w:eastAsia="Arial" w:hAnsi="Arial"/>
          <w:sz w:val="18"/>
          <w:szCs w:val="18"/>
          <w:b w:val="1"/>
          <w:bCs w:val="1"/>
          <w:color w:val="0071CE"/>
        </w:rPr>
        <w:t>47</w:t>
      </w:r>
    </w:p>
    <w:p>
      <w:pPr>
        <w:sectPr>
          <w:pgSz w:w="11900" w:h="16838" w:orient="portrait"/>
          <w:cols w:equalWidth="0" w:num="1">
            <w:col w:w="11140"/>
          </w:cols>
          <w:pgMar w:left="32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20"/>
        <w:spacing w:after="0"/>
        <w:tabs>
          <w:tab w:leader="none" w:pos="2020" w:val="left"/>
        </w:tabs>
        <w:rPr>
          <w:sz w:val="20"/>
          <w:szCs w:val="20"/>
          <w:color w:val="auto"/>
        </w:rPr>
      </w:pPr>
      <w:r>
        <w:rPr>
          <w:rFonts w:ascii="Arial" w:cs="Arial" w:eastAsia="Arial" w:hAnsi="Arial"/>
          <w:sz w:val="14"/>
          <w:szCs w:val="14"/>
          <w:b w:val="1"/>
          <w:bCs w:val="1"/>
          <w:color w:val="0071CE"/>
        </w:rPr>
        <w:t>2022 PROXY STATEMENT</w:t>
      </w:r>
      <w:r>
        <w:rPr>
          <w:sz w:val="20"/>
          <w:szCs w:val="20"/>
          <w:color w:val="auto"/>
        </w:rPr>
        <w:tab/>
      </w:r>
      <w:r>
        <w:rPr>
          <w:rFonts w:ascii="Arial" w:cs="Arial" w:eastAsia="Arial" w:hAnsi="Arial"/>
          <w:sz w:val="14"/>
          <w:szCs w:val="14"/>
          <w:b w:val="1"/>
          <w:bCs w:val="1"/>
          <w:i w:val="1"/>
          <w:iCs w:val="1"/>
          <w:color w:val="3FAE2A"/>
        </w:rPr>
        <w:t>Voting Securities of Principal Stockholders and Management</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1CE"/>
        </w:rPr>
        <w:t>Voting Securities of Principal Stockholders and Management</w:t>
      </w:r>
    </w:p>
    <w:p>
      <w:pPr>
        <w:spacing w:after="0" w:line="372" w:lineRule="exact"/>
        <w:rPr>
          <w:sz w:val="20"/>
          <w:szCs w:val="20"/>
          <w:color w:val="auto"/>
        </w:rPr>
      </w:pPr>
    </w:p>
    <w:p>
      <w:pPr>
        <w:ind w:left="120" w:right="200"/>
        <w:spacing w:after="0" w:line="249" w:lineRule="auto"/>
        <w:rPr>
          <w:sz w:val="20"/>
          <w:szCs w:val="20"/>
          <w:color w:val="auto"/>
        </w:rPr>
      </w:pPr>
      <w:r>
        <w:rPr>
          <w:rFonts w:ascii="Arial" w:cs="Arial" w:eastAsia="Arial" w:hAnsi="Arial"/>
          <w:sz w:val="16"/>
          <w:szCs w:val="16"/>
          <w:color w:val="auto"/>
        </w:rPr>
        <w:t>The following table sets forth the beneficial ownership of the Company’s Common Stock as of January 10, 2022, by (i) each of the NEOs named in the table under “Executive Compensation and Related Information,” (ii) each director, (iii) all current directors and executive officers as a group, and (iv) the holders of greater than 5% of our total shares outstanding known to us. Unless otherwise specified in the footnotes to the table below, the persons and entities named in the table have sole voting and investment power with respect to all shares beneficially owned, subject to community property laws, where applicable, and the address of each stockholder is c/o Arrowhead Pharmaceuticals, Inc., 177 E. Colorado Blvd, Suite 700, Pasadena, CA, 91105 unless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6995160" cy="3860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95160" cy="38608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80"/>
        <w:spacing w:after="0"/>
        <w:rPr>
          <w:sz w:val="20"/>
          <w:szCs w:val="20"/>
          <w:color w:val="auto"/>
        </w:rPr>
      </w:pPr>
      <w:r>
        <w:rPr>
          <w:rFonts w:ascii="Arial" w:cs="Arial" w:eastAsia="Arial" w:hAnsi="Arial"/>
          <w:sz w:val="16"/>
          <w:szCs w:val="16"/>
          <w:b w:val="1"/>
          <w:bCs w:val="1"/>
          <w:u w:val="single" w:color="auto"/>
          <w:color w:val="auto"/>
        </w:rPr>
        <w:t>5% Beneficial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-139065</wp:posOffset>
            </wp:positionV>
            <wp:extent cx="4114800" cy="1885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114800" cy="188595"/>
                    </a:xfrm>
                    <a:prstGeom prst="rect">
                      <a:avLst/>
                    </a:prstGeom>
                    <a:noFill/>
                  </pic:spPr>
                </pic:pic>
              </a:graphicData>
            </a:graphic>
          </wp:anchor>
        </w:drawing>
      </w:r>
    </w:p>
    <w:p>
      <w:pPr>
        <w:spacing w:after="0" w:line="11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BlackRock Inc (2)</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55 East 52nd Street, New York, NY 10055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45085</wp:posOffset>
            </wp:positionV>
            <wp:extent cx="4114800" cy="3168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114800" cy="316865"/>
                    </a:xfrm>
                    <a:prstGeom prst="rect">
                      <a:avLst/>
                    </a:prstGeom>
                    <a:noFill/>
                  </pic:spPr>
                </pic:pic>
              </a:graphicData>
            </a:graphic>
          </wp:anchor>
        </w:drawing>
      </w:r>
    </w:p>
    <w:p>
      <w:pPr>
        <w:spacing w:after="0" w:line="10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Vanguard Group (3)</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100 Vanguard Blvd., Malvern, PA 19355</w:t>
      </w:r>
    </w:p>
    <w:p>
      <w:pPr>
        <w:spacing w:after="0" w:line="107" w:lineRule="exact"/>
        <w:rPr>
          <w:sz w:val="20"/>
          <w:szCs w:val="20"/>
          <w:color w:val="auto"/>
        </w:rPr>
      </w:pPr>
    </w:p>
    <w:p>
      <w:pPr>
        <w:ind w:left="180"/>
        <w:spacing w:after="0"/>
        <w:rPr>
          <w:sz w:val="20"/>
          <w:szCs w:val="20"/>
          <w:color w:val="auto"/>
        </w:rPr>
      </w:pPr>
      <w:r>
        <w:rPr>
          <w:rFonts w:ascii="Arial" w:cs="Arial" w:eastAsia="Arial" w:hAnsi="Arial"/>
          <w:sz w:val="16"/>
          <w:szCs w:val="16"/>
          <w:b w:val="1"/>
          <w:bCs w:val="1"/>
          <w:u w:val="single" w:color="auto"/>
          <w:color w:val="auto"/>
        </w:rPr>
        <w:t>Named Executive Officers and Directors</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jc w:val="center"/>
        <w:ind w:right="520"/>
        <w:spacing w:after="0"/>
        <w:rPr>
          <w:sz w:val="20"/>
          <w:szCs w:val="20"/>
          <w:color w:val="auto"/>
        </w:rPr>
      </w:pPr>
      <w:r>
        <w:rPr>
          <w:rFonts w:ascii="Arial" w:cs="Arial" w:eastAsia="Arial" w:hAnsi="Arial"/>
          <w:sz w:val="14"/>
          <w:szCs w:val="14"/>
          <w:b w:val="1"/>
          <w:bCs w:val="1"/>
          <w:color w:val="FFFFFF"/>
        </w:rPr>
        <w:t>Number and Percentage of Shares</w:t>
      </w:r>
    </w:p>
    <w:p>
      <w:pPr>
        <w:spacing w:after="0" w:line="19" w:lineRule="exact"/>
        <w:rPr>
          <w:sz w:val="20"/>
          <w:szCs w:val="20"/>
          <w:color w:val="auto"/>
        </w:rPr>
      </w:pPr>
    </w:p>
    <w:p>
      <w:pPr>
        <w:jc w:val="center"/>
        <w:ind w:right="520"/>
        <w:spacing w:after="0"/>
        <w:rPr>
          <w:sz w:val="20"/>
          <w:szCs w:val="20"/>
          <w:color w:val="auto"/>
        </w:rPr>
      </w:pPr>
      <w:r>
        <w:rPr>
          <w:rFonts w:ascii="Arial" w:cs="Arial" w:eastAsia="Arial" w:hAnsi="Arial"/>
          <w:sz w:val="14"/>
          <w:szCs w:val="14"/>
          <w:b w:val="1"/>
          <w:bCs w:val="1"/>
          <w:color w:val="FFFFFF"/>
        </w:rPr>
        <w:t>Beneficially Owned (1)</w:t>
      </w:r>
    </w:p>
    <w:p>
      <w:pPr>
        <w:spacing w:after="0" w:line="37" w:lineRule="exact"/>
        <w:rPr>
          <w:sz w:val="20"/>
          <w:szCs w:val="20"/>
          <w:color w:val="auto"/>
        </w:rPr>
      </w:pPr>
    </w:p>
    <w:p>
      <w:pPr>
        <w:ind w:left="140"/>
        <w:spacing w:after="0"/>
        <w:tabs>
          <w:tab w:leader="none" w:pos="2240" w:val="left"/>
        </w:tabs>
        <w:rPr>
          <w:sz w:val="20"/>
          <w:szCs w:val="20"/>
          <w:color w:val="auto"/>
        </w:rPr>
      </w:pPr>
      <w:r>
        <w:rPr>
          <w:rFonts w:ascii="Arial" w:cs="Arial" w:eastAsia="Arial" w:hAnsi="Arial"/>
          <w:sz w:val="14"/>
          <w:szCs w:val="14"/>
          <w:b w:val="1"/>
          <w:bCs w:val="1"/>
          <w:color w:val="FFFFFF"/>
        </w:rPr>
        <w:t>Shares</w:t>
      </w:r>
      <w:r>
        <w:rPr>
          <w:sz w:val="20"/>
          <w:szCs w:val="20"/>
          <w:color w:val="auto"/>
        </w:rPr>
        <w:tab/>
      </w:r>
      <w:r>
        <w:rPr>
          <w:rFonts w:ascii="Arial" w:cs="Arial" w:eastAsia="Arial" w:hAnsi="Arial"/>
          <w:sz w:val="14"/>
          <w:szCs w:val="14"/>
          <w:b w:val="1"/>
          <w:bCs w:val="1"/>
          <w:color w:val="FFFFFF"/>
        </w:rPr>
        <w:t>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-700405</wp:posOffset>
            </wp:positionH>
            <wp:positionV relativeFrom="paragraph">
              <wp:posOffset>26035</wp:posOffset>
            </wp:positionV>
            <wp:extent cx="2880360" cy="1885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880360" cy="18859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tabs>
          <w:tab w:leader="none" w:pos="2500" w:val="left"/>
        </w:tabs>
        <w:rPr>
          <w:sz w:val="20"/>
          <w:szCs w:val="20"/>
          <w:color w:val="auto"/>
        </w:rPr>
      </w:pPr>
      <w:r>
        <w:rPr>
          <w:rFonts w:ascii="Arial" w:cs="Arial" w:eastAsia="Arial" w:hAnsi="Arial"/>
          <w:sz w:val="16"/>
          <w:szCs w:val="16"/>
          <w:color w:val="auto"/>
        </w:rPr>
        <w:t>12,563,132</w:t>
      </w:r>
      <w:r>
        <w:rPr>
          <w:sz w:val="20"/>
          <w:szCs w:val="20"/>
          <w:color w:val="auto"/>
        </w:rPr>
        <w:tab/>
      </w: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-700405</wp:posOffset>
            </wp:positionH>
            <wp:positionV relativeFrom="paragraph">
              <wp:posOffset>36195</wp:posOffset>
            </wp:positionV>
            <wp:extent cx="2880360" cy="3168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880360" cy="316865"/>
                    </a:xfrm>
                    <a:prstGeom prst="rect">
                      <a:avLst/>
                    </a:prstGeom>
                    <a:noFill/>
                  </pic:spPr>
                </pic:pic>
              </a:graphicData>
            </a:graphic>
          </wp:anchor>
        </w:drawing>
      </w:r>
    </w:p>
    <w:p>
      <w:pPr>
        <w:spacing w:after="0" w:line="296" w:lineRule="exact"/>
        <w:rPr>
          <w:sz w:val="20"/>
          <w:szCs w:val="20"/>
          <w:color w:val="auto"/>
        </w:rPr>
      </w:pPr>
    </w:p>
    <w:p>
      <w:pPr>
        <w:ind w:left="100"/>
        <w:spacing w:after="0"/>
        <w:tabs>
          <w:tab w:leader="none" w:pos="2600" w:val="left"/>
        </w:tabs>
        <w:rPr>
          <w:sz w:val="20"/>
          <w:szCs w:val="20"/>
          <w:color w:val="auto"/>
        </w:rPr>
      </w:pPr>
      <w:r>
        <w:rPr>
          <w:rFonts w:ascii="Arial" w:cs="Arial" w:eastAsia="Arial" w:hAnsi="Arial"/>
          <w:sz w:val="16"/>
          <w:szCs w:val="16"/>
          <w:color w:val="auto"/>
        </w:rPr>
        <w:t>9,281,551</w:t>
      </w:r>
      <w:r>
        <w:rPr>
          <w:sz w:val="20"/>
          <w:szCs w:val="20"/>
          <w:color w:val="auto"/>
        </w:rPr>
        <w:tab/>
      </w:r>
      <w:r>
        <w:rPr>
          <w:rFonts w:ascii="Arial" w:cs="Arial" w:eastAsia="Arial" w:hAnsi="Arial"/>
          <w:sz w:val="16"/>
          <w:szCs w:val="16"/>
          <w:color w:val="auto"/>
        </w:rPr>
        <w:t>9.0%</w:t>
      </w:r>
    </w:p>
    <w:p>
      <w:pPr>
        <w:spacing w:after="0" w:line="353" w:lineRule="exact"/>
        <w:rPr>
          <w:sz w:val="20"/>
          <w:szCs w:val="20"/>
          <w:color w:val="auto"/>
        </w:rPr>
      </w:pPr>
    </w:p>
    <w:p>
      <w:pPr>
        <w:sectPr>
          <w:pgSz w:w="11900" w:h="16838" w:orient="portrait"/>
          <w:cols w:equalWidth="0" w:num="2">
            <w:col w:w="6980" w:space="720"/>
            <w:col w:w="344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277"/>
        </w:trPr>
        <w:tc>
          <w:tcPr>
            <w:tcW w:w="6480" w:type="dxa"/>
            <w:vAlign w:val="bottom"/>
            <w:tcBorders>
              <w:bottom w:val="single" w:sz="8" w:color="E5E5E5"/>
            </w:tcBorders>
            <w:shd w:val="clear" w:color="auto" w:fill="E5E5E5"/>
          </w:tcPr>
          <w:p>
            <w:pPr>
              <w:ind w:left="480"/>
              <w:spacing w:after="0"/>
              <w:rPr>
                <w:sz w:val="20"/>
                <w:szCs w:val="20"/>
                <w:color w:val="auto"/>
              </w:rPr>
            </w:pPr>
            <w:r>
              <w:rPr>
                <w:rFonts w:ascii="Arial" w:cs="Arial" w:eastAsia="Arial" w:hAnsi="Arial"/>
                <w:sz w:val="16"/>
                <w:szCs w:val="16"/>
                <w:color w:val="auto"/>
              </w:rPr>
              <w:t>Christopher Anzalone (4)</w:t>
            </w:r>
          </w:p>
        </w:tc>
        <w:tc>
          <w:tcPr>
            <w:tcW w:w="2820" w:type="dxa"/>
            <w:vAlign w:val="bottom"/>
            <w:tcBorders>
              <w:bottom w:val="single" w:sz="8" w:color="E5E5E5"/>
            </w:tcBorders>
            <w:shd w:val="clear" w:color="auto" w:fill="E5E5E5"/>
          </w:tcPr>
          <w:p>
            <w:pPr>
              <w:jc w:val="right"/>
              <w:ind w:right="819"/>
              <w:spacing w:after="0"/>
              <w:rPr>
                <w:sz w:val="20"/>
                <w:szCs w:val="20"/>
                <w:color w:val="auto"/>
              </w:rPr>
            </w:pPr>
            <w:r>
              <w:rPr>
                <w:rFonts w:ascii="Arial" w:cs="Arial" w:eastAsia="Arial" w:hAnsi="Arial"/>
                <w:sz w:val="16"/>
                <w:szCs w:val="16"/>
                <w:color w:val="auto"/>
              </w:rPr>
              <w:t>2,519,055</w:t>
            </w:r>
          </w:p>
        </w:tc>
        <w:tc>
          <w:tcPr>
            <w:tcW w:w="1720" w:type="dxa"/>
            <w:vAlign w:val="bottom"/>
            <w:tcBorders>
              <w:bottom w:val="single" w:sz="8" w:color="E5E5E5"/>
            </w:tcBorders>
            <w:shd w:val="clear" w:color="auto" w:fill="E5E5E5"/>
          </w:tcPr>
          <w:p>
            <w:pPr>
              <w:jc w:val="right"/>
              <w:ind w:right="379"/>
              <w:spacing w:after="0"/>
              <w:rPr>
                <w:sz w:val="20"/>
                <w:szCs w:val="20"/>
                <w:color w:val="auto"/>
              </w:rPr>
            </w:pPr>
            <w:r>
              <w:rPr>
                <w:rFonts w:ascii="Arial" w:cs="Arial" w:eastAsia="Arial" w:hAnsi="Arial"/>
                <w:sz w:val="16"/>
                <w:szCs w:val="16"/>
                <w:color w:val="auto"/>
              </w:rPr>
              <w:t>2.4%</w:t>
            </w:r>
          </w:p>
        </w:tc>
      </w:tr>
      <w:tr>
        <w:trPr>
          <w:trHeight w:val="251"/>
        </w:trPr>
        <w:tc>
          <w:tcPr>
            <w:tcW w:w="6480" w:type="dxa"/>
            <w:vAlign w:val="bottom"/>
          </w:tcPr>
          <w:p>
            <w:pPr>
              <w:ind w:left="480"/>
              <w:spacing w:after="0"/>
              <w:rPr>
                <w:sz w:val="20"/>
                <w:szCs w:val="20"/>
                <w:color w:val="auto"/>
              </w:rPr>
            </w:pPr>
            <w:r>
              <w:rPr>
                <w:rFonts w:ascii="Arial" w:cs="Arial" w:eastAsia="Arial" w:hAnsi="Arial"/>
                <w:sz w:val="16"/>
                <w:szCs w:val="16"/>
                <w:color w:val="auto"/>
              </w:rPr>
              <w:t>Kenneth Myszkowski</w:t>
            </w:r>
          </w:p>
        </w:tc>
        <w:tc>
          <w:tcPr>
            <w:tcW w:w="2820" w:type="dxa"/>
            <w:vAlign w:val="bottom"/>
          </w:tcPr>
          <w:p>
            <w:pPr>
              <w:jc w:val="right"/>
              <w:ind w:right="819"/>
              <w:spacing w:after="0"/>
              <w:rPr>
                <w:sz w:val="20"/>
                <w:szCs w:val="20"/>
                <w:color w:val="auto"/>
              </w:rPr>
            </w:pPr>
            <w:r>
              <w:rPr>
                <w:rFonts w:ascii="Arial" w:cs="Arial" w:eastAsia="Arial" w:hAnsi="Arial"/>
                <w:sz w:val="16"/>
                <w:szCs w:val="16"/>
                <w:color w:val="auto"/>
              </w:rPr>
              <w:t>295,255</w:t>
            </w:r>
          </w:p>
        </w:tc>
        <w:tc>
          <w:tcPr>
            <w:tcW w:w="1720" w:type="dxa"/>
            <w:vAlign w:val="bottom"/>
          </w:tcPr>
          <w:p>
            <w:pPr>
              <w:jc w:val="right"/>
              <w:ind w:right="519"/>
              <w:spacing w:after="0"/>
              <w:rPr>
                <w:sz w:val="20"/>
                <w:szCs w:val="20"/>
                <w:color w:val="auto"/>
              </w:rPr>
            </w:pPr>
            <w:r>
              <w:rPr>
                <w:rFonts w:ascii="Arial" w:cs="Arial" w:eastAsia="Arial" w:hAnsi="Arial"/>
                <w:sz w:val="16"/>
                <w:szCs w:val="16"/>
                <w:color w:val="auto"/>
              </w:rPr>
              <w:t>*</w:t>
            </w:r>
          </w:p>
        </w:tc>
      </w:tr>
      <w:tr>
        <w:trPr>
          <w:trHeight w:val="46"/>
        </w:trPr>
        <w:tc>
          <w:tcPr>
            <w:tcW w:w="6480" w:type="dxa"/>
            <w:vAlign w:val="bottom"/>
          </w:tcPr>
          <w:p>
            <w:pPr>
              <w:spacing w:after="0"/>
              <w:rPr>
                <w:sz w:val="4"/>
                <w:szCs w:val="4"/>
                <w:color w:val="auto"/>
              </w:rPr>
            </w:pPr>
          </w:p>
        </w:tc>
        <w:tc>
          <w:tcPr>
            <w:tcW w:w="2820" w:type="dxa"/>
            <w:vAlign w:val="bottom"/>
          </w:tcPr>
          <w:p>
            <w:pPr>
              <w:spacing w:after="0"/>
              <w:rPr>
                <w:sz w:val="4"/>
                <w:szCs w:val="4"/>
                <w:color w:val="auto"/>
              </w:rPr>
            </w:pPr>
          </w:p>
        </w:tc>
        <w:tc>
          <w:tcPr>
            <w:tcW w:w="1720" w:type="dxa"/>
            <w:vAlign w:val="bottom"/>
          </w:tcPr>
          <w:p>
            <w:pPr>
              <w:spacing w:after="0"/>
              <w:rPr>
                <w:sz w:val="4"/>
                <w:szCs w:val="4"/>
                <w:color w:val="auto"/>
              </w:rPr>
            </w:pPr>
          </w:p>
        </w:tc>
      </w:tr>
      <w:tr>
        <w:trPr>
          <w:trHeight w:val="277"/>
        </w:trPr>
        <w:tc>
          <w:tcPr>
            <w:tcW w:w="6480" w:type="dxa"/>
            <w:vAlign w:val="bottom"/>
            <w:tcBorders>
              <w:bottom w:val="single" w:sz="8" w:color="E5E5E5"/>
            </w:tcBorders>
            <w:shd w:val="clear" w:color="auto" w:fill="E5E5E5"/>
          </w:tcPr>
          <w:p>
            <w:pPr>
              <w:ind w:left="480"/>
              <w:spacing w:after="0"/>
              <w:rPr>
                <w:sz w:val="20"/>
                <w:szCs w:val="20"/>
                <w:color w:val="auto"/>
              </w:rPr>
            </w:pPr>
            <w:r>
              <w:rPr>
                <w:rFonts w:ascii="Arial" w:cs="Arial" w:eastAsia="Arial" w:hAnsi="Arial"/>
                <w:sz w:val="16"/>
                <w:szCs w:val="16"/>
                <w:color w:val="auto"/>
              </w:rPr>
              <w:t>Patrick O’Brien</w:t>
            </w:r>
          </w:p>
        </w:tc>
        <w:tc>
          <w:tcPr>
            <w:tcW w:w="2820" w:type="dxa"/>
            <w:vAlign w:val="bottom"/>
            <w:tcBorders>
              <w:bottom w:val="single" w:sz="8" w:color="E5E5E5"/>
            </w:tcBorders>
            <w:shd w:val="clear" w:color="auto" w:fill="E5E5E5"/>
          </w:tcPr>
          <w:p>
            <w:pPr>
              <w:jc w:val="right"/>
              <w:ind w:right="819"/>
              <w:spacing w:after="0"/>
              <w:rPr>
                <w:sz w:val="20"/>
                <w:szCs w:val="20"/>
                <w:color w:val="auto"/>
              </w:rPr>
            </w:pPr>
            <w:r>
              <w:rPr>
                <w:rFonts w:ascii="Arial" w:cs="Arial" w:eastAsia="Arial" w:hAnsi="Arial"/>
                <w:sz w:val="16"/>
                <w:szCs w:val="16"/>
                <w:color w:val="auto"/>
              </w:rPr>
              <w:t>191,375</w:t>
            </w:r>
          </w:p>
        </w:tc>
        <w:tc>
          <w:tcPr>
            <w:tcW w:w="1720" w:type="dxa"/>
            <w:vAlign w:val="bottom"/>
            <w:tcBorders>
              <w:bottom w:val="single" w:sz="8" w:color="E5E5E5"/>
            </w:tcBorders>
            <w:shd w:val="clear" w:color="auto" w:fill="E5E5E5"/>
          </w:tcPr>
          <w:p>
            <w:pPr>
              <w:jc w:val="right"/>
              <w:ind w:right="519"/>
              <w:spacing w:after="0"/>
              <w:rPr>
                <w:sz w:val="20"/>
                <w:szCs w:val="20"/>
                <w:color w:val="auto"/>
              </w:rPr>
            </w:pPr>
            <w:r>
              <w:rPr>
                <w:rFonts w:ascii="Arial" w:cs="Arial" w:eastAsia="Arial" w:hAnsi="Arial"/>
                <w:sz w:val="16"/>
                <w:szCs w:val="16"/>
                <w:color w:val="auto"/>
              </w:rPr>
              <w:t>*</w:t>
            </w:r>
          </w:p>
        </w:tc>
      </w:tr>
      <w:tr>
        <w:trPr>
          <w:trHeight w:val="250"/>
        </w:trPr>
        <w:tc>
          <w:tcPr>
            <w:tcW w:w="6480" w:type="dxa"/>
            <w:vAlign w:val="bottom"/>
          </w:tcPr>
          <w:p>
            <w:pPr>
              <w:ind w:left="480"/>
              <w:spacing w:after="0"/>
              <w:rPr>
                <w:sz w:val="20"/>
                <w:szCs w:val="20"/>
                <w:color w:val="auto"/>
              </w:rPr>
            </w:pPr>
            <w:r>
              <w:rPr>
                <w:rFonts w:ascii="Arial" w:cs="Arial" w:eastAsia="Arial" w:hAnsi="Arial"/>
                <w:sz w:val="16"/>
                <w:szCs w:val="16"/>
                <w:color w:val="auto"/>
              </w:rPr>
              <w:t>Javier San Martin</w:t>
            </w:r>
          </w:p>
        </w:tc>
        <w:tc>
          <w:tcPr>
            <w:tcW w:w="2820" w:type="dxa"/>
            <w:vAlign w:val="bottom"/>
          </w:tcPr>
          <w:p>
            <w:pPr>
              <w:jc w:val="right"/>
              <w:ind w:right="819"/>
              <w:spacing w:after="0"/>
              <w:rPr>
                <w:sz w:val="20"/>
                <w:szCs w:val="20"/>
                <w:color w:val="auto"/>
              </w:rPr>
            </w:pPr>
            <w:r>
              <w:rPr>
                <w:rFonts w:ascii="Arial" w:cs="Arial" w:eastAsia="Arial" w:hAnsi="Arial"/>
                <w:sz w:val="16"/>
                <w:szCs w:val="16"/>
                <w:color w:val="auto"/>
              </w:rPr>
              <w:t>36,000</w:t>
            </w:r>
          </w:p>
        </w:tc>
        <w:tc>
          <w:tcPr>
            <w:tcW w:w="1720" w:type="dxa"/>
            <w:vAlign w:val="bottom"/>
          </w:tcPr>
          <w:p>
            <w:pPr>
              <w:jc w:val="right"/>
              <w:ind w:right="519"/>
              <w:spacing w:after="0"/>
              <w:rPr>
                <w:sz w:val="20"/>
                <w:szCs w:val="20"/>
                <w:color w:val="auto"/>
              </w:rPr>
            </w:pPr>
            <w:r>
              <w:rPr>
                <w:rFonts w:ascii="Arial" w:cs="Arial" w:eastAsia="Arial" w:hAnsi="Arial"/>
                <w:sz w:val="16"/>
                <w:szCs w:val="16"/>
                <w:color w:val="auto"/>
              </w:rPr>
              <w:t>*</w:t>
            </w:r>
          </w:p>
        </w:tc>
      </w:tr>
      <w:tr>
        <w:trPr>
          <w:trHeight w:val="47"/>
        </w:trPr>
        <w:tc>
          <w:tcPr>
            <w:tcW w:w="6480" w:type="dxa"/>
            <w:vAlign w:val="bottom"/>
          </w:tcPr>
          <w:p>
            <w:pPr>
              <w:spacing w:after="0"/>
              <w:rPr>
                <w:sz w:val="4"/>
                <w:szCs w:val="4"/>
                <w:color w:val="auto"/>
              </w:rPr>
            </w:pPr>
          </w:p>
        </w:tc>
        <w:tc>
          <w:tcPr>
            <w:tcW w:w="2820" w:type="dxa"/>
            <w:vAlign w:val="bottom"/>
          </w:tcPr>
          <w:p>
            <w:pPr>
              <w:spacing w:after="0"/>
              <w:rPr>
                <w:sz w:val="4"/>
                <w:szCs w:val="4"/>
                <w:color w:val="auto"/>
              </w:rPr>
            </w:pPr>
          </w:p>
        </w:tc>
        <w:tc>
          <w:tcPr>
            <w:tcW w:w="1720" w:type="dxa"/>
            <w:vAlign w:val="bottom"/>
          </w:tcPr>
          <w:p>
            <w:pPr>
              <w:spacing w:after="0"/>
              <w:rPr>
                <w:sz w:val="4"/>
                <w:szCs w:val="4"/>
                <w:color w:val="auto"/>
              </w:rPr>
            </w:pPr>
          </w:p>
        </w:tc>
      </w:tr>
      <w:tr>
        <w:trPr>
          <w:trHeight w:val="277"/>
        </w:trPr>
        <w:tc>
          <w:tcPr>
            <w:tcW w:w="6480" w:type="dxa"/>
            <w:vAlign w:val="bottom"/>
            <w:tcBorders>
              <w:bottom w:val="single" w:sz="8" w:color="E5E5E5"/>
            </w:tcBorders>
            <w:shd w:val="clear" w:color="auto" w:fill="E5E5E5"/>
          </w:tcPr>
          <w:p>
            <w:pPr>
              <w:ind w:left="480"/>
              <w:spacing w:after="0"/>
              <w:rPr>
                <w:sz w:val="20"/>
                <w:szCs w:val="20"/>
                <w:color w:val="auto"/>
              </w:rPr>
            </w:pPr>
            <w:r>
              <w:rPr>
                <w:rFonts w:ascii="Arial" w:cs="Arial" w:eastAsia="Arial" w:hAnsi="Arial"/>
                <w:sz w:val="16"/>
                <w:szCs w:val="16"/>
                <w:color w:val="auto"/>
              </w:rPr>
              <w:t>James Hamilton</w:t>
            </w:r>
          </w:p>
        </w:tc>
        <w:tc>
          <w:tcPr>
            <w:tcW w:w="2820" w:type="dxa"/>
            <w:vAlign w:val="bottom"/>
            <w:tcBorders>
              <w:bottom w:val="single" w:sz="8" w:color="E5E5E5"/>
            </w:tcBorders>
            <w:shd w:val="clear" w:color="auto" w:fill="E5E5E5"/>
          </w:tcPr>
          <w:p>
            <w:pPr>
              <w:jc w:val="right"/>
              <w:ind w:right="819"/>
              <w:spacing w:after="0"/>
              <w:rPr>
                <w:sz w:val="20"/>
                <w:szCs w:val="20"/>
                <w:color w:val="auto"/>
              </w:rPr>
            </w:pPr>
            <w:r>
              <w:rPr>
                <w:rFonts w:ascii="Arial" w:cs="Arial" w:eastAsia="Arial" w:hAnsi="Arial"/>
                <w:sz w:val="16"/>
                <w:szCs w:val="16"/>
                <w:color w:val="auto"/>
              </w:rPr>
              <w:t>25,625</w:t>
            </w:r>
          </w:p>
        </w:tc>
        <w:tc>
          <w:tcPr>
            <w:tcW w:w="1720" w:type="dxa"/>
            <w:vAlign w:val="bottom"/>
            <w:tcBorders>
              <w:bottom w:val="single" w:sz="8" w:color="E5E5E5"/>
            </w:tcBorders>
            <w:shd w:val="clear" w:color="auto" w:fill="E5E5E5"/>
          </w:tcPr>
          <w:p>
            <w:pPr>
              <w:jc w:val="right"/>
              <w:ind w:right="519"/>
              <w:spacing w:after="0"/>
              <w:rPr>
                <w:sz w:val="20"/>
                <w:szCs w:val="20"/>
                <w:color w:val="auto"/>
              </w:rPr>
            </w:pPr>
            <w:r>
              <w:rPr>
                <w:rFonts w:ascii="Arial" w:cs="Arial" w:eastAsia="Arial" w:hAnsi="Arial"/>
                <w:sz w:val="16"/>
                <w:szCs w:val="16"/>
                <w:color w:val="auto"/>
              </w:rPr>
              <w:t>*</w:t>
            </w:r>
          </w:p>
        </w:tc>
      </w:tr>
      <w:tr>
        <w:trPr>
          <w:trHeight w:val="250"/>
        </w:trPr>
        <w:tc>
          <w:tcPr>
            <w:tcW w:w="6480" w:type="dxa"/>
            <w:vAlign w:val="bottom"/>
          </w:tcPr>
          <w:p>
            <w:pPr>
              <w:ind w:left="480"/>
              <w:spacing w:after="0"/>
              <w:rPr>
                <w:sz w:val="20"/>
                <w:szCs w:val="20"/>
                <w:color w:val="auto"/>
              </w:rPr>
            </w:pPr>
            <w:r>
              <w:rPr>
                <w:rFonts w:ascii="Arial" w:cs="Arial" w:eastAsia="Arial" w:hAnsi="Arial"/>
                <w:sz w:val="16"/>
                <w:szCs w:val="16"/>
                <w:color w:val="auto"/>
              </w:rPr>
              <w:t>Douglass Given</w:t>
            </w:r>
          </w:p>
        </w:tc>
        <w:tc>
          <w:tcPr>
            <w:tcW w:w="2820" w:type="dxa"/>
            <w:vAlign w:val="bottom"/>
          </w:tcPr>
          <w:p>
            <w:pPr>
              <w:jc w:val="right"/>
              <w:ind w:right="819"/>
              <w:spacing w:after="0"/>
              <w:rPr>
                <w:sz w:val="20"/>
                <w:szCs w:val="20"/>
                <w:color w:val="auto"/>
              </w:rPr>
            </w:pPr>
            <w:r>
              <w:rPr>
                <w:rFonts w:ascii="Arial" w:cs="Arial" w:eastAsia="Arial" w:hAnsi="Arial"/>
                <w:sz w:val="16"/>
                <w:szCs w:val="16"/>
                <w:color w:val="auto"/>
              </w:rPr>
              <w:t>136,243</w:t>
            </w:r>
          </w:p>
        </w:tc>
        <w:tc>
          <w:tcPr>
            <w:tcW w:w="1720" w:type="dxa"/>
            <w:vAlign w:val="bottom"/>
          </w:tcPr>
          <w:p>
            <w:pPr>
              <w:jc w:val="right"/>
              <w:ind w:right="519"/>
              <w:spacing w:after="0"/>
              <w:rPr>
                <w:sz w:val="20"/>
                <w:szCs w:val="20"/>
                <w:color w:val="auto"/>
              </w:rPr>
            </w:pPr>
            <w:r>
              <w:rPr>
                <w:rFonts w:ascii="Arial" w:cs="Arial" w:eastAsia="Arial" w:hAnsi="Arial"/>
                <w:sz w:val="16"/>
                <w:szCs w:val="16"/>
                <w:color w:val="auto"/>
              </w:rPr>
              <w:t>*</w:t>
            </w:r>
          </w:p>
        </w:tc>
      </w:tr>
      <w:tr>
        <w:trPr>
          <w:trHeight w:val="47"/>
        </w:trPr>
        <w:tc>
          <w:tcPr>
            <w:tcW w:w="6480" w:type="dxa"/>
            <w:vAlign w:val="bottom"/>
          </w:tcPr>
          <w:p>
            <w:pPr>
              <w:spacing w:after="0"/>
              <w:rPr>
                <w:sz w:val="4"/>
                <w:szCs w:val="4"/>
                <w:color w:val="auto"/>
              </w:rPr>
            </w:pPr>
          </w:p>
        </w:tc>
        <w:tc>
          <w:tcPr>
            <w:tcW w:w="2820" w:type="dxa"/>
            <w:vAlign w:val="bottom"/>
          </w:tcPr>
          <w:p>
            <w:pPr>
              <w:spacing w:after="0"/>
              <w:rPr>
                <w:sz w:val="4"/>
                <w:szCs w:val="4"/>
                <w:color w:val="auto"/>
              </w:rPr>
            </w:pPr>
          </w:p>
        </w:tc>
        <w:tc>
          <w:tcPr>
            <w:tcW w:w="1720" w:type="dxa"/>
            <w:vAlign w:val="bottom"/>
          </w:tcPr>
          <w:p>
            <w:pPr>
              <w:spacing w:after="0"/>
              <w:rPr>
                <w:sz w:val="4"/>
                <w:szCs w:val="4"/>
                <w:color w:val="auto"/>
              </w:rPr>
            </w:pPr>
          </w:p>
        </w:tc>
      </w:tr>
      <w:tr>
        <w:trPr>
          <w:trHeight w:val="277"/>
        </w:trPr>
        <w:tc>
          <w:tcPr>
            <w:tcW w:w="6480" w:type="dxa"/>
            <w:vAlign w:val="bottom"/>
            <w:tcBorders>
              <w:bottom w:val="single" w:sz="8" w:color="E5E5E5"/>
            </w:tcBorders>
            <w:shd w:val="clear" w:color="auto" w:fill="E5E5E5"/>
          </w:tcPr>
          <w:p>
            <w:pPr>
              <w:ind w:left="480"/>
              <w:spacing w:after="0"/>
              <w:rPr>
                <w:sz w:val="20"/>
                <w:szCs w:val="20"/>
                <w:color w:val="auto"/>
              </w:rPr>
            </w:pPr>
            <w:r>
              <w:rPr>
                <w:rFonts w:ascii="Arial" w:cs="Arial" w:eastAsia="Arial" w:hAnsi="Arial"/>
                <w:sz w:val="16"/>
                <w:szCs w:val="16"/>
                <w:color w:val="auto"/>
              </w:rPr>
              <w:t>Michael S. Perry</w:t>
            </w:r>
          </w:p>
        </w:tc>
        <w:tc>
          <w:tcPr>
            <w:tcW w:w="2820" w:type="dxa"/>
            <w:vAlign w:val="bottom"/>
            <w:tcBorders>
              <w:bottom w:val="single" w:sz="8" w:color="E5E5E5"/>
            </w:tcBorders>
            <w:shd w:val="clear" w:color="auto" w:fill="E5E5E5"/>
          </w:tcPr>
          <w:p>
            <w:pPr>
              <w:jc w:val="right"/>
              <w:ind w:right="819"/>
              <w:spacing w:after="0"/>
              <w:rPr>
                <w:sz w:val="20"/>
                <w:szCs w:val="20"/>
                <w:color w:val="auto"/>
              </w:rPr>
            </w:pPr>
            <w:r>
              <w:rPr>
                <w:rFonts w:ascii="Arial" w:cs="Arial" w:eastAsia="Arial" w:hAnsi="Arial"/>
                <w:sz w:val="16"/>
                <w:szCs w:val="16"/>
                <w:color w:val="auto"/>
              </w:rPr>
              <w:t>85,500</w:t>
            </w:r>
          </w:p>
        </w:tc>
        <w:tc>
          <w:tcPr>
            <w:tcW w:w="1720" w:type="dxa"/>
            <w:vAlign w:val="bottom"/>
            <w:tcBorders>
              <w:bottom w:val="single" w:sz="8" w:color="E5E5E5"/>
            </w:tcBorders>
            <w:shd w:val="clear" w:color="auto" w:fill="E5E5E5"/>
          </w:tcPr>
          <w:p>
            <w:pPr>
              <w:jc w:val="right"/>
              <w:ind w:right="519"/>
              <w:spacing w:after="0"/>
              <w:rPr>
                <w:sz w:val="20"/>
                <w:szCs w:val="20"/>
                <w:color w:val="auto"/>
              </w:rPr>
            </w:pPr>
            <w:r>
              <w:rPr>
                <w:rFonts w:ascii="Arial" w:cs="Arial" w:eastAsia="Arial" w:hAnsi="Arial"/>
                <w:sz w:val="16"/>
                <w:szCs w:val="16"/>
                <w:color w:val="auto"/>
              </w:rPr>
              <w:t>*</w:t>
            </w:r>
          </w:p>
        </w:tc>
      </w:tr>
      <w:tr>
        <w:trPr>
          <w:trHeight w:val="250"/>
        </w:trPr>
        <w:tc>
          <w:tcPr>
            <w:tcW w:w="6480" w:type="dxa"/>
            <w:vAlign w:val="bottom"/>
          </w:tcPr>
          <w:p>
            <w:pPr>
              <w:ind w:left="480"/>
              <w:spacing w:after="0"/>
              <w:rPr>
                <w:sz w:val="20"/>
                <w:szCs w:val="20"/>
                <w:color w:val="auto"/>
              </w:rPr>
            </w:pPr>
            <w:r>
              <w:rPr>
                <w:rFonts w:ascii="Arial" w:cs="Arial" w:eastAsia="Arial" w:hAnsi="Arial"/>
                <w:sz w:val="16"/>
                <w:szCs w:val="16"/>
                <w:color w:val="auto"/>
              </w:rPr>
              <w:t>Mauro Ferrari</w:t>
            </w:r>
          </w:p>
        </w:tc>
        <w:tc>
          <w:tcPr>
            <w:tcW w:w="2820" w:type="dxa"/>
            <w:vAlign w:val="bottom"/>
          </w:tcPr>
          <w:p>
            <w:pPr>
              <w:jc w:val="right"/>
              <w:ind w:right="819"/>
              <w:spacing w:after="0"/>
              <w:rPr>
                <w:sz w:val="20"/>
                <w:szCs w:val="20"/>
                <w:color w:val="auto"/>
              </w:rPr>
            </w:pPr>
            <w:r>
              <w:rPr>
                <w:rFonts w:ascii="Arial" w:cs="Arial" w:eastAsia="Arial" w:hAnsi="Arial"/>
                <w:sz w:val="16"/>
                <w:szCs w:val="16"/>
                <w:color w:val="auto"/>
              </w:rPr>
              <w:t>36,751</w:t>
            </w:r>
          </w:p>
        </w:tc>
        <w:tc>
          <w:tcPr>
            <w:tcW w:w="1720" w:type="dxa"/>
            <w:vAlign w:val="bottom"/>
          </w:tcPr>
          <w:p>
            <w:pPr>
              <w:jc w:val="right"/>
              <w:ind w:right="519"/>
              <w:spacing w:after="0"/>
              <w:rPr>
                <w:sz w:val="20"/>
                <w:szCs w:val="20"/>
                <w:color w:val="auto"/>
              </w:rPr>
            </w:pPr>
            <w:r>
              <w:rPr>
                <w:rFonts w:ascii="Arial" w:cs="Arial" w:eastAsia="Arial" w:hAnsi="Arial"/>
                <w:sz w:val="16"/>
                <w:szCs w:val="16"/>
                <w:color w:val="auto"/>
              </w:rPr>
              <w:t>*</w:t>
            </w:r>
          </w:p>
        </w:tc>
      </w:tr>
      <w:tr>
        <w:trPr>
          <w:trHeight w:val="47"/>
        </w:trPr>
        <w:tc>
          <w:tcPr>
            <w:tcW w:w="6480" w:type="dxa"/>
            <w:vAlign w:val="bottom"/>
          </w:tcPr>
          <w:p>
            <w:pPr>
              <w:spacing w:after="0"/>
              <w:rPr>
                <w:sz w:val="4"/>
                <w:szCs w:val="4"/>
                <w:color w:val="auto"/>
              </w:rPr>
            </w:pPr>
          </w:p>
        </w:tc>
        <w:tc>
          <w:tcPr>
            <w:tcW w:w="2820" w:type="dxa"/>
            <w:vAlign w:val="bottom"/>
          </w:tcPr>
          <w:p>
            <w:pPr>
              <w:spacing w:after="0"/>
              <w:rPr>
                <w:sz w:val="4"/>
                <w:szCs w:val="4"/>
                <w:color w:val="auto"/>
              </w:rPr>
            </w:pPr>
          </w:p>
        </w:tc>
        <w:tc>
          <w:tcPr>
            <w:tcW w:w="1720" w:type="dxa"/>
            <w:vAlign w:val="bottom"/>
          </w:tcPr>
          <w:p>
            <w:pPr>
              <w:spacing w:after="0"/>
              <w:rPr>
                <w:sz w:val="4"/>
                <w:szCs w:val="4"/>
                <w:color w:val="auto"/>
              </w:rPr>
            </w:pPr>
          </w:p>
        </w:tc>
      </w:tr>
      <w:tr>
        <w:trPr>
          <w:trHeight w:val="277"/>
        </w:trPr>
        <w:tc>
          <w:tcPr>
            <w:tcW w:w="6480" w:type="dxa"/>
            <w:vAlign w:val="bottom"/>
            <w:tcBorders>
              <w:bottom w:val="single" w:sz="8" w:color="E5E5E5"/>
            </w:tcBorders>
            <w:shd w:val="clear" w:color="auto" w:fill="E5E5E5"/>
          </w:tcPr>
          <w:p>
            <w:pPr>
              <w:ind w:left="480"/>
              <w:spacing w:after="0"/>
              <w:rPr>
                <w:sz w:val="20"/>
                <w:szCs w:val="20"/>
                <w:color w:val="auto"/>
              </w:rPr>
            </w:pPr>
            <w:r>
              <w:rPr>
                <w:rFonts w:ascii="Arial" w:cs="Arial" w:eastAsia="Arial" w:hAnsi="Arial"/>
                <w:sz w:val="16"/>
                <w:szCs w:val="16"/>
                <w:color w:val="auto"/>
              </w:rPr>
              <w:t>William Waddill</w:t>
            </w:r>
          </w:p>
        </w:tc>
        <w:tc>
          <w:tcPr>
            <w:tcW w:w="2820" w:type="dxa"/>
            <w:vAlign w:val="bottom"/>
            <w:tcBorders>
              <w:bottom w:val="single" w:sz="8" w:color="E5E5E5"/>
            </w:tcBorders>
            <w:shd w:val="clear" w:color="auto" w:fill="E5E5E5"/>
          </w:tcPr>
          <w:p>
            <w:pPr>
              <w:jc w:val="right"/>
              <w:ind w:right="819"/>
              <w:spacing w:after="0"/>
              <w:rPr>
                <w:sz w:val="20"/>
                <w:szCs w:val="20"/>
                <w:color w:val="auto"/>
              </w:rPr>
            </w:pPr>
            <w:r>
              <w:rPr>
                <w:rFonts w:ascii="Arial" w:cs="Arial" w:eastAsia="Arial" w:hAnsi="Arial"/>
                <w:sz w:val="16"/>
                <w:szCs w:val="16"/>
                <w:color w:val="auto"/>
              </w:rPr>
              <w:t>25,750</w:t>
            </w:r>
          </w:p>
        </w:tc>
        <w:tc>
          <w:tcPr>
            <w:tcW w:w="1720" w:type="dxa"/>
            <w:vAlign w:val="bottom"/>
            <w:tcBorders>
              <w:bottom w:val="single" w:sz="8" w:color="E5E5E5"/>
            </w:tcBorders>
            <w:shd w:val="clear" w:color="auto" w:fill="E5E5E5"/>
          </w:tcPr>
          <w:p>
            <w:pPr>
              <w:jc w:val="right"/>
              <w:ind w:right="519"/>
              <w:spacing w:after="0"/>
              <w:rPr>
                <w:sz w:val="20"/>
                <w:szCs w:val="20"/>
                <w:color w:val="auto"/>
              </w:rPr>
            </w:pPr>
            <w:r>
              <w:rPr>
                <w:rFonts w:ascii="Arial" w:cs="Arial" w:eastAsia="Arial" w:hAnsi="Arial"/>
                <w:sz w:val="16"/>
                <w:szCs w:val="16"/>
                <w:color w:val="auto"/>
              </w:rPr>
              <w:t>*</w:t>
            </w:r>
          </w:p>
        </w:tc>
      </w:tr>
      <w:tr>
        <w:trPr>
          <w:trHeight w:val="250"/>
        </w:trPr>
        <w:tc>
          <w:tcPr>
            <w:tcW w:w="6480" w:type="dxa"/>
            <w:vAlign w:val="bottom"/>
          </w:tcPr>
          <w:p>
            <w:pPr>
              <w:ind w:left="480"/>
              <w:spacing w:after="0"/>
              <w:rPr>
                <w:sz w:val="20"/>
                <w:szCs w:val="20"/>
                <w:color w:val="auto"/>
              </w:rPr>
            </w:pPr>
            <w:r>
              <w:rPr>
                <w:rFonts w:ascii="Arial" w:cs="Arial" w:eastAsia="Arial" w:hAnsi="Arial"/>
                <w:sz w:val="16"/>
                <w:szCs w:val="16"/>
                <w:color w:val="auto"/>
              </w:rPr>
              <w:t>Marianne De Backer</w:t>
            </w:r>
          </w:p>
        </w:tc>
        <w:tc>
          <w:tcPr>
            <w:tcW w:w="2820" w:type="dxa"/>
            <w:vAlign w:val="bottom"/>
          </w:tcPr>
          <w:p>
            <w:pPr>
              <w:jc w:val="right"/>
              <w:ind w:right="819"/>
              <w:spacing w:after="0"/>
              <w:rPr>
                <w:sz w:val="20"/>
                <w:szCs w:val="20"/>
                <w:color w:val="auto"/>
              </w:rPr>
            </w:pPr>
            <w:r>
              <w:rPr>
                <w:rFonts w:ascii="Arial" w:cs="Arial" w:eastAsia="Arial" w:hAnsi="Arial"/>
                <w:sz w:val="16"/>
                <w:szCs w:val="16"/>
                <w:color w:val="auto"/>
              </w:rPr>
              <w:t>17,000</w:t>
            </w:r>
          </w:p>
        </w:tc>
        <w:tc>
          <w:tcPr>
            <w:tcW w:w="1720" w:type="dxa"/>
            <w:vAlign w:val="bottom"/>
          </w:tcPr>
          <w:p>
            <w:pPr>
              <w:jc w:val="right"/>
              <w:ind w:right="519"/>
              <w:spacing w:after="0"/>
              <w:rPr>
                <w:sz w:val="20"/>
                <w:szCs w:val="20"/>
                <w:color w:val="auto"/>
              </w:rPr>
            </w:pPr>
            <w:r>
              <w:rPr>
                <w:rFonts w:ascii="Arial" w:cs="Arial" w:eastAsia="Arial" w:hAnsi="Arial"/>
                <w:sz w:val="16"/>
                <w:szCs w:val="16"/>
                <w:color w:val="auto"/>
              </w:rPr>
              <w:t>*</w:t>
            </w:r>
          </w:p>
        </w:tc>
      </w:tr>
      <w:tr>
        <w:trPr>
          <w:trHeight w:val="47"/>
        </w:trPr>
        <w:tc>
          <w:tcPr>
            <w:tcW w:w="6480" w:type="dxa"/>
            <w:vAlign w:val="bottom"/>
          </w:tcPr>
          <w:p>
            <w:pPr>
              <w:spacing w:after="0"/>
              <w:rPr>
                <w:sz w:val="4"/>
                <w:szCs w:val="4"/>
                <w:color w:val="auto"/>
              </w:rPr>
            </w:pPr>
          </w:p>
        </w:tc>
        <w:tc>
          <w:tcPr>
            <w:tcW w:w="2820" w:type="dxa"/>
            <w:vAlign w:val="bottom"/>
          </w:tcPr>
          <w:p>
            <w:pPr>
              <w:spacing w:after="0"/>
              <w:rPr>
                <w:sz w:val="4"/>
                <w:szCs w:val="4"/>
                <w:color w:val="auto"/>
              </w:rPr>
            </w:pPr>
          </w:p>
        </w:tc>
        <w:tc>
          <w:tcPr>
            <w:tcW w:w="1720" w:type="dxa"/>
            <w:vAlign w:val="bottom"/>
          </w:tcPr>
          <w:p>
            <w:pPr>
              <w:spacing w:after="0"/>
              <w:rPr>
                <w:sz w:val="4"/>
                <w:szCs w:val="4"/>
                <w:color w:val="auto"/>
              </w:rPr>
            </w:pPr>
          </w:p>
        </w:tc>
      </w:tr>
      <w:tr>
        <w:trPr>
          <w:trHeight w:val="277"/>
        </w:trPr>
        <w:tc>
          <w:tcPr>
            <w:tcW w:w="6480" w:type="dxa"/>
            <w:vAlign w:val="bottom"/>
            <w:tcBorders>
              <w:bottom w:val="single" w:sz="8" w:color="E5E5E5"/>
            </w:tcBorders>
            <w:shd w:val="clear" w:color="auto" w:fill="E5E5E5"/>
          </w:tcPr>
          <w:p>
            <w:pPr>
              <w:ind w:left="480"/>
              <w:spacing w:after="0"/>
              <w:rPr>
                <w:sz w:val="20"/>
                <w:szCs w:val="20"/>
                <w:color w:val="auto"/>
              </w:rPr>
            </w:pPr>
            <w:r>
              <w:rPr>
                <w:rFonts w:ascii="Arial" w:cs="Arial" w:eastAsia="Arial" w:hAnsi="Arial"/>
                <w:sz w:val="16"/>
                <w:szCs w:val="16"/>
                <w:color w:val="auto"/>
              </w:rPr>
              <w:t>Adeoye Olukotun</w:t>
            </w:r>
          </w:p>
        </w:tc>
        <w:tc>
          <w:tcPr>
            <w:tcW w:w="2820" w:type="dxa"/>
            <w:vAlign w:val="bottom"/>
            <w:tcBorders>
              <w:bottom w:val="single" w:sz="8" w:color="E5E5E5"/>
            </w:tcBorders>
            <w:shd w:val="clear" w:color="auto" w:fill="E5E5E5"/>
          </w:tcPr>
          <w:p>
            <w:pPr>
              <w:jc w:val="right"/>
              <w:ind w:right="819"/>
              <w:spacing w:after="0"/>
              <w:rPr>
                <w:sz w:val="20"/>
                <w:szCs w:val="20"/>
                <w:color w:val="auto"/>
              </w:rPr>
            </w:pPr>
            <w:r>
              <w:rPr>
                <w:rFonts w:ascii="Arial" w:cs="Arial" w:eastAsia="Arial" w:hAnsi="Arial"/>
                <w:sz w:val="16"/>
                <w:szCs w:val="16"/>
                <w:color w:val="auto"/>
              </w:rPr>
              <w:t>4,950</w:t>
            </w:r>
          </w:p>
        </w:tc>
        <w:tc>
          <w:tcPr>
            <w:tcW w:w="1720" w:type="dxa"/>
            <w:vAlign w:val="bottom"/>
            <w:tcBorders>
              <w:bottom w:val="single" w:sz="8" w:color="E5E5E5"/>
            </w:tcBorders>
            <w:shd w:val="clear" w:color="auto" w:fill="E5E5E5"/>
          </w:tcPr>
          <w:p>
            <w:pPr>
              <w:jc w:val="right"/>
              <w:ind w:right="519"/>
              <w:spacing w:after="0"/>
              <w:rPr>
                <w:sz w:val="20"/>
                <w:szCs w:val="20"/>
                <w:color w:val="auto"/>
              </w:rPr>
            </w:pPr>
            <w:r>
              <w:rPr>
                <w:rFonts w:ascii="Arial" w:cs="Arial" w:eastAsia="Arial" w:hAnsi="Arial"/>
                <w:sz w:val="16"/>
                <w:szCs w:val="16"/>
                <w:color w:val="auto"/>
              </w:rPr>
              <w:t>*</w:t>
            </w:r>
          </w:p>
        </w:tc>
      </w:tr>
      <w:tr>
        <w:trPr>
          <w:trHeight w:val="250"/>
        </w:trPr>
        <w:tc>
          <w:tcPr>
            <w:tcW w:w="6480" w:type="dxa"/>
            <w:vAlign w:val="bottom"/>
          </w:tcPr>
          <w:p>
            <w:pPr>
              <w:ind w:left="480"/>
              <w:spacing w:after="0"/>
              <w:rPr>
                <w:sz w:val="20"/>
                <w:szCs w:val="20"/>
                <w:color w:val="auto"/>
              </w:rPr>
            </w:pPr>
            <w:r>
              <w:rPr>
                <w:rFonts w:ascii="Arial" w:cs="Arial" w:eastAsia="Arial" w:hAnsi="Arial"/>
                <w:sz w:val="16"/>
                <w:szCs w:val="16"/>
                <w:color w:val="auto"/>
              </w:rPr>
              <w:t>All Executive Officers and Directors as a group (11 persons)</w:t>
            </w:r>
          </w:p>
        </w:tc>
        <w:tc>
          <w:tcPr>
            <w:tcW w:w="2820" w:type="dxa"/>
            <w:vAlign w:val="bottom"/>
          </w:tcPr>
          <w:p>
            <w:pPr>
              <w:jc w:val="right"/>
              <w:ind w:right="819"/>
              <w:spacing w:after="0"/>
              <w:rPr>
                <w:sz w:val="20"/>
                <w:szCs w:val="20"/>
                <w:color w:val="auto"/>
              </w:rPr>
            </w:pPr>
            <w:r>
              <w:rPr>
                <w:rFonts w:ascii="Arial" w:cs="Arial" w:eastAsia="Arial" w:hAnsi="Arial"/>
                <w:sz w:val="16"/>
                <w:szCs w:val="16"/>
                <w:color w:val="auto"/>
              </w:rPr>
              <w:t>3,373,324</w:t>
            </w:r>
          </w:p>
        </w:tc>
        <w:tc>
          <w:tcPr>
            <w:tcW w:w="1720" w:type="dxa"/>
            <w:vAlign w:val="bottom"/>
          </w:tcPr>
          <w:p>
            <w:pPr>
              <w:jc w:val="right"/>
              <w:ind w:right="379"/>
              <w:spacing w:after="0"/>
              <w:rPr>
                <w:sz w:val="20"/>
                <w:szCs w:val="20"/>
                <w:color w:val="auto"/>
              </w:rPr>
            </w:pPr>
            <w:r>
              <w:rPr>
                <w:rFonts w:ascii="Arial" w:cs="Arial" w:eastAsia="Arial" w:hAnsi="Arial"/>
                <w:sz w:val="16"/>
                <w:szCs w:val="16"/>
                <w:color w:val="auto"/>
              </w:rPr>
              <w:t>3.2%</w:t>
            </w:r>
          </w:p>
        </w:tc>
      </w:tr>
      <w:tr>
        <w:trPr>
          <w:trHeight w:val="47"/>
        </w:trPr>
        <w:tc>
          <w:tcPr>
            <w:tcW w:w="6480" w:type="dxa"/>
            <w:vAlign w:val="bottom"/>
            <w:tcBorders>
              <w:bottom w:val="single" w:sz="8" w:color="0071CE"/>
            </w:tcBorders>
          </w:tcPr>
          <w:p>
            <w:pPr>
              <w:spacing w:after="0"/>
              <w:rPr>
                <w:sz w:val="4"/>
                <w:szCs w:val="4"/>
                <w:color w:val="auto"/>
              </w:rPr>
            </w:pPr>
          </w:p>
        </w:tc>
        <w:tc>
          <w:tcPr>
            <w:tcW w:w="2820" w:type="dxa"/>
            <w:vAlign w:val="bottom"/>
            <w:tcBorders>
              <w:bottom w:val="single" w:sz="8" w:color="0071CE"/>
            </w:tcBorders>
          </w:tcPr>
          <w:p>
            <w:pPr>
              <w:spacing w:after="0"/>
              <w:rPr>
                <w:sz w:val="4"/>
                <w:szCs w:val="4"/>
                <w:color w:val="auto"/>
              </w:rPr>
            </w:pPr>
          </w:p>
        </w:tc>
        <w:tc>
          <w:tcPr>
            <w:tcW w:w="1720" w:type="dxa"/>
            <w:vAlign w:val="bottom"/>
            <w:tcBorders>
              <w:bottom w:val="single" w:sz="8" w:color="0071CE"/>
            </w:tcBorders>
          </w:tcPr>
          <w:p>
            <w:pPr>
              <w:spacing w:after="0"/>
              <w:rPr>
                <w:sz w:val="4"/>
                <w:szCs w:val="4"/>
                <w:color w:val="auto"/>
              </w:rPr>
            </w:pPr>
          </w:p>
        </w:tc>
      </w:tr>
    </w:tbl>
    <w:p>
      <w:pPr>
        <w:spacing w:after="0" w:line="86" w:lineRule="exact"/>
        <w:rPr>
          <w:sz w:val="20"/>
          <w:szCs w:val="20"/>
          <w:color w:val="auto"/>
        </w:rPr>
      </w:pPr>
    </w:p>
    <w:p>
      <w:pPr>
        <w:ind w:left="540" w:hanging="424"/>
        <w:spacing w:after="0"/>
        <w:tabs>
          <w:tab w:leader="none" w:pos="5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82" w:lineRule="exact"/>
        <w:rPr>
          <w:sz w:val="20"/>
          <w:szCs w:val="20"/>
          <w:color w:val="auto"/>
        </w:rPr>
      </w:pPr>
    </w:p>
    <w:p>
      <w:pPr>
        <w:ind w:left="540" w:right="20" w:hanging="424"/>
        <w:spacing w:after="0" w:line="249" w:lineRule="auto"/>
        <w:tabs>
          <w:tab w:leader="none" w:pos="5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Based on 105,425,034 shares of Common Stock issued and outstanding as of January 10, 2022. Shares not outstanding but deemed beneficially owned by virtue of the right of a person to acquire them as of January 10, 2022, or within sixty days of such date are treated as outstanding only when determining the percentage owned by such individual and when determining the percentage owned by a group.</w:t>
      </w:r>
    </w:p>
    <w:p>
      <w:pPr>
        <w:spacing w:after="0" w:line="65" w:lineRule="exact"/>
        <w:rPr>
          <w:rFonts w:ascii="Arial" w:cs="Arial" w:eastAsia="Arial" w:hAnsi="Arial"/>
          <w:sz w:val="14"/>
          <w:szCs w:val="14"/>
          <w:color w:val="auto"/>
        </w:rPr>
      </w:pPr>
    </w:p>
    <w:p>
      <w:pPr>
        <w:ind w:left="540" w:right="80" w:hanging="424"/>
        <w:spacing w:after="0" w:line="249" w:lineRule="auto"/>
        <w:tabs>
          <w:tab w:leader="none" w:pos="5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Based on Amendment No. 3 to Schedule 13G/A filed January 27, 2021 by BlackRock Inc.. According to Amendment No. 3, BlackRock Inc. has sole voting power and sole dispositive power over 12,403,468 shares and 12,563,132 shares, respectively, and has shared voting power and shared dispositive power over 0 shares and 0 shares, respectively.</w:t>
      </w:r>
    </w:p>
    <w:p>
      <w:pPr>
        <w:spacing w:after="0" w:line="65" w:lineRule="exact"/>
        <w:rPr>
          <w:rFonts w:ascii="Arial" w:cs="Arial" w:eastAsia="Arial" w:hAnsi="Arial"/>
          <w:sz w:val="14"/>
          <w:szCs w:val="14"/>
          <w:color w:val="auto"/>
        </w:rPr>
      </w:pPr>
    </w:p>
    <w:p>
      <w:pPr>
        <w:ind w:left="540" w:right="260" w:hanging="424"/>
        <w:spacing w:after="0" w:line="249" w:lineRule="auto"/>
        <w:tabs>
          <w:tab w:leader="none" w:pos="5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Based on Amendment No. 2 to Schedule 13G/A filed February 10, 2021. According to Amendment No. 2, The Vanguard Group has sole voting power and sole dispositive power over 0 and 8,968,890 shares, respectively, and has shared voting power and shared dispositive power over 231,805 shares and 312,561 shares, respectively.</w:t>
      </w:r>
    </w:p>
    <w:p>
      <w:pPr>
        <w:spacing w:after="0" w:line="65" w:lineRule="exact"/>
        <w:rPr>
          <w:rFonts w:ascii="Arial" w:cs="Arial" w:eastAsia="Arial" w:hAnsi="Arial"/>
          <w:sz w:val="14"/>
          <w:szCs w:val="14"/>
          <w:color w:val="auto"/>
        </w:rPr>
      </w:pPr>
    </w:p>
    <w:p>
      <w:pPr>
        <w:ind w:left="540" w:hanging="424"/>
        <w:spacing w:after="0"/>
        <w:tabs>
          <w:tab w:leader="none" w:pos="5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Includes 761,421 shares issuable upon the exercise of stock options that are exercisable within 60 days of January 10,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92075</wp:posOffset>
            </wp:positionV>
            <wp:extent cx="986155" cy="2057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1CE"/>
        </w:rPr>
        <w:t>48</w:t>
      </w:r>
    </w:p>
    <w:p>
      <w:pPr>
        <w:sectPr>
          <w:pgSz w:w="11900" w:h="16838" w:orient="portrait"/>
          <w:cols w:equalWidth="0" w:num="1">
            <w:col w:w="11140"/>
          </w:cols>
          <w:pgMar w:left="320" w:top="459" w:right="43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spacing w:after="0"/>
        <w:tabs>
          <w:tab w:leader="none" w:pos="2640" w:val="left"/>
        </w:tabs>
        <w:rPr>
          <w:sz w:val="20"/>
          <w:szCs w:val="20"/>
          <w:color w:val="auto"/>
        </w:rPr>
      </w:pPr>
      <w:r>
        <w:rPr>
          <w:rFonts w:ascii="Arial" w:cs="Arial" w:eastAsia="Arial" w:hAnsi="Arial"/>
          <w:sz w:val="14"/>
          <w:szCs w:val="14"/>
          <w:b w:val="1"/>
          <w:bCs w:val="1"/>
          <w:color w:val="0071CE"/>
        </w:rPr>
        <w:t>2022 PROXY STATEMENT</w:t>
      </w:r>
      <w:r>
        <w:rPr>
          <w:sz w:val="20"/>
          <w:szCs w:val="20"/>
          <w:color w:val="auto"/>
        </w:rPr>
        <w:tab/>
      </w:r>
      <w:r>
        <w:rPr>
          <w:rFonts w:ascii="Arial" w:cs="Arial" w:eastAsia="Arial" w:hAnsi="Arial"/>
          <w:sz w:val="14"/>
          <w:szCs w:val="14"/>
          <w:b w:val="1"/>
          <w:bCs w:val="1"/>
          <w:i w:val="1"/>
          <w:iCs w:val="1"/>
          <w:color w:val="3FAE2A"/>
        </w:rPr>
        <w:t>Equity Compensation Plan Information</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1CE"/>
        </w:rPr>
        <w:t>Equity Compensation Plan Information</w:t>
      </w:r>
    </w:p>
    <w:p>
      <w:pPr>
        <w:spacing w:after="0" w:line="372" w:lineRule="exact"/>
        <w:rPr>
          <w:sz w:val="20"/>
          <w:szCs w:val="20"/>
          <w:color w:val="auto"/>
        </w:rPr>
      </w:pPr>
    </w:p>
    <w:p>
      <w:pPr>
        <w:ind w:left="120" w:right="400"/>
        <w:spacing w:after="0" w:line="260" w:lineRule="auto"/>
        <w:rPr>
          <w:sz w:val="20"/>
          <w:szCs w:val="20"/>
          <w:color w:val="auto"/>
        </w:rPr>
      </w:pPr>
      <w:r>
        <w:rPr>
          <w:rFonts w:ascii="Arial" w:cs="Arial" w:eastAsia="Arial" w:hAnsi="Arial"/>
          <w:sz w:val="16"/>
          <w:szCs w:val="16"/>
          <w:color w:val="auto"/>
        </w:rPr>
        <w:t>The following table provides information as of September 30, 2021 with respect to shares of our Common Stock that may be issued under our equity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139700</wp:posOffset>
            </wp:positionV>
            <wp:extent cx="6995160" cy="13633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5160" cy="136334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80"/>
        <w:spacing w:after="0" w:line="397" w:lineRule="auto"/>
        <w:rPr>
          <w:sz w:val="20"/>
          <w:szCs w:val="20"/>
          <w:color w:val="auto"/>
        </w:rPr>
      </w:pPr>
      <w:r>
        <w:rPr>
          <w:rFonts w:ascii="Arial" w:cs="Arial" w:eastAsia="Arial" w:hAnsi="Arial"/>
          <w:sz w:val="18"/>
          <w:szCs w:val="18"/>
          <w:color w:val="auto"/>
        </w:rPr>
        <w:t>Equity compensation plans approved by security holders (1) Equity compensation plans not approved by security holders (2)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-694055</wp:posOffset>
            </wp:positionV>
            <wp:extent cx="3471545" cy="2146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71545" cy="21463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-265430</wp:posOffset>
            </wp:positionV>
            <wp:extent cx="3471545" cy="2146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71545"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1620"/>
        <w:spacing w:after="0"/>
        <w:rPr>
          <w:sz w:val="20"/>
          <w:szCs w:val="20"/>
          <w:color w:val="auto"/>
        </w:rPr>
      </w:pPr>
      <w:r>
        <w:rPr>
          <w:rFonts w:ascii="Arial" w:cs="Arial" w:eastAsia="Arial" w:hAnsi="Arial"/>
          <w:sz w:val="14"/>
          <w:szCs w:val="14"/>
          <w:b w:val="1"/>
          <w:bCs w:val="1"/>
          <w:color w:val="FFFFFF"/>
        </w:rPr>
        <w:t>Equity Compensation Plan Information</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560" w:type="dxa"/>
            <w:vAlign w:val="bottom"/>
            <w:shd w:val="clear" w:color="auto" w:fill="0071CE"/>
          </w:tcPr>
          <w:p>
            <w:pPr>
              <w:spacing w:after="0"/>
              <w:rPr>
                <w:sz w:val="17"/>
                <w:szCs w:val="17"/>
                <w:color w:val="auto"/>
              </w:rPr>
            </w:pPr>
          </w:p>
        </w:tc>
        <w:tc>
          <w:tcPr>
            <w:tcW w:w="1840" w:type="dxa"/>
            <w:vAlign w:val="bottom"/>
            <w:shd w:val="clear" w:color="auto" w:fill="0071CE"/>
          </w:tcPr>
          <w:p>
            <w:pPr>
              <w:spacing w:after="0"/>
              <w:rPr>
                <w:sz w:val="17"/>
                <w:szCs w:val="17"/>
                <w:color w:val="auto"/>
              </w:rPr>
            </w:pPr>
          </w:p>
        </w:tc>
        <w:tc>
          <w:tcPr>
            <w:tcW w:w="216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Number of</w:t>
            </w:r>
          </w:p>
        </w:tc>
      </w:tr>
      <w:tr>
        <w:trPr>
          <w:trHeight w:val="162"/>
        </w:trPr>
        <w:tc>
          <w:tcPr>
            <w:tcW w:w="1560" w:type="dxa"/>
            <w:vAlign w:val="bottom"/>
            <w:shd w:val="clear" w:color="auto" w:fill="0071CE"/>
          </w:tcPr>
          <w:p>
            <w:pPr>
              <w:spacing w:after="0"/>
              <w:rPr>
                <w:sz w:val="14"/>
                <w:szCs w:val="14"/>
                <w:color w:val="auto"/>
              </w:rPr>
            </w:pPr>
          </w:p>
        </w:tc>
        <w:tc>
          <w:tcPr>
            <w:tcW w:w="1840" w:type="dxa"/>
            <w:vAlign w:val="bottom"/>
            <w:shd w:val="clear" w:color="auto" w:fill="0071CE"/>
          </w:tcPr>
          <w:p>
            <w:pPr>
              <w:spacing w:after="0"/>
              <w:rPr>
                <w:sz w:val="14"/>
                <w:szCs w:val="14"/>
                <w:color w:val="auto"/>
              </w:rPr>
            </w:pPr>
          </w:p>
        </w:tc>
        <w:tc>
          <w:tcPr>
            <w:tcW w:w="216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securities</w:t>
            </w:r>
          </w:p>
        </w:tc>
      </w:tr>
      <w:tr>
        <w:trPr>
          <w:trHeight w:val="162"/>
        </w:trPr>
        <w:tc>
          <w:tcPr>
            <w:tcW w:w="1560" w:type="dxa"/>
            <w:vAlign w:val="bottom"/>
            <w:shd w:val="clear" w:color="auto" w:fill="0071CE"/>
          </w:tcPr>
          <w:p>
            <w:pPr>
              <w:ind w:left="440"/>
              <w:spacing w:after="0"/>
              <w:rPr>
                <w:sz w:val="20"/>
                <w:szCs w:val="20"/>
                <w:color w:val="auto"/>
              </w:rPr>
            </w:pPr>
            <w:r>
              <w:rPr>
                <w:rFonts w:ascii="Arial" w:cs="Arial" w:eastAsia="Arial" w:hAnsi="Arial"/>
                <w:sz w:val="14"/>
                <w:szCs w:val="14"/>
                <w:b w:val="1"/>
                <w:bCs w:val="1"/>
                <w:color w:val="FFFFFF"/>
              </w:rPr>
              <w:t>Number of</w:t>
            </w:r>
          </w:p>
        </w:tc>
        <w:tc>
          <w:tcPr>
            <w:tcW w:w="1840" w:type="dxa"/>
            <w:vAlign w:val="bottom"/>
            <w:shd w:val="clear" w:color="auto" w:fill="0071CE"/>
          </w:tcPr>
          <w:p>
            <w:pPr>
              <w:spacing w:after="0"/>
              <w:rPr>
                <w:sz w:val="14"/>
                <w:szCs w:val="14"/>
                <w:color w:val="auto"/>
              </w:rPr>
            </w:pPr>
          </w:p>
        </w:tc>
        <w:tc>
          <w:tcPr>
            <w:tcW w:w="216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remaining</w:t>
            </w:r>
          </w:p>
        </w:tc>
      </w:tr>
      <w:tr>
        <w:trPr>
          <w:trHeight w:val="162"/>
        </w:trPr>
        <w:tc>
          <w:tcPr>
            <w:tcW w:w="156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Shares to</w:t>
            </w:r>
          </w:p>
        </w:tc>
        <w:tc>
          <w:tcPr>
            <w:tcW w:w="1840" w:type="dxa"/>
            <w:vAlign w:val="bottom"/>
            <w:shd w:val="clear" w:color="auto" w:fill="0071CE"/>
          </w:tcPr>
          <w:p>
            <w:pPr>
              <w:spacing w:after="0"/>
              <w:rPr>
                <w:sz w:val="14"/>
                <w:szCs w:val="14"/>
                <w:color w:val="auto"/>
              </w:rPr>
            </w:pPr>
          </w:p>
        </w:tc>
        <w:tc>
          <w:tcPr>
            <w:tcW w:w="216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available for</w:t>
            </w:r>
          </w:p>
        </w:tc>
      </w:tr>
      <w:tr>
        <w:trPr>
          <w:trHeight w:val="162"/>
        </w:trPr>
        <w:tc>
          <w:tcPr>
            <w:tcW w:w="156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be Issued</w:t>
            </w:r>
          </w:p>
        </w:tc>
        <w:tc>
          <w:tcPr>
            <w:tcW w:w="1840" w:type="dxa"/>
            <w:vAlign w:val="bottom"/>
            <w:shd w:val="clear" w:color="auto" w:fill="0071CE"/>
          </w:tcPr>
          <w:p>
            <w:pPr>
              <w:jc w:val="center"/>
              <w:ind w:right="123"/>
              <w:spacing w:after="0"/>
              <w:rPr>
                <w:sz w:val="20"/>
                <w:szCs w:val="20"/>
                <w:color w:val="auto"/>
              </w:rPr>
            </w:pPr>
            <w:r>
              <w:rPr>
                <w:rFonts w:ascii="Arial" w:cs="Arial" w:eastAsia="Arial" w:hAnsi="Arial"/>
                <w:sz w:val="14"/>
                <w:szCs w:val="14"/>
                <w:b w:val="1"/>
                <w:bCs w:val="1"/>
                <w:color w:val="FFFFFF"/>
              </w:rPr>
              <w:t>Weighted</w:t>
            </w:r>
          </w:p>
        </w:tc>
        <w:tc>
          <w:tcPr>
            <w:tcW w:w="216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future issuance</w:t>
            </w:r>
          </w:p>
        </w:tc>
      </w:tr>
      <w:tr>
        <w:trPr>
          <w:trHeight w:val="162"/>
        </w:trPr>
        <w:tc>
          <w:tcPr>
            <w:tcW w:w="156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upon</w:t>
            </w:r>
          </w:p>
        </w:tc>
        <w:tc>
          <w:tcPr>
            <w:tcW w:w="1840" w:type="dxa"/>
            <w:vAlign w:val="bottom"/>
            <w:shd w:val="clear" w:color="auto" w:fill="0071CE"/>
          </w:tcPr>
          <w:p>
            <w:pPr>
              <w:jc w:val="center"/>
              <w:ind w:right="123"/>
              <w:spacing w:after="0"/>
              <w:rPr>
                <w:sz w:val="20"/>
                <w:szCs w:val="20"/>
                <w:color w:val="auto"/>
              </w:rPr>
            </w:pPr>
            <w:r>
              <w:rPr>
                <w:rFonts w:ascii="Arial" w:cs="Arial" w:eastAsia="Arial" w:hAnsi="Arial"/>
                <w:sz w:val="14"/>
                <w:szCs w:val="14"/>
                <w:b w:val="1"/>
                <w:bCs w:val="1"/>
                <w:color w:val="FFFFFF"/>
              </w:rPr>
              <w:t>average</w:t>
            </w:r>
          </w:p>
        </w:tc>
        <w:tc>
          <w:tcPr>
            <w:tcW w:w="216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under equity</w:t>
            </w:r>
          </w:p>
        </w:tc>
      </w:tr>
      <w:tr>
        <w:trPr>
          <w:trHeight w:val="162"/>
        </w:trPr>
        <w:tc>
          <w:tcPr>
            <w:tcW w:w="1560" w:type="dxa"/>
            <w:vAlign w:val="bottom"/>
            <w:shd w:val="clear" w:color="auto" w:fill="0071CE"/>
          </w:tcPr>
          <w:p>
            <w:pPr>
              <w:ind w:left="420"/>
              <w:spacing w:after="0"/>
              <w:rPr>
                <w:sz w:val="20"/>
                <w:szCs w:val="20"/>
                <w:color w:val="auto"/>
              </w:rPr>
            </w:pPr>
            <w:r>
              <w:rPr>
                <w:rFonts w:ascii="Arial" w:cs="Arial" w:eastAsia="Arial" w:hAnsi="Arial"/>
                <w:sz w:val="14"/>
                <w:szCs w:val="14"/>
                <w:b w:val="1"/>
                <w:bCs w:val="1"/>
                <w:color w:val="FFFFFF"/>
              </w:rPr>
              <w:t>exercise of</w:t>
            </w:r>
          </w:p>
        </w:tc>
        <w:tc>
          <w:tcPr>
            <w:tcW w:w="1840" w:type="dxa"/>
            <w:vAlign w:val="bottom"/>
            <w:shd w:val="clear" w:color="auto" w:fill="0071CE"/>
          </w:tcPr>
          <w:p>
            <w:pPr>
              <w:jc w:val="center"/>
              <w:ind w:right="123"/>
              <w:spacing w:after="0"/>
              <w:rPr>
                <w:sz w:val="20"/>
                <w:szCs w:val="20"/>
                <w:color w:val="auto"/>
              </w:rPr>
            </w:pPr>
            <w:r>
              <w:rPr>
                <w:rFonts w:ascii="Arial" w:cs="Arial" w:eastAsia="Arial" w:hAnsi="Arial"/>
                <w:sz w:val="14"/>
                <w:szCs w:val="14"/>
                <w:b w:val="1"/>
                <w:bCs w:val="1"/>
                <w:color w:val="FFFFFF"/>
              </w:rPr>
              <w:t>exercise price</w:t>
            </w:r>
          </w:p>
        </w:tc>
        <w:tc>
          <w:tcPr>
            <w:tcW w:w="216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compensation</w:t>
            </w:r>
          </w:p>
        </w:tc>
      </w:tr>
      <w:tr>
        <w:trPr>
          <w:trHeight w:val="162"/>
        </w:trPr>
        <w:tc>
          <w:tcPr>
            <w:tcW w:w="156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outstanding</w:t>
            </w:r>
          </w:p>
        </w:tc>
        <w:tc>
          <w:tcPr>
            <w:tcW w:w="1840" w:type="dxa"/>
            <w:vAlign w:val="bottom"/>
            <w:shd w:val="clear" w:color="auto" w:fill="0071CE"/>
          </w:tcPr>
          <w:p>
            <w:pPr>
              <w:jc w:val="center"/>
              <w:ind w:right="123"/>
              <w:spacing w:after="0"/>
              <w:rPr>
                <w:sz w:val="20"/>
                <w:szCs w:val="20"/>
                <w:color w:val="auto"/>
              </w:rPr>
            </w:pPr>
            <w:r>
              <w:rPr>
                <w:rFonts w:ascii="Arial" w:cs="Arial" w:eastAsia="Arial" w:hAnsi="Arial"/>
                <w:sz w:val="14"/>
                <w:szCs w:val="14"/>
                <w:b w:val="1"/>
                <w:bCs w:val="1"/>
                <w:color w:val="FFFFFF"/>
              </w:rPr>
              <w:t>of outstanding</w:t>
            </w:r>
          </w:p>
        </w:tc>
        <w:tc>
          <w:tcPr>
            <w:tcW w:w="216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plans (excluding</w:t>
            </w:r>
          </w:p>
        </w:tc>
      </w:tr>
      <w:tr>
        <w:trPr>
          <w:trHeight w:val="162"/>
        </w:trPr>
        <w:tc>
          <w:tcPr>
            <w:tcW w:w="156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options,</w:t>
            </w:r>
          </w:p>
        </w:tc>
        <w:tc>
          <w:tcPr>
            <w:tcW w:w="1840" w:type="dxa"/>
            <w:vAlign w:val="bottom"/>
            <w:shd w:val="clear" w:color="auto" w:fill="0071CE"/>
          </w:tcPr>
          <w:p>
            <w:pPr>
              <w:jc w:val="center"/>
              <w:ind w:right="123"/>
              <w:spacing w:after="0"/>
              <w:rPr>
                <w:sz w:val="20"/>
                <w:szCs w:val="20"/>
                <w:color w:val="auto"/>
              </w:rPr>
            </w:pPr>
            <w:r>
              <w:rPr>
                <w:rFonts w:ascii="Arial" w:cs="Arial" w:eastAsia="Arial" w:hAnsi="Arial"/>
                <w:sz w:val="14"/>
                <w:szCs w:val="14"/>
                <w:b w:val="1"/>
                <w:bCs w:val="1"/>
                <w:color w:val="FFFFFF"/>
              </w:rPr>
              <w:t>options,</w:t>
            </w:r>
          </w:p>
        </w:tc>
        <w:tc>
          <w:tcPr>
            <w:tcW w:w="216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securities</w:t>
            </w:r>
          </w:p>
        </w:tc>
      </w:tr>
      <w:tr>
        <w:trPr>
          <w:trHeight w:val="162"/>
        </w:trPr>
        <w:tc>
          <w:tcPr>
            <w:tcW w:w="156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warrants</w:t>
            </w:r>
          </w:p>
        </w:tc>
        <w:tc>
          <w:tcPr>
            <w:tcW w:w="1840" w:type="dxa"/>
            <w:vAlign w:val="bottom"/>
            <w:shd w:val="clear" w:color="auto" w:fill="0071CE"/>
          </w:tcPr>
          <w:p>
            <w:pPr>
              <w:jc w:val="center"/>
              <w:ind w:right="123"/>
              <w:spacing w:after="0"/>
              <w:rPr>
                <w:sz w:val="20"/>
                <w:szCs w:val="20"/>
                <w:color w:val="auto"/>
              </w:rPr>
            </w:pPr>
            <w:r>
              <w:rPr>
                <w:rFonts w:ascii="Arial" w:cs="Arial" w:eastAsia="Arial" w:hAnsi="Arial"/>
                <w:sz w:val="14"/>
                <w:szCs w:val="14"/>
                <w:b w:val="1"/>
                <w:bCs w:val="1"/>
                <w:color w:val="FFFFFF"/>
              </w:rPr>
              <w:t>warrants and</w:t>
            </w:r>
          </w:p>
        </w:tc>
        <w:tc>
          <w:tcPr>
            <w:tcW w:w="216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reflected in</w:t>
            </w:r>
          </w:p>
        </w:tc>
      </w:tr>
      <w:tr>
        <w:trPr>
          <w:trHeight w:val="209"/>
        </w:trPr>
        <w:tc>
          <w:tcPr>
            <w:tcW w:w="1560" w:type="dxa"/>
            <w:vAlign w:val="bottom"/>
            <w:tcBorders>
              <w:bottom w:val="single" w:sz="8" w:color="0071CE"/>
            </w:tcBorders>
            <w:shd w:val="clear" w:color="auto" w:fill="0071CE"/>
          </w:tcPr>
          <w:p>
            <w:pPr>
              <w:ind w:left="460"/>
              <w:spacing w:after="0"/>
              <w:rPr>
                <w:sz w:val="20"/>
                <w:szCs w:val="20"/>
                <w:color w:val="auto"/>
              </w:rPr>
            </w:pPr>
            <w:r>
              <w:rPr>
                <w:rFonts w:ascii="Arial" w:cs="Arial" w:eastAsia="Arial" w:hAnsi="Arial"/>
                <w:sz w:val="14"/>
                <w:szCs w:val="14"/>
                <w:b w:val="1"/>
                <w:bCs w:val="1"/>
                <w:color w:val="FFFFFF"/>
              </w:rPr>
              <w:t>and rights</w:t>
            </w:r>
          </w:p>
        </w:tc>
        <w:tc>
          <w:tcPr>
            <w:tcW w:w="1840" w:type="dxa"/>
            <w:vAlign w:val="bottom"/>
            <w:tcBorders>
              <w:bottom w:val="single" w:sz="8" w:color="0071CE"/>
            </w:tcBorders>
            <w:shd w:val="clear" w:color="auto" w:fill="0071CE"/>
          </w:tcPr>
          <w:p>
            <w:pPr>
              <w:jc w:val="center"/>
              <w:ind w:right="123"/>
              <w:spacing w:after="0"/>
              <w:rPr>
                <w:sz w:val="20"/>
                <w:szCs w:val="20"/>
                <w:color w:val="auto"/>
              </w:rPr>
            </w:pPr>
            <w:r>
              <w:rPr>
                <w:rFonts w:ascii="Arial" w:cs="Arial" w:eastAsia="Arial" w:hAnsi="Arial"/>
                <w:sz w:val="14"/>
                <w:szCs w:val="14"/>
                <w:b w:val="1"/>
                <w:bCs w:val="1"/>
                <w:color w:val="FFFFFF"/>
              </w:rPr>
              <w:t>rights</w:t>
            </w:r>
          </w:p>
        </w:tc>
        <w:tc>
          <w:tcPr>
            <w:tcW w:w="216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rPr>
              <w:t>column (a))</w:t>
            </w:r>
          </w:p>
        </w:tc>
      </w:tr>
      <w:tr>
        <w:trPr>
          <w:trHeight w:val="318"/>
        </w:trPr>
        <w:tc>
          <w:tcPr>
            <w:tcW w:w="1560" w:type="dxa"/>
            <w:vAlign w:val="bottom"/>
            <w:tcBorders>
              <w:bottom w:val="single" w:sz="8" w:color="E5E5E5"/>
            </w:tcBorders>
            <w:shd w:val="clear" w:color="auto" w:fill="E5E5E5"/>
          </w:tcPr>
          <w:p>
            <w:pPr>
              <w:ind w:left="460"/>
              <w:spacing w:after="0"/>
              <w:rPr>
                <w:sz w:val="20"/>
                <w:szCs w:val="20"/>
                <w:color w:val="auto"/>
              </w:rPr>
            </w:pPr>
            <w:r>
              <w:rPr>
                <w:rFonts w:ascii="Arial" w:cs="Arial" w:eastAsia="Arial" w:hAnsi="Arial"/>
                <w:sz w:val="18"/>
                <w:szCs w:val="18"/>
                <w:color w:val="auto"/>
              </w:rPr>
              <w:t>5,728,524</w:t>
            </w:r>
          </w:p>
        </w:tc>
        <w:tc>
          <w:tcPr>
            <w:tcW w:w="1840" w:type="dxa"/>
            <w:vAlign w:val="bottom"/>
            <w:tcBorders>
              <w:bottom w:val="single" w:sz="8" w:color="E5E5E5"/>
            </w:tcBorders>
            <w:shd w:val="clear" w:color="auto" w:fill="E5E5E5"/>
          </w:tcPr>
          <w:p>
            <w:pPr>
              <w:jc w:val="center"/>
              <w:ind w:right="123"/>
              <w:spacing w:after="0"/>
              <w:rPr>
                <w:sz w:val="20"/>
                <w:szCs w:val="20"/>
                <w:color w:val="auto"/>
              </w:rPr>
            </w:pPr>
            <w:r>
              <w:rPr>
                <w:rFonts w:ascii="Arial" w:cs="Arial" w:eastAsia="Arial" w:hAnsi="Arial"/>
                <w:sz w:val="18"/>
                <w:szCs w:val="18"/>
                <w:color w:val="auto"/>
              </w:rPr>
              <w:t>$13.09</w:t>
            </w:r>
          </w:p>
        </w:tc>
        <w:tc>
          <w:tcPr>
            <w:tcW w:w="2160" w:type="dxa"/>
            <w:vAlign w:val="bottom"/>
            <w:tcBorders>
              <w:bottom w:val="single" w:sz="8" w:color="E5E5E5"/>
            </w:tcBorders>
            <w:shd w:val="clear" w:color="auto" w:fill="E5E5E5"/>
          </w:tcPr>
          <w:p>
            <w:pPr>
              <w:jc w:val="right"/>
              <w:ind w:right="524"/>
              <w:spacing w:after="0"/>
              <w:rPr>
                <w:sz w:val="20"/>
                <w:szCs w:val="20"/>
                <w:color w:val="auto"/>
              </w:rPr>
            </w:pPr>
            <w:r>
              <w:rPr>
                <w:rFonts w:ascii="Arial" w:cs="Arial" w:eastAsia="Arial" w:hAnsi="Arial"/>
                <w:sz w:val="18"/>
                <w:szCs w:val="18"/>
                <w:color w:val="auto"/>
              </w:rPr>
              <w:t>8,013,790</w:t>
            </w:r>
          </w:p>
        </w:tc>
      </w:tr>
      <w:tr>
        <w:trPr>
          <w:trHeight w:val="283"/>
        </w:trPr>
        <w:tc>
          <w:tcPr>
            <w:tcW w:w="1560" w:type="dxa"/>
            <w:vAlign w:val="bottom"/>
          </w:tcPr>
          <w:p>
            <w:pPr>
              <w:ind w:left="460"/>
              <w:spacing w:after="0"/>
              <w:rPr>
                <w:sz w:val="20"/>
                <w:szCs w:val="20"/>
                <w:color w:val="auto"/>
              </w:rPr>
            </w:pPr>
            <w:r>
              <w:rPr>
                <w:rFonts w:ascii="Arial" w:cs="Arial" w:eastAsia="Arial" w:hAnsi="Arial"/>
                <w:sz w:val="18"/>
                <w:szCs w:val="18"/>
                <w:color w:val="auto"/>
              </w:rPr>
              <w:t>1,559,565</w:t>
            </w:r>
          </w:p>
        </w:tc>
        <w:tc>
          <w:tcPr>
            <w:tcW w:w="1840" w:type="dxa"/>
            <w:vAlign w:val="bottom"/>
          </w:tcPr>
          <w:p>
            <w:pPr>
              <w:jc w:val="center"/>
              <w:ind w:right="123"/>
              <w:spacing w:after="0"/>
              <w:rPr>
                <w:sz w:val="20"/>
                <w:szCs w:val="20"/>
                <w:color w:val="auto"/>
              </w:rPr>
            </w:pPr>
            <w:r>
              <w:rPr>
                <w:rFonts w:ascii="Arial" w:cs="Arial" w:eastAsia="Arial" w:hAnsi="Arial"/>
                <w:sz w:val="18"/>
                <w:szCs w:val="18"/>
                <w:color w:val="auto"/>
              </w:rPr>
              <w:t>$36.59</w:t>
            </w:r>
          </w:p>
        </w:tc>
        <w:tc>
          <w:tcPr>
            <w:tcW w:w="2160" w:type="dxa"/>
            <w:vAlign w:val="bottom"/>
          </w:tcPr>
          <w:p>
            <w:pPr>
              <w:jc w:val="right"/>
              <w:ind w:right="624"/>
              <w:spacing w:after="0"/>
              <w:rPr>
                <w:sz w:val="20"/>
                <w:szCs w:val="20"/>
                <w:color w:val="auto"/>
              </w:rPr>
            </w:pPr>
            <w:r>
              <w:rPr>
                <w:rFonts w:ascii="Arial" w:cs="Arial" w:eastAsia="Arial" w:hAnsi="Arial"/>
                <w:sz w:val="18"/>
                <w:szCs w:val="18"/>
                <w:color w:val="auto"/>
              </w:rPr>
              <w:t>—</w:t>
            </w:r>
          </w:p>
        </w:tc>
      </w:tr>
      <w:tr>
        <w:trPr>
          <w:trHeight w:val="54"/>
        </w:trPr>
        <w:tc>
          <w:tcPr>
            <w:tcW w:w="1560" w:type="dxa"/>
            <w:vAlign w:val="bottom"/>
            <w:tcBorders>
              <w:bottom w:val="single" w:sz="8" w:color="0071CE"/>
            </w:tcBorders>
          </w:tcPr>
          <w:p>
            <w:pPr>
              <w:spacing w:after="0"/>
              <w:rPr>
                <w:sz w:val="4"/>
                <w:szCs w:val="4"/>
                <w:color w:val="auto"/>
              </w:rPr>
            </w:pPr>
          </w:p>
        </w:tc>
        <w:tc>
          <w:tcPr>
            <w:tcW w:w="1840" w:type="dxa"/>
            <w:vAlign w:val="bottom"/>
            <w:tcBorders>
              <w:bottom w:val="single" w:sz="8" w:color="0071CE"/>
            </w:tcBorders>
          </w:tcPr>
          <w:p>
            <w:pPr>
              <w:spacing w:after="0"/>
              <w:rPr>
                <w:sz w:val="4"/>
                <w:szCs w:val="4"/>
                <w:color w:val="auto"/>
              </w:rPr>
            </w:pPr>
          </w:p>
        </w:tc>
        <w:tc>
          <w:tcPr>
            <w:tcW w:w="2160" w:type="dxa"/>
            <w:vAlign w:val="bottom"/>
            <w:tcBorders>
              <w:bottom w:val="single" w:sz="8" w:color="0071CE"/>
            </w:tcBorders>
          </w:tcPr>
          <w:p>
            <w:pPr>
              <w:spacing w:after="0"/>
              <w:rPr>
                <w:sz w:val="4"/>
                <w:szCs w:val="4"/>
                <w:color w:val="auto"/>
              </w:rPr>
            </w:pPr>
          </w:p>
        </w:tc>
      </w:tr>
      <w:tr>
        <w:trPr>
          <w:trHeight w:val="263"/>
        </w:trPr>
        <w:tc>
          <w:tcPr>
            <w:tcW w:w="1560" w:type="dxa"/>
            <w:vAlign w:val="bottom"/>
            <w:shd w:val="clear" w:color="auto" w:fill="E5E5E5"/>
          </w:tcPr>
          <w:p>
            <w:pPr>
              <w:ind w:left="460"/>
              <w:spacing w:after="0"/>
              <w:rPr>
                <w:sz w:val="20"/>
                <w:szCs w:val="20"/>
                <w:color w:val="auto"/>
              </w:rPr>
            </w:pPr>
            <w:r>
              <w:rPr>
                <w:rFonts w:ascii="Arial" w:cs="Arial" w:eastAsia="Arial" w:hAnsi="Arial"/>
                <w:sz w:val="18"/>
                <w:szCs w:val="18"/>
                <w:color w:val="auto"/>
              </w:rPr>
              <w:t>7,288,089</w:t>
            </w:r>
          </w:p>
        </w:tc>
        <w:tc>
          <w:tcPr>
            <w:tcW w:w="1840" w:type="dxa"/>
            <w:vAlign w:val="bottom"/>
            <w:shd w:val="clear" w:color="auto" w:fill="E5E5E5"/>
          </w:tcPr>
          <w:p>
            <w:pPr>
              <w:jc w:val="center"/>
              <w:ind w:right="123"/>
              <w:spacing w:after="0"/>
              <w:rPr>
                <w:sz w:val="20"/>
                <w:szCs w:val="20"/>
                <w:color w:val="auto"/>
              </w:rPr>
            </w:pPr>
            <w:r>
              <w:rPr>
                <w:rFonts w:ascii="Arial" w:cs="Arial" w:eastAsia="Arial" w:hAnsi="Arial"/>
                <w:sz w:val="18"/>
                <w:szCs w:val="18"/>
                <w:color w:val="auto"/>
              </w:rPr>
              <w:t>$19.60</w:t>
            </w:r>
          </w:p>
        </w:tc>
        <w:tc>
          <w:tcPr>
            <w:tcW w:w="2160" w:type="dxa"/>
            <w:vAlign w:val="bottom"/>
            <w:shd w:val="clear" w:color="auto" w:fill="E5E5E5"/>
          </w:tcPr>
          <w:p>
            <w:pPr>
              <w:jc w:val="right"/>
              <w:ind w:right="524"/>
              <w:spacing w:after="0"/>
              <w:rPr>
                <w:sz w:val="20"/>
                <w:szCs w:val="20"/>
                <w:color w:val="auto"/>
              </w:rPr>
            </w:pPr>
            <w:r>
              <w:rPr>
                <w:rFonts w:ascii="Arial" w:cs="Arial" w:eastAsia="Arial" w:hAnsi="Arial"/>
                <w:sz w:val="18"/>
                <w:szCs w:val="18"/>
                <w:color w:val="auto"/>
              </w:rPr>
              <w:t>8,013,790</w:t>
            </w:r>
          </w:p>
        </w:tc>
      </w:tr>
      <w:tr>
        <w:trPr>
          <w:trHeight w:val="54"/>
        </w:trPr>
        <w:tc>
          <w:tcPr>
            <w:tcW w:w="1560" w:type="dxa"/>
            <w:vAlign w:val="bottom"/>
            <w:shd w:val="clear" w:color="auto" w:fill="E5E5E5"/>
          </w:tcPr>
          <w:p>
            <w:pPr>
              <w:spacing w:after="0"/>
              <w:rPr>
                <w:sz w:val="4"/>
                <w:szCs w:val="4"/>
                <w:color w:val="auto"/>
              </w:rPr>
            </w:pPr>
          </w:p>
        </w:tc>
        <w:tc>
          <w:tcPr>
            <w:tcW w:w="1840" w:type="dxa"/>
            <w:vAlign w:val="bottom"/>
            <w:shd w:val="clear" w:color="auto" w:fill="E5E5E5"/>
          </w:tcPr>
          <w:p>
            <w:pPr>
              <w:spacing w:after="0"/>
              <w:rPr>
                <w:sz w:val="4"/>
                <w:szCs w:val="4"/>
                <w:color w:val="auto"/>
              </w:rPr>
            </w:pPr>
          </w:p>
        </w:tc>
        <w:tc>
          <w:tcPr>
            <w:tcW w:w="2160" w:type="dxa"/>
            <w:vAlign w:val="bottom"/>
            <w:shd w:val="clear" w:color="auto" w:fill="E5E5E5"/>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0</wp:posOffset>
            </wp:positionV>
            <wp:extent cx="699516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9" w:lineRule="exact"/>
        <w:rPr>
          <w:sz w:val="20"/>
          <w:szCs w:val="20"/>
          <w:color w:val="auto"/>
        </w:rPr>
      </w:pPr>
    </w:p>
    <w:p>
      <w:pPr>
        <w:sectPr>
          <w:pgSz w:w="11900" w:h="16838" w:orient="portrait"/>
          <w:cols w:equalWidth="0" w:num="2">
            <w:col w:w="5260" w:space="320"/>
            <w:col w:w="5560"/>
          </w:cols>
          <w:pgMar w:left="320" w:top="459" w:right="439" w:bottom="1440" w:gutter="0" w:footer="0" w:header="0"/>
          <w:type w:val="continuous"/>
        </w:sectPr>
      </w:pPr>
    </w:p>
    <w:p>
      <w:pPr>
        <w:ind w:left="540" w:right="20" w:hanging="424"/>
        <w:spacing w:after="0" w:line="253" w:lineRule="auto"/>
        <w:tabs>
          <w:tab w:leader="none" w:pos="5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Includes options outstanding representing 429,141, 2,066,533 and 3,000 shares of Common Stock under the 2004 Equity Incentive Plan, the 2013 Incentive Plan, and the 2021 Incentive Plan, respectively. Also includes 3,159,450 and 70,400 restricted stock units subject to the 2013 Incentive Plan and the 2021 Incentive Plan, respectively.</w:t>
      </w:r>
    </w:p>
    <w:p>
      <w:pPr>
        <w:spacing w:after="0" w:line="227" w:lineRule="exact"/>
        <w:rPr>
          <w:rFonts w:ascii="Arial" w:cs="Arial" w:eastAsia="Arial" w:hAnsi="Arial"/>
          <w:sz w:val="14"/>
          <w:szCs w:val="14"/>
          <w:color w:val="auto"/>
        </w:rPr>
      </w:pPr>
    </w:p>
    <w:p>
      <w:pPr>
        <w:ind w:left="540" w:hanging="424"/>
        <w:spacing w:after="0"/>
        <w:tabs>
          <w:tab w:leader="none" w:pos="5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Includes 957,565 inducement option grants and 602,000 inducement restricted stock unit grants issued to newly hired employees.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C4C4C"/>
        </w:rPr>
        <w:t>Current Executive Officers of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57150</wp:posOffset>
            </wp:positionV>
            <wp:extent cx="699516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6" w:lineRule="exact"/>
        <w:rPr>
          <w:sz w:val="20"/>
          <w:szCs w:val="20"/>
          <w:color w:val="auto"/>
        </w:rPr>
      </w:pPr>
    </w:p>
    <w:p>
      <w:pPr>
        <w:ind w:left="120" w:right="240"/>
        <w:spacing w:after="0" w:line="260" w:lineRule="auto"/>
        <w:rPr>
          <w:sz w:val="20"/>
          <w:szCs w:val="20"/>
          <w:color w:val="auto"/>
        </w:rPr>
      </w:pPr>
      <w:r>
        <w:rPr>
          <w:rFonts w:ascii="Arial" w:cs="Arial" w:eastAsia="Arial" w:hAnsi="Arial"/>
          <w:sz w:val="16"/>
          <w:szCs w:val="16"/>
          <w:color w:val="auto"/>
        </w:rPr>
        <w:t>The names, ages and positions of our current executive officers serving as of January 10, 2022 are provided below. Biographical information regarding these officers is set forth under the following table, except for Dr. Anzalone, whose biography is set forth above with our other directors.</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299"/>
        </w:trPr>
        <w:tc>
          <w:tcPr>
            <w:tcW w:w="3080" w:type="dxa"/>
            <w:vAlign w:val="bottom"/>
            <w:shd w:val="clear" w:color="auto" w:fill="0071CE"/>
          </w:tcPr>
          <w:p>
            <w:pPr>
              <w:ind w:left="60"/>
              <w:spacing w:after="0"/>
              <w:rPr>
                <w:sz w:val="20"/>
                <w:szCs w:val="20"/>
                <w:color w:val="auto"/>
              </w:rPr>
            </w:pPr>
            <w:r>
              <w:rPr>
                <w:rFonts w:ascii="Arial" w:cs="Arial" w:eastAsia="Arial" w:hAnsi="Arial"/>
                <w:sz w:val="14"/>
                <w:szCs w:val="14"/>
                <w:b w:val="1"/>
                <w:bCs w:val="1"/>
                <w:color w:val="FFFFFF"/>
              </w:rPr>
              <w:t>Name</w:t>
            </w:r>
          </w:p>
        </w:tc>
        <w:tc>
          <w:tcPr>
            <w:tcW w:w="660" w:type="dxa"/>
            <w:vAlign w:val="bottom"/>
            <w:shd w:val="clear" w:color="auto" w:fill="0071CE"/>
          </w:tcPr>
          <w:p>
            <w:pPr>
              <w:jc w:val="center"/>
              <w:ind w:left="13"/>
              <w:spacing w:after="0"/>
              <w:rPr>
                <w:sz w:val="20"/>
                <w:szCs w:val="20"/>
                <w:color w:val="auto"/>
              </w:rPr>
            </w:pPr>
            <w:r>
              <w:rPr>
                <w:rFonts w:ascii="Arial" w:cs="Arial" w:eastAsia="Arial" w:hAnsi="Arial"/>
                <w:sz w:val="14"/>
                <w:szCs w:val="14"/>
                <w:b w:val="1"/>
                <w:bCs w:val="1"/>
                <w:color w:val="FFFFFF"/>
              </w:rPr>
              <w:t>Age</w:t>
            </w:r>
          </w:p>
        </w:tc>
        <w:tc>
          <w:tcPr>
            <w:tcW w:w="7280" w:type="dxa"/>
            <w:vAlign w:val="bottom"/>
            <w:shd w:val="clear" w:color="auto" w:fill="0071CE"/>
          </w:tcPr>
          <w:p>
            <w:pPr>
              <w:ind w:left="2900"/>
              <w:spacing w:after="0"/>
              <w:rPr>
                <w:sz w:val="20"/>
                <w:szCs w:val="20"/>
                <w:color w:val="auto"/>
              </w:rPr>
            </w:pPr>
            <w:r>
              <w:rPr>
                <w:rFonts w:ascii="Arial" w:cs="Arial" w:eastAsia="Arial" w:hAnsi="Arial"/>
                <w:sz w:val="14"/>
                <w:szCs w:val="14"/>
                <w:b w:val="1"/>
                <w:bCs w:val="1"/>
                <w:color w:val="FFFFFF"/>
              </w:rPr>
              <w:t>Position with Arrowhead</w:t>
            </w:r>
          </w:p>
        </w:tc>
      </w:tr>
      <w:tr>
        <w:trPr>
          <w:trHeight w:val="66"/>
        </w:trPr>
        <w:tc>
          <w:tcPr>
            <w:tcW w:w="3080" w:type="dxa"/>
            <w:vAlign w:val="bottom"/>
            <w:shd w:val="clear" w:color="auto" w:fill="0071CE"/>
          </w:tcPr>
          <w:p>
            <w:pPr>
              <w:spacing w:after="0"/>
              <w:rPr>
                <w:sz w:val="5"/>
                <w:szCs w:val="5"/>
                <w:color w:val="auto"/>
              </w:rPr>
            </w:pPr>
          </w:p>
        </w:tc>
        <w:tc>
          <w:tcPr>
            <w:tcW w:w="660" w:type="dxa"/>
            <w:vAlign w:val="bottom"/>
            <w:shd w:val="clear" w:color="auto" w:fill="0071CE"/>
          </w:tcPr>
          <w:p>
            <w:pPr>
              <w:spacing w:after="0"/>
              <w:rPr>
                <w:sz w:val="5"/>
                <w:szCs w:val="5"/>
                <w:color w:val="auto"/>
              </w:rPr>
            </w:pPr>
          </w:p>
        </w:tc>
        <w:tc>
          <w:tcPr>
            <w:tcW w:w="7280" w:type="dxa"/>
            <w:vAlign w:val="bottom"/>
            <w:shd w:val="clear" w:color="auto" w:fill="0071CE"/>
          </w:tcPr>
          <w:p>
            <w:pPr>
              <w:spacing w:after="0"/>
              <w:rPr>
                <w:sz w:val="5"/>
                <w:szCs w:val="5"/>
                <w:color w:val="auto"/>
              </w:rPr>
            </w:pPr>
          </w:p>
        </w:tc>
      </w:tr>
      <w:tr>
        <w:trPr>
          <w:trHeight w:val="277"/>
        </w:trPr>
        <w:tc>
          <w:tcPr>
            <w:tcW w:w="308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8"/>
                <w:szCs w:val="18"/>
                <w:color w:val="auto"/>
              </w:rPr>
              <w:t>Christopher Anzalone</w:t>
            </w:r>
          </w:p>
        </w:tc>
        <w:tc>
          <w:tcPr>
            <w:tcW w:w="660" w:type="dxa"/>
            <w:vAlign w:val="bottom"/>
            <w:tcBorders>
              <w:bottom w:val="single" w:sz="8" w:color="E5E5E5"/>
            </w:tcBorders>
            <w:shd w:val="clear" w:color="auto" w:fill="E5E5E5"/>
          </w:tcPr>
          <w:p>
            <w:pPr>
              <w:jc w:val="center"/>
              <w:ind w:left="13"/>
              <w:spacing w:after="0"/>
              <w:rPr>
                <w:sz w:val="20"/>
                <w:szCs w:val="20"/>
                <w:color w:val="auto"/>
              </w:rPr>
            </w:pPr>
            <w:r>
              <w:rPr>
                <w:rFonts w:ascii="Arial" w:cs="Arial" w:eastAsia="Arial" w:hAnsi="Arial"/>
                <w:sz w:val="18"/>
                <w:szCs w:val="18"/>
                <w:color w:val="auto"/>
                <w:w w:val="99"/>
              </w:rPr>
              <w:t>52</w:t>
            </w:r>
          </w:p>
        </w:tc>
        <w:tc>
          <w:tcPr>
            <w:tcW w:w="7280" w:type="dxa"/>
            <w:vAlign w:val="bottom"/>
            <w:tcBorders>
              <w:bottom w:val="single" w:sz="8" w:color="E5E5E5"/>
            </w:tcBorders>
            <w:shd w:val="clear" w:color="auto" w:fill="E5E5E5"/>
          </w:tcPr>
          <w:p>
            <w:pPr>
              <w:ind w:left="220"/>
              <w:spacing w:after="0"/>
              <w:rPr>
                <w:sz w:val="20"/>
                <w:szCs w:val="20"/>
                <w:color w:val="auto"/>
              </w:rPr>
            </w:pPr>
            <w:r>
              <w:rPr>
                <w:rFonts w:ascii="Arial" w:cs="Arial" w:eastAsia="Arial" w:hAnsi="Arial"/>
                <w:sz w:val="18"/>
                <w:szCs w:val="18"/>
                <w:color w:val="auto"/>
              </w:rPr>
              <w:t>Chief Executive Officer &amp; President and Director</w:t>
            </w:r>
          </w:p>
        </w:tc>
      </w:tr>
      <w:tr>
        <w:trPr>
          <w:trHeight w:val="270"/>
        </w:trPr>
        <w:tc>
          <w:tcPr>
            <w:tcW w:w="3080" w:type="dxa"/>
            <w:vAlign w:val="bottom"/>
          </w:tcPr>
          <w:p>
            <w:pPr>
              <w:ind w:left="60"/>
              <w:spacing w:after="0"/>
              <w:rPr>
                <w:sz w:val="20"/>
                <w:szCs w:val="20"/>
                <w:color w:val="auto"/>
              </w:rPr>
            </w:pPr>
            <w:r>
              <w:rPr>
                <w:rFonts w:ascii="Arial" w:cs="Arial" w:eastAsia="Arial" w:hAnsi="Arial"/>
                <w:sz w:val="18"/>
                <w:szCs w:val="18"/>
                <w:color w:val="auto"/>
              </w:rPr>
              <w:t>Kenneth A. Myszkowski</w:t>
            </w:r>
          </w:p>
        </w:tc>
        <w:tc>
          <w:tcPr>
            <w:tcW w:w="660" w:type="dxa"/>
            <w:vAlign w:val="bottom"/>
          </w:tcPr>
          <w:p>
            <w:pPr>
              <w:jc w:val="center"/>
              <w:ind w:left="13"/>
              <w:spacing w:after="0"/>
              <w:rPr>
                <w:sz w:val="20"/>
                <w:szCs w:val="20"/>
                <w:color w:val="auto"/>
              </w:rPr>
            </w:pPr>
            <w:r>
              <w:rPr>
                <w:rFonts w:ascii="Arial" w:cs="Arial" w:eastAsia="Arial" w:hAnsi="Arial"/>
                <w:sz w:val="18"/>
                <w:szCs w:val="18"/>
                <w:color w:val="auto"/>
                <w:w w:val="99"/>
              </w:rPr>
              <w:t>55</w:t>
            </w:r>
          </w:p>
        </w:tc>
        <w:tc>
          <w:tcPr>
            <w:tcW w:w="7280" w:type="dxa"/>
            <w:vAlign w:val="bottom"/>
          </w:tcPr>
          <w:p>
            <w:pPr>
              <w:ind w:left="220"/>
              <w:spacing w:after="0"/>
              <w:rPr>
                <w:sz w:val="20"/>
                <w:szCs w:val="20"/>
                <w:color w:val="auto"/>
              </w:rPr>
            </w:pPr>
            <w:r>
              <w:rPr>
                <w:rFonts w:ascii="Arial" w:cs="Arial" w:eastAsia="Arial" w:hAnsi="Arial"/>
                <w:sz w:val="18"/>
                <w:szCs w:val="18"/>
                <w:color w:val="auto"/>
              </w:rPr>
              <w:t>Chief Financial Officer</w:t>
            </w:r>
          </w:p>
        </w:tc>
      </w:tr>
      <w:tr>
        <w:trPr>
          <w:trHeight w:val="40"/>
        </w:trPr>
        <w:tc>
          <w:tcPr>
            <w:tcW w:w="30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80" w:type="dxa"/>
            <w:vAlign w:val="bottom"/>
          </w:tcPr>
          <w:p>
            <w:pPr>
              <w:spacing w:after="0"/>
              <w:rPr>
                <w:sz w:val="3"/>
                <w:szCs w:val="3"/>
                <w:color w:val="auto"/>
              </w:rPr>
            </w:pPr>
          </w:p>
        </w:tc>
      </w:tr>
      <w:tr>
        <w:trPr>
          <w:trHeight w:val="290"/>
        </w:trPr>
        <w:tc>
          <w:tcPr>
            <w:tcW w:w="308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8"/>
                <w:szCs w:val="18"/>
                <w:color w:val="auto"/>
              </w:rPr>
              <w:t>Javier San Martin</w:t>
            </w:r>
          </w:p>
        </w:tc>
        <w:tc>
          <w:tcPr>
            <w:tcW w:w="660" w:type="dxa"/>
            <w:vAlign w:val="bottom"/>
            <w:tcBorders>
              <w:bottom w:val="single" w:sz="8" w:color="E5E5E5"/>
            </w:tcBorders>
            <w:shd w:val="clear" w:color="auto" w:fill="E5E5E5"/>
          </w:tcPr>
          <w:p>
            <w:pPr>
              <w:jc w:val="center"/>
              <w:ind w:left="13"/>
              <w:spacing w:after="0"/>
              <w:rPr>
                <w:sz w:val="20"/>
                <w:szCs w:val="20"/>
                <w:color w:val="auto"/>
              </w:rPr>
            </w:pPr>
            <w:r>
              <w:rPr>
                <w:rFonts w:ascii="Arial" w:cs="Arial" w:eastAsia="Arial" w:hAnsi="Arial"/>
                <w:sz w:val="18"/>
                <w:szCs w:val="18"/>
                <w:color w:val="auto"/>
                <w:w w:val="99"/>
              </w:rPr>
              <w:t>56</w:t>
            </w:r>
          </w:p>
        </w:tc>
        <w:tc>
          <w:tcPr>
            <w:tcW w:w="7280" w:type="dxa"/>
            <w:vAlign w:val="bottom"/>
            <w:tcBorders>
              <w:bottom w:val="single" w:sz="8" w:color="E5E5E5"/>
            </w:tcBorders>
            <w:shd w:val="clear" w:color="auto" w:fill="E5E5E5"/>
          </w:tcPr>
          <w:p>
            <w:pPr>
              <w:ind w:left="220"/>
              <w:spacing w:after="0"/>
              <w:rPr>
                <w:sz w:val="20"/>
                <w:szCs w:val="20"/>
                <w:color w:val="auto"/>
              </w:rPr>
            </w:pPr>
            <w:r>
              <w:rPr>
                <w:rFonts w:ascii="Arial" w:cs="Arial" w:eastAsia="Arial" w:hAnsi="Arial"/>
                <w:sz w:val="18"/>
                <w:szCs w:val="18"/>
                <w:color w:val="auto"/>
              </w:rPr>
              <w:t>Chief Medical Officer</w:t>
            </w:r>
          </w:p>
        </w:tc>
      </w:tr>
      <w:tr>
        <w:trPr>
          <w:trHeight w:val="270"/>
        </w:trPr>
        <w:tc>
          <w:tcPr>
            <w:tcW w:w="3080" w:type="dxa"/>
            <w:vAlign w:val="bottom"/>
          </w:tcPr>
          <w:p>
            <w:pPr>
              <w:ind w:left="60"/>
              <w:spacing w:after="0"/>
              <w:rPr>
                <w:sz w:val="20"/>
                <w:szCs w:val="20"/>
                <w:color w:val="auto"/>
              </w:rPr>
            </w:pPr>
            <w:r>
              <w:rPr>
                <w:rFonts w:ascii="Arial" w:cs="Arial" w:eastAsia="Arial" w:hAnsi="Arial"/>
                <w:sz w:val="18"/>
                <w:szCs w:val="18"/>
                <w:color w:val="auto"/>
              </w:rPr>
              <w:t>James Hamilton</w:t>
            </w:r>
          </w:p>
        </w:tc>
        <w:tc>
          <w:tcPr>
            <w:tcW w:w="660" w:type="dxa"/>
            <w:vAlign w:val="bottom"/>
          </w:tcPr>
          <w:p>
            <w:pPr>
              <w:jc w:val="center"/>
              <w:ind w:left="13"/>
              <w:spacing w:after="0"/>
              <w:rPr>
                <w:sz w:val="20"/>
                <w:szCs w:val="20"/>
                <w:color w:val="auto"/>
              </w:rPr>
            </w:pPr>
            <w:r>
              <w:rPr>
                <w:rFonts w:ascii="Arial" w:cs="Arial" w:eastAsia="Arial" w:hAnsi="Arial"/>
                <w:sz w:val="18"/>
                <w:szCs w:val="18"/>
                <w:color w:val="auto"/>
                <w:w w:val="99"/>
              </w:rPr>
              <w:t>44</w:t>
            </w:r>
          </w:p>
        </w:tc>
        <w:tc>
          <w:tcPr>
            <w:tcW w:w="7280" w:type="dxa"/>
            <w:vAlign w:val="bottom"/>
          </w:tcPr>
          <w:p>
            <w:pPr>
              <w:ind w:left="220"/>
              <w:spacing w:after="0"/>
              <w:rPr>
                <w:sz w:val="20"/>
                <w:szCs w:val="20"/>
                <w:color w:val="auto"/>
              </w:rPr>
            </w:pPr>
            <w:r>
              <w:rPr>
                <w:rFonts w:ascii="Arial" w:cs="Arial" w:eastAsia="Arial" w:hAnsi="Arial"/>
                <w:sz w:val="18"/>
                <w:szCs w:val="18"/>
                <w:color w:val="auto"/>
              </w:rPr>
              <w:t>Senior Vice President, Discovery and Translational Medicine</w:t>
            </w:r>
          </w:p>
        </w:tc>
      </w:tr>
      <w:tr>
        <w:trPr>
          <w:trHeight w:val="40"/>
        </w:trPr>
        <w:tc>
          <w:tcPr>
            <w:tcW w:w="30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80" w:type="dxa"/>
            <w:vAlign w:val="bottom"/>
          </w:tcPr>
          <w:p>
            <w:pPr>
              <w:spacing w:after="0"/>
              <w:rPr>
                <w:sz w:val="3"/>
                <w:szCs w:val="3"/>
                <w:color w:val="auto"/>
              </w:rPr>
            </w:pPr>
          </w:p>
        </w:tc>
      </w:tr>
      <w:tr>
        <w:trPr>
          <w:trHeight w:val="290"/>
        </w:trPr>
        <w:tc>
          <w:tcPr>
            <w:tcW w:w="308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8"/>
                <w:szCs w:val="18"/>
                <w:color w:val="auto"/>
              </w:rPr>
              <w:t>Patrick O’Brien</w:t>
            </w:r>
          </w:p>
        </w:tc>
        <w:tc>
          <w:tcPr>
            <w:tcW w:w="660" w:type="dxa"/>
            <w:vAlign w:val="bottom"/>
            <w:tcBorders>
              <w:bottom w:val="single" w:sz="8" w:color="E5E5E5"/>
            </w:tcBorders>
            <w:shd w:val="clear" w:color="auto" w:fill="E5E5E5"/>
          </w:tcPr>
          <w:p>
            <w:pPr>
              <w:jc w:val="center"/>
              <w:ind w:left="13"/>
              <w:spacing w:after="0"/>
              <w:rPr>
                <w:sz w:val="20"/>
                <w:szCs w:val="20"/>
                <w:color w:val="auto"/>
              </w:rPr>
            </w:pPr>
            <w:r>
              <w:rPr>
                <w:rFonts w:ascii="Arial" w:cs="Arial" w:eastAsia="Arial" w:hAnsi="Arial"/>
                <w:sz w:val="18"/>
                <w:szCs w:val="18"/>
                <w:color w:val="auto"/>
                <w:w w:val="99"/>
              </w:rPr>
              <w:t>58</w:t>
            </w:r>
          </w:p>
        </w:tc>
        <w:tc>
          <w:tcPr>
            <w:tcW w:w="7280" w:type="dxa"/>
            <w:vAlign w:val="bottom"/>
            <w:tcBorders>
              <w:bottom w:val="single" w:sz="8" w:color="E5E5E5"/>
            </w:tcBorders>
            <w:shd w:val="clear" w:color="auto" w:fill="E5E5E5"/>
          </w:tcPr>
          <w:p>
            <w:pPr>
              <w:ind w:left="220"/>
              <w:spacing w:after="0"/>
              <w:rPr>
                <w:sz w:val="20"/>
                <w:szCs w:val="20"/>
                <w:color w:val="auto"/>
              </w:rPr>
            </w:pPr>
            <w:r>
              <w:rPr>
                <w:rFonts w:ascii="Arial" w:cs="Arial" w:eastAsia="Arial" w:hAnsi="Arial"/>
                <w:sz w:val="18"/>
                <w:szCs w:val="18"/>
                <w:color w:val="auto"/>
              </w:rPr>
              <w:t>General Counsel, Corporate Secretary, and Chief Compliance Officer</w:t>
            </w:r>
          </w:p>
        </w:tc>
      </w:tr>
      <w:tr>
        <w:trPr>
          <w:trHeight w:val="20"/>
        </w:trPr>
        <w:tc>
          <w:tcPr>
            <w:tcW w:w="3080" w:type="dxa"/>
            <w:vAlign w:val="bottom"/>
            <w:shd w:val="clear" w:color="auto" w:fill="0071CE"/>
          </w:tcPr>
          <w:p>
            <w:pPr>
              <w:spacing w:after="0" w:line="20" w:lineRule="exact"/>
              <w:rPr>
                <w:sz w:val="1"/>
                <w:szCs w:val="1"/>
                <w:color w:val="auto"/>
              </w:rPr>
            </w:pPr>
          </w:p>
        </w:tc>
        <w:tc>
          <w:tcPr>
            <w:tcW w:w="660" w:type="dxa"/>
            <w:vAlign w:val="bottom"/>
            <w:shd w:val="clear" w:color="auto" w:fill="0071CE"/>
          </w:tcPr>
          <w:p>
            <w:pPr>
              <w:spacing w:after="0" w:line="20" w:lineRule="exact"/>
              <w:rPr>
                <w:sz w:val="1"/>
                <w:szCs w:val="1"/>
                <w:color w:val="auto"/>
              </w:rPr>
            </w:pPr>
          </w:p>
        </w:tc>
        <w:tc>
          <w:tcPr>
            <w:tcW w:w="7280" w:type="dxa"/>
            <w:vAlign w:val="bottom"/>
            <w:shd w:val="clear" w:color="auto" w:fill="0071CE"/>
          </w:tcPr>
          <w:p>
            <w:pPr>
              <w:spacing w:after="0" w:line="20" w:lineRule="exact"/>
              <w:rPr>
                <w:sz w:val="1"/>
                <w:szCs w:val="1"/>
                <w:color w:val="auto"/>
              </w:rPr>
            </w:pPr>
          </w:p>
        </w:tc>
      </w:tr>
    </w:tbl>
    <w:p>
      <w:pPr>
        <w:spacing w:after="0" w:line="198" w:lineRule="exact"/>
        <w:rPr>
          <w:sz w:val="20"/>
          <w:szCs w:val="20"/>
          <w:color w:val="auto"/>
        </w:rPr>
      </w:pPr>
    </w:p>
    <w:p>
      <w:pPr>
        <w:ind w:left="120" w:right="240"/>
        <w:spacing w:after="0" w:line="255" w:lineRule="auto"/>
        <w:rPr>
          <w:sz w:val="20"/>
          <w:szCs w:val="20"/>
          <w:color w:val="auto"/>
        </w:rPr>
      </w:pPr>
      <w:r>
        <w:rPr>
          <w:rFonts w:ascii="Arial" w:cs="Arial" w:eastAsia="Arial" w:hAnsi="Arial"/>
          <w:sz w:val="16"/>
          <w:szCs w:val="16"/>
          <w:b w:val="1"/>
          <w:bCs w:val="1"/>
          <w:color w:val="auto"/>
        </w:rPr>
        <w:t xml:space="preserve">Kenneth A. Myszkowski, </w:t>
      </w:r>
      <w:r>
        <w:rPr>
          <w:rFonts w:ascii="Arial" w:cs="Arial" w:eastAsia="Arial" w:hAnsi="Arial"/>
          <w:sz w:val="16"/>
          <w:szCs w:val="16"/>
          <w:color w:val="auto"/>
        </w:rPr>
        <w:t>Chief Financial Officer, joined the Company in 2009. Prior to joining Arrowhead, Mr. Myszkowski served as the corporate</w:t>
      </w:r>
      <w:r>
        <w:rPr>
          <w:rFonts w:ascii="Arial" w:cs="Arial" w:eastAsia="Arial" w:hAnsi="Arial"/>
          <w:sz w:val="16"/>
          <w:szCs w:val="16"/>
          <w:b w:val="1"/>
          <w:bCs w:val="1"/>
          <w:color w:val="auto"/>
        </w:rPr>
        <w:t xml:space="preserve"> </w:t>
      </w:r>
      <w:r>
        <w:rPr>
          <w:rFonts w:ascii="Arial" w:cs="Arial" w:eastAsia="Arial" w:hAnsi="Arial"/>
          <w:sz w:val="16"/>
          <w:szCs w:val="16"/>
          <w:color w:val="auto"/>
        </w:rPr>
        <w:t>controller for Broadwind Energy, a public energy company which provides products and services to the wind energy industry. Previous to his position at Broadwind, Mr. Myszkowski was controller for Epcor USA, the U.S. headquarters for Epcor Utilities, Inc., a public energy company. Prior to Epcor,</w:t>
      </w:r>
    </w:p>
    <w:p>
      <w:pPr>
        <w:spacing w:after="0" w:line="1" w:lineRule="exact"/>
        <w:rPr>
          <w:sz w:val="20"/>
          <w:szCs w:val="20"/>
          <w:color w:val="auto"/>
        </w:rPr>
      </w:pPr>
    </w:p>
    <w:p>
      <w:pPr>
        <w:ind w:left="120" w:right="120"/>
        <w:spacing w:after="0" w:line="250" w:lineRule="auto"/>
        <w:rPr>
          <w:sz w:val="20"/>
          <w:szCs w:val="20"/>
          <w:color w:val="auto"/>
        </w:rPr>
      </w:pPr>
      <w:r>
        <w:rPr>
          <w:rFonts w:ascii="Arial" w:cs="Arial" w:eastAsia="Arial" w:hAnsi="Arial"/>
          <w:sz w:val="16"/>
          <w:szCs w:val="16"/>
          <w:color w:val="auto"/>
        </w:rPr>
        <w:t>Mr. Myszkowski was controller for two start-up ventures: NanoInk, specializing in Dip Pen Nanolithography, a nanofabrication technology, and Delphion, which provided on-line tools for intellectual property research. Mr. Myszkowski also held several corporate roles at FMC Corporation and Premark International, both Fortune 500 conglomerates. He began his career in the audit practice of Arthur Andersen &amp; Co. in Chicago, Illinois. Mr. Myszkowski received his undergraduate degree from the University of Illinois, and his MBA from the University of Chicago Booth School of Business. He is a certified public accountant.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84455</wp:posOffset>
            </wp:positionV>
            <wp:extent cx="986155" cy="2057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44" w:lineRule="exact"/>
        <w:rPr>
          <w:sz w:val="20"/>
          <w:szCs w:val="20"/>
          <w:color w:val="auto"/>
        </w:rPr>
      </w:pPr>
    </w:p>
    <w:p>
      <w:pPr>
        <w:ind w:left="10880"/>
        <w:spacing w:after="0"/>
        <w:rPr>
          <w:sz w:val="20"/>
          <w:szCs w:val="20"/>
          <w:color w:val="auto"/>
        </w:rPr>
      </w:pPr>
      <w:r>
        <w:rPr>
          <w:rFonts w:ascii="Arial" w:cs="Arial" w:eastAsia="Arial" w:hAnsi="Arial"/>
          <w:sz w:val="18"/>
          <w:szCs w:val="18"/>
          <w:b w:val="1"/>
          <w:bCs w:val="1"/>
          <w:color w:val="0071CE"/>
        </w:rPr>
        <w:t>49</w:t>
      </w:r>
    </w:p>
    <w:p>
      <w:pPr>
        <w:sectPr>
          <w:pgSz w:w="11900" w:h="16838" w:orient="portrait"/>
          <w:cols w:equalWidth="0" w:num="1">
            <w:col w:w="11140"/>
          </w:cols>
          <w:pgMar w:left="320" w:top="459" w:right="43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20"/>
        <w:spacing w:after="0"/>
        <w:tabs>
          <w:tab w:leader="none" w:pos="2020" w:val="left"/>
        </w:tabs>
        <w:rPr>
          <w:sz w:val="20"/>
          <w:szCs w:val="20"/>
          <w:color w:val="auto"/>
        </w:rPr>
      </w:pPr>
      <w:r>
        <w:rPr>
          <w:rFonts w:ascii="Arial" w:cs="Arial" w:eastAsia="Arial" w:hAnsi="Arial"/>
          <w:sz w:val="14"/>
          <w:szCs w:val="14"/>
          <w:b w:val="1"/>
          <w:bCs w:val="1"/>
          <w:color w:val="0071CE"/>
        </w:rPr>
        <w:t>2022 PROXY STATEMENT</w:t>
      </w:r>
      <w:r>
        <w:rPr>
          <w:sz w:val="20"/>
          <w:szCs w:val="20"/>
          <w:color w:val="auto"/>
        </w:rPr>
        <w:tab/>
      </w:r>
      <w:r>
        <w:rPr>
          <w:rFonts w:ascii="Arial" w:cs="Arial" w:eastAsia="Arial" w:hAnsi="Arial"/>
          <w:sz w:val="14"/>
          <w:szCs w:val="14"/>
          <w:b w:val="1"/>
          <w:bCs w:val="1"/>
          <w:i w:val="1"/>
          <w:iCs w:val="1"/>
          <w:color w:val="3FAE2A"/>
        </w:rPr>
        <w:t>Equity Compensation Plan Information</w:t>
      </w:r>
    </w:p>
    <w:p>
      <w:pPr>
        <w:spacing w:after="0" w:line="145" w:lineRule="exact"/>
        <w:rPr>
          <w:sz w:val="20"/>
          <w:szCs w:val="20"/>
          <w:color w:val="auto"/>
        </w:rPr>
      </w:pPr>
    </w:p>
    <w:p>
      <w:pPr>
        <w:ind w:left="120" w:right="100"/>
        <w:spacing w:after="0" w:line="251" w:lineRule="auto"/>
        <w:rPr>
          <w:sz w:val="20"/>
          <w:szCs w:val="20"/>
          <w:color w:val="auto"/>
        </w:rPr>
      </w:pPr>
      <w:r>
        <w:rPr>
          <w:rFonts w:ascii="Arial" w:cs="Arial" w:eastAsia="Arial" w:hAnsi="Arial"/>
          <w:sz w:val="16"/>
          <w:szCs w:val="16"/>
          <w:b w:val="1"/>
          <w:bCs w:val="1"/>
          <w:color w:val="auto"/>
        </w:rPr>
        <w:t>Patrick C. O’Brien</w:t>
      </w:r>
      <w:r>
        <w:rPr>
          <w:rFonts w:ascii="Arial" w:cs="Arial" w:eastAsia="Arial" w:hAnsi="Arial"/>
          <w:sz w:val="16"/>
          <w:szCs w:val="16"/>
          <w:color w:val="auto"/>
        </w:rPr>
        <w:t>, General Counsel, Corporate Secretary, and Chief Compliance Officer, joined the Company in December 2014. Mr. O’Brien has</w:t>
      </w:r>
      <w:r>
        <w:rPr>
          <w:rFonts w:ascii="Arial" w:cs="Arial" w:eastAsia="Arial" w:hAnsi="Arial"/>
          <w:sz w:val="16"/>
          <w:szCs w:val="16"/>
          <w:b w:val="1"/>
          <w:bCs w:val="1"/>
          <w:color w:val="auto"/>
        </w:rPr>
        <w:t xml:space="preserve"> </w:t>
      </w:r>
      <w:r>
        <w:rPr>
          <w:rFonts w:ascii="Arial" w:cs="Arial" w:eastAsia="Arial" w:hAnsi="Arial"/>
          <w:sz w:val="16"/>
          <w:szCs w:val="16"/>
          <w:color w:val="auto"/>
        </w:rPr>
        <w:t>practiced in the healthcare legal field for over 25 years. Before joining the Company, from 2012 to 2014, Mr. O’Brien was with Shire, as global pharmaceutical company, where he was Group Vice President, Law. Immediately prior to working with Shire he was a partner with the international law firm of Holland &amp; Knight LLP in its Washington, DC office. In 2010, Mr. O’Brien co-founded the law firm O’Brien Gould PLLC which joined Holland &amp; Knight in 2011. From 2009 to 2010, Mr. O’Brien was a partner in Burke O’Neil LLC. From 2001 to 2009, Mr. O’Brien served in several legal roles with Johnson &amp; Johnson, including serving as Vice President of Law for J&amp;J’s Centocor Ortho-Biotech unit. Mr. O’Brien previously served as Regulatory Counsel with the United States Food &amp; Drug Administration. Mr. O’Brien was awarded a BS in Pharmacy and a PharmD from the University of Arizona before completing a residency in Clinical Pharmacy with the University of Illinois at Chicago Hospital. He was also awarded his JD from the University of Arizona.</w:t>
      </w:r>
    </w:p>
    <w:p>
      <w:pPr>
        <w:spacing w:after="0" w:line="185" w:lineRule="exact"/>
        <w:rPr>
          <w:sz w:val="20"/>
          <w:szCs w:val="20"/>
          <w:color w:val="auto"/>
        </w:rPr>
      </w:pPr>
    </w:p>
    <w:p>
      <w:pPr>
        <w:ind w:left="120"/>
        <w:spacing w:after="0" w:line="250" w:lineRule="auto"/>
        <w:rPr>
          <w:sz w:val="20"/>
          <w:szCs w:val="20"/>
          <w:color w:val="auto"/>
        </w:rPr>
      </w:pPr>
      <w:r>
        <w:rPr>
          <w:rFonts w:ascii="Arial" w:cs="Arial" w:eastAsia="Arial" w:hAnsi="Arial"/>
          <w:sz w:val="16"/>
          <w:szCs w:val="16"/>
          <w:b w:val="1"/>
          <w:bCs w:val="1"/>
          <w:color w:val="auto"/>
        </w:rPr>
        <w:t xml:space="preserve">Javier San Martin, </w:t>
      </w:r>
      <w:r>
        <w:rPr>
          <w:rFonts w:ascii="Arial" w:cs="Arial" w:eastAsia="Arial" w:hAnsi="Arial"/>
          <w:sz w:val="16"/>
          <w:szCs w:val="16"/>
          <w:color w:val="auto"/>
        </w:rPr>
        <w:t>Chief Medical Officer, joined the Company in November 2019. Dr. San Martin previously served as Senior Vice President and Head</w:t>
      </w:r>
      <w:r>
        <w:rPr>
          <w:rFonts w:ascii="Arial" w:cs="Arial" w:eastAsia="Arial" w:hAnsi="Arial"/>
          <w:sz w:val="16"/>
          <w:szCs w:val="16"/>
          <w:b w:val="1"/>
          <w:bCs w:val="1"/>
          <w:color w:val="auto"/>
        </w:rPr>
        <w:t xml:space="preserve"> </w:t>
      </w:r>
      <w:r>
        <w:rPr>
          <w:rFonts w:ascii="Arial" w:cs="Arial" w:eastAsia="Arial" w:hAnsi="Arial"/>
          <w:sz w:val="16"/>
          <w:szCs w:val="16"/>
          <w:color w:val="auto"/>
        </w:rPr>
        <w:t>of Global Clinical Development at Ultragenyx from 2013 until November 2019. At Ultragenyx he led the development of burosumab, a novel drug for the treatment of X-Linked Hypophosphatemia approved across major regions including the United States, the European Union, and Canada. Before his tenure at Ultragenyx, he served as Senior Vice President of Clinical Development at Alder Biopharmaceuticals, where he was responsible for managing the medical, regulatory, and clinical operations group focused on early clinical programs. From 2006 to 2011, Dr. San Martin was a Global Development Leader at Amgen, Inc., where he was responsible for two major development programs. He directed the romosozumab clinical program through the end of phase II, and before that, was responsible for the development and approval of denosumab, the largest branded anti-osteoporosis treatment for postmenopausal osteoporosis and the first monoclonal antibody to address a very prevalent disease treated by primary care physicians. Prior to his time at Amgen, he spent seven years at Eli Lilly and Company, supporting late stage clinical development as well as medical affairs activities, including the successful launch of Evista and Forteo. He received his medical degree from the University of Buenos Aires Medical School and completed his residence in internal medicine at CEMIC University Hospital in Buenos Aires, Argentina, serving as Chief Resident, and, thereafter, as Attending Physician responsible for the internal medicine ward.</w:t>
      </w:r>
    </w:p>
    <w:p>
      <w:pPr>
        <w:spacing w:after="0" w:line="184" w:lineRule="exact"/>
        <w:rPr>
          <w:sz w:val="20"/>
          <w:szCs w:val="20"/>
          <w:color w:val="auto"/>
        </w:rPr>
      </w:pPr>
    </w:p>
    <w:p>
      <w:pPr>
        <w:ind w:left="120" w:right="60"/>
        <w:spacing w:after="0" w:line="251" w:lineRule="auto"/>
        <w:rPr>
          <w:sz w:val="20"/>
          <w:szCs w:val="20"/>
          <w:color w:val="auto"/>
        </w:rPr>
      </w:pPr>
      <w:r>
        <w:rPr>
          <w:rFonts w:ascii="Arial" w:cs="Arial" w:eastAsia="Arial" w:hAnsi="Arial"/>
          <w:sz w:val="16"/>
          <w:szCs w:val="16"/>
          <w:b w:val="1"/>
          <w:bCs w:val="1"/>
          <w:color w:val="auto"/>
        </w:rPr>
        <w:t xml:space="preserve">James Hamilton, </w:t>
      </w:r>
      <w:r>
        <w:rPr>
          <w:rFonts w:ascii="Arial" w:cs="Arial" w:eastAsia="Arial" w:hAnsi="Arial"/>
          <w:sz w:val="16"/>
          <w:szCs w:val="16"/>
          <w:color w:val="auto"/>
        </w:rPr>
        <w:t>Senior Vice President, Discovery &amp; Translational Medicine, joined the Company in 2014. He is responsible for target discovery as well</w:t>
      </w:r>
      <w:r>
        <w:rPr>
          <w:rFonts w:ascii="Arial" w:cs="Arial" w:eastAsia="Arial" w:hAnsi="Arial"/>
          <w:sz w:val="16"/>
          <w:szCs w:val="16"/>
          <w:b w:val="1"/>
          <w:bCs w:val="1"/>
          <w:color w:val="auto"/>
        </w:rPr>
        <w:t xml:space="preserve"> </w:t>
      </w:r>
      <w:r>
        <w:rPr>
          <w:rFonts w:ascii="Arial" w:cs="Arial" w:eastAsia="Arial" w:hAnsi="Arial"/>
          <w:sz w:val="16"/>
          <w:szCs w:val="16"/>
          <w:color w:val="auto"/>
        </w:rPr>
        <w:t>as non-clinical and early clinical development. Previously, Dr. Hamilton served as Vice President, Clinical Development, responsible for clinical strategy, clinical trial design and execution including early translational and mid-stage development of all Arrowhead programs. He is experienced in multiple disease areas including virology, hepatology, cardiovascular disease, rare disease and oncology. Dr. Hamilton led the clinical development of ARO-HBV (now JNJ-3989), which was licensed to Janssen Pharmaceuticals. In parallel, Dr. Hamilton served as Head of Corporate Development and led Arrowhead’s in-licensing transaction of Novartis’ RNAi assets, as well as the out-licensing of ARO-LPA (now AMG890) to Amgen and the ARO-AAT partnership with Takeda. Dr. Hamilton started his employment at Arrowhead as Medical Director and Head of Corporate development. He holds both MD and MBA degrees from The Ohio State University. He is a licensed physician and completed residency training with board certification in emergency medicine.</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C4C4C"/>
        </w:rPr>
        <w:t>Delinquent Section 16(a)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57150</wp:posOffset>
            </wp:positionV>
            <wp:extent cx="699516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6" w:lineRule="exact"/>
        <w:rPr>
          <w:sz w:val="20"/>
          <w:szCs w:val="20"/>
          <w:color w:val="auto"/>
        </w:rPr>
      </w:pPr>
    </w:p>
    <w:p>
      <w:pPr>
        <w:ind w:left="120" w:right="20"/>
        <w:spacing w:after="0" w:line="249" w:lineRule="auto"/>
        <w:rPr>
          <w:sz w:val="20"/>
          <w:szCs w:val="20"/>
          <w:color w:val="auto"/>
        </w:rPr>
      </w:pPr>
      <w:r>
        <w:rPr>
          <w:rFonts w:ascii="Arial" w:cs="Arial" w:eastAsia="Arial" w:hAnsi="Arial"/>
          <w:sz w:val="16"/>
          <w:szCs w:val="16"/>
          <w:color w:val="auto"/>
        </w:rPr>
        <w:t>Under Section 16(a) of the Securities Exchange Act of 1934, the Company’s directors and officers and its significant stockholders (defined by statute as stockholders beneficially owning more than ten percent (10%) of the Common Stock) are required to file with the SEC reports of ownership, and changes in ownership, of Common Stock. Based solely on a review of the reports filed with the SEC or representations that no form was required, the Company believes that, during the fiscal year ended September 30, 2021, all of its officers, directors and significant stockholders timely filed all required reports under Section 16(a), except that, due to administrative error, Patrick O’Brien disclosed late the transfer of 800 shares of Arrowhead stock donated on December 4, 2020, which was reported on a Form 4 filed on January 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85725</wp:posOffset>
            </wp:positionV>
            <wp:extent cx="986155" cy="2057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1CE"/>
        </w:rPr>
        <w:t>50</w:t>
      </w:r>
    </w:p>
    <w:p>
      <w:pPr>
        <w:sectPr>
          <w:pgSz w:w="11900" w:h="16838" w:orient="portrait"/>
          <w:cols w:equalWidth="0" w:num="1">
            <w:col w:w="11080"/>
          </w:cols>
          <w:pgMar w:left="320" w:top="459" w:right="4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5680"/>
        <w:spacing w:after="0"/>
        <w:tabs>
          <w:tab w:leader="none" w:pos="7580" w:val="left"/>
        </w:tabs>
        <w:rPr>
          <w:sz w:val="20"/>
          <w:szCs w:val="20"/>
          <w:color w:val="auto"/>
        </w:rPr>
      </w:pPr>
      <w:r>
        <w:rPr>
          <w:rFonts w:ascii="Arial" w:cs="Arial" w:eastAsia="Arial" w:hAnsi="Arial"/>
          <w:sz w:val="14"/>
          <w:szCs w:val="14"/>
          <w:b w:val="1"/>
          <w:bCs w:val="1"/>
          <w:color w:val="0071CE"/>
        </w:rPr>
        <w:t>2022 PROXY STATEMENT</w:t>
      </w:r>
      <w:r>
        <w:rPr>
          <w:sz w:val="20"/>
          <w:szCs w:val="20"/>
          <w:color w:val="auto"/>
        </w:rPr>
        <w:tab/>
      </w:r>
      <w:r>
        <w:rPr>
          <w:rFonts w:ascii="Arial" w:cs="Arial" w:eastAsia="Arial" w:hAnsi="Arial"/>
          <w:sz w:val="14"/>
          <w:szCs w:val="14"/>
          <w:b w:val="1"/>
          <w:bCs w:val="1"/>
          <w:i w:val="1"/>
          <w:iCs w:val="1"/>
          <w:color w:val="3FAE2A"/>
        </w:rPr>
        <w:t>Review and Approval of Related-Party Transactions</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1CE"/>
        </w:rPr>
        <w:t>Review and Approval of Related-Party Transactions</w:t>
      </w:r>
    </w:p>
    <w:p>
      <w:pPr>
        <w:spacing w:after="0" w:line="372" w:lineRule="exact"/>
        <w:rPr>
          <w:sz w:val="20"/>
          <w:szCs w:val="20"/>
          <w:color w:val="auto"/>
        </w:rPr>
      </w:pPr>
    </w:p>
    <w:p>
      <w:pPr>
        <w:ind w:left="120" w:right="100"/>
        <w:spacing w:after="0" w:line="251" w:lineRule="auto"/>
        <w:rPr>
          <w:sz w:val="20"/>
          <w:szCs w:val="20"/>
          <w:color w:val="auto"/>
        </w:rPr>
      </w:pPr>
      <w:r>
        <w:rPr>
          <w:rFonts w:ascii="Arial" w:cs="Arial" w:eastAsia="Arial" w:hAnsi="Arial"/>
          <w:sz w:val="16"/>
          <w:szCs w:val="16"/>
          <w:color w:val="auto"/>
        </w:rPr>
        <w:t>Our Board has adopted written policies and procedures for the review and approval of related-party transactions and has delegated to the Audit Committee the authority to review and approve the material terms of any proposed related-party transactions. To the extent that a proposed related-party transaction may involve a non-employee director or nominee for election as a director and may be material to a consideration of that person’s independence, the matter may also be considered by the other disinterested directors.</w:t>
      </w:r>
    </w:p>
    <w:p>
      <w:pPr>
        <w:spacing w:after="0" w:line="202" w:lineRule="exact"/>
        <w:rPr>
          <w:sz w:val="20"/>
          <w:szCs w:val="20"/>
          <w:color w:val="auto"/>
        </w:rPr>
      </w:pPr>
    </w:p>
    <w:p>
      <w:pPr>
        <w:ind w:left="120" w:right="60"/>
        <w:spacing w:after="0" w:line="248" w:lineRule="auto"/>
        <w:rPr>
          <w:sz w:val="20"/>
          <w:szCs w:val="20"/>
          <w:color w:val="auto"/>
        </w:rPr>
      </w:pPr>
      <w:r>
        <w:rPr>
          <w:rFonts w:ascii="Arial" w:cs="Arial" w:eastAsia="Arial" w:hAnsi="Arial"/>
          <w:sz w:val="16"/>
          <w:szCs w:val="16"/>
          <w:color w:val="auto"/>
        </w:rPr>
        <w:t>Pursuant to our Code of Business Conduct and Ethics and our Corporate Governance Committee Charter, each of our officers, directors and employees must disclose related-party transactions to our Board. In order to avoid conflicts of interest, our executive officers and directors may not acquire any ownership interest in any supplier, customer or competitor (other than nominal amounts of stock in publicly traded companies), enter into any consulting or employment relationship with any customer, supplier or competitor, or engage in any outside business activity that is competitive with any of our businesses, without first disclosing the proposed transaction. After the proposed transaction has been disclosed, a determination will be made by our Board or Audit Committee as to what course to follow, depending on the nature or extent of the conflict. Furthermore, our executive officers and directors may not serve on any board of directors of any customer, supplier or competitor unless such board service has been disclosed to us and approved by our Board.</w:t>
      </w:r>
    </w:p>
    <w:p>
      <w:pPr>
        <w:spacing w:after="0" w:line="207" w:lineRule="exact"/>
        <w:rPr>
          <w:sz w:val="20"/>
          <w:szCs w:val="20"/>
          <w:color w:val="auto"/>
        </w:rPr>
      </w:pPr>
    </w:p>
    <w:p>
      <w:pPr>
        <w:ind w:left="120" w:right="120"/>
        <w:spacing w:after="0" w:line="248" w:lineRule="auto"/>
        <w:rPr>
          <w:sz w:val="20"/>
          <w:szCs w:val="20"/>
          <w:color w:val="auto"/>
        </w:rPr>
      </w:pPr>
      <w:r>
        <w:rPr>
          <w:rFonts w:ascii="Arial" w:cs="Arial" w:eastAsia="Arial" w:hAnsi="Arial"/>
          <w:sz w:val="16"/>
          <w:szCs w:val="16"/>
          <w:color w:val="auto"/>
        </w:rPr>
        <w:t>In determining whether to approve or ratify a related-party transaction, the Board and/or Committee may consider, among other factors it deems appropriate, the potential benefits to us, the impact on a director’s or nominee’s independence or an executive officer’s relationship with or service to us, whether the related-party transaction is on terms no less favorable than terms generally available to an unaffiliated third party under the same or similar circumstances and the extent of the related party’s interest in the transaction. In deciding to approve a transaction, the Board or Audit Committee may, in its sole discretion, impose such conditions as it deems appropriate on us or the related party in connection with its approval of any transaction. Any transactions involving the compensation of executive officers, however, are reviewed and approved by the Compensation Committee. If a related-party transaction will be ongoing, the Audit Committee may establish guidelines to be followed in our ongoing dealings with the related party. Thereafter, the Audit Committee reviews and assesses the ongoing relationship with each related party to see that it is in compliance with the Audit Committee’s guidelines and that the related-party transaction remains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86995</wp:posOffset>
            </wp:positionV>
            <wp:extent cx="986155" cy="2057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48" w:lineRule="exact"/>
        <w:rPr>
          <w:sz w:val="20"/>
          <w:szCs w:val="20"/>
          <w:color w:val="auto"/>
        </w:rPr>
      </w:pPr>
    </w:p>
    <w:p>
      <w:pPr>
        <w:ind w:left="10880"/>
        <w:spacing w:after="0"/>
        <w:rPr>
          <w:sz w:val="20"/>
          <w:szCs w:val="20"/>
          <w:color w:val="auto"/>
        </w:rPr>
      </w:pPr>
      <w:r>
        <w:rPr>
          <w:rFonts w:ascii="Arial" w:cs="Arial" w:eastAsia="Arial" w:hAnsi="Arial"/>
          <w:sz w:val="18"/>
          <w:szCs w:val="18"/>
          <w:b w:val="1"/>
          <w:bCs w:val="1"/>
          <w:color w:val="0071CE"/>
        </w:rPr>
        <w:t>51</w:t>
      </w:r>
    </w:p>
    <w:p>
      <w:pPr>
        <w:sectPr>
          <w:pgSz w:w="11900" w:h="16838" w:orient="portrait"/>
          <w:cols w:equalWidth="0" w:num="1">
            <w:col w:w="11140"/>
          </w:cols>
          <w:pgMar w:left="32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20"/>
        <w:spacing w:after="0"/>
        <w:tabs>
          <w:tab w:leader="none" w:pos="2020" w:val="left"/>
        </w:tabs>
        <w:rPr>
          <w:sz w:val="20"/>
          <w:szCs w:val="20"/>
          <w:color w:val="auto"/>
        </w:rPr>
      </w:pPr>
      <w:r>
        <w:rPr>
          <w:rFonts w:ascii="Arial" w:cs="Arial" w:eastAsia="Arial" w:hAnsi="Arial"/>
          <w:sz w:val="14"/>
          <w:szCs w:val="14"/>
          <w:b w:val="1"/>
          <w:bCs w:val="1"/>
          <w:color w:val="0071CE"/>
        </w:rPr>
        <w:t>2022 PROXY STATEMENT</w:t>
      </w:r>
      <w:r>
        <w:rPr>
          <w:sz w:val="20"/>
          <w:szCs w:val="20"/>
          <w:color w:val="auto"/>
        </w:rPr>
        <w:tab/>
      </w:r>
      <w:r>
        <w:rPr>
          <w:rFonts w:ascii="Arial" w:cs="Arial" w:eastAsia="Arial" w:hAnsi="Arial"/>
          <w:sz w:val="14"/>
          <w:szCs w:val="14"/>
          <w:b w:val="1"/>
          <w:bCs w:val="1"/>
          <w:i w:val="1"/>
          <w:iCs w:val="1"/>
          <w:color w:val="3FAE2A"/>
        </w:rPr>
        <w:t>Certain Relationships and Related Transactions, and Director Independence</w:t>
      </w:r>
    </w:p>
    <w:p>
      <w:pPr>
        <w:spacing w:after="0" w:line="127" w:lineRule="exact"/>
        <w:rPr>
          <w:sz w:val="20"/>
          <w:szCs w:val="20"/>
          <w:color w:val="auto"/>
        </w:rPr>
      </w:pPr>
    </w:p>
    <w:p>
      <w:pPr>
        <w:ind w:left="120" w:right="1540"/>
        <w:spacing w:after="0" w:line="286" w:lineRule="auto"/>
        <w:rPr>
          <w:sz w:val="20"/>
          <w:szCs w:val="20"/>
          <w:color w:val="auto"/>
        </w:rPr>
      </w:pPr>
      <w:r>
        <w:rPr>
          <w:rFonts w:ascii="Arial" w:cs="Arial" w:eastAsia="Arial" w:hAnsi="Arial"/>
          <w:sz w:val="32"/>
          <w:szCs w:val="32"/>
          <w:b w:val="1"/>
          <w:bCs w:val="1"/>
          <w:color w:val="0071CE"/>
        </w:rPr>
        <w:t>Certain Relationships and Related Transactions, and Director Independence</w:t>
      </w:r>
    </w:p>
    <w:p>
      <w:pPr>
        <w:spacing w:after="0" w:line="241" w:lineRule="exact"/>
        <w:rPr>
          <w:sz w:val="20"/>
          <w:szCs w:val="20"/>
          <w:color w:val="auto"/>
        </w:rPr>
      </w:pPr>
    </w:p>
    <w:p>
      <w:pPr>
        <w:ind w:left="120" w:right="160"/>
        <w:spacing w:after="0" w:line="251" w:lineRule="auto"/>
        <w:rPr>
          <w:sz w:val="20"/>
          <w:szCs w:val="20"/>
          <w:color w:val="auto"/>
        </w:rPr>
      </w:pPr>
      <w:r>
        <w:rPr>
          <w:rFonts w:ascii="Arial" w:cs="Arial" w:eastAsia="Arial" w:hAnsi="Arial"/>
          <w:sz w:val="16"/>
          <w:szCs w:val="16"/>
          <w:color w:val="auto"/>
        </w:rPr>
        <w:t>As of September 30, 2021, a majority of the members of the Board are independent directors, as defined by the Nasdaq Marketplace Rules. The Board has determined that all of the Company’s directors are independent, except Dr. Anzalone, the Company’s Chief Executive Officer, and Dr. Douglass Given, the brother of the Company’s former Chief Operating Officer. Non-employee directors do not receive consulting, legal or other fees from the Company, other than Board compensation.</w:t>
      </w:r>
    </w:p>
    <w:p>
      <w:pPr>
        <w:spacing w:after="0" w:line="202" w:lineRule="exact"/>
        <w:rPr>
          <w:sz w:val="20"/>
          <w:szCs w:val="20"/>
          <w:color w:val="auto"/>
        </w:rPr>
      </w:pPr>
    </w:p>
    <w:p>
      <w:pPr>
        <w:ind w:left="120" w:right="20"/>
        <w:spacing w:after="0" w:line="251" w:lineRule="auto"/>
        <w:rPr>
          <w:sz w:val="20"/>
          <w:szCs w:val="20"/>
          <w:color w:val="auto"/>
        </w:rPr>
      </w:pPr>
      <w:r>
        <w:rPr>
          <w:rFonts w:ascii="Arial" w:cs="Arial" w:eastAsia="Arial" w:hAnsi="Arial"/>
          <w:sz w:val="16"/>
          <w:szCs w:val="16"/>
          <w:color w:val="auto"/>
        </w:rPr>
        <w:t>Vincent Anzalone is the Company’s Vice President, Investor Relations and the brother of Christopher Anzalone, the Company’s Chief Executive Officer. Vincent Anzalone earned base salary and bonus of $300,810 during fiscal year 2021. His current base salary is $259,771. In January 2021, Mr. Anzalone was awarded 15,000 restricted stock units, and this award vests in four annual tranches from the grant date. The grant date fair value of this award is $1,150,950.</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C4C4C"/>
        </w:rPr>
        <w:t>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57150</wp:posOffset>
            </wp:positionV>
            <wp:extent cx="69951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6" w:lineRule="exact"/>
        <w:rPr>
          <w:sz w:val="20"/>
          <w:szCs w:val="20"/>
          <w:color w:val="auto"/>
        </w:rPr>
      </w:pPr>
    </w:p>
    <w:p>
      <w:pPr>
        <w:ind w:left="120"/>
        <w:spacing w:after="0" w:line="253" w:lineRule="auto"/>
        <w:rPr>
          <w:sz w:val="20"/>
          <w:szCs w:val="20"/>
          <w:color w:val="auto"/>
        </w:rPr>
      </w:pPr>
      <w:r>
        <w:rPr>
          <w:rFonts w:ascii="Arial" w:cs="Arial" w:eastAsia="Arial" w:hAnsi="Arial"/>
          <w:sz w:val="16"/>
          <w:szCs w:val="16"/>
          <w:color w:val="auto"/>
        </w:rPr>
        <w:t>The Company will mail, without charge to any stockholder upon written request, a copy of the Company’s Annual Report on Form 10-K for the year ended September 30, 2021 including the financial statements, schedules and a list of exhibits. Requests should be sent to Arrowhead Pharmaceuticals, Inc., 177 E. Colorado Blvd., Suite 700, Pasadena, CA 91105, Attn: Corporate Secretary, Phone (626) 304-3400.</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C4C4C"/>
        </w:rPr>
        <w:t>Stockholders Sharing the Same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57150</wp:posOffset>
            </wp:positionV>
            <wp:extent cx="699516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53" w:lineRule="exact"/>
        <w:rPr>
          <w:sz w:val="20"/>
          <w:szCs w:val="20"/>
          <w:color w:val="auto"/>
        </w:rPr>
      </w:pPr>
    </w:p>
    <w:p>
      <w:pPr>
        <w:ind w:left="120" w:right="20"/>
        <w:spacing w:after="0" w:line="248" w:lineRule="auto"/>
        <w:rPr>
          <w:sz w:val="20"/>
          <w:szCs w:val="20"/>
          <w:color w:val="auto"/>
        </w:rPr>
      </w:pPr>
      <w:r>
        <w:rPr>
          <w:rFonts w:ascii="Arial" w:cs="Arial" w:eastAsia="Arial" w:hAnsi="Arial"/>
          <w:sz w:val="16"/>
          <w:szCs w:val="16"/>
          <w:color w:val="auto"/>
        </w:rPr>
        <w:t>We may satisfy SEC rules regarding delivery of proxy statements including the proxy statement, annual report and Notice, by delivering a single Notice and, if applicable, a single set of proxy materials to an address shared by two or more of our stockholders. This delivery method can result in meaningful cost savings for us. To take advantage of this opportunity, we may deliver only one Notice, and if applicable, a single set of proxy materials to multiple stockholders who share an address, unless contrary instructions are received prior to the mailing date. Similarly, if you share an address with another stockholder and have received multiple copies of our Notice and/or other proxy materials, you may write or call us at the address and phone number below to request delivery of a single copy of these materials in the future. We undertake to deliver promptly upon written or oral request a separate copy of the Notice and/or other proxy materials to a stockholder at a shared address to which a single copy of these documents was delivered. If you hold stock as a record stockholder and prefer to receive separate copies of a Notice, and if applicable, other proxy materials either now or in the future, please contact us at the address provided below. If your stock is held through a brokerage firm or bank and you prefer to receive separate copies of a Notice and, if applicable, other proxy materials either now or in the future, please contact your brokerage firm or bank.</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Arrowhead Pharmaceuticals, Inc.</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177 E. Colorado Blvd., Suite 700</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Pasadena CA 91105</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Attn: Corporate Secretary</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Phone (626) 304-3400</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C4C4C"/>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57150</wp:posOffset>
            </wp:positionV>
            <wp:extent cx="699516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53" w:lineRule="exact"/>
        <w:rPr>
          <w:sz w:val="20"/>
          <w:szCs w:val="20"/>
          <w:color w:val="auto"/>
        </w:rPr>
      </w:pPr>
    </w:p>
    <w:p>
      <w:pPr>
        <w:ind w:left="120" w:right="80"/>
        <w:spacing w:after="0" w:line="260" w:lineRule="auto"/>
        <w:rPr>
          <w:sz w:val="20"/>
          <w:szCs w:val="20"/>
          <w:color w:val="auto"/>
        </w:rPr>
      </w:pPr>
      <w:r>
        <w:rPr>
          <w:rFonts w:ascii="Arial" w:cs="Arial" w:eastAsia="Arial" w:hAnsi="Arial"/>
          <w:sz w:val="16"/>
          <w:szCs w:val="16"/>
          <w:color w:val="auto"/>
        </w:rPr>
        <w:t>The Company knows of no other matters to be submitted at the Annual Meeting. If any other matters properly come before the meeting, it is the intention of the persons named in the proxy card to vote the shares they represent as the Board may recommend.</w:t>
      </w:r>
    </w:p>
    <w:p>
      <w:pPr>
        <w:spacing w:after="0" w:line="2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 ORDER OF THE BOARD OF DIRECTORS</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 Patrick O’Brien</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Patrick O’Brien,</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Secretary</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Pasadena, California</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January 26,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96520</wp:posOffset>
            </wp:positionV>
            <wp:extent cx="986155" cy="2057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1CE"/>
        </w:rPr>
        <w:t>52</w:t>
      </w:r>
    </w:p>
    <w:p>
      <w:pPr>
        <w:sectPr>
          <w:pgSz w:w="11900" w:h="16838" w:orient="portrait"/>
          <w:cols w:equalWidth="0" w:num="1">
            <w:col w:w="11100"/>
          </w:cols>
          <w:pgMar w:left="320" w:top="459" w:right="4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spacing w:after="0"/>
        <w:tabs>
          <w:tab w:leader="none" w:pos="620" w:val="left"/>
        </w:tabs>
        <w:rPr>
          <w:sz w:val="20"/>
          <w:szCs w:val="20"/>
          <w:color w:val="auto"/>
        </w:rPr>
      </w:pPr>
      <w:r>
        <w:rPr>
          <w:rFonts w:ascii="Arial" w:cs="Arial" w:eastAsia="Arial" w:hAnsi="Arial"/>
          <w:sz w:val="14"/>
          <w:szCs w:val="14"/>
          <w:b w:val="1"/>
          <w:bCs w:val="1"/>
          <w:color w:val="0071CE"/>
        </w:rPr>
        <w:t>2022 PROXY STATEMENT</w:t>
      </w:r>
      <w:r>
        <w:rPr>
          <w:sz w:val="20"/>
          <w:szCs w:val="20"/>
          <w:color w:val="auto"/>
        </w:rPr>
        <w:tab/>
      </w:r>
      <w:r>
        <w:rPr>
          <w:rFonts w:ascii="Arial" w:cs="Arial" w:eastAsia="Arial" w:hAnsi="Arial"/>
          <w:sz w:val="14"/>
          <w:szCs w:val="14"/>
          <w:b w:val="1"/>
          <w:bCs w:val="1"/>
          <w:i w:val="1"/>
          <w:iCs w:val="1"/>
          <w:color w:val="3FAE2A"/>
        </w:rPr>
        <w:t>Exhibit A</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A</w:t>
      </w:r>
    </w:p>
    <w:p>
      <w:pPr>
        <w:spacing w:after="0" w:line="306" w:lineRule="exact"/>
        <w:rPr>
          <w:sz w:val="20"/>
          <w:szCs w:val="20"/>
          <w:color w:val="auto"/>
        </w:rPr>
      </w:pPr>
    </w:p>
    <w:p>
      <w:pPr>
        <w:ind w:left="120" w:right="2940"/>
        <w:spacing w:after="0" w:line="286" w:lineRule="auto"/>
        <w:rPr>
          <w:sz w:val="20"/>
          <w:szCs w:val="20"/>
          <w:color w:val="auto"/>
        </w:rPr>
      </w:pPr>
      <w:r>
        <w:rPr>
          <w:rFonts w:ascii="Arial" w:cs="Arial" w:eastAsia="Arial" w:hAnsi="Arial"/>
          <w:sz w:val="32"/>
          <w:szCs w:val="32"/>
          <w:b w:val="1"/>
          <w:bCs w:val="1"/>
          <w:color w:val="0071CE"/>
        </w:rPr>
        <w:t>ARROWHEAD PHARMACEUTICALS, INC. NON-EMPLOYEE DIRECTOR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40640</wp:posOffset>
            </wp:positionV>
            <wp:extent cx="986155" cy="2057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75" w:lineRule="exact"/>
        <w:rPr>
          <w:sz w:val="20"/>
          <w:szCs w:val="20"/>
          <w:color w:val="auto"/>
        </w:rPr>
      </w:pPr>
    </w:p>
    <w:p>
      <w:pPr>
        <w:ind w:left="10880"/>
        <w:spacing w:after="0"/>
        <w:rPr>
          <w:sz w:val="20"/>
          <w:szCs w:val="20"/>
          <w:color w:val="auto"/>
        </w:rPr>
      </w:pPr>
      <w:r>
        <w:rPr>
          <w:rFonts w:ascii="Arial" w:cs="Arial" w:eastAsia="Arial" w:hAnsi="Arial"/>
          <w:sz w:val="18"/>
          <w:szCs w:val="18"/>
          <w:b w:val="1"/>
          <w:bCs w:val="1"/>
          <w:color w:val="0071CE"/>
        </w:rPr>
        <w:t>53</w:t>
      </w:r>
    </w:p>
    <w:p>
      <w:pPr>
        <w:sectPr>
          <w:pgSz w:w="11900" w:h="16838" w:orient="portrait"/>
          <w:cols w:equalWidth="0" w:num="1">
            <w:col w:w="11140"/>
          </w:cols>
          <w:pgMar w:left="32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20"/>
        <w:spacing w:after="0"/>
        <w:tabs>
          <w:tab w:leader="none" w:pos="2020" w:val="left"/>
        </w:tabs>
        <w:rPr>
          <w:sz w:val="20"/>
          <w:szCs w:val="20"/>
          <w:color w:val="auto"/>
        </w:rPr>
      </w:pPr>
      <w:r>
        <w:rPr>
          <w:rFonts w:ascii="Arial" w:cs="Arial" w:eastAsia="Arial" w:hAnsi="Arial"/>
          <w:sz w:val="14"/>
          <w:szCs w:val="14"/>
          <w:b w:val="1"/>
          <w:bCs w:val="1"/>
          <w:color w:val="0071CE"/>
        </w:rPr>
        <w:t>2022 PROXY STATEMENT</w:t>
      </w:r>
      <w:r>
        <w:rPr>
          <w:sz w:val="20"/>
          <w:szCs w:val="20"/>
          <w:color w:val="auto"/>
        </w:rPr>
        <w:tab/>
      </w:r>
      <w:r>
        <w:rPr>
          <w:rFonts w:ascii="Arial" w:cs="Arial" w:eastAsia="Arial" w:hAnsi="Arial"/>
          <w:sz w:val="14"/>
          <w:szCs w:val="14"/>
          <w:b w:val="1"/>
          <w:bCs w:val="1"/>
          <w:i w:val="1"/>
          <w:iCs w:val="1"/>
          <w:color w:val="3FAE2A"/>
        </w:rPr>
        <w:t>Exhibit A</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1CE"/>
        </w:rPr>
        <w:t>NON-EMPLOYEE DIRECTOR COMPENSATION POLICY</w:t>
      </w:r>
    </w:p>
    <w:p>
      <w:pPr>
        <w:spacing w:after="0" w:line="372" w:lineRule="exact"/>
        <w:rPr>
          <w:sz w:val="20"/>
          <w:szCs w:val="20"/>
          <w:color w:val="auto"/>
        </w:rPr>
      </w:pPr>
    </w:p>
    <w:p>
      <w:pPr>
        <w:ind w:left="120" w:right="40"/>
        <w:spacing w:after="0" w:line="253" w:lineRule="auto"/>
        <w:rPr>
          <w:sz w:val="20"/>
          <w:szCs w:val="20"/>
          <w:color w:val="auto"/>
        </w:rPr>
      </w:pPr>
      <w:r>
        <w:rPr>
          <w:rFonts w:ascii="Arial" w:cs="Arial" w:eastAsia="Arial" w:hAnsi="Arial"/>
          <w:sz w:val="16"/>
          <w:szCs w:val="16"/>
          <w:color w:val="auto"/>
        </w:rPr>
        <w:t>The purpose of this Non-Employee Director Compensation Policy (this “Policy”) Arrowhead Pharmaceuticals, Inc. (the “Company”), is to provide a compensation package that enables the Company to attract and retain high-caliber directors and aligns their interests with the interests of the Company’s stockholders.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C4C4C"/>
        </w:rPr>
        <w:t>1. Eligibility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57150</wp:posOffset>
            </wp:positionV>
            <wp:extent cx="699516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6" w:lineRule="exact"/>
        <w:rPr>
          <w:sz w:val="20"/>
          <w:szCs w:val="20"/>
          <w:color w:val="auto"/>
        </w:rPr>
      </w:pPr>
    </w:p>
    <w:p>
      <w:pPr>
        <w:ind w:left="120" w:right="440"/>
        <w:spacing w:after="0" w:line="260" w:lineRule="auto"/>
        <w:rPr>
          <w:sz w:val="20"/>
          <w:szCs w:val="20"/>
          <w:color w:val="auto"/>
        </w:rPr>
      </w:pPr>
      <w:r>
        <w:rPr>
          <w:rFonts w:ascii="Arial" w:cs="Arial" w:eastAsia="Arial" w:hAnsi="Arial"/>
          <w:sz w:val="16"/>
          <w:szCs w:val="16"/>
          <w:color w:val="auto"/>
        </w:rPr>
        <w:t>The Policy applies to all members of the Company’s Board of Directors (the “Board”) who are not employees or officers of the Company or its subsidiaries. Directors who are employees or officers of the Company or its subsidiaries do not receive compensation for their service on the Board.</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C4C4C"/>
        </w:rPr>
        <w:t>2. Director Pay Limit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57150</wp:posOffset>
            </wp:positionV>
            <wp:extent cx="699516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3" w:lineRule="exact"/>
        <w:rPr>
          <w:sz w:val="20"/>
          <w:szCs w:val="20"/>
          <w:color w:val="auto"/>
        </w:rPr>
      </w:pPr>
    </w:p>
    <w:p>
      <w:pPr>
        <w:ind w:left="120" w:right="40"/>
        <w:spacing w:after="0" w:line="249" w:lineRule="auto"/>
        <w:rPr>
          <w:sz w:val="20"/>
          <w:szCs w:val="20"/>
          <w:color w:val="auto"/>
        </w:rPr>
      </w:pPr>
      <w:r>
        <w:rPr>
          <w:rFonts w:ascii="Arial" w:cs="Arial" w:eastAsia="Arial" w:hAnsi="Arial"/>
          <w:sz w:val="16"/>
          <w:szCs w:val="16"/>
          <w:color w:val="auto"/>
        </w:rPr>
        <w:t>On an annual basis, the Compensation Committee will retain an independent compensation consultant (the “Consultant”) to conduct an analysis and prepare a report on non-employee director compensation practices at a group of peer companies (the “Peer Companies”), which shall include an assessment of the mean per-director annual compensation package (including annual retainer, meeting fees, annual equity awards, etc.) paid by each of the Peer Companies (excluding directors who served less than a full year). The Peer Companies will be approved annually by the Compensation Committee based on a recommendation from the Consultant, and will include at least fifteen companies that are appropriate for the Company’s size (e.g., market capitalization, revenue, employee count) and competitive environment for executives and directors.</w:t>
      </w:r>
    </w:p>
    <w:p>
      <w:pPr>
        <w:spacing w:after="0" w:line="205" w:lineRule="exact"/>
        <w:rPr>
          <w:sz w:val="20"/>
          <w:szCs w:val="20"/>
          <w:color w:val="auto"/>
        </w:rPr>
      </w:pPr>
    </w:p>
    <w:p>
      <w:pPr>
        <w:ind w:left="120" w:right="160"/>
        <w:spacing w:after="0" w:line="251" w:lineRule="auto"/>
        <w:rPr>
          <w:sz w:val="20"/>
          <w:szCs w:val="20"/>
          <w:color w:val="auto"/>
        </w:rPr>
      </w:pPr>
      <w:r>
        <w:rPr>
          <w:rFonts w:ascii="Arial" w:cs="Arial" w:eastAsia="Arial" w:hAnsi="Arial"/>
          <w:sz w:val="16"/>
          <w:szCs w:val="16"/>
          <w:color w:val="auto"/>
        </w:rPr>
        <w:t>The value of the mean per-director compensation paid to the non-employee members of the Board (excluding for purposes of this calculation directors who serve less than the full year) each year as reported in the Company’s annual proxy statement may not exceed the mean per-director compensation package paid by the Peer Company representing the 60th percentile of the mean per-director compensation package paid by each of the Peer Companies, as reported by the Consultant. For 2022, this limit was determined to be $475,700.</w:t>
      </w:r>
    </w:p>
    <w:p>
      <w:pPr>
        <w:spacing w:after="0" w:line="202" w:lineRule="exact"/>
        <w:rPr>
          <w:sz w:val="20"/>
          <w:szCs w:val="20"/>
          <w:color w:val="auto"/>
        </w:rPr>
      </w:pPr>
    </w:p>
    <w:p>
      <w:pPr>
        <w:ind w:left="120" w:right="20"/>
        <w:spacing w:after="0" w:line="249" w:lineRule="auto"/>
        <w:rPr>
          <w:sz w:val="20"/>
          <w:szCs w:val="20"/>
          <w:color w:val="auto"/>
        </w:rPr>
      </w:pPr>
      <w:r>
        <w:rPr>
          <w:rFonts w:ascii="Arial" w:cs="Arial" w:eastAsia="Arial" w:hAnsi="Arial"/>
          <w:sz w:val="16"/>
          <w:szCs w:val="16"/>
          <w:color w:val="auto"/>
        </w:rPr>
        <w:t>Notwithstanding the forgoing, to the extent approved by a majority vote of the Company’s stockholders at the Company’s 2022 Annual Meeting (or such later date as determined by the Company), if, in any year, the Company’s 3-year total shareholder return (TSR) (as calculated by the Consultant) exceeds the 3-year TSR of the Peer Company representing the 60th percentile of the Peer Companies when ranked by 3-year TSR, the non-employee director pay limit described in this paragraph for the next following year shall be increased to correspond to the mean per-director compensation package paid by the Peer Company representing the percentile of the mean per-director compensation package paid by each of the Peer Companies that is equivalent to the percentile rank of the Company relative to the Peer Companies when ranked by 3-year TSR for such prior year.</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C4C4C"/>
        </w:rPr>
        <w:t>3. Cash and Equity Retainers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57150</wp:posOffset>
            </wp:positionV>
            <wp:extent cx="699516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53"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auto"/>
        </w:rPr>
        <w:t>On an annual basis, the Board, with the assistance of the Compensation Committee, will determine the value of cash and equity retainers paid to the non-employee members of the Board, which need not be the same for every director and which may take into account service as non-executive chair or lead independent director and/or service as chair or as a member on one or more committees of the Board; provided that the mean per-director compensation shall not exceed the limit on such compensation as determined in accordance with the procedures described above.</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C4C4C"/>
        </w:rPr>
        <w:t>4.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57150</wp:posOffset>
            </wp:positionV>
            <wp:extent cx="699516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6" w:lineRule="exact"/>
        <w:rPr>
          <w:sz w:val="20"/>
          <w:szCs w:val="20"/>
          <w:color w:val="auto"/>
        </w:rPr>
      </w:pPr>
    </w:p>
    <w:p>
      <w:pPr>
        <w:ind w:left="120" w:right="460"/>
        <w:spacing w:after="0" w:line="260" w:lineRule="auto"/>
        <w:rPr>
          <w:sz w:val="20"/>
          <w:szCs w:val="20"/>
          <w:color w:val="auto"/>
        </w:rPr>
      </w:pPr>
      <w:r>
        <w:rPr>
          <w:rFonts w:ascii="Arial" w:cs="Arial" w:eastAsia="Arial" w:hAnsi="Arial"/>
          <w:sz w:val="16"/>
          <w:szCs w:val="16"/>
          <w:color w:val="auto"/>
        </w:rPr>
        <w:t>The Board, with the assistance of the Compensation Committee, administers the Policy and may amend the Policy at any time in its sole discretion; provided, however, that the Policy will be reviewed on an annual basis in consultation with an independent compensation consultant.</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Policy adopted on January 24,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106045</wp:posOffset>
            </wp:positionV>
            <wp:extent cx="986155" cy="2057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1CE"/>
        </w:rPr>
        <w:t>54</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90951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59" w:name="page60"/>
    <w:bookmarkEnd w:id="5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90951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
      <w:numFmt w:val="bullet"/>
      <w:start w:val="1"/>
    </w:lvl>
    <w:lvl w:ilvl="1">
      <w:lvlJc w:val="left"/>
      <w:lvlText w:val="(%2)"/>
      <w:numFmt w:val="decimal"/>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1."/>
      <w:numFmt w:val="decimal"/>
      <w:start w:val="1"/>
    </w:lvl>
  </w:abstractNum>
  <w:abstractNum w:abstractNumId="7">
    <w:nsid w:val="2D517796"/>
    <w:multiLevelType w:val="hybridMultilevel"/>
    <w:lvl w:ilvl="0">
      <w:lvlJc w:val="left"/>
      <w:lvlText w:val="%1."/>
      <w:numFmt w:val="decimal"/>
      <w:start w:val="3"/>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1)"/>
      <w:numFmt w:val="decimal"/>
      <w:start w:val="1"/>
    </w:lvl>
  </w:abstractNum>
  <w:abstractNum w:abstractNumId="23">
    <w:nsid w:val="7644A45C"/>
    <w:multiLevelType w:val="hybridMultilevel"/>
    <w:lvl w:ilvl="0">
      <w:lvlJc w:val="left"/>
      <w:lvlText w:val="•"/>
      <w:numFmt w:val="bullet"/>
      <w:start w:val="1"/>
    </w:lvl>
  </w:abstractNum>
  <w:abstractNum w:abstractNumId="24">
    <w:nsid w:val="32FFF902"/>
    <w:multiLevelType w:val="hybridMultilevel"/>
    <w:lvl w:ilvl="0">
      <w:lvlJc w:val="left"/>
      <w:lvlText w:val="•"/>
      <w:numFmt w:val="bullet"/>
      <w:start w:val="1"/>
    </w:lvl>
  </w:abstractNum>
  <w:abstractNum w:abstractNumId="25">
    <w:nsid w:val="684A481A"/>
    <w:multiLevelType w:val="hybridMultilevel"/>
    <w:lvl w:ilvl="0">
      <w:lvlJc w:val="left"/>
      <w:lvlText w:val="•"/>
      <w:numFmt w:val="bullet"/>
      <w:start w:val="1"/>
    </w:lvl>
  </w:abstractNum>
  <w:abstractNum w:abstractNumId="26">
    <w:nsid w:val="579478FE"/>
    <w:multiLevelType w:val="hybridMultilevel"/>
    <w:lvl w:ilvl="0">
      <w:lvlJc w:val="left"/>
      <w:lvlText w:val="•"/>
      <w:numFmt w:val="bullet"/>
      <w:start w:val="1"/>
    </w:lvl>
  </w:abstractNum>
  <w:abstractNum w:abstractNumId="27">
    <w:nsid w:val="749ABB43"/>
    <w:multiLevelType w:val="hybridMultilevel"/>
    <w:lvl w:ilvl="0">
      <w:lvlJc w:val="left"/>
      <w:lvlText w:val="•"/>
      <w:numFmt w:val="bullet"/>
      <w:start w:val="1"/>
    </w:lvl>
  </w:abstractNum>
  <w:abstractNum w:abstractNumId="28">
    <w:nsid w:val="3DC240FB"/>
    <w:multiLevelType w:val="hybridMultilevel"/>
    <w:lvl w:ilvl="0">
      <w:lvlJc w:val="left"/>
      <w:lvlText w:val="•"/>
      <w:numFmt w:val="bullet"/>
      <w:start w:val="1"/>
    </w:lvl>
    <w:lvl w:ilvl="1">
      <w:lvlJc w:val="left"/>
      <w:lvlText w:val="•"/>
      <w:numFmt w:val="bullet"/>
      <w:start w:val="1"/>
    </w:lvl>
  </w:abstractNum>
  <w:abstractNum w:abstractNumId="29">
    <w:nsid w:val="1BA026FA"/>
    <w:multiLevelType w:val="hybridMultilevel"/>
    <w:lvl w:ilvl="0">
      <w:lvlJc w:val="left"/>
      <w:lvlText w:val="•"/>
      <w:numFmt w:val="bullet"/>
      <w:start w:val="1"/>
    </w:lvl>
    <w:lvl w:ilvl="1">
      <w:lvlJc w:val="left"/>
      <w:lvlText w:val="•"/>
      <w:numFmt w:val="bullet"/>
      <w:start w:val="1"/>
    </w:lvl>
  </w:abstractNum>
  <w:abstractNum w:abstractNumId="30">
    <w:nsid w:val="79A1DEAA"/>
    <w:multiLevelType w:val="hybridMultilevel"/>
    <w:lvl w:ilvl="0">
      <w:lvlJc w:val="left"/>
      <w:lvlText w:val="•"/>
      <w:numFmt w:val="bullet"/>
      <w:start w:val="1"/>
    </w:lvl>
  </w:abstractNum>
  <w:abstractNum w:abstractNumId="31">
    <w:nsid w:val="75C6C33A"/>
    <w:multiLevelType w:val="hybridMultilevel"/>
    <w:lvl w:ilvl="0">
      <w:lvlJc w:val="left"/>
      <w:lvlText w:val="•"/>
      <w:numFmt w:val="bullet"/>
      <w:start w:val="1"/>
    </w:lvl>
  </w:abstractNum>
  <w:abstractNum w:abstractNumId="32">
    <w:nsid w:val="12E685FB"/>
    <w:multiLevelType w:val="hybridMultilevel"/>
    <w:lvl w:ilvl="0">
      <w:lvlJc w:val="left"/>
      <w:lvlText w:val="•"/>
      <w:numFmt w:val="bullet"/>
      <w:start w:val="1"/>
    </w:lvl>
  </w:abstractNum>
  <w:abstractNum w:abstractNumId="33">
    <w:nsid w:val="70C6A529"/>
    <w:multiLevelType w:val="hybridMultilevel"/>
    <w:lvl w:ilvl="0">
      <w:lvlJc w:val="left"/>
      <w:lvlText w:val="•"/>
      <w:numFmt w:val="bullet"/>
      <w:start w:val="1"/>
    </w:lvl>
    <w:lvl w:ilvl="1">
      <w:lvlJc w:val="left"/>
      <w:lvlText w:val="•"/>
      <w:numFmt w:val="bullet"/>
      <w:start w:val="1"/>
    </w:lvl>
  </w:abstractNum>
  <w:abstractNum w:abstractNumId="34">
    <w:nsid w:val="520EEDD1"/>
    <w:multiLevelType w:val="hybridMultilevel"/>
    <w:lvl w:ilvl="0">
      <w:lvlJc w:val="left"/>
      <w:lvlText w:val="•"/>
      <w:numFmt w:val="bullet"/>
      <w:start w:val="1"/>
    </w:lvl>
  </w:abstractNum>
  <w:abstractNum w:abstractNumId="35">
    <w:nsid w:val="374A3FE6"/>
    <w:multiLevelType w:val="hybridMultilevel"/>
    <w:lvl w:ilvl="0">
      <w:lvlJc w:val="left"/>
      <w:lvlText w:val="•"/>
      <w:numFmt w:val="bullet"/>
      <w:start w:val="1"/>
    </w:lvl>
    <w:lvl w:ilvl="1">
      <w:lvlJc w:val="left"/>
      <w:lvlText w:val="•"/>
      <w:numFmt w:val="bullet"/>
      <w:start w:val="1"/>
    </w:lvl>
  </w:abstractNum>
  <w:abstractNum w:abstractNumId="36">
    <w:nsid w:val="4F4EF005"/>
    <w:multiLevelType w:val="hybridMultilevel"/>
    <w:lvl w:ilvl="0">
      <w:lvlJc w:val="left"/>
      <w:lvlText w:val="•"/>
      <w:numFmt w:val="bullet"/>
      <w:start w:val="1"/>
    </w:lvl>
  </w:abstractNum>
  <w:abstractNum w:abstractNumId="37">
    <w:nsid w:val="23F9C13C"/>
    <w:multiLevelType w:val="hybridMultilevel"/>
    <w:lvl w:ilvl="0">
      <w:lvlJc w:val="left"/>
      <w:lvlText w:val="•"/>
      <w:numFmt w:val="bullet"/>
      <w:start w:val="1"/>
    </w:lvl>
  </w:abstractNum>
  <w:abstractNum w:abstractNumId="38">
    <w:nsid w:val="649BB77C"/>
    <w:multiLevelType w:val="hybridMultilevel"/>
    <w:lvl w:ilvl="0">
      <w:lvlJc w:val="left"/>
      <w:lvlText w:val="•"/>
      <w:numFmt w:val="bullet"/>
      <w:start w:val="1"/>
    </w:lvl>
  </w:abstractNum>
  <w:abstractNum w:abstractNumId="39">
    <w:nsid w:val="275AC794"/>
    <w:multiLevelType w:val="hybridMultilevel"/>
    <w:lvl w:ilvl="0">
      <w:lvlJc w:val="left"/>
      <w:lvlText w:val="•"/>
      <w:numFmt w:val="bullet"/>
      <w:start w:val="1"/>
    </w:lvl>
  </w:abstractNum>
  <w:abstractNum w:abstractNumId="40">
    <w:nsid w:val="39386575"/>
    <w:multiLevelType w:val="hybridMultilevel"/>
    <w:lvl w:ilvl="0">
      <w:lvlJc w:val="left"/>
      <w:lvlText w:val="•"/>
      <w:numFmt w:val="bullet"/>
      <w:start w:val="1"/>
    </w:lvl>
  </w:abstractNum>
  <w:abstractNum w:abstractNumId="41">
    <w:nsid w:val="1CF10FD8"/>
    <w:multiLevelType w:val="hybridMultilevel"/>
    <w:lvl w:ilvl="0">
      <w:lvlJc w:val="left"/>
      <w:lvlText w:val="•"/>
      <w:numFmt w:val="bullet"/>
      <w:start w:val="1"/>
    </w:lvl>
  </w:abstractNum>
  <w:abstractNum w:abstractNumId="42">
    <w:nsid w:val="180115BE"/>
    <w:multiLevelType w:val="hybridMultilevel"/>
    <w:lvl w:ilvl="0">
      <w:lvlJc w:val="left"/>
      <w:lvlText w:val="•"/>
      <w:numFmt w:val="bullet"/>
      <w:start w:val="1"/>
    </w:lvl>
  </w:abstractNum>
  <w:abstractNum w:abstractNumId="43">
    <w:nsid w:val="235BA861"/>
    <w:multiLevelType w:val="hybridMultilevel"/>
    <w:lvl w:ilvl="0">
      <w:lvlJc w:val="left"/>
      <w:lvlText w:val="•"/>
      <w:numFmt w:val="bullet"/>
      <w:start w:val="1"/>
    </w:lvl>
  </w:abstractNum>
  <w:abstractNum w:abstractNumId="44">
    <w:nsid w:val="47398C89"/>
    <w:multiLevelType w:val="hybridMultilevel"/>
    <w:lvl w:ilvl="0">
      <w:lvlJc w:val="left"/>
      <w:lvlText w:val="•"/>
      <w:numFmt w:val="bullet"/>
      <w:start w:val="1"/>
    </w:lvl>
  </w:abstractNum>
  <w:abstractNum w:abstractNumId="45">
    <w:nsid w:val="354FE9F9"/>
    <w:multiLevelType w:val="hybridMultilevel"/>
    <w:lvl w:ilvl="0">
      <w:lvlJc w:val="left"/>
      <w:lvlText w:val="•"/>
      <w:numFmt w:val="bullet"/>
      <w:start w:val="1"/>
    </w:lvl>
  </w:abstractNum>
  <w:abstractNum w:abstractNumId="46">
    <w:nsid w:val="15B5AF5C"/>
    <w:multiLevelType w:val="hybridMultilevel"/>
    <w:lvl w:ilvl="0">
      <w:lvlJc w:val="left"/>
      <w:lvlText w:val="•"/>
      <w:numFmt w:val="bullet"/>
      <w:start w:val="1"/>
    </w:lvl>
  </w:abstractNum>
  <w:abstractNum w:abstractNumId="47">
    <w:nsid w:val="741226BB"/>
    <w:multiLevelType w:val="hybridMultilevel"/>
    <w:lvl w:ilvl="0">
      <w:lvlJc w:val="left"/>
      <w:lvlText w:val="✓"/>
      <w:numFmt w:val="bullet"/>
      <w:start w:val="1"/>
    </w:lvl>
  </w:abstractNum>
  <w:abstractNum w:abstractNumId="48">
    <w:nsid w:val="D34B6A8"/>
    <w:multiLevelType w:val="hybridMultilevel"/>
    <w:lvl w:ilvl="0">
      <w:lvlJc w:val="left"/>
      <w:lvlText w:val="✘"/>
      <w:numFmt w:val="bullet"/>
      <w:start w:val="1"/>
    </w:lvl>
  </w:abstractNum>
  <w:abstractNum w:abstractNumId="49">
    <w:nsid w:val="10233C99"/>
    <w:multiLevelType w:val="hybridMultilevel"/>
    <w:lvl w:ilvl="0">
      <w:lvlJc w:val="left"/>
      <w:lvlText w:val="•"/>
      <w:numFmt w:val="bullet"/>
      <w:start w:val="1"/>
    </w:lvl>
  </w:abstractNum>
  <w:abstractNum w:abstractNumId="50">
    <w:nsid w:val="3F6AB60F"/>
    <w:multiLevelType w:val="hybridMultilevel"/>
    <w:lvl w:ilvl="0">
      <w:lvlJc w:val="left"/>
      <w:lvlText w:val="•"/>
      <w:numFmt w:val="bullet"/>
      <w:start w:val="1"/>
    </w:lvl>
  </w:abstractNum>
  <w:abstractNum w:abstractNumId="51">
    <w:nsid w:val="61574095"/>
    <w:multiLevelType w:val="hybridMultilevel"/>
    <w:lvl w:ilvl="0">
      <w:lvlJc w:val="left"/>
      <w:lvlText w:val="•"/>
      <w:numFmt w:val="bullet"/>
      <w:start w:val="1"/>
    </w:lvl>
  </w:abstractNum>
  <w:abstractNum w:abstractNumId="52">
    <w:nsid w:val="7E0C57B1"/>
    <w:multiLevelType w:val="hybridMultilevel"/>
    <w:lvl w:ilvl="0">
      <w:lvlJc w:val="left"/>
      <w:lvlText w:val="•"/>
      <w:numFmt w:val="bullet"/>
      <w:start w:val="1"/>
    </w:lvl>
  </w:abstractNum>
  <w:abstractNum w:abstractNumId="53">
    <w:nsid w:val="77AE35EB"/>
    <w:multiLevelType w:val="hybridMultilevel"/>
    <w:lvl w:ilvl="0">
      <w:lvlJc w:val="left"/>
      <w:lvlText w:val="•"/>
      <w:numFmt w:val="bullet"/>
      <w:start w:val="1"/>
    </w:lvl>
  </w:abstractNum>
  <w:abstractNum w:abstractNumId="54">
    <w:nsid w:val="579BE4F1"/>
    <w:multiLevelType w:val="hybridMultilevel"/>
    <w:lvl w:ilvl="0">
      <w:lvlJc w:val="left"/>
      <w:lvlText w:val="•"/>
      <w:numFmt w:val="bullet"/>
      <w:start w:val="1"/>
    </w:lvl>
  </w:abstractNum>
  <w:abstractNum w:abstractNumId="55">
    <w:nsid w:val="310C50B3"/>
    <w:multiLevelType w:val="hybridMultilevel"/>
    <w:lvl w:ilvl="0">
      <w:lvlJc w:val="left"/>
      <w:lvlText w:val="•"/>
      <w:numFmt w:val="bullet"/>
      <w:start w:val="1"/>
    </w:lvl>
  </w:abstractNum>
  <w:abstractNum w:abstractNumId="56">
    <w:nsid w:val="5FF87E05"/>
    <w:multiLevelType w:val="hybridMultilevel"/>
    <w:lvl w:ilvl="0">
      <w:lvlJc w:val="left"/>
      <w:lvlText w:val="•"/>
      <w:numFmt w:val="bullet"/>
      <w:start w:val="1"/>
    </w:lvl>
  </w:abstractNum>
  <w:abstractNum w:abstractNumId="57">
    <w:nsid w:val="2F305DEF"/>
    <w:multiLevelType w:val="hybridMultilevel"/>
    <w:lvl w:ilvl="0">
      <w:lvlJc w:val="left"/>
      <w:lvlText w:val="(%1)"/>
      <w:numFmt w:val="decimal"/>
      <w:start w:val="1"/>
    </w:lvl>
  </w:abstractNum>
  <w:abstractNum w:abstractNumId="58">
    <w:nsid w:val="25A70BF7"/>
    <w:multiLevelType w:val="hybridMultilevel"/>
    <w:lvl w:ilvl="0">
      <w:lvlJc w:val="left"/>
      <w:lvlText w:val="(%1)"/>
      <w:numFmt w:val="decimal"/>
      <w:start w:val="1"/>
    </w:lvl>
  </w:abstractNum>
  <w:abstractNum w:abstractNumId="59">
    <w:nsid w:val="1DBABF00"/>
    <w:multiLevelType w:val="hybridMultilevel"/>
    <w:lvl w:ilvl="0">
      <w:lvlJc w:val="left"/>
      <w:lvlText w:val="(%1)"/>
      <w:numFmt w:val="decimal"/>
      <w:start w:val="1"/>
    </w:lvl>
  </w:abstractNum>
  <w:abstractNum w:abstractNumId="60">
    <w:nsid w:val="4AD084E9"/>
    <w:multiLevelType w:val="hybridMultilevel"/>
    <w:lvl w:ilvl="0">
      <w:lvlJc w:val="left"/>
      <w:lvlText w:val="•"/>
      <w:numFmt w:val="bullet"/>
      <w:start w:val="1"/>
    </w:lvl>
  </w:abstractNum>
  <w:abstractNum w:abstractNumId="61">
    <w:nsid w:val="1F48EAA1"/>
    <w:multiLevelType w:val="hybridMultilevel"/>
    <w:lvl w:ilvl="0">
      <w:lvlJc w:val="left"/>
      <w:lvlText w:val="(%1)"/>
      <w:numFmt w:val="decimal"/>
      <w:start w:val="1"/>
    </w:lvl>
  </w:abstractNum>
  <w:abstractNum w:abstractNumId="62">
    <w:nsid w:val="1381823A"/>
    <w:multiLevelType w:val="hybridMultilevel"/>
    <w:lvl w:ilvl="0">
      <w:lvlJc w:val="left"/>
      <w:lvlText w:val="(%1)"/>
      <w:numFmt w:val="decimal"/>
      <w:start w:val="1"/>
    </w:lvl>
  </w:abstractNum>
  <w:abstractNum w:abstractNumId="63">
    <w:nsid w:val="5DB70AE5"/>
    <w:multiLevelType w:val="hybridMultilevel"/>
    <w:lvl w:ilvl="0">
      <w:lvlJc w:val="left"/>
      <w:lvlText w:val="(%1)"/>
      <w:numFmt w:val="decimal"/>
      <w:start w:val="5"/>
    </w:lvl>
  </w:abstractNum>
  <w:abstractNum w:abstractNumId="64">
    <w:nsid w:val="100F8FCA"/>
    <w:multiLevelType w:val="hybridMultilevel"/>
    <w:lvl w:ilvl="0">
      <w:lvlJc w:val="left"/>
      <w:lvlText w:val="(%1)"/>
      <w:numFmt w:val="decimal"/>
      <w:start w:val="1"/>
    </w:lvl>
  </w:abstractNum>
  <w:abstractNum w:abstractNumId="65">
    <w:nsid w:val="6590700B"/>
    <w:multiLevelType w:val="hybridMultilevel"/>
    <w:lvl w:ilvl="0">
      <w:lvlJc w:val="left"/>
      <w:lvlText w:val="(%1)"/>
      <w:numFmt w:val="decimal"/>
      <w:start w:val="1"/>
    </w:lvl>
  </w:abstractNum>
  <w:abstractNum w:abstractNumId="66">
    <w:nsid w:val="15014ACB"/>
    <w:multiLevelType w:val="hybridMultilevel"/>
    <w:lvl w:ilvl="0">
      <w:lvlJc w:val="left"/>
      <w:lvlText w:val="(%1)"/>
      <w:numFmt w:val="decimal"/>
      <w:start w:val="1"/>
    </w:lvl>
  </w:abstractNum>
  <w:abstractNum w:abstractNumId="67">
    <w:nsid w:val="5F5E7FD0"/>
    <w:multiLevelType w:val="hybridMultilevel"/>
    <w:lvl w:ilvl="0">
      <w:lvlJc w:val="left"/>
      <w:lvlText w:val="(%1)"/>
      <w:numFmt w:val="decimal"/>
      <w:start w:val="1"/>
    </w:lvl>
  </w:abstractNum>
  <w:abstractNum w:abstractNumId="68">
    <w:nsid w:val="98A3148"/>
    <w:multiLevelType w:val="hybridMultilevel"/>
    <w:lvl w:ilvl="0">
      <w:lvlJc w:val="left"/>
      <w:lvlText w:val="(%1)"/>
      <w:numFmt w:val="decimal"/>
      <w:start w:val="1"/>
    </w:lvl>
  </w:abstractNum>
  <w:abstractNum w:abstractNumId="69">
    <w:nsid w:val="799D0247"/>
    <w:multiLevelType w:val="hybridMultilevel"/>
    <w:lvl w:ilvl="0">
      <w:lvlJc w:val="left"/>
      <w:lvlText w:val="*"/>
      <w:numFmt w:val="bullet"/>
      <w:start w:val="1"/>
    </w:lvl>
  </w:abstractNum>
  <w:abstractNum w:abstractNumId="70">
    <w:nsid w:val="6B94764"/>
    <w:multiLevelType w:val="hybridMultilevel"/>
    <w:lvl w:ilvl="0">
      <w:lvlJc w:val="left"/>
      <w:lvlText w:val="(%1)"/>
      <w:numFmt w:val="decimal"/>
      <w:start w:val="1"/>
    </w:lvl>
  </w:abstractNum>
  <w:abstractNum w:abstractNumId="71">
    <w:nsid w:val="42C296B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2022-01-26T15:12:06Z</dcterms:created>
  <dcterms:modified xsi:type="dcterms:W3CDTF">2022-01-26T15:12:06Z</dcterms:modified>
</cp:coreProperties>
</file>