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148590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UNDER SECTION 13 OR 15(d) OF THE SECURITIES EXCHANGE ACT OF 1934</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60"/>
          </w:cols>
          <w:pgMar w:left="240" w:top="382" w:right="31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20"/>
          </w:cols>
          <w:pgMar w:left="240" w:top="382" w:right="319" w:bottom="1440" w:gutter="0" w:footer="0" w:header="0"/>
          <w:type w:val="continuous"/>
        </w:sectPr>
      </w:pP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147955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type w:val="continuous"/>
        </w:sectPr>
      </w:pPr>
    </w:p>
    <w:p>
      <w:pPr>
        <w:spacing w:after="0" w:line="200" w:lineRule="exact"/>
        <w:rPr>
          <w:sz w:val="24"/>
          <w:szCs w:val="24"/>
          <w:color w:val="auto"/>
        </w:rPr>
      </w:pPr>
    </w:p>
    <w:p>
      <w:pPr>
        <w:spacing w:after="0" w:line="222"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20" w:type="dxa"/>
            <w:vAlign w:val="bottom"/>
          </w:tcPr>
          <w:p>
            <w:pPr>
              <w:spacing w:after="0"/>
              <w:rPr>
                <w:sz w:val="20"/>
                <w:szCs w:val="20"/>
                <w:color w:val="auto"/>
              </w:rPr>
            </w:pPr>
            <w:r>
              <w:rPr>
                <w:rFonts w:ascii="Arial" w:cs="Arial" w:eastAsia="Arial" w:hAnsi="Arial"/>
                <w:sz w:val="18"/>
                <w:szCs w:val="18"/>
                <w:color w:val="auto"/>
              </w:rPr>
              <w:t>Large accelerated</w:t>
            </w:r>
          </w:p>
        </w:tc>
        <w:tc>
          <w:tcPr>
            <w:tcW w:w="206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6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87"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tbl>
      <w:tblPr>
        <w:tblLayout w:type="fixed"/>
        <w:tblInd w:w="48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374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440" w:type="dxa"/>
            <w:vAlign w:val="bottom"/>
          </w:tcPr>
          <w:p>
            <w:pPr>
              <w:spacing w:after="0"/>
              <w:rPr>
                <w:sz w:val="16"/>
                <w:szCs w:val="16"/>
                <w:color w:val="auto"/>
              </w:rPr>
            </w:pPr>
          </w:p>
        </w:tc>
      </w:tr>
      <w:tr>
        <w:trPr>
          <w:trHeight w:val="350"/>
        </w:trPr>
        <w:tc>
          <w:tcPr>
            <w:tcW w:w="328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0"/>
        </w:trPr>
        <w:tc>
          <w:tcPr>
            <w:tcW w:w="3280" w:type="dxa"/>
            <w:vAlign w:val="bottom"/>
            <w:tcBorders>
              <w:top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Common Stock, Par Value $0.001 per share</w:t>
            </w:r>
          </w:p>
        </w:tc>
        <w:tc>
          <w:tcPr>
            <w:tcW w:w="2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ARWR</w:t>
            </w:r>
          </w:p>
        </w:tc>
        <w:tc>
          <w:tcPr>
            <w:tcW w:w="42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21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number of shares of the registrant’s common stock outstanding as of August 2, 2019 was 95,300,992.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20" w:type="dxa"/>
            <w:vAlign w:val="bottom"/>
            <w:gridSpan w:val="9"/>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620" w:type="dxa"/>
            <w:vAlign w:val="bottom"/>
            <w:gridSpan w:val="9"/>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1"/>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Operations and Comprehensive Income (Loss</w:t>
              </w:r>
            </w:hyperlink>
            <w:r>
              <w:rPr>
                <w:rFonts w:ascii="Arial" w:cs="Arial" w:eastAsia="Arial" w:hAnsi="Arial"/>
                <w:sz w:val="17"/>
                <w:szCs w:val="17"/>
                <w:u w:val="single" w:color="auto"/>
                <w:color w:val="000000"/>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60" w:type="dxa"/>
            <w:vAlign w:val="bottom"/>
            <w:tcBorders>
              <w:top w:val="single" w:sz="8" w:color="0000EE"/>
            </w:tcBorders>
            <w:gridSpan w:val="1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528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1"/>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Consolidated Statements of Cash Flows</w:t>
              </w:r>
            </w:hyperlink>
          </w:p>
        </w:tc>
        <w:tc>
          <w:tcPr>
            <w:tcW w:w="704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8">
              <w:r>
                <w:rPr>
                  <w:rFonts w:ascii="Arial" w:cs="Arial" w:eastAsia="Arial" w:hAnsi="Arial"/>
                  <w:sz w:val="17"/>
                  <w:szCs w:val="17"/>
                  <w:color w:val="0000EE"/>
                  <w:w w:val="90"/>
                </w:rPr>
                <w:t>Notes to Consolidated Financial Statements</w:t>
              </w:r>
            </w:hyperlink>
          </w:p>
        </w:tc>
        <w:tc>
          <w:tcPr>
            <w:tcW w:w="7340" w:type="dxa"/>
            <w:vAlign w:val="bottom"/>
            <w:gridSpan w:val="8"/>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7"/>
                <w:szCs w:val="17"/>
                <w:color w:val="0000EE"/>
                <w:w w:val="97"/>
              </w:rPr>
            </w:pPr>
            <w:hyperlink w:anchor="page21">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32">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PART II — OTHER INFORMATION</w:t>
              </w:r>
            </w:hyperlink>
          </w:p>
        </w:tc>
        <w:tc>
          <w:tcPr>
            <w:tcW w:w="762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3">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5"/>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3">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4"/>
          </w:tcPr>
          <w:p>
            <w:pPr>
              <w:spacing w:after="0"/>
              <w:rPr>
                <w:sz w:val="24"/>
                <w:szCs w:val="24"/>
                <w:color w:val="auto"/>
              </w:rPr>
            </w:pPr>
          </w:p>
        </w:tc>
        <w:tc>
          <w:tcPr>
            <w:tcW w:w="712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4">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7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188,331,747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30,133,213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2,044,111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327,375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3,103,476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1,267,717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1,492,175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640,117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Short term investments</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48,567,215</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46,400,176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244,538,724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78,768,598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17,074,613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13,935,425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17,488,688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18,764,010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Long term investments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57,555,499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170,921</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141,918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CFF0FC"/>
            </w:tcBorders>
          </w:tcPr>
          <w:p>
            <w:pPr>
              <w:spacing w:after="0"/>
              <w:rPr>
                <w:sz w:val="18"/>
                <w:szCs w:val="18"/>
                <w:color w:val="auto"/>
              </w:rPr>
            </w:pPr>
          </w:p>
        </w:tc>
        <w:tc>
          <w:tcPr>
            <w:tcW w:w="7120" w:type="dxa"/>
            <w:vAlign w:val="bottom"/>
            <w:tcBorders>
              <w:bottom w:val="single" w:sz="8" w:color="CFF0FC"/>
            </w:tcBorders>
          </w:tcPr>
          <w:p>
            <w:pPr>
              <w:ind w:left="30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336,828,445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111,609,951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00" w:type="dxa"/>
            <w:vAlign w:val="bottom"/>
            <w:shd w:val="clear" w:color="auto" w:fill="CFF0FC"/>
          </w:tcPr>
          <w:p>
            <w:pPr>
              <w:spacing w:after="0"/>
              <w:rPr>
                <w:sz w:val="13"/>
                <w:szCs w:val="13"/>
                <w:color w:val="auto"/>
              </w:rPr>
            </w:pPr>
          </w:p>
        </w:tc>
        <w:tc>
          <w:tcPr>
            <w:tcW w:w="7120" w:type="dxa"/>
            <w:vAlign w:val="bottom"/>
            <w:shd w:val="clear" w:color="auto" w:fill="CFF0FC"/>
          </w:tcPr>
          <w:p>
            <w:pPr>
              <w:ind w:left="164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4,630,244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2,806,098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5,173,146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5,043,087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1,427,855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3,937,605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173,952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307,334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75,681,868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Note payable</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223,820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87,087,065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12,364,951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 net of current portion</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1,812,346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1,702,801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 net of current portion</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22,258,994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Note payable, net of current portion</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2,101,198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24,071,340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4,003,999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Commitments and contingencies (Note 7)</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82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95,207,637 and 88,505,302 shares</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tcPr>
          <w:p>
            <w:pPr>
              <w:ind w:left="600"/>
              <w:spacing w:after="0"/>
              <w:rPr>
                <w:sz w:val="20"/>
                <w:szCs w:val="20"/>
                <w:color w:val="auto"/>
              </w:rPr>
            </w:pPr>
            <w:r>
              <w:rPr>
                <w:rFonts w:ascii="Arial" w:cs="Arial" w:eastAsia="Arial" w:hAnsi="Arial"/>
                <w:sz w:val="14"/>
                <w:szCs w:val="14"/>
                <w:color w:val="auto"/>
              </w:rPr>
              <w:t>issued and outstanding as of June 30, 2019 and September 30, 2018, respectively</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187,577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180,875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657,136,601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582,902,694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(103,078)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(430,995,872)</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(487,265,816)</w:t>
            </w:r>
          </w:p>
        </w:tc>
        <w:tc>
          <w:tcPr>
            <w:tcW w:w="0" w:type="dxa"/>
            <w:vAlign w:val="bottom"/>
          </w:tcPr>
          <w:p>
            <w:pPr>
              <w:spacing w:after="0"/>
              <w:rPr>
                <w:sz w:val="1"/>
                <w:szCs w:val="1"/>
                <w:color w:val="auto"/>
              </w:rPr>
            </w:pPr>
          </w:p>
        </w:tc>
      </w:tr>
      <w:tr>
        <w:trPr>
          <w:trHeight w:val="169"/>
        </w:trPr>
        <w:tc>
          <w:tcPr>
            <w:tcW w:w="7820" w:type="dxa"/>
            <w:vAlign w:val="bottom"/>
            <w:gridSpan w:val="2"/>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226,225,228</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95,796,189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Noncontrolling interest</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225,670,040</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95,241,001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336,828,445</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111,609,951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7"/>
              </w:rPr>
              <w:t>Three Months Ended June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9"/>
              </w:rPr>
              <w:t>Nine Months Ended June 30,</w:t>
            </w:r>
          </w:p>
        </w:tc>
        <w:tc>
          <w:tcPr>
            <w:tcW w:w="0" w:type="dxa"/>
            <w:vAlign w:val="bottom"/>
          </w:tcPr>
          <w:p>
            <w:pPr>
              <w:spacing w:after="0"/>
              <w:rPr>
                <w:sz w:val="1"/>
                <w:szCs w:val="1"/>
                <w:color w:val="auto"/>
              </w:rPr>
            </w:pPr>
          </w:p>
        </w:tc>
      </w:tr>
      <w:tr>
        <w:trPr>
          <w:trHeight w:val="219"/>
        </w:trPr>
        <w:tc>
          <w:tcPr>
            <w:tcW w:w="5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42,696,636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727,375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125,502,807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4,887,321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19,291,710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12,052,653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57,662,381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36,974,625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4,809,177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4,594,441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16,287,841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12,679,822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24,100,887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16,647,094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73,950,222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49,654,447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18,595,749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(15,919,719)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51,552,585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(44,767,126)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1,739,959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4,717,359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value of derivatives</w:t>
            </w: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1,739,959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313,702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4,717,359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1,077,919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20,335,708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(15,606,017)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56,269,944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(43,689,207)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20,335,708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(15,606,017)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56,269,944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(43,689,207)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94,935,471</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87,634,435</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93,364,102</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82,149,381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98,884,744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87,634,435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97,814,019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82,149,381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(31,172)</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(28,603)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(81,514)</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(36,570)</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20,304,536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(15,634,620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56,188,430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(43,725,777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rPr>
              <w:t>Non-</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86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March 31, 2018</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87,570,398</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179,940</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$ 574,963,592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25,265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(460,898,528)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113,715,081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2,268,765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2,268,765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204,253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838,729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838,933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warrants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571,120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571,200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(28,603)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(28,603)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Net income (loss) for the three</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months ended June 30, 2018</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(15,606,017)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8"/>
              </w:rPr>
              <w:t>(15,606,017)</w:t>
            </w:r>
          </w:p>
        </w:tc>
        <w:tc>
          <w:tcPr>
            <w:tcW w:w="0" w:type="dxa"/>
            <w:vAlign w:val="bottom"/>
          </w:tcPr>
          <w:p>
            <w:pPr>
              <w:spacing w:after="0"/>
              <w:rPr>
                <w:sz w:val="1"/>
                <w:szCs w:val="1"/>
                <w:color w:val="auto"/>
              </w:rPr>
            </w:pPr>
          </w:p>
        </w:tc>
      </w:tr>
      <w:tr>
        <w:trPr>
          <w:trHeight w:val="19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June 30, 2018</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87,854,651</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180,224</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$ 578,642,206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(3,338)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(476,504,545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101,759,359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rPr>
              <w:t>Non-</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86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94,665,718</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187,035</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$ 652,411,876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(71,906)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(451,331,580)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200,640,237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1,957,993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1,957,993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541,919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2,766,732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2,767,274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(31,172)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(31,172)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Net income (loss) for the three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months ended June 30, 2019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20,335,708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20,335,708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95,207,637</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187,577</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$ 657,136,601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(103,078)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(430,995,872</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225,670,040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rPr>
              <w:t>Non-</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86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September 30, 2017</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74,785,426</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167,155</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$ 514,037,301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33,232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(432,815,338)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80,867,162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5,818,119</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5,818,119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283,627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1,031,775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1,032,058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warrants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288,473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1,237,141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1,237,430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w w:val="99"/>
              </w:rPr>
              <w:t>Common stock- restricted stock units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997,125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997</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(55,665)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(54,668)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Common stock issued for cash at</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9"/>
              </w:rPr>
              <w:t>$5.25 per share, net of offering costs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11,500,000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56,573,535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56,585,035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(36,570)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(36,570)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w w:val="97"/>
              </w:rPr>
              <w:t>Net income (loss) for the nine months</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ended June 30, 2018</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(43,689,207)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8"/>
              </w:rPr>
              <w:t>(43,689,207)</w:t>
            </w: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June 30, 2018</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87,854,651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180,224</w:t>
            </w:r>
          </w:p>
        </w:tc>
        <w:tc>
          <w:tcPr>
            <w:tcW w:w="1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$ 578,642,206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(476,504,545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101,759,359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rPr>
              <w:t>Non-</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86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September 30, 2018</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88,505,302</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180,875</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$ 582,902,694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(21,564)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(487,265,816)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95,241,001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7,276,875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7,276,875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1,244,161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1,244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6,440,761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6,442,005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w w:val="99"/>
              </w:rPr>
              <w:t>Common stock- restricted stock units</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vesting</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2,197,305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2,197</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(2,197)</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121" w:right="1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20" w:type="dxa"/>
            <w:vAlign w:val="bottom"/>
          </w:tcPr>
          <w:p>
            <w:pPr>
              <w:ind w:left="120"/>
              <w:spacing w:after="0"/>
              <w:rPr>
                <w:sz w:val="20"/>
                <w:szCs w:val="20"/>
                <w:color w:val="auto"/>
              </w:rPr>
            </w:pPr>
            <w:r>
              <w:rPr>
                <w:rFonts w:ascii="Arial" w:cs="Arial" w:eastAsia="Arial" w:hAnsi="Arial"/>
                <w:sz w:val="14"/>
                <w:szCs w:val="14"/>
                <w:color w:val="auto"/>
              </w:rPr>
              <w:t>Common stock issued for cash</w:t>
            </w:r>
          </w:p>
        </w:tc>
        <w:tc>
          <w:tcPr>
            <w:tcW w:w="740" w:type="dxa"/>
            <w:vAlign w:val="bottom"/>
          </w:tcPr>
          <w:p>
            <w:pPr>
              <w:jc w:val="right"/>
              <w:spacing w:after="0"/>
              <w:rPr>
                <w:sz w:val="20"/>
                <w:szCs w:val="20"/>
                <w:color w:val="auto"/>
              </w:rPr>
            </w:pPr>
            <w:r>
              <w:rPr>
                <w:rFonts w:ascii="Arial" w:cs="Arial" w:eastAsia="Arial" w:hAnsi="Arial"/>
                <w:sz w:val="14"/>
                <w:szCs w:val="14"/>
                <w:color w:val="auto"/>
              </w:rPr>
              <w:t>3,260,869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3,261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60,518,468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60,521,729</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(81,514)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(81,514)</w:t>
            </w:r>
          </w:p>
        </w:tc>
      </w:tr>
      <w:tr>
        <w:trPr>
          <w:trHeight w:val="143"/>
        </w:trPr>
        <w:tc>
          <w:tcPr>
            <w:tcW w:w="20" w:type="dxa"/>
            <w:vAlign w:val="bottom"/>
          </w:tcPr>
          <w:p>
            <w:pPr>
              <w:spacing w:after="0"/>
              <w:rPr>
                <w:sz w:val="12"/>
                <w:szCs w:val="12"/>
                <w:color w:val="auto"/>
              </w:rPr>
            </w:pPr>
          </w:p>
        </w:tc>
        <w:tc>
          <w:tcPr>
            <w:tcW w:w="2720" w:type="dxa"/>
            <w:vAlign w:val="bottom"/>
          </w:tcPr>
          <w:p>
            <w:pPr>
              <w:ind w:left="120"/>
              <w:spacing w:after="0" w:line="143" w:lineRule="exact"/>
              <w:rPr>
                <w:sz w:val="20"/>
                <w:szCs w:val="20"/>
                <w:color w:val="auto"/>
              </w:rPr>
            </w:pPr>
            <w:r>
              <w:rPr>
                <w:rFonts w:ascii="Arial" w:cs="Arial" w:eastAsia="Arial" w:hAnsi="Arial"/>
                <w:sz w:val="14"/>
                <w:szCs w:val="14"/>
                <w:color w:val="auto"/>
              </w:rPr>
              <w:t>Net income (loss) for the nine months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20"/>
              <w:spacing w:after="0"/>
              <w:rPr>
                <w:sz w:val="20"/>
                <w:szCs w:val="20"/>
                <w:color w:val="auto"/>
              </w:rPr>
            </w:pPr>
            <w:r>
              <w:rPr>
                <w:rFonts w:ascii="Arial" w:cs="Arial" w:eastAsia="Arial" w:hAnsi="Arial"/>
                <w:sz w:val="14"/>
                <w:szCs w:val="14"/>
                <w:color w:val="auto"/>
              </w:rPr>
              <w:t>ended June 30, 2019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56,269,944</w:t>
            </w: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56,269,944</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95,207,637</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$ 187,577</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$ 657,136,601</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 (103,078</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(430,995,872</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5"/>
              </w:rPr>
              <w:t>$ (555,188</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$ 225,670,040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134"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6120" w:type="dxa"/>
            <w:vAlign w:val="bottom"/>
            <w:tcBorders>
              <w:bottom w:val="single" w:sz="8" w:color="CFF0FC"/>
            </w:tcBorders>
          </w:tcPr>
          <w:p>
            <w:pPr>
              <w:spacing w:after="0"/>
              <w:rPr>
                <w:sz w:val="16"/>
                <w:szCs w:val="16"/>
                <w:color w:val="auto"/>
              </w:rPr>
            </w:pPr>
          </w:p>
        </w:tc>
        <w:tc>
          <w:tcPr>
            <w:tcW w:w="17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r>
      <w:tr>
        <w:trPr>
          <w:trHeight w:val="156"/>
        </w:trPr>
        <w:tc>
          <w:tcPr>
            <w:tcW w:w="61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20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56,269,944</w:t>
            </w:r>
          </w:p>
        </w:tc>
        <w:tc>
          <w:tcPr>
            <w:tcW w:w="30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(43,689,207)</w:t>
            </w:r>
          </w:p>
        </w:tc>
      </w:tr>
      <w:tr>
        <w:trPr>
          <w:trHeight w:val="176"/>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17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(432,141)</w:t>
            </w:r>
          </w:p>
        </w:tc>
      </w:tr>
      <w:tr>
        <w:trPr>
          <w:trHeight w:val="176"/>
        </w:trPr>
        <w:tc>
          <w:tcPr>
            <w:tcW w:w="6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7,276,875</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5,818,119</w:t>
            </w:r>
          </w:p>
        </w:tc>
        <w:tc>
          <w:tcPr>
            <w:tcW w:w="100" w:type="dxa"/>
            <w:vAlign w:val="bottom"/>
          </w:tcPr>
          <w:p>
            <w:pPr>
              <w:spacing w:after="0"/>
              <w:rPr>
                <w:sz w:val="15"/>
                <w:szCs w:val="15"/>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3,356,769</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3,470,880</w:t>
            </w: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682,243</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582,373</w:t>
            </w: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(1,716,736)</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52,822</w:t>
            </w: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(2,393,230)</w:t>
            </w: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856,253</w:t>
            </w: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97,940,261</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(4,326,540)</w:t>
            </w: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1,824,146</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(1,910,782)</w:t>
            </w: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(3,477,235)</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(4,652,873)</w:t>
            </w: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(538,020)</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(312,003)</w:t>
            </w:r>
          </w:p>
        </w:tc>
      </w:tr>
      <w:tr>
        <w:trPr>
          <w:trHeight w:val="156"/>
        </w:trPr>
        <w:tc>
          <w:tcPr>
            <w:tcW w:w="612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7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159,225,017</w:t>
            </w:r>
          </w:p>
        </w:tc>
        <w:tc>
          <w:tcPr>
            <w:tcW w:w="3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(44,543,099)</w:t>
            </w:r>
          </w:p>
        </w:tc>
        <w:tc>
          <w:tcPr>
            <w:tcW w:w="100" w:type="dxa"/>
            <w:vAlign w:val="bottom"/>
          </w:tcPr>
          <w:p>
            <w:pPr>
              <w:spacing w:after="0"/>
              <w:rPr>
                <w:sz w:val="13"/>
                <w:szCs w:val="13"/>
                <w:color w:val="auto"/>
              </w:rPr>
            </w:pPr>
          </w:p>
        </w:tc>
      </w:tr>
      <w:tr>
        <w:trPr>
          <w:trHeight w:val="162"/>
        </w:trPr>
        <w:tc>
          <w:tcPr>
            <w:tcW w:w="61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(4,170,285)</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(711,779)</w:t>
            </w: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marketable securities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(90,266,001)</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(47,174,620)</w:t>
            </w:r>
          </w:p>
        </w:tc>
      </w:tr>
      <w:tr>
        <w:trPr>
          <w:trHeight w:val="162"/>
        </w:trPr>
        <w:tc>
          <w:tcPr>
            <w:tcW w:w="61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29,861,219</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37,204,420</w:t>
            </w:r>
          </w:p>
        </w:tc>
        <w:tc>
          <w:tcPr>
            <w:tcW w:w="100" w:type="dxa"/>
            <w:vAlign w:val="bottom"/>
            <w:tcBorders>
              <w:bottom w:val="single" w:sz="8" w:color="CFF0FC"/>
            </w:tcBorders>
          </w:tcPr>
          <w:p>
            <w:pPr>
              <w:spacing w:after="0"/>
              <w:rPr>
                <w:sz w:val="14"/>
                <w:szCs w:val="14"/>
                <w:color w:val="auto"/>
              </w:rPr>
            </w:pPr>
          </w:p>
        </w:tc>
      </w:tr>
      <w:tr>
        <w:trPr>
          <w:trHeight w:val="156"/>
        </w:trPr>
        <w:tc>
          <w:tcPr>
            <w:tcW w:w="61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(64,575,067)</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(10,681,979)</w:t>
            </w:r>
          </w:p>
        </w:tc>
        <w:tc>
          <w:tcPr>
            <w:tcW w:w="100" w:type="dxa"/>
            <w:vAlign w:val="bottom"/>
            <w:shd w:val="clear" w:color="auto" w:fill="CFF0FC"/>
          </w:tcPr>
          <w:p>
            <w:pPr>
              <w:spacing w:after="0"/>
              <w:rPr>
                <w:sz w:val="13"/>
                <w:szCs w:val="13"/>
                <w:color w:val="auto"/>
              </w:rPr>
            </w:pPr>
          </w:p>
        </w:tc>
      </w:tr>
      <w:tr>
        <w:trPr>
          <w:trHeight w:val="162"/>
        </w:trPr>
        <w:tc>
          <w:tcPr>
            <w:tcW w:w="612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notes payable</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(2,415,150)</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(154,986)</w:t>
            </w: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(54,667)</w:t>
            </w: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warrants and stock options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6,442,005</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2,006,515</w:t>
            </w: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1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60,521,729</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56,585,035</w:t>
            </w:r>
          </w:p>
        </w:tc>
        <w:tc>
          <w:tcPr>
            <w:tcW w:w="100" w:type="dxa"/>
            <w:vAlign w:val="bottom"/>
            <w:tcBorders>
              <w:bottom w:val="single" w:sz="8" w:color="CFF0FC"/>
            </w:tcBorders>
          </w:tcPr>
          <w:p>
            <w:pPr>
              <w:spacing w:after="0"/>
              <w:rPr>
                <w:sz w:val="14"/>
                <w:szCs w:val="14"/>
                <w:color w:val="auto"/>
              </w:rPr>
            </w:pPr>
          </w:p>
        </w:tc>
      </w:tr>
      <w:tr>
        <w:trPr>
          <w:trHeight w:val="156"/>
        </w:trPr>
        <w:tc>
          <w:tcPr>
            <w:tcW w:w="61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64,548,584</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58,381,897</w:t>
            </w:r>
          </w:p>
        </w:tc>
        <w:tc>
          <w:tcPr>
            <w:tcW w:w="100" w:type="dxa"/>
            <w:vAlign w:val="bottom"/>
            <w:shd w:val="clear" w:color="auto" w:fill="CFF0FC"/>
          </w:tcPr>
          <w:p>
            <w:pPr>
              <w:spacing w:after="0"/>
              <w:rPr>
                <w:sz w:val="13"/>
                <w:szCs w:val="13"/>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159,198,534</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3,156,819</w:t>
            </w: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AND RESTRICTED CASH AT BEGINNING OF PERIOD</w:t>
            </w:r>
          </w:p>
        </w:tc>
        <w:tc>
          <w:tcPr>
            <w:tcW w:w="170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30,133,213</w:t>
            </w:r>
          </w:p>
        </w:tc>
        <w:tc>
          <w:tcPr>
            <w:tcW w:w="30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100" w:type="dxa"/>
            <w:vAlign w:val="bottom"/>
            <w:shd w:val="clear" w:color="auto" w:fill="CFF0FC"/>
          </w:tcPr>
          <w:p>
            <w:pPr>
              <w:spacing w:after="0"/>
              <w:rPr>
                <w:sz w:val="14"/>
                <w:szCs w:val="14"/>
                <w:color w:val="auto"/>
              </w:rPr>
            </w:pPr>
          </w:p>
        </w:tc>
      </w:tr>
      <w:tr>
        <w:trPr>
          <w:trHeight w:val="196"/>
        </w:trPr>
        <w:tc>
          <w:tcPr>
            <w:tcW w:w="612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AND RESTRICTED CASH AT END OF PERIOD</w:t>
            </w:r>
          </w:p>
        </w:tc>
        <w:tc>
          <w:tcPr>
            <w:tcW w:w="17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189,331,747</w:t>
            </w:r>
          </w:p>
        </w:tc>
        <w:tc>
          <w:tcPr>
            <w:tcW w:w="3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27,995,386</w:t>
            </w:r>
          </w:p>
        </w:tc>
        <w:tc>
          <w:tcPr>
            <w:tcW w:w="100" w:type="dxa"/>
            <w:vAlign w:val="bottom"/>
            <w:tcBorders>
              <w:bottom w:val="single" w:sz="8" w:color="CFF0FC"/>
            </w:tcBorders>
          </w:tcPr>
          <w:p>
            <w:pPr>
              <w:spacing w:after="0"/>
              <w:rPr>
                <w:sz w:val="17"/>
                <w:szCs w:val="17"/>
                <w:color w:val="auto"/>
              </w:rPr>
            </w:pPr>
          </w:p>
        </w:tc>
      </w:tr>
      <w:tr>
        <w:trPr>
          <w:trHeight w:val="143"/>
        </w:trPr>
        <w:tc>
          <w:tcPr>
            <w:tcW w:w="61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17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20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(27,437)</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(131,429)</w:t>
            </w: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taxes paid</w:t>
            </w:r>
          </w:p>
        </w:tc>
        <w:tc>
          <w:tcPr>
            <w:tcW w:w="2060" w:type="dxa"/>
            <w:vAlign w:val="bottom"/>
            <w:gridSpan w:val="2"/>
            <w:shd w:val="clear" w:color="auto" w:fill="CFF0FC"/>
          </w:tcPr>
          <w:p>
            <w:pPr>
              <w:jc w:val="right"/>
              <w:ind w:right="24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(2,400)</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(2,400)</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30"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right="60" w:firstLine="518"/>
        <w:spacing w:after="0" w:line="291"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AMG-890 (ARO-LPA) for cardiovascular disease was out-licensed to Amgen Inc. (“Amgen”) in 2016. JNJ-3989 (ARO-HBV) for chronic hepatitis B virus was out-licensed to Janssen Pharmaceuticals, Inc. in October 2018.</w:t>
      </w:r>
    </w:p>
    <w:p>
      <w:pPr>
        <w:spacing w:after="0" w:line="16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During fiscal 2019, the Company has continued to develop its pipeline and partnered candidates. In April 2019, the Company presented clinical data for JNJ-3989 (ARO-HBV) and ARO-AAT at the International Liver Congress, and in April 2019, the Company received FDA clearance to commence a Phase 2/3 study of ARO-AAT that has the potential to serve as a pivotal registrational study. In June 2019, the Company received the Fast Track Designation for ARO-AAT from the FDA. In December 2018 and January 2019, Clinical Trial Applications (CTAs) were filed for ARO-ANG3 and ARO-APOC3, respectively, and dosing has commenced for both trials. In June 2019 and July 2019, the Company received the Orphan Drug Designations for ARO-APOC3 and ARO-ANG3, respectively, from the FDA. The Company also continues to work on optimizing its other extra-hepatic preclinical pipeline candidates including ARO-ENaC and ARO-HIF2. Amgen is currently progressing its phase 1 clinical study of AMG-890 (ARO-LPA).</w:t>
      </w:r>
    </w:p>
    <w:p>
      <w:pPr>
        <w:spacing w:after="0" w:line="178"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Company also made significant progress on the business development and partnership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 The revenue recognition for this milestone payment and the Janssen License Agreement and the Janssen Collaboration Agreement are discussed further in Note 2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100" w:firstLine="518"/>
        <w:spacing w:after="0" w:line="253" w:lineRule="auto"/>
        <w:rPr>
          <w:sz w:val="20"/>
          <w:szCs w:val="20"/>
          <w:color w:val="auto"/>
        </w:rPr>
      </w:pPr>
      <w:r>
        <w:rPr>
          <w:rFonts w:ascii="Arial" w:cs="Arial" w:eastAsia="Arial" w:hAnsi="Arial"/>
          <w:sz w:val="18"/>
          <w:szCs w:val="18"/>
          <w:color w:val="auto"/>
        </w:rPr>
        <w:t>The Company’s collaboration agreement with Amgen for AMG 890 (ARO-LPA) continues to progress. The Company has received $35 million in upfront payments and $21.5 million in the form of an equity investment by Amgen in the Company’s Common Stock. Upon signing the collaboration agreements with Amgen, the Company was eligible to receive up to $617 million in option payments and development, regulatory and sales milestone payments. The Company was further eligible to receive single-digit royalties for sales of products under the ARO-AMG1 agreement and is further eligible to receive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during the year ended September 30, 2018. In July 2019, Amgen informed the Company that it would not be exercising its option to an exclusive license for ARO-AMG1, and as such, there will be no further milestone or royalty payments under the ARO-AMG1 Agreement.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At June 30, 2019, the Company had $188.3 million in cash and cash equivalents, $1.0 million in restricted cash, $48.6 million in short-term investments, and $57.6 million in long-term investments to fund operations. During the nine months ended June 30, 2019, the Company’s cash and investments balance increased by $218.9 million, which was primarily the result of the $75 million equity investment from JJDC and the $175 million upfront payment and $25 million milestone payment from Janssen, respectively, as discussed further in Note 2 below. These cash inflows were partially offset by cash outflows related to operating activities.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These condensed consolidated financial statements should be read in conjunction with the Company’s consolidated financial statements and the notes thereto contained in our Annual Report on Form 10-K for the year ended September 30, 2018.</w:t>
      </w:r>
    </w:p>
    <w:p>
      <w:pPr>
        <w:spacing w:after="0" w:line="165"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Cash and Cash Equivalents—The Company considers all liquid debt instruments purchased with a maturity of three months or less to be cash equivalents. The Company had $1.0 million and $0 in restricted cash at June 30, 2019 and September 30, 2018, respectively. Amounts included in restricted cash are primarily held as collateral associated with a letter of credit for the Company’s new lease for its corporate headquarters in Pasadena, California.</w:t>
      </w:r>
    </w:p>
    <w:p>
      <w:pPr>
        <w:spacing w:after="0" w:line="14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 money market accounts, government-sponsored enterprise securities, corporate bonds and/or commercial paper. The Company accounts for its investment in marketable securities in accordance with FASB ASC 320, Investments – Debt and Equity Securities. This statement requires debt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520" w:right="560"/>
        <w:spacing w:after="0" w:line="277" w:lineRule="auto"/>
        <w:rPr>
          <w:sz w:val="20"/>
          <w:szCs w:val="20"/>
          <w:color w:val="auto"/>
        </w:rPr>
      </w:pPr>
      <w:r>
        <w:rPr>
          <w:rFonts w:ascii="Arial" w:cs="Arial" w:eastAsia="Arial" w:hAnsi="Arial"/>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During the three and nine months ended June 30, 2019 and 2018, respectively, all the Company’s investments were classified as held-to-maturity.</w:t>
      </w:r>
    </w:p>
    <w:p>
      <w:pPr>
        <w:spacing w:after="0" w:line="124"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June 30, 2019 and September 30, 2018.</w:t>
      </w:r>
    </w:p>
    <w:p>
      <w:pPr>
        <w:spacing w:after="0" w:line="172" w:lineRule="exact"/>
        <w:rPr>
          <w:sz w:val="20"/>
          <w:szCs w:val="20"/>
          <w:color w:val="auto"/>
        </w:rPr>
      </w:pPr>
    </w:p>
    <w:p>
      <w:pPr>
        <w:jc w:val="both"/>
        <w:ind w:firstLine="588"/>
        <w:spacing w:after="0" w:line="297" w:lineRule="auto"/>
        <w:rPr>
          <w:sz w:val="20"/>
          <w:szCs w:val="20"/>
          <w:color w:val="auto"/>
        </w:rPr>
      </w:pPr>
      <w:r>
        <w:rPr>
          <w:rFonts w:ascii="Arial" w:cs="Arial" w:eastAsia="Arial" w:hAnsi="Arial"/>
          <w:sz w:val="16"/>
          <w:szCs w:val="16"/>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in Note 2 below.</w:t>
      </w:r>
    </w:p>
    <w:p>
      <w:pPr>
        <w:spacing w:after="0" w:line="158" w:lineRule="exact"/>
        <w:rPr>
          <w:sz w:val="20"/>
          <w:szCs w:val="20"/>
          <w:color w:val="auto"/>
        </w:rPr>
      </w:pPr>
    </w:p>
    <w:p>
      <w:pPr>
        <w:jc w:val="both"/>
        <w:ind w:firstLine="588"/>
        <w:spacing w:after="0" w:line="288" w:lineRule="auto"/>
        <w:rPr>
          <w:sz w:val="20"/>
          <w:szCs w:val="20"/>
          <w:color w:val="auto"/>
        </w:rPr>
      </w:pPr>
      <w:r>
        <w:rPr>
          <w:rFonts w:ascii="Arial" w:cs="Arial" w:eastAsia="Arial" w:hAnsi="Arial"/>
          <w:sz w:val="16"/>
          <w:szCs w:val="16"/>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w:t>
      </w:r>
    </w:p>
    <w:p>
      <w:pPr>
        <w:jc w:val="both"/>
        <w:ind w:firstLine="8"/>
        <w:spacing w:after="0" w:line="271" w:lineRule="auto"/>
        <w:tabs>
          <w:tab w:leader="none" w:pos="227"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73" w:lineRule="exact"/>
        <w:rPr>
          <w:sz w:val="20"/>
          <w:szCs w:val="20"/>
          <w:color w:val="auto"/>
        </w:rPr>
      </w:pPr>
    </w:p>
    <w:p>
      <w:pPr>
        <w:jc w:val="both"/>
        <w:ind w:firstLine="588"/>
        <w:spacing w:after="0" w:line="254" w:lineRule="auto"/>
        <w:rPr>
          <w:sz w:val="20"/>
          <w:szCs w:val="20"/>
          <w:color w:val="auto"/>
        </w:rPr>
      </w:pPr>
      <w:r>
        <w:rPr>
          <w:rFonts w:ascii="Arial" w:cs="Arial" w:eastAsia="Arial" w:hAnsi="Arial"/>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jc w:val="both"/>
        <w:ind w:firstLine="588"/>
        <w:spacing w:after="0" w:line="286" w:lineRule="auto"/>
        <w:rPr>
          <w:sz w:val="20"/>
          <w:szCs w:val="20"/>
          <w:color w:val="auto"/>
        </w:rPr>
      </w:pPr>
      <w:r>
        <w:rPr>
          <w:rFonts w:ascii="Arial" w:cs="Arial" w:eastAsia="Arial" w:hAnsi="Arial"/>
          <w:sz w:val="16"/>
          <w:szCs w:val="16"/>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Thus, the milestone or royalty payments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72"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7" w:lineRule="exact"/>
        <w:rPr>
          <w:sz w:val="20"/>
          <w:szCs w:val="20"/>
          <w:color w:val="auto"/>
        </w:rPr>
      </w:pPr>
    </w:p>
    <w:p>
      <w:pPr>
        <w:jc w:val="both"/>
        <w:ind w:firstLine="588"/>
        <w:spacing w:after="0" w:line="293" w:lineRule="auto"/>
        <w:rPr>
          <w:sz w:val="20"/>
          <w:szCs w:val="20"/>
          <w:color w:val="auto"/>
        </w:rPr>
      </w:pPr>
      <w:r>
        <w:rPr>
          <w:rFonts w:ascii="Arial" w:cs="Arial" w:eastAsia="Arial" w:hAnsi="Arial"/>
          <w:sz w:val="16"/>
          <w:szCs w:val="16"/>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5" w:lineRule="exact"/>
        <w:rPr>
          <w:sz w:val="20"/>
          <w:szCs w:val="20"/>
          <w:color w:val="auto"/>
        </w:rPr>
      </w:pPr>
    </w:p>
    <w:p>
      <w:pPr>
        <w:jc w:val="both"/>
        <w:ind w:firstLine="588"/>
        <w:spacing w:after="0" w:line="255" w:lineRule="auto"/>
        <w:rPr>
          <w:sz w:val="20"/>
          <w:szCs w:val="20"/>
          <w:color w:val="auto"/>
        </w:rPr>
      </w:pPr>
      <w:r>
        <w:rPr>
          <w:rFonts w:ascii="Arial" w:cs="Arial" w:eastAsia="Arial" w:hAnsi="Arial"/>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93" w:lineRule="exact"/>
        <w:rPr>
          <w:sz w:val="20"/>
          <w:szCs w:val="20"/>
          <w:color w:val="auto"/>
        </w:rPr>
      </w:pPr>
    </w:p>
    <w:p>
      <w:pPr>
        <w:jc w:val="both"/>
        <w:ind w:firstLine="588"/>
        <w:spacing w:after="0" w:line="276" w:lineRule="auto"/>
        <w:rPr>
          <w:sz w:val="20"/>
          <w:szCs w:val="20"/>
          <w:color w:val="auto"/>
        </w:rPr>
      </w:pPr>
      <w:r>
        <w:rPr>
          <w:rFonts w:ascii="Arial" w:cs="Arial" w:eastAsia="Arial" w:hAnsi="Arial"/>
          <w:sz w:val="17"/>
          <w:szCs w:val="17"/>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right="80" w:firstLine="518"/>
        <w:spacing w:after="0" w:line="292" w:lineRule="auto"/>
        <w:rPr>
          <w:sz w:val="20"/>
          <w:szCs w:val="20"/>
          <w:color w:val="auto"/>
        </w:rPr>
      </w:pPr>
      <w:r>
        <w:rPr>
          <w:rFonts w:ascii="Arial" w:cs="Arial" w:eastAsia="Arial" w:hAnsi="Arial"/>
          <w:sz w:val="16"/>
          <w:szCs w:val="16"/>
          <w:color w:val="auto"/>
        </w:rPr>
        <w:t>Net Income (Loss) per Share—Basic net income (loss) per share is computed using the weighted-average number of common shares outstanding during the period. Diluted net income (loss) per share are computed using the weighted-average number of common shares and dilutive potential common shares outstanding during the period. Dilutive potential common shares primarily consist of stock options and restricted stock units issued to employees. During the three months ended June 30, 2019 and 2018, the calculation of the effect of dilutive stock options and restricted stock units was 3,949,273 shares and 0 shares, respectively. During the nine months ended June 30, 2019 and 2018, the calculation of the effect of dilutive stock options and restricted stock units was 4,449,917 shares and 0 shares, respectively. During the three months ended June 30, 2019, the calculation of the effect of dilutive stock options and restricted stock units excluded 867,175 stock options and 0 restricted stock units due to their anti-dilutive effect. During the nine months ended June 30, 2019 the calculation of the effect of dilutive stock options and restricted stock units excluded 967,175 stock options and 0 restricted stock units due to their anti-dilutive effect. During the three and nine months ended June 30, 2018, the calculation of the effect of dilutive stock options and restricted stock units excluded all stock options and restricted stock units granted and outstanding during the period due to their anti-dilutive effect.</w:t>
      </w:r>
    </w:p>
    <w:p>
      <w:pPr>
        <w:spacing w:after="0" w:line="165"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fiscal 2019. In April 2016, the FASB issued an amendment to ASU No. 2014-09 with update ASU No. 2016-10 which provided more specific guidance around the identification of performance obligations and licensing arrangements. On October 1, 2018, the Company adopted this standard using the modified retrospective method. The Company’s implementation approach included reviewing the status of each of its ongoing collaboration agreements and designing appropriate internal controls to enable the preparation of financial information. The Company has completed its assessment of the impact of the new revenue recognition guidance and determined that there will be no material impact. The Company’s existing performance obligations under its ongoing licensing and collaboration agreements as of October 1, 2018 were substantially completed prior to September 30, 2018. Any future option, milestone or royalty payments received will be accounted for under the sales-based royalty exception provided for under this new revenue recognition guidance. Additionally, there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will be no impact to cash from or used in operating, financing or investing activities on the Company’s Consolidated Statement of Cash Flows as a result of the adoption of the new standard.</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2017, the FASB issued ASU No. 2017-09, which is an update to Topic 718, Compensation - Stock Compensation. The update</w:t>
      </w:r>
    </w:p>
    <w:p>
      <w:pPr>
        <w:spacing w:after="0" w:line="23"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adoption of this update has not had a material impact on the Company's results of operations and Consolidated Financial Statements.</w:t>
      </w:r>
    </w:p>
    <w:p>
      <w:pPr>
        <w:spacing w:after="0" w:line="173"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ASU 2018-18 becomes effective for the Company in the first quarter of fiscal 2021 with early adoption permitted. The Company does not expect the adoption of this update to have a material effect on its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Common Stock Purchase Agreement, the Company has sold 3,002,793 shares of Common Stock to Amgen at a price of $7.16 per share. Under the terms of the agreements taken together, the Company has received $35 million in upfront payments, $21.5 million in the form of an equity investment by Amgen in the Company’s Common Stock. Upon signing the collaboration agreements with Amgen, the Company was eligible to receive up to $617 million in Option payments, and development, regulatory and sales milestone payments. The Company was further eligible to receive single-digit royalties for sales of products under the ARO-AMG1 Agreement and is eligible to receive up to low double-digit royalties for sales of products under the AMG 890 (ARO-LPA) Agreement.</w:t>
      </w:r>
    </w:p>
    <w:p>
      <w:pPr>
        <w:spacing w:after="0" w:line="180"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 Agreement. Future milestones and royalties achieved will be recognized in their entirety when earned. During the three months ended June 30, 2019 and 2018, the Company recognized $0 and $0.7 million of Revenue associated with its agreements with Amgen, respectively. During the nine months ended June 30, 2019 and 2018, the Company recognized $0.3 million and $4.9 million of Revenue associated with its agreements with Amgen, respectively. As of June 30, 2019, there were $0 contract assets, and $0 contract liabilities recorded as current deferred revenue on the Company’s Consolidated Balance Sheets.</w:t>
      </w:r>
    </w:p>
    <w:p>
      <w:pPr>
        <w:spacing w:after="0" w:line="17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July 2019, Amgen informed the Company that it would not be exercising its option for an exclusive license for ARO-AMG1, and as such, there will be no further milestone or royalty payments under the ARO-AMG1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ind w:right="20"/>
        <w:spacing w:after="0" w:line="288" w:lineRule="auto"/>
        <w:rPr>
          <w:sz w:val="20"/>
          <w:szCs w:val="20"/>
          <w:color w:val="auto"/>
        </w:rPr>
      </w:pPr>
      <w:r>
        <w:rPr>
          <w:rFonts w:ascii="Arial" w:cs="Arial" w:eastAsia="Arial" w:hAnsi="Arial"/>
          <w:sz w:val="16"/>
          <w:szCs w:val="16"/>
          <w:color w:val="auto"/>
        </w:rPr>
        <w:t>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w:t>
      </w:r>
    </w:p>
    <w:p>
      <w:pPr>
        <w:spacing w:after="0" w:line="39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67"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The Company determined the transaction price totaled approximately $227.4 million which includes the upfront payment, the premium paid by JJDC for its equity investment in the Company, the first $25 million milestone payment earned and estimated payments for reimbursable Janssen R&amp;D services to be performed. The Company has allocated the total $227.4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and nine months ended June 30, 2019, the Company recognized approximately $42.7 million and $125.2 million of Revenue associated with its agreements with Janssen and JJDC, respectively. As of June 30, 2019 there were $2.0 million of contract assets recorded as accounts receivable, and $97.9 million of contract liabilities recorded as current deferred revenue and long-term deferred revenue on the Company’s Consolidated Balance Sheets. The $2.0 million of accounts receivable is driven by reimbursable costs incurred for the Janssen R&amp;D Services, and the $97.9 million of current and long-term deferred revenue is driven by the upfront payment and premium paid by JJDC for its equity investment in the Company as well as the $25 million milestone paid by Janssen, net of revenue recognized in the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June 30, 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7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588,044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Research equipment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12,563,670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10,751,627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152,676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7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15,201,480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12,236,150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28,498,996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23,740,787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(11,424,383)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(9,805,362)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17,074,613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13,935,425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00" w:type="dxa"/>
            <w:vAlign w:val="bottom"/>
            <w:vMerge w:val="restart"/>
          </w:tcPr>
          <w:p>
            <w:pPr>
              <w:jc w:val="right"/>
              <w:ind w:right="13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4" w:name="page15"/>
    <w:bookmarkEnd w:id="14"/>
    <w:p>
      <w:pPr>
        <w:ind w:right="480" w:firstLine="518"/>
        <w:spacing w:after="0" w:line="264" w:lineRule="auto"/>
        <w:rPr>
          <w:sz w:val="20"/>
          <w:szCs w:val="20"/>
          <w:color w:val="auto"/>
        </w:rPr>
      </w:pPr>
      <w:r>
        <w:rPr>
          <w:rFonts w:ascii="Arial" w:cs="Arial" w:eastAsia="Arial" w:hAnsi="Arial"/>
          <w:sz w:val="18"/>
          <w:szCs w:val="18"/>
          <w:color w:val="auto"/>
        </w:rPr>
        <w:t>Depreciation and amortization expense for Property and Equipment for the three months ended June 30, 2019 and 2018 and was $578,342 and $751,134, respectively. Depreciation and amortization expense for Property and Equipment for the nine months ended June 30, 2019 and 2018 and was $2,081,447 and $2,195,558,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June 30, 2019 consisted of corporate bonds with maturities remaining of less than 36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June 30, 2019,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and long-term investments as of June 30, 2019, and September 30, 2018.</w:t>
      </w:r>
    </w:p>
    <w:p>
      <w:pPr>
        <w:spacing w:after="0" w:line="325"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As of June 30, 2019</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33"/>
        </w:trPr>
        <w:tc>
          <w:tcPr>
            <w:tcW w:w="42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gridSpan w:val="2"/>
            <w:shd w:val="clear" w:color="auto" w:fill="CCEEFF"/>
          </w:tcPr>
          <w:p>
            <w:pPr>
              <w:ind w:left="240"/>
              <w:spacing w:after="0" w:line="133" w:lineRule="exact"/>
              <w:rPr>
                <w:sz w:val="20"/>
                <w:szCs w:val="20"/>
                <w:color w:val="auto"/>
              </w:rPr>
            </w:pPr>
            <w:r>
              <w:rPr>
                <w:rFonts w:ascii="Arial" w:cs="Arial" w:eastAsia="Arial" w:hAnsi="Arial"/>
                <w:sz w:val="14"/>
                <w:szCs w:val="14"/>
                <w:b w:val="1"/>
                <w:bCs w:val="1"/>
                <w:color w:val="auto"/>
              </w:rPr>
              <w:t>Gross</w:t>
            </w: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gridSpan w:val="3"/>
            <w:shd w:val="clear" w:color="auto" w:fill="CCEEFF"/>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Gains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1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48,567,215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155,327</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48,637,864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three years)</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57,555,499</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990,610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58,546,109</w:t>
            </w:r>
          </w:p>
        </w:tc>
        <w:tc>
          <w:tcPr>
            <w:tcW w:w="8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106,122,714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1,145,937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107,183,973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As of September 30, 2018</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Amortized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1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46,400,176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(429,050)</w:t>
            </w:r>
          </w:p>
        </w:tc>
        <w:tc>
          <w:tcPr>
            <w:tcW w:w="8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45,971,126</w:t>
            </w:r>
          </w:p>
        </w:tc>
        <w:tc>
          <w:tcPr>
            <w:tcW w:w="80" w:type="dxa"/>
            <w:vAlign w:val="bottom"/>
            <w:tcBorders>
              <w:top w:val="single" w:sz="8" w:color="CFF0FC"/>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three years)</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1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46,400,176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(429,050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gridSpan w:val="3"/>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45,971,126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$643,090. The patents associated with the Novartis RNAi asset acquisition are being amortized over the estimated life remaining at the time of acquisition, which was 14 years, and the accumulated amortization of the assets is approximately $6,725,437. Amortization expense for the three months ended June 30, 2019 and 2018 was $425,107 and $425,107,</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respectively. Amortization expense for the nine months ended June 30, 2019 and 2018 was $1,275,322 and $1,275,322, respectively. Amortization expense is expected to be $425,107 for the remainder of fiscal 2019, $1,700,429 in 2020, $1,700,429 in 2021, $1,700,429 in 2022, $1,700,429 in 2023, and $10,261,865 thereafter.</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Intangible assets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2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18,764,010</w:t>
            </w: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Impairment</w:t>
            </w: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(1,275,322)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ind w:left="2300"/>
              <w:spacing w:after="0"/>
              <w:rPr>
                <w:sz w:val="20"/>
                <w:szCs w:val="20"/>
                <w:color w:val="auto"/>
              </w:rPr>
            </w:pPr>
            <w:r>
              <w:rPr>
                <w:rFonts w:ascii="Arial" w:cs="Arial" w:eastAsia="Arial" w:hAnsi="Arial"/>
                <w:sz w:val="18"/>
                <w:szCs w:val="18"/>
                <w:color w:val="auto"/>
              </w:rPr>
              <w:t>Balance at June 30, 2019</w:t>
            </w:r>
          </w:p>
        </w:tc>
        <w:tc>
          <w:tcPr>
            <w:tcW w:w="2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17,488,688</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80" w:type="dxa"/>
            <w:vAlign w:val="bottom"/>
            <w:vMerge w:val="restart"/>
          </w:tcPr>
          <w:p>
            <w:pPr>
              <w:jc w:val="right"/>
              <w:ind w:right="197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660" w:firstLine="518"/>
        <w:spacing w:after="0" w:line="308" w:lineRule="auto"/>
        <w:rPr>
          <w:sz w:val="20"/>
          <w:szCs w:val="20"/>
          <w:color w:val="auto"/>
        </w:rPr>
      </w:pPr>
      <w:r>
        <w:rPr>
          <w:rFonts w:ascii="Arial" w:cs="Arial" w:eastAsia="Arial" w:hAnsi="Arial"/>
          <w:sz w:val="17"/>
          <w:szCs w:val="17"/>
          <w:color w:val="auto"/>
        </w:rPr>
        <w:t>At June 30, 2019,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At June 30, 2019, 95,207,637 shares of Common Stock were outstanding. At June 30, 2019, 7,380,597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14"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In October 2018 the Company sold 3,260,869 shares of Common Stock to JJDC at a price of $23.00 per share as part of the JJDC Stock Purchase Agreement discussed further in Note 2 above. The Company received proceeds of $75.0 million. The portion of these proceeds that were deemed to be a premium were recorded as deferred revenue as discussed further in Note 2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Monthly rental payments are approximately $31,900 per month, increasing approximately 3% annually.</w:t>
      </w:r>
    </w:p>
    <w:p>
      <w:pPr>
        <w:spacing w:after="0" w:line="279" w:lineRule="exact"/>
        <w:rPr>
          <w:sz w:val="20"/>
          <w:szCs w:val="20"/>
          <w:color w:val="auto"/>
        </w:rPr>
      </w:pPr>
    </w:p>
    <w:p>
      <w:pPr>
        <w:ind w:firstLine="305"/>
        <w:spacing w:after="0" w:line="302" w:lineRule="auto"/>
        <w:rPr>
          <w:sz w:val="20"/>
          <w:szCs w:val="20"/>
          <w:color w:val="auto"/>
        </w:rPr>
      </w:pPr>
      <w:r>
        <w:rPr>
          <w:rFonts w:ascii="Arial" w:cs="Arial" w:eastAsia="Arial" w:hAnsi="Arial"/>
          <w:sz w:val="16"/>
          <w:szCs w:val="16"/>
          <w:color w:val="auto"/>
        </w:rPr>
        <w:t>In April 2019, the Company entered a new lease for its corporate headquarters in Pasadena, California. The 91 month office building lease between the Company and 177 Colorado Owner, LLC is for approximately 24,000 square feet of office space located at 177 E. Colorado Blvd, Pasadena, California, and this lease will replace the Company’s current corporate headquarters office lease. The increased capacity of this new office space compared to the Company’s current corporate headquarters will accommodate increased personnel as the Company’s pipeline of drug candidates expands and moves closer to market.</w:t>
      </w:r>
    </w:p>
    <w:p>
      <w:pPr>
        <w:spacing w:after="0" w:line="154" w:lineRule="exact"/>
        <w:rPr>
          <w:sz w:val="20"/>
          <w:szCs w:val="20"/>
          <w:color w:val="auto"/>
        </w:rPr>
      </w:pPr>
    </w:p>
    <w:p>
      <w:pPr>
        <w:ind w:right="340" w:firstLine="305"/>
        <w:spacing w:after="0" w:line="264" w:lineRule="auto"/>
        <w:rPr>
          <w:sz w:val="20"/>
          <w:szCs w:val="20"/>
          <w:color w:val="auto"/>
        </w:rPr>
      </w:pPr>
      <w:r>
        <w:rPr>
          <w:rFonts w:ascii="Arial" w:cs="Arial" w:eastAsia="Arial" w:hAnsi="Arial"/>
          <w:sz w:val="18"/>
          <w:szCs w:val="18"/>
          <w:color w:val="auto"/>
        </w:rPr>
        <w:t>Lease payments will begin on the earlier of November 1, 2019 or when the Company first commences to conduct business in the premises and are estimated to total approximately $8.8 million over the term. The Company expects to pay approximately $3.8 million for leasehold improvements, net of tenant improvement allowances.</w:t>
      </w:r>
    </w:p>
    <w:p>
      <w:pPr>
        <w:spacing w:after="0" w:line="18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also leases approximately 58,000 square feet of office and laboratory space for its research facility in Madison, Wisconsin. In January 2019, the Company amended its existing lease to add an additional 13,000 square feet of laboratory and office space to the facility. The amended lease will expire in September 2029. As part of this lease, the Company was provided a tenant improvement allowance of $2.1 million which is accounted for as Deferred Rent and an additional tenant improvement allowance of $2.7 million which was accounted for as a note payable on the Company’s Consolidated Balance Sheet. In October 2018, the Company paid off the remaining $2.3 million balance on the note payable. Monthly rental payments are approximately $154,800 per month, increasing approximately 2.5% annually.</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Facility rent expense for the three months ended June 30, 2019 and 2018 was $418,500 and $324,600, respectively. Facility rent expense for the nine months ended June 30, 2019 and 2018 was $1,189,800 and $954,900,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2019, future minimum lease payments due in fiscal years under operating leases are as follows:</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932,495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1,521,451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2,256,379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2,521,446</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2,590,558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13,495,719</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23,318,048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Litigation –</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8"/>
          <w:szCs w:val="18"/>
          <w:i w:val="1"/>
          <w:iCs w:val="1"/>
          <w:color w:val="auto"/>
        </w:rPr>
        <w:t>Wang v. Arrowhead Research Corp., et al.</w:t>
      </w:r>
      <w:r>
        <w:rPr>
          <w:rFonts w:ascii="Arial" w:cs="Arial" w:eastAsia="Arial" w:hAnsi="Arial"/>
          <w:sz w:val="18"/>
          <w:szCs w:val="18"/>
          <w:color w:val="auto"/>
        </w:rPr>
        <w:t>, No.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6" w:name="page17"/>
    <w:bookmarkEnd w:id="16"/>
    <w:p>
      <w:pPr>
        <w:spacing w:after="0" w:line="267" w:lineRule="auto"/>
        <w:rPr>
          <w:sz w:val="20"/>
          <w:szCs w:val="20"/>
          <w:color w:val="auto"/>
        </w:rPr>
      </w:pPr>
      <w:r>
        <w:rPr>
          <w:rFonts w:ascii="Arial" w:cs="Arial" w:eastAsia="Arial" w:hAnsi="Arial"/>
          <w:sz w:val="17"/>
          <w:szCs w:val="17"/>
          <w:color w:val="auto"/>
        </w:rPr>
        <w:t xml:space="preserve">2:14-cv-07890 (C.D. Cal., filed Oct. 10, 2014), and </w:t>
      </w:r>
      <w:r>
        <w:rPr>
          <w:rFonts w:ascii="Arial" w:cs="Arial" w:eastAsia="Arial" w:hAnsi="Arial"/>
          <w:sz w:val="17"/>
          <w:szCs w:val="17"/>
          <w:i w:val="1"/>
          <w:iCs w:val="1"/>
          <w:color w:val="auto"/>
        </w:rPr>
        <w:t>Eskinazi v. Arrowhead Research Corp., et al.</w:t>
      </w:r>
      <w:r>
        <w:rPr>
          <w:rFonts w:ascii="Arial" w:cs="Arial" w:eastAsia="Arial" w:hAnsi="Arial"/>
          <w:sz w:val="17"/>
          <w:szCs w:val="17"/>
          <w:color w:val="auto"/>
        </w:rPr>
        <w:t xml:space="preserve">, No. 2:14-cv-07911 (C.D. Cal., filed Oct. 13, 2014), asserted claims under Sections 10(b) and 20(a) of the Securities Exchange Act of 1934 and sought damages in an unspecified amount. Additionally, three putative stockholder derivative actions captioned </w:t>
      </w:r>
      <w:r>
        <w:rPr>
          <w:rFonts w:ascii="Arial" w:cs="Arial" w:eastAsia="Arial" w:hAnsi="Arial"/>
          <w:sz w:val="17"/>
          <w:szCs w:val="17"/>
          <w:i w:val="1"/>
          <w:iCs w:val="1"/>
          <w:color w:val="auto"/>
        </w:rPr>
        <w:t>Weisman v. Anzalone et al</w:t>
      </w:r>
      <w:r>
        <w:rPr>
          <w:rFonts w:ascii="Arial" w:cs="Arial" w:eastAsia="Arial" w:hAnsi="Arial"/>
          <w:sz w:val="17"/>
          <w:szCs w:val="17"/>
          <w:color w:val="auto"/>
        </w:rPr>
        <w:t xml:space="preserve">., No. 2:14-cv-08982 (C.D. Cal., filed Nov. 20, 2014), </w:t>
      </w:r>
      <w:r>
        <w:rPr>
          <w:rFonts w:ascii="Arial" w:cs="Arial" w:eastAsia="Arial" w:hAnsi="Arial"/>
          <w:sz w:val="17"/>
          <w:szCs w:val="17"/>
          <w:i w:val="1"/>
          <w:iCs w:val="1"/>
          <w:color w:val="auto"/>
        </w:rPr>
        <w:t>Bernstein (Backus) v. Anzalone, et</w:t>
      </w:r>
      <w:r>
        <w:rPr>
          <w:rFonts w:ascii="Arial" w:cs="Arial" w:eastAsia="Arial" w:hAnsi="Arial"/>
          <w:sz w:val="17"/>
          <w:szCs w:val="17"/>
          <w:color w:val="auto"/>
        </w:rPr>
        <w:t xml:space="preserve"> </w:t>
      </w:r>
      <w:r>
        <w:rPr>
          <w:rFonts w:ascii="Arial" w:cs="Arial" w:eastAsia="Arial" w:hAnsi="Arial"/>
          <w:sz w:val="17"/>
          <w:szCs w:val="17"/>
          <w:i w:val="1"/>
          <w:iCs w:val="1"/>
          <w:color w:val="auto"/>
        </w:rPr>
        <w:t>al.</w:t>
      </w:r>
      <w:r>
        <w:rPr>
          <w:rFonts w:ascii="Arial" w:cs="Arial" w:eastAsia="Arial" w:hAnsi="Arial"/>
          <w:sz w:val="17"/>
          <w:szCs w:val="17"/>
          <w:color w:val="auto"/>
        </w:rPr>
        <w:t>, No. 2:14-cv-09247 (C.D. Cal., filed Dec. 2, 2014); and</w:t>
      </w:r>
      <w:r>
        <w:rPr>
          <w:rFonts w:ascii="Arial" w:cs="Arial" w:eastAsia="Arial" w:hAnsi="Arial"/>
          <w:sz w:val="17"/>
          <w:szCs w:val="17"/>
          <w:i w:val="1"/>
          <w:iCs w:val="1"/>
          <w:color w:val="auto"/>
        </w:rPr>
        <w:t xml:space="preserve"> Johnson v. Anzalone, et al.</w:t>
      </w:r>
      <w:r>
        <w:rPr>
          <w:rFonts w:ascii="Arial" w:cs="Arial" w:eastAsia="Arial" w:hAnsi="Arial"/>
          <w:sz w:val="17"/>
          <w:szCs w:val="17"/>
          <w:color w:val="auto"/>
        </w:rPr>
        <w:t>, No. 2:15-cv-00446 (C.D. Cal., filed Jan. 22, 2015), were filed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United States District Court for the Central District of California, alleging breach of fiduciary duty by the Company’s Board of Directors in connection with the alleged facts underlying the securities claims. An additional consolidated derivative action asserting similar claims was filed in Los Angeles County Superior Court, initially filed as </w:t>
      </w:r>
      <w:r>
        <w:rPr>
          <w:rFonts w:ascii="Arial" w:cs="Arial" w:eastAsia="Arial" w:hAnsi="Arial"/>
          <w:sz w:val="17"/>
          <w:szCs w:val="17"/>
          <w:i w:val="1"/>
          <w:iCs w:val="1"/>
          <w:color w:val="auto"/>
        </w:rPr>
        <w:t>Bacchus v. Anzalone, et al.</w:t>
      </w:r>
      <w:r>
        <w:rPr>
          <w:rFonts w:ascii="Arial" w:cs="Arial" w:eastAsia="Arial" w:hAnsi="Arial"/>
          <w:sz w:val="17"/>
          <w:szCs w:val="17"/>
          <w:color w:val="auto"/>
        </w:rPr>
        <w:t xml:space="preserve">, (L.A. Super., filed Mar. 5, 2015); and </w:t>
      </w:r>
      <w:r>
        <w:rPr>
          <w:rFonts w:ascii="Arial" w:cs="Arial" w:eastAsia="Arial" w:hAnsi="Arial"/>
          <w:sz w:val="17"/>
          <w:szCs w:val="17"/>
          <w:i w:val="1"/>
          <w:iCs w:val="1"/>
          <w:color w:val="auto"/>
        </w:rPr>
        <w:t>Jackson v. Anzalone, et al.</w:t>
      </w:r>
      <w:r>
        <w:rPr>
          <w:rFonts w:ascii="Arial" w:cs="Arial" w:eastAsia="Arial" w:hAnsi="Arial"/>
          <w:sz w:val="17"/>
          <w:szCs w:val="17"/>
          <w:color w:val="auto"/>
        </w:rPr>
        <w:t xml:space="preserve"> (L.A. Super., filed Mar. 16, 2015). Each of these suits seeks damages in unspecified amounts and some seek various forms of injunctive relief. On October 7, 2016, the federal district court dismissed the consolidated class action with prejudice. Following the dismissal of the consolidated class action, the parties for the Weisman and Johnson actions jointly stipulated to dismiss the actions, with the parties bearing their own fees and costs. The parties to the Bernstein and consolidated derivative action agreed to stay the matters pending the resolution of the Ninth Circuit appeal of the dismissal of the consolidated class action. On February 15, 2018, the Ninth Circuit issued a memorandum affirming the district court’s dismissal of all claims. Plaintiffs in the consolidated derivative action voluntarily dismissed their case. The parties to the Bernstein action filed a stipulation to continue the stay of the action pending resolution of the Ninth Circuit appeal in Meller v. Arrowhead Pharmaceuticals, Inc., Case No. 2:16-cv-08505 (C.D. Cal.).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w:t>
      </w:r>
    </w:p>
    <w:p>
      <w:pPr>
        <w:spacing w:after="0" w:line="193" w:lineRule="exact"/>
        <w:rPr>
          <w:sz w:val="20"/>
          <w:szCs w:val="20"/>
          <w:color w:val="auto"/>
        </w:rPr>
      </w:pPr>
    </w:p>
    <w:p>
      <w:pPr>
        <w:ind w:right="80" w:firstLine="518"/>
        <w:spacing w:after="0" w:line="285" w:lineRule="auto"/>
        <w:rPr>
          <w:sz w:val="20"/>
          <w:szCs w:val="20"/>
          <w:color w:val="auto"/>
        </w:rPr>
      </w:pPr>
      <w:r>
        <w:rPr>
          <w:rFonts w:ascii="Arial" w:cs="Arial" w:eastAsia="Arial" w:hAnsi="Arial"/>
          <w:sz w:val="16"/>
          <w:szCs w:val="16"/>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6"/>
          <w:szCs w:val="16"/>
          <w:i w:val="1"/>
          <w:iCs w:val="1"/>
          <w:color w:val="auto"/>
        </w:rPr>
        <w:t>Meller v. Arrowhead Pharmaceuticals, Inc., et al.</w:t>
      </w:r>
      <w:r>
        <w:rPr>
          <w:rFonts w:ascii="Arial" w:cs="Arial" w:eastAsia="Arial" w:hAnsi="Arial"/>
          <w:sz w:val="16"/>
          <w:szCs w:val="16"/>
          <w:color w:val="auto"/>
        </w:rPr>
        <w:t xml:space="preserve">, No. 2:16-cv-08505 (C.D. Cal, filed Nov. 15, 2016 ), </w:t>
      </w:r>
      <w:r>
        <w:rPr>
          <w:rFonts w:ascii="Arial" w:cs="Arial" w:eastAsia="Arial" w:hAnsi="Arial"/>
          <w:sz w:val="16"/>
          <w:szCs w:val="16"/>
          <w:i w:val="1"/>
          <w:iCs w:val="1"/>
          <w:color w:val="auto"/>
        </w:rPr>
        <w:t>Siegel v. Arrowhead</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No. 2:16-cv-8954 (C.D. Cal., filed Dec. 2, 2016), and</w:t>
      </w:r>
      <w:r>
        <w:rPr>
          <w:rFonts w:ascii="Arial" w:cs="Arial" w:eastAsia="Arial" w:hAnsi="Arial"/>
          <w:sz w:val="16"/>
          <w:szCs w:val="16"/>
          <w:i w:val="1"/>
          <w:iCs w:val="1"/>
          <w:color w:val="auto"/>
        </w:rPr>
        <w:t xml:space="preserve"> Unz v. Arrowhead Pharmaceuticals, Inc., et al</w:t>
      </w:r>
      <w:r>
        <w:rPr>
          <w:rFonts w:ascii="Arial" w:cs="Arial" w:eastAsia="Arial" w:hAnsi="Arial"/>
          <w:sz w:val="16"/>
          <w:szCs w:val="16"/>
          <w:color w:val="auto"/>
        </w:rPr>
        <w:t>., No.2:17-cv-00310 (C.D.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 filed Jan. 13, 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6"/>
          <w:szCs w:val="16"/>
          <w:i w:val="1"/>
          <w:iCs w:val="1"/>
          <w:color w:val="auto"/>
        </w:rPr>
        <w:t>Johnson v. Anzalone, et al</w:t>
      </w:r>
      <w:r>
        <w:rPr>
          <w:rFonts w:ascii="Arial" w:cs="Arial" w:eastAsia="Arial" w:hAnsi="Arial"/>
          <w:sz w:val="16"/>
          <w:szCs w:val="16"/>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Arial" w:cs="Arial" w:eastAsia="Arial" w:hAnsi="Arial"/>
          <w:sz w:val="16"/>
          <w:szCs w:val="16"/>
          <w:i w:val="1"/>
          <w:iCs w:val="1"/>
          <w:color w:val="auto"/>
        </w:rPr>
        <w:t xml:space="preserve">Lucas v. Anzalone, et al., </w:t>
      </w:r>
      <w:r>
        <w:rPr>
          <w:rFonts w:ascii="Arial" w:cs="Arial" w:eastAsia="Arial" w:hAnsi="Arial"/>
          <w:sz w:val="16"/>
          <w:szCs w:val="16"/>
          <w:color w:val="auto"/>
        </w:rPr>
        <w:t>No. 2:17-cv-03207 (C.D. Cal., filed April 28, 2017), and</w:t>
      </w:r>
      <w:r>
        <w:rPr>
          <w:rFonts w:ascii="Arial" w:cs="Arial" w:eastAsia="Arial" w:hAnsi="Arial"/>
          <w:sz w:val="16"/>
          <w:szCs w:val="16"/>
          <w:i w:val="1"/>
          <w:iCs w:val="1"/>
          <w:color w:val="auto"/>
        </w:rPr>
        <w:t xml:space="preserve"> Singh v. Anzalone, et al</w:t>
      </w:r>
      <w:r>
        <w:rPr>
          <w:rFonts w:ascii="Arial" w:cs="Arial" w:eastAsia="Arial" w:hAnsi="Arial"/>
          <w:sz w:val="16"/>
          <w:szCs w:val="16"/>
          <w:color w:val="auto"/>
        </w:rPr>
        <w:t>., No. 2:17-cv-03160 (C.D. Cal., filed April 27,</w:t>
      </w:r>
      <w:r>
        <w:rPr>
          <w:rFonts w:ascii="Arial" w:cs="Arial" w:eastAsia="Arial" w:hAnsi="Arial"/>
          <w:sz w:val="16"/>
          <w:szCs w:val="16"/>
          <w:i w:val="1"/>
          <w:iCs w:val="1"/>
          <w:color w:val="auto"/>
        </w:rPr>
        <w:t xml:space="preserve"> </w:t>
      </w:r>
      <w:r>
        <w:rPr>
          <w:rFonts w:ascii="Arial" w:cs="Arial" w:eastAsia="Arial" w:hAnsi="Arial"/>
          <w:sz w:val="16"/>
          <w:szCs w:val="16"/>
          <w:color w:val="auto"/>
        </w:rPr>
        <w:t>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July 23, 2019, the Ninth Circuit issued a memorandum affirming the district court’s dismissal of all claims in the consolidated class action. The Lucas and Singh actions are stayed pending resolution of the Ninth Circuit appeal.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w:t>
      </w:r>
    </w:p>
    <w:p>
      <w:pPr>
        <w:spacing w:after="0" w:line="3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regard to legal fees, such as attorney fees related to these matters or any other legal matters, the Company recognizes such costs as incurred.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June 30, 2019, these future commitments were estimated at approximately $53.8 million, of which approximately $11.5 million is expected to be incurred in fiscal 2019, and $42.3 million is expected to be incurred beyond fiscal 2019.</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and nine months ended June 30, 2019 and 2018, the Company did not reach milestones requiring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 w:name="page18"/>
    <w:bookmarkEnd w:id="17"/>
    <w:p>
      <w:pPr>
        <w:ind w:right="200"/>
        <w:spacing w:after="0" w:line="309" w:lineRule="auto"/>
        <w:rPr>
          <w:sz w:val="20"/>
          <w:szCs w:val="20"/>
          <w:color w:val="auto"/>
        </w:rPr>
      </w:pPr>
      <w:r>
        <w:rPr>
          <w:rFonts w:ascii="Arial" w:cs="Arial" w:eastAsia="Arial" w:hAnsi="Arial"/>
          <w:sz w:val="18"/>
          <w:szCs w:val="18"/>
          <w:color w:val="auto"/>
        </w:rPr>
        <w:t>payment. In certain agreements, the Company may be required to make mid to high single-digit percentage royalty payments based on a percentage of the sales of the relevant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Arrowhead has two plans that provide for equity-based compensation. Under the 2004 Equity Incentive Plan and 2013 Incentive Plan, as of June 30, 2019, 1,261,037 and 5,311,476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June 30, 2019, there were options granted and outstanding to purchase 1,261,037 and 2,926,726 shares of Common Stock under the 2004 Equity Incentive Plan and the 2013 Incentive Plan, respectively, and there were 2,049,333 restricted stock units granted and outstanding under the 2013 Incentive Plan. Also, as of June 30, 2019, there were 806,084 shares reserved for options and 2,000 shares reserved for restricted stock units issued as inducement grants to new employees outside of equity compensation plans. During the three months ended June 30, 2019, 0 options and 0 restricted stock units were granted under the 2013 Incentive Plan, and 62,000 options and 0 restricted stock units were granted as inducement awards to new employees outside of equity incentive plans. During the nine months ended June 30, 2019, 517,500 options and 1,401,888 restricted stock units were granted under the 2013 Incentive Plan, and 257,000 options and 2,000 restricted stock units were granted as inducement awards to new employees outside of equity incentive plans.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5,524,399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774,500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(60,891)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(1,244,161)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4,993,847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86"/>
              </w:rPr>
              <w:t>6.0 years</w:t>
            </w: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w w:val="90"/>
              </w:rPr>
              <w:t>94,374,779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Exercisable At June 30,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9"/>
                <w:szCs w:val="19"/>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w w:val="86"/>
              </w:rPr>
              <w:t>4.9 years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ind w:left="80"/>
              <w:spacing w:after="0"/>
              <w:rPr>
                <w:sz w:val="20"/>
                <w:szCs w:val="20"/>
                <w:color w:val="auto"/>
              </w:rPr>
            </w:pPr>
            <w:r>
              <w:rPr>
                <w:rFonts w:ascii="Arial" w:cs="Arial" w:eastAsia="Arial" w:hAnsi="Arial"/>
                <w:sz w:val="18"/>
                <w:szCs w:val="18"/>
                <w:color w:val="auto"/>
                <w:w w:val="90"/>
              </w:rPr>
              <w:t>73,523,229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June 30, 2019 and 2018 was $1,016,206 and $744,396, respectively. Stock-based compensation expense related to stock options for the nine months ended June 30, 2019 and 2018 was $2,823,706 and $2,503,060, respectively. For non-qualified stock options, the expense creates a timing difference, resulting in a deferred tax asset, which is fully reserved by a valuation allowance.</w:t>
      </w:r>
    </w:p>
    <w:p>
      <w:pPr>
        <w:spacing w:after="0" w:line="18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grant date fair value of the options granted by the Company for the three months ended June 30, 2019 and 2018 was $1,316,220 and $640,687, respectively. The grant date fair value of the options granted by the Company for the nine months ended June 30, 2019 and 2018 was $9,453,469 and $2,933,593, respectively.</w:t>
      </w:r>
    </w:p>
    <w:p>
      <w:pPr>
        <w:spacing w:after="0" w:line="181"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The intrinsic value of the options exercised during the three months ended June 30, 2019 and 2018 was $9,349,226 and $1,486,390, respectively. The intrinsic value of the options exercised during the nine months ended June 30, 2019 and 2018 was $17,471,520 and $1,837,064, respectively.</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June 30, 2019, the pre-tax compensation expense for all outstanding unvested stock options in the amount of approximately $11,327,531 will be recognized in the Company’s results of operations over a weighted average period of 3.3 years.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3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1.9 – 3.1%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2.1 – 2.8%</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115%</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$12.21</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$3.97</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Restricted stock units (RSUs), including time-based and performance-based awards, were granted under the Company’s 2013 Incentive Plan and as inducement grants granted outside of the Plan. During the three months ended June 30, 2019, the Company issued 0 RSUs under the 2013 Incentive Plan and 0 RSUs as inducement awards to new employees outside of equity incentive plans. During the nine months ended June 30, 2019, the Company issued 1,401,888 RSUs under the 2013 Incentive Plan and 2,000 RSUs as inducement awards to new employees outside of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RSUs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2,968,500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1,403,888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(2,197,305)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(123,750)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firstLine="518"/>
        <w:spacing w:after="0" w:line="302" w:lineRule="auto"/>
        <w:rPr>
          <w:sz w:val="20"/>
          <w:szCs w:val="20"/>
          <w:color w:val="auto"/>
        </w:rPr>
      </w:pPr>
      <w:r>
        <w:rPr>
          <w:rFonts w:ascii="Arial" w:cs="Arial" w:eastAsia="Arial" w:hAnsi="Arial"/>
          <w:sz w:val="16"/>
          <w:szCs w:val="16"/>
          <w:color w:val="auto"/>
        </w:rPr>
        <w:t>During the three months ended June 30, 2019 and 2018, the Company recorded $941,788 and $1,524,369 of expense related to RSUs, respectively. During the nine months ended June 30, 2019 and 2018, the Company recorded $4,453,169 and $3,315,059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54"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of June 30, 2019, the pre-tax compensation expense for all unvested RSUs in the amount of approximately $8,610,072 will be recognized in the Company’s results of operations over a weighted average period of 3.1 years.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right="180"/>
        <w:spacing w:after="0" w:line="264" w:lineRule="auto"/>
        <w:rPr>
          <w:sz w:val="20"/>
          <w:szCs w:val="20"/>
          <w:color w:val="auto"/>
        </w:rPr>
      </w:pPr>
      <w:r>
        <w:rPr>
          <w:rFonts w:ascii="Arial" w:cs="Arial" w:eastAsia="Arial" w:hAnsi="Arial"/>
          <w:sz w:val="18"/>
          <w:szCs w:val="18"/>
          <w:color w:val="auto"/>
        </w:rPr>
        <w:t>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June 30, 2019 and September 30, 2018 for assets and liabilities measured at fair value on a recurring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188,330,973</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188,330,973</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Restricted cash</w:t>
            </w:r>
          </w:p>
        </w:tc>
        <w:tc>
          <w:tcPr>
            <w:tcW w:w="19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1,000,774</w:t>
            </w:r>
          </w:p>
        </w:tc>
        <w:tc>
          <w:tcPr>
            <w:tcW w:w="3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1,000,774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2FF"/>
          </w:tcPr>
          <w:p>
            <w:pPr>
              <w:spacing w:after="0"/>
              <w:rPr>
                <w:sz w:val="20"/>
                <w:szCs w:val="20"/>
                <w:color w:val="auto"/>
              </w:rPr>
            </w:pPr>
            <w:r>
              <w:rPr>
                <w:rFonts w:ascii="Arial" w:cs="Arial" w:eastAsia="Arial" w:hAnsi="Arial"/>
                <w:sz w:val="18"/>
                <w:szCs w:val="18"/>
                <w:color w:val="auto"/>
              </w:rPr>
              <w:t>Short-term investments</w:t>
            </w:r>
          </w:p>
        </w:tc>
        <w:tc>
          <w:tcPr>
            <w:tcW w:w="1900" w:type="dxa"/>
            <w:vAlign w:val="bottom"/>
            <w:gridSpan w:val="3"/>
            <w:shd w:val="clear" w:color="auto" w:fill="CFF2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2FF"/>
          </w:tcPr>
          <w:p>
            <w:pPr>
              <w:jc w:val="right"/>
              <w:ind w:right="20"/>
              <w:spacing w:after="0"/>
              <w:rPr>
                <w:sz w:val="20"/>
                <w:szCs w:val="20"/>
                <w:color w:val="auto"/>
              </w:rPr>
            </w:pPr>
            <w:r>
              <w:rPr>
                <w:rFonts w:ascii="Arial" w:cs="Arial" w:eastAsia="Arial" w:hAnsi="Arial"/>
                <w:sz w:val="18"/>
                <w:szCs w:val="18"/>
                <w:color w:val="auto"/>
              </w:rPr>
              <w:t>48,637,864</w:t>
            </w:r>
          </w:p>
        </w:tc>
        <w:tc>
          <w:tcPr>
            <w:tcW w:w="340" w:type="dxa"/>
            <w:vAlign w:val="bottom"/>
            <w:gridSpan w:val="3"/>
            <w:shd w:val="clear" w:color="auto" w:fill="CFF2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2FF"/>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FF2FF"/>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2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2FF"/>
          </w:tcPr>
          <w:p>
            <w:pPr>
              <w:jc w:val="right"/>
              <w:spacing w:after="0"/>
              <w:rPr>
                <w:sz w:val="20"/>
                <w:szCs w:val="20"/>
                <w:color w:val="auto"/>
              </w:rPr>
            </w:pPr>
            <w:r>
              <w:rPr>
                <w:rFonts w:ascii="Arial" w:cs="Arial" w:eastAsia="Arial" w:hAnsi="Arial"/>
                <w:sz w:val="18"/>
                <w:szCs w:val="18"/>
                <w:color w:val="auto"/>
              </w:rPr>
              <w:t>48,637,864</w:t>
            </w:r>
          </w:p>
        </w:tc>
        <w:tc>
          <w:tcPr>
            <w:tcW w:w="20" w:type="dxa"/>
            <w:vAlign w:val="bottom"/>
            <w:shd w:val="clear" w:color="auto" w:fill="CFF2FF"/>
          </w:tcPr>
          <w:p>
            <w:pPr>
              <w:spacing w:after="0"/>
              <w:rPr>
                <w:sz w:val="19"/>
                <w:szCs w:val="19"/>
                <w:color w:val="auto"/>
              </w:rPr>
            </w:pPr>
          </w:p>
        </w:tc>
        <w:tc>
          <w:tcPr>
            <w:tcW w:w="80" w:type="dxa"/>
            <w:vAlign w:val="bottom"/>
            <w:shd w:val="clear" w:color="auto" w:fill="CFF2FF"/>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Long-term investments</w:t>
            </w:r>
          </w:p>
        </w:tc>
        <w:tc>
          <w:tcPr>
            <w:tcW w:w="19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58,546,109</w:t>
            </w:r>
          </w:p>
        </w:tc>
        <w:tc>
          <w:tcPr>
            <w:tcW w:w="3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58,546,109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2FF"/>
          </w:tcPr>
          <w:p>
            <w:pPr>
              <w:spacing w:after="0"/>
              <w:rPr>
                <w:sz w:val="20"/>
                <w:szCs w:val="20"/>
                <w:color w:val="auto"/>
              </w:rPr>
            </w:pPr>
            <w:r>
              <w:rPr>
                <w:rFonts w:ascii="Arial" w:cs="Arial" w:eastAsia="Arial" w:hAnsi="Arial"/>
                <w:sz w:val="18"/>
                <w:szCs w:val="18"/>
                <w:color w:val="auto"/>
              </w:rPr>
              <w:t>Contingent consideration</w:t>
            </w:r>
          </w:p>
        </w:tc>
        <w:tc>
          <w:tcPr>
            <w:tcW w:w="1900" w:type="dxa"/>
            <w:vAlign w:val="bottom"/>
            <w:gridSpan w:val="3"/>
            <w:shd w:val="clear" w:color="auto" w:fill="CFF2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2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2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2FF"/>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FF2FF"/>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2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2FF"/>
          </w:tcPr>
          <w:p>
            <w:pPr>
              <w:jc w:val="right"/>
              <w:ind w:right="100"/>
              <w:spacing w:after="0"/>
              <w:rPr>
                <w:sz w:val="20"/>
                <w:szCs w:val="20"/>
                <w:color w:val="auto"/>
              </w:rPr>
            </w:pPr>
            <w:r>
              <w:rPr>
                <w:rFonts w:ascii="Arial" w:cs="Arial" w:eastAsia="Arial" w:hAnsi="Arial"/>
                <w:sz w:val="18"/>
                <w:szCs w:val="18"/>
                <w:color w:val="auto"/>
              </w:rPr>
              <w:t>—</w:t>
            </w:r>
          </w:p>
        </w:tc>
      </w:tr>
      <w:tr>
        <w:trPr>
          <w:trHeight w:val="459"/>
        </w:trPr>
        <w:tc>
          <w:tcPr>
            <w:tcW w:w="414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30,133,213</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30,133,213</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Restricted cash</w:t>
            </w:r>
          </w:p>
        </w:tc>
        <w:tc>
          <w:tcPr>
            <w:tcW w:w="190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3560" w:type="dxa"/>
            <w:vAlign w:val="bottom"/>
            <w:shd w:val="clear" w:color="auto" w:fill="CFF2FF"/>
          </w:tcPr>
          <w:p>
            <w:pPr>
              <w:spacing w:after="0"/>
              <w:rPr>
                <w:sz w:val="20"/>
                <w:szCs w:val="20"/>
                <w:color w:val="auto"/>
              </w:rPr>
            </w:pPr>
            <w:r>
              <w:rPr>
                <w:rFonts w:ascii="Arial" w:cs="Arial" w:eastAsia="Arial" w:hAnsi="Arial"/>
                <w:sz w:val="18"/>
                <w:szCs w:val="18"/>
                <w:color w:val="auto"/>
              </w:rPr>
              <w:t>Short-term investments</w:t>
            </w:r>
          </w:p>
        </w:tc>
        <w:tc>
          <w:tcPr>
            <w:tcW w:w="1900" w:type="dxa"/>
            <w:vAlign w:val="bottom"/>
            <w:gridSpan w:val="3"/>
            <w:shd w:val="clear" w:color="auto" w:fill="CFF2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2FF"/>
          </w:tcPr>
          <w:p>
            <w:pPr>
              <w:jc w:val="right"/>
              <w:spacing w:after="0"/>
              <w:rPr>
                <w:sz w:val="20"/>
                <w:szCs w:val="20"/>
                <w:color w:val="auto"/>
              </w:rPr>
            </w:pPr>
            <w:r>
              <w:rPr>
                <w:rFonts w:ascii="Arial" w:cs="Arial" w:eastAsia="Arial" w:hAnsi="Arial"/>
                <w:sz w:val="18"/>
                <w:szCs w:val="18"/>
                <w:color w:val="auto"/>
                <w:w w:val="97"/>
              </w:rPr>
              <w:t>45,971,126</w:t>
            </w:r>
          </w:p>
        </w:tc>
        <w:tc>
          <w:tcPr>
            <w:tcW w:w="60" w:type="dxa"/>
            <w:vAlign w:val="bottom"/>
            <w:shd w:val="clear" w:color="auto" w:fill="CFF2FF"/>
          </w:tcPr>
          <w:p>
            <w:pPr>
              <w:spacing w:after="0"/>
              <w:rPr>
                <w:sz w:val="19"/>
                <w:szCs w:val="19"/>
                <w:color w:val="auto"/>
              </w:rPr>
            </w:pPr>
          </w:p>
        </w:tc>
        <w:tc>
          <w:tcPr>
            <w:tcW w:w="340" w:type="dxa"/>
            <w:vAlign w:val="bottom"/>
            <w:gridSpan w:val="3"/>
            <w:shd w:val="clear" w:color="auto" w:fill="CFF2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2FF"/>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FF2FF"/>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2FF"/>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2FF"/>
          </w:tcPr>
          <w:p>
            <w:pPr>
              <w:jc w:val="right"/>
              <w:spacing w:after="0"/>
              <w:rPr>
                <w:sz w:val="20"/>
                <w:szCs w:val="20"/>
                <w:color w:val="auto"/>
              </w:rPr>
            </w:pPr>
            <w:r>
              <w:rPr>
                <w:rFonts w:ascii="Arial" w:cs="Arial" w:eastAsia="Arial" w:hAnsi="Arial"/>
                <w:sz w:val="18"/>
                <w:szCs w:val="18"/>
                <w:color w:val="auto"/>
              </w:rPr>
              <w:t>45,971,126</w:t>
            </w:r>
          </w:p>
        </w:tc>
        <w:tc>
          <w:tcPr>
            <w:tcW w:w="20" w:type="dxa"/>
            <w:vAlign w:val="bottom"/>
            <w:shd w:val="clear" w:color="auto" w:fill="CFF2FF"/>
          </w:tcPr>
          <w:p>
            <w:pPr>
              <w:spacing w:after="0"/>
              <w:rPr>
                <w:sz w:val="19"/>
                <w:szCs w:val="19"/>
                <w:color w:val="auto"/>
              </w:rPr>
            </w:pPr>
          </w:p>
        </w:tc>
        <w:tc>
          <w:tcPr>
            <w:tcW w:w="80" w:type="dxa"/>
            <w:vAlign w:val="bottom"/>
            <w:shd w:val="clear" w:color="auto" w:fill="CFF2FF"/>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Long-term investments</w:t>
            </w:r>
          </w:p>
        </w:tc>
        <w:tc>
          <w:tcPr>
            <w:tcW w:w="190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3560" w:type="dxa"/>
            <w:vAlign w:val="bottom"/>
            <w:shd w:val="clear" w:color="auto" w:fill="CFF2FF"/>
          </w:tcPr>
          <w:p>
            <w:pPr>
              <w:spacing w:after="0"/>
              <w:rPr>
                <w:sz w:val="20"/>
                <w:szCs w:val="20"/>
                <w:color w:val="auto"/>
              </w:rPr>
            </w:pPr>
            <w:r>
              <w:rPr>
                <w:rFonts w:ascii="Arial" w:cs="Arial" w:eastAsia="Arial" w:hAnsi="Arial"/>
                <w:sz w:val="18"/>
                <w:szCs w:val="18"/>
                <w:color w:val="auto"/>
              </w:rPr>
              <w:t>Contingent consideration</w:t>
            </w:r>
          </w:p>
        </w:tc>
        <w:tc>
          <w:tcPr>
            <w:tcW w:w="1900" w:type="dxa"/>
            <w:vAlign w:val="bottom"/>
            <w:gridSpan w:val="3"/>
            <w:shd w:val="clear" w:color="auto" w:fill="CFF2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2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2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2FF"/>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FF2FF"/>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2FF"/>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2FF"/>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June 30, 2019 and September 30, 2018.</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There was no provision for income taxes for the three and nine months ended June 30, 2019 and 2018, respectively. During the three and nine months ended June 30, 2019, the Company generated net income of $20.3 million and $56.3 million, respectively. However, this net income was more than offset by the Company’s existing net operating loss carryforwards. As of June 30, 2019, the Company’s remaining deferred income taxes assets, consisting primarily of net operating loss carryforwards, remain fully offset by a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305"/>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297" w:lineRule="exact"/>
        <w:rPr>
          <w:sz w:val="20"/>
          <w:szCs w:val="20"/>
          <w:color w:val="auto"/>
        </w:rPr>
      </w:pPr>
    </w:p>
    <w:p>
      <w:pPr>
        <w:ind w:firstLine="305"/>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ARO-LPA (AMG 890) for cardiovascular disease was out-licensed to Amgen Inc. in 2016. JNJ-3989 (ARO-HBV) for chronic hepatitis B virus was out-licensed to Janssen Pharmaceuticals, Inc. in October 2018.</w:t>
      </w:r>
    </w:p>
    <w:p>
      <w:pPr>
        <w:spacing w:after="0" w:line="16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firstLine="518"/>
        <w:spacing w:after="0" w:line="207"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20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During fiscal 2019, the Company has continued to develop its pipeline and partnered candidates. In April 2019, the Company presented clinical data for JNJ-3989 (ARO-HBV) and ARO-AAT at the International Liver Congress, and in April 2019, the Company received FDA clearance to commence a Phase 2/3 study of ARO-AAT that has the potential to serve as a pivotal registrational study. In June 2019, the Company received the Fast Track Designation for ARO-AAT from the FDA. In December 2018 and January 2019, Clinical Trial Applications (CTAs) were filed for ARO-ANG3 and ARO-APOC3, respectively, and dosing has commenced for both trials. In June 2019 and July 2019, the Company received the Orphan Drug Designations for ARO-APOC3 and ARO-ANG3, respectively, from the FDA. The Company also continues to work on optimizing its other extra-hepatic preclinical pipeline candidates including ARO-ENaC and ARO-HIF2. Amgen is currently progressing its phase 1 clinical study of AMG-890 (ARO-LPA).</w:t>
      </w:r>
    </w:p>
    <w:p>
      <w:pPr>
        <w:spacing w:after="0" w:line="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also made significant progress on the business development and partnership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ind w:right="60"/>
        <w:spacing w:after="0" w:line="286" w:lineRule="auto"/>
        <w:rPr>
          <w:sz w:val="20"/>
          <w:szCs w:val="20"/>
          <w:color w:val="auto"/>
        </w:rPr>
      </w:pPr>
      <w:r>
        <w:rPr>
          <w:rFonts w:ascii="Arial" w:cs="Arial" w:eastAsia="Arial" w:hAnsi="Arial"/>
          <w:sz w:val="16"/>
          <w:szCs w:val="16"/>
          <w:color w:val="auto"/>
        </w:rPr>
        <w:t>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w:t>
      </w:r>
    </w:p>
    <w:p>
      <w:pPr>
        <w:spacing w:after="0" w:line="172"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Company’s collaboration agreement with Amgen for AMG 890 (ARO-LPA) continues to progress. The Company has received $35 million in upfront payments and $21.5 million in the form of an equity investment by Amgen in the Company’s Common Stock. Upon signing the collaboration agreements with Amgen, the Company was eligible to receive up to $617 million in option payments and development, regulatory and sales milestone payments. The Company was further eligible to receive single-digit royalties for sales of products under the ARO-AMG1 agreement and is eligible to receive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during the year ended September 30, 2018. In July 2019, Amgen informed the Company that it would not be exercising its option for an exclusive license for ARO-AMG1, and as such, there will be no further milestone or royalty payments under the ARO-AMG1 Agreement.</w:t>
      </w:r>
    </w:p>
    <w:p>
      <w:pPr>
        <w:spacing w:after="0" w:line="197" w:lineRule="exact"/>
        <w:rPr>
          <w:sz w:val="20"/>
          <w:szCs w:val="20"/>
          <w:color w:val="auto"/>
        </w:rPr>
      </w:pPr>
    </w:p>
    <w:p>
      <w:pPr>
        <w:ind w:right="28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manufacturers when cGMP production is required. The Company engages third-party contract research organizations (CROs) to manage clinical trials and works collaboratively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Net income was $20.3 million for the three months ended June 30, 2019 as compared to a net loss of $15.6 million for the three months ended June 30, 2018. Net income was $56.3 million for the nine months ended June 30, 2019 as compared to a net loss of $43.7 million for the nine months ended June 30,</w:t>
      </w:r>
    </w:p>
    <w:p>
      <w:pPr>
        <w:jc w:val="both"/>
        <w:ind w:right="160"/>
        <w:spacing w:after="0" w:line="254" w:lineRule="auto"/>
        <w:rPr>
          <w:sz w:val="20"/>
          <w:szCs w:val="20"/>
          <w:color w:val="auto"/>
        </w:rPr>
      </w:pPr>
      <w:r>
        <w:rPr>
          <w:rFonts w:ascii="Arial" w:cs="Arial" w:eastAsia="Arial" w:hAnsi="Arial"/>
          <w:sz w:val="18"/>
          <w:szCs w:val="18"/>
          <w:color w:val="auto"/>
        </w:rPr>
        <w:t>2018. Net income per share – diluted was $0.21 for the three months ended June 30, 2019 as compared to net loss per share - diluted of $0.18 for the three months ended June 30, 2018. Net income per share – diluted was $0.58 for the nine months ended June 30, 2019 as compared to net loss per share - diluted of $0.53 for the nine months ended June 30, 2018. An increase in revenue from the license and collaboration agreements with Janssen was the driver of the increase in net income and net income per share, as discussed further below.</w:t>
      </w:r>
    </w:p>
    <w:p>
      <w:pPr>
        <w:spacing w:after="0" w:line="19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Company strengthened its liquidity and financial position through the Janssen License Agreement, Janssen Collaboration Agreement and JJDC Stock Purchase Agreement, executed in October 2018. Under the terms of the agreements taken together, the Company has received $175 million as an upfront payment, $75 million in the form of an equity investment by JJDC in Arrowhead common stock. Additionally, in April 2019, the Company earned a $25 million milestone payment from Janssen following the initiation of dosing in a new triple combination cohort (cohort 12) in the Company’s ongoing Phase 1 / 2 study of JNJ-3989 (ARO-HBV). These cash proceeds secure the funding needed to continue to advance our pipeline candidates. The Company had $189.3 million of cash, cash equivalents and restricted cash, $48.6 million in short-term investments, $57.6 million of long term investments and $336.8 million of total assets as of June 30, 2019, as compared to $30.1 million, $46.4 million, $0 million and $111.6 million as of September 30, 2018, respectively. Based upon the Company’s current cash and investment resources and operating plan, the Company expects to have sufficient liquidity to fund operations for at least the next twelve months.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ind w:left="28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588"/>
        <w:spacing w:after="0" w:line="297" w:lineRule="auto"/>
        <w:rPr>
          <w:sz w:val="20"/>
          <w:szCs w:val="20"/>
          <w:color w:val="auto"/>
        </w:rPr>
      </w:pPr>
      <w:r>
        <w:rPr>
          <w:rFonts w:ascii="Arial" w:cs="Arial" w:eastAsia="Arial" w:hAnsi="Arial"/>
          <w:sz w:val="16"/>
          <w:szCs w:val="16"/>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below.</w:t>
      </w:r>
    </w:p>
    <w:p>
      <w:pPr>
        <w:spacing w:after="0" w:line="158" w:lineRule="exact"/>
        <w:rPr>
          <w:sz w:val="20"/>
          <w:szCs w:val="20"/>
          <w:color w:val="auto"/>
        </w:rPr>
      </w:pPr>
    </w:p>
    <w:p>
      <w:pPr>
        <w:jc w:val="both"/>
        <w:ind w:firstLine="588"/>
        <w:spacing w:after="0" w:line="288" w:lineRule="auto"/>
        <w:rPr>
          <w:sz w:val="20"/>
          <w:szCs w:val="20"/>
          <w:color w:val="auto"/>
        </w:rPr>
      </w:pPr>
      <w:r>
        <w:rPr>
          <w:rFonts w:ascii="Arial" w:cs="Arial" w:eastAsia="Arial" w:hAnsi="Arial"/>
          <w:sz w:val="16"/>
          <w:szCs w:val="16"/>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w:t>
      </w:r>
    </w:p>
    <w:p>
      <w:pPr>
        <w:jc w:val="both"/>
        <w:ind w:firstLine="8"/>
        <w:spacing w:after="0" w:line="288" w:lineRule="auto"/>
        <w:tabs>
          <w:tab w:leader="none" w:pos="227"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61" w:lineRule="exact"/>
        <w:rPr>
          <w:sz w:val="20"/>
          <w:szCs w:val="20"/>
          <w:color w:val="auto"/>
        </w:rPr>
      </w:pPr>
    </w:p>
    <w:p>
      <w:pPr>
        <w:jc w:val="both"/>
        <w:ind w:firstLine="588"/>
        <w:spacing w:after="0" w:line="254" w:lineRule="auto"/>
        <w:rPr>
          <w:sz w:val="20"/>
          <w:szCs w:val="20"/>
          <w:color w:val="auto"/>
        </w:rPr>
      </w:pPr>
      <w:r>
        <w:rPr>
          <w:rFonts w:ascii="Arial" w:cs="Arial" w:eastAsia="Arial" w:hAnsi="Arial"/>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jc w:val="both"/>
        <w:ind w:firstLine="588"/>
        <w:spacing w:after="0" w:line="286" w:lineRule="auto"/>
        <w:rPr>
          <w:sz w:val="20"/>
          <w:szCs w:val="20"/>
          <w:color w:val="auto"/>
        </w:rPr>
      </w:pPr>
      <w:r>
        <w:rPr>
          <w:rFonts w:ascii="Arial" w:cs="Arial" w:eastAsia="Arial" w:hAnsi="Arial"/>
          <w:sz w:val="16"/>
          <w:szCs w:val="16"/>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Thus, the milestone or royalty payments are recognized as revenue in the period the milestone or royalty was achieved. If a milestone payment is achieved during the performance period, the milestone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payment would be recognized as revenue to the extent performance had been completed at that point, and the remaining balance would be recorded as deferred revenue.</w:t>
      </w:r>
    </w:p>
    <w:p>
      <w:pPr>
        <w:spacing w:after="0" w:line="170"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7" w:lineRule="exact"/>
        <w:rPr>
          <w:sz w:val="20"/>
          <w:szCs w:val="20"/>
          <w:color w:val="auto"/>
        </w:rPr>
      </w:pPr>
    </w:p>
    <w:p>
      <w:pPr>
        <w:jc w:val="both"/>
        <w:ind w:firstLine="588"/>
        <w:spacing w:after="0" w:line="293" w:lineRule="auto"/>
        <w:rPr>
          <w:sz w:val="20"/>
          <w:szCs w:val="20"/>
          <w:color w:val="auto"/>
        </w:rPr>
      </w:pPr>
      <w:r>
        <w:rPr>
          <w:rFonts w:ascii="Arial" w:cs="Arial" w:eastAsia="Arial" w:hAnsi="Arial"/>
          <w:sz w:val="16"/>
          <w:szCs w:val="16"/>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5" w:lineRule="exact"/>
        <w:rPr>
          <w:sz w:val="20"/>
          <w:szCs w:val="20"/>
          <w:color w:val="auto"/>
        </w:rPr>
      </w:pPr>
    </w:p>
    <w:p>
      <w:pPr>
        <w:jc w:val="both"/>
        <w:ind w:firstLine="588"/>
        <w:spacing w:after="0" w:line="255" w:lineRule="auto"/>
        <w:rPr>
          <w:sz w:val="20"/>
          <w:szCs w:val="20"/>
          <w:color w:val="auto"/>
        </w:rPr>
      </w:pPr>
      <w:r>
        <w:rPr>
          <w:rFonts w:ascii="Arial" w:cs="Arial" w:eastAsia="Arial" w:hAnsi="Arial"/>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93" w:lineRule="exact"/>
        <w:rPr>
          <w:sz w:val="20"/>
          <w:szCs w:val="20"/>
          <w:color w:val="auto"/>
        </w:rPr>
      </w:pPr>
    </w:p>
    <w:p>
      <w:pPr>
        <w:jc w:val="both"/>
        <w:ind w:firstLine="588"/>
        <w:spacing w:after="0" w:line="276" w:lineRule="auto"/>
        <w:rPr>
          <w:sz w:val="20"/>
          <w:szCs w:val="20"/>
          <w:color w:val="auto"/>
        </w:rPr>
      </w:pPr>
      <w:r>
        <w:rPr>
          <w:rFonts w:ascii="Arial" w:cs="Arial" w:eastAsia="Arial" w:hAnsi="Arial"/>
          <w:sz w:val="17"/>
          <w:szCs w:val="17"/>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Intangible assets consist of a license agreement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2018</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42,696,636</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727,375</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18,595,749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(15,919,719)</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20,335,708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(15,606,017)</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(0.18)</w:t>
            </w:r>
          </w:p>
        </w:tc>
      </w:tr>
      <w:tr>
        <w:trPr>
          <w:trHeight w:val="368"/>
        </w:trPr>
        <w:tc>
          <w:tcPr>
            <w:tcW w:w="3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2018</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125,502,807</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4,887,321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51,552,585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(44,767,126)</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56,269,944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(43,689,027)</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(0.53)</w:t>
            </w:r>
          </w:p>
        </w:tc>
      </w:tr>
    </w:tbl>
    <w:p>
      <w:pPr>
        <w:spacing w:after="0" w:line="200" w:lineRule="exact"/>
        <w:rPr>
          <w:sz w:val="20"/>
          <w:szCs w:val="20"/>
          <w:color w:val="auto"/>
        </w:rPr>
      </w:pPr>
    </w:p>
    <w:p>
      <w:pPr>
        <w:spacing w:after="0" w:line="2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increase in our Revenue during the three and nine months ended June 30, 2019 was driven by the revenue recognized from our agreements with Janssen and JJDC which were executed in October 2018. This increase in Revenue was also the key driver of the increase in our Operating Income, Net Income and Net Income per Share.</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Total revenue was $42,696,636 for the three months ended June 30, 2019 and $727,375 for the three months ended June 30, 2018. Total revenue was $125,502,807 for the nine months ended June 30, 2019 and $4,887,321 for the nine months ended June 30, 2018. Revenue in the current period is primarily related to the recognition of a portion of the $227.4 million initial transaction price associated with our agreements with Janssen and JJDC as we achieved progress toward completing our performance obligation within those agreements. Revenue in the previous period was primarily related to the upfront payments received from Amgen in 2016 that we recognized as Revenue as performance was completed for the AMG 890 (ARO-LPA) and ARO-AMG1 Agreements.</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Common Stock Purchase Agreement, the Company has sold 3,002,793 shares of Common Stock to Amgen at a price of $7.16 per share. Under the terms of the agreements taken together, the Company has received $35 million in upfront payments, $21.5 million in the form of an equity investment by Amgen in the Company’s Common Stock. Upon signing the agreements with Amgen, the Company was eligible to receive up to $617 million in option payments, and development, regulatory and sales milestone payments. The Company was further eligible to receive single-digit royalties for sales of products under the ARO-AMG1 Agreement and is eligible to receive up to low double-digit royalties for sales of products under the AMG 890 (ARO-LPA) Agreement.</w:t>
      </w:r>
    </w:p>
    <w:p>
      <w:pPr>
        <w:spacing w:after="0" w:line="18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 Agreement. Future milestones and royalties achieved will be recognized in their entirety when earned. During the three months ended June 30, 2019 and 2018, the Company recognized $0 and $0.7 million of Revenue associated with its agreements with Amgen, respectively. During the nine months ended June 30, 2019 and 2018, the Company recognized $0.3 million and $4.9 million of Revenue associated with its agreements with Amgen, respectively. As of June 30, 2019 there was $0 contract assets recorded as accounts receivable, and $0 contract liabilities recorded as current deferred revenue on the Company’s Consolidated Balance Sheets.</w:t>
      </w:r>
    </w:p>
    <w:p>
      <w:pPr>
        <w:spacing w:after="0" w:line="17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July 2019, Amgen informed the Company that it would not be exercising its option for an exclusive license for ARO-AMG1, and as such, there will be no further milestone or royalty payments under the ARO-AMG1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right="20" w:firstLine="8"/>
        <w:spacing w:after="0" w:line="284" w:lineRule="auto"/>
        <w:tabs>
          <w:tab w:leader="none" w:pos="185" w:val="left"/>
        </w:tabs>
        <w:numPr>
          <w:ilvl w:val="0"/>
          <w:numId w:val="5"/>
        </w:numPr>
        <w:rPr>
          <w:rFonts w:ascii="Arial" w:cs="Arial" w:eastAsia="Arial" w:hAnsi="Arial"/>
          <w:sz w:val="16"/>
          <w:szCs w:val="16"/>
          <w:color w:val="auto"/>
        </w:rPr>
      </w:pPr>
      <w:r>
        <w:rPr>
          <w:rFonts w:ascii="Arial" w:cs="Arial" w:eastAsia="Arial" w:hAnsi="Arial"/>
          <w:sz w:val="16"/>
          <w:szCs w:val="16"/>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w:t>
      </w:r>
    </w:p>
    <w:p>
      <w:pPr>
        <w:spacing w:after="0" w:line="17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6" w:name="page27"/>
    <w:bookmarkEnd w:id="26"/>
    <w:p>
      <w:pPr>
        <w:ind w:right="180"/>
        <w:spacing w:after="0" w:line="276" w:lineRule="auto"/>
        <w:rPr>
          <w:sz w:val="20"/>
          <w:szCs w:val="20"/>
          <w:color w:val="auto"/>
        </w:rPr>
      </w:pPr>
      <w:r>
        <w:rPr>
          <w:rFonts w:ascii="Arial" w:cs="Arial" w:eastAsia="Arial" w:hAnsi="Arial"/>
          <w:sz w:val="17"/>
          <w:szCs w:val="17"/>
          <w:color w:val="auto"/>
        </w:rPr>
        <w:t>2 study of JNJ-3989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73"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The Company determined the transaction price totaled approximately $227.4 million which includes the upfront payment, the premium paid by JJDC for its equity investment in the Company, the first $25 million milestone payment earned and estimated payments for reimbursable Janssen R&amp;D services to be performed. The Company has allocated the total $227.4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and nine months ended June 30, 2019, the Company recognized approximately $42.7 million and $125.2 million of Revenue associated with its agreements with Janssen and JJDC, respectively. As of June 30, 2019 there were $2.0 million of contract assets recorded as accounts receivable, and $97.9 million of contract liabilities recorded as current deferred revenue and long-term deferred revenue on the Company’s Consolidated Balance Sheets. The $2.0 million of accounts receivable is driven by reimbursable costs incurred for the Janssen R&amp;D Services, and the $97.9 million of current and long-term deferred revenue is driven by the upfront payment and premium paid by JJDC for its equity investment in the Company and the $25 million milestone payment paid by Janssen, net of revenue recognized in the period.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nine months ended June 30, 2019 and 2018 are shown in the tables below.</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expenses for the periods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20" w:type="dxa"/>
            <w:vAlign w:val="bottom"/>
            <w:gridSpan w:val="5"/>
          </w:tcPr>
          <w:p>
            <w:pPr>
              <w:ind w:left="84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00" w:type="dxa"/>
            <w:vAlign w:val="bottom"/>
            <w:tcBorders>
              <w:bottom w:val="single" w:sz="8" w:color="B6EAFC"/>
            </w:tcBorders>
          </w:tcPr>
          <w:p>
            <w:pPr>
              <w:spacing w:after="0"/>
              <w:rPr>
                <w:sz w:val="14"/>
                <w:szCs w:val="14"/>
                <w:color w:val="auto"/>
              </w:rPr>
            </w:pPr>
          </w:p>
        </w:tc>
        <w:tc>
          <w:tcPr>
            <w:tcW w:w="840" w:type="dxa"/>
            <w:vAlign w:val="bottom"/>
            <w:tcBorders>
              <w:bottom w:val="single" w:sz="8" w:color="B6EAFC"/>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84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3,456</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2,800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Stock compensation</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84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Drug manufacturing</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3,228</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1,679</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84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849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Clinical trials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1,029</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3,281</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84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Facilities related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554</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84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(172)</w:t>
            </w: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 R&amp;D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1,191</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84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B6EAFC"/>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000" w:type="dxa"/>
            <w:vAlign w:val="bottom"/>
            <w:vMerge w:val="continue"/>
            <w:shd w:val="clear" w:color="auto" w:fill="B6EAFC"/>
          </w:tcPr>
          <w:p>
            <w:pPr>
              <w:spacing w:after="0"/>
              <w:rPr>
                <w:sz w:val="19"/>
                <w:szCs w:val="19"/>
                <w:color w:val="auto"/>
              </w:rPr>
            </w:pPr>
          </w:p>
        </w:tc>
        <w:tc>
          <w:tcPr>
            <w:tcW w:w="84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19,292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12,053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7,239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Nine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Nine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10,121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8,422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1,699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1,785</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1,661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2,095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(434)</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Drug manufacturing</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18,141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9,221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8,920</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6,679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4,104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Clinical trials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2,925</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3,340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3,449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(109)</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R&amp;D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57,662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36,975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20,687</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80" w:firstLine="518"/>
        <w:spacing w:after="0" w:line="259" w:lineRule="auto"/>
        <w:rPr>
          <w:sz w:val="20"/>
          <w:szCs w:val="20"/>
          <w:color w:val="auto"/>
        </w:rPr>
      </w:pPr>
      <w:r>
        <w:rPr>
          <w:rFonts w:ascii="Arial" w:cs="Arial" w:eastAsia="Arial" w:hAnsi="Arial"/>
          <w:sz w:val="18"/>
          <w:szCs w:val="18"/>
          <w:color w:val="auto"/>
        </w:rPr>
        <w:t>Salaries expense increased by $656,000 from $2,800,000 during the three months ended June 30, 2018 to $3,456,000 during the current period. Salaries expense increased by $1,699,000 from $8,422,000 during the nine months ended June 30, 2018 to $10,121,000 during the current period. The increase in the expense is primarily due to an increase in R&amp;D headcount that has occurred as the Company has expanded its pipeline of candidates.</w:t>
      </w:r>
    </w:p>
    <w:p>
      <w:pPr>
        <w:spacing w:after="0" w:line="18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Stock compensation expense, a non-cash expense, increased by $338,000 from $593,000 during the three months ended June 30, 2018 to $931,000 during the current period. Stock compensation expense, a non-cash expense, increased by $668,000 from $1,785,000 during the nine months ended June 30, 2018 to $2,453,000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vivo studies expense increased by $130,000 from $636,000 during the three months ended June 30, 2018 to $766,000 during the current period. In vivo studies expense decreased by $434,000 from $2,095,000 during the nine months ended June 30, 2018 to $1,661,000 during the current period. In vivo studies expense can vary depending on the stage of preclinical candidates, the nature and amount of testing required and the cost variation of different in vivo testing models. Both period-over-period changes in in vivo studies expense are the result of the timing of discovery studies being completed between periods.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Drug manufacturing expense increased by $1,679,000 from $3,228,000 during the three months ended June 30, 2018 to $4,907,000 during the current period. Drug manufacturing expense increased by $8,920,000 from $9,221,000 during the nine months ended June 30, 2018 to $18,141,000 during the current period. The increase in the expense primarily relates to the timing of manufacturing campaigns for JNJ-3989 (ARO-HBV), ARO-ANG3 and ARO-APOC3 clinical trials and toxicology studies. We anticipate this expense to increase as the volume of candidates in our pipeline increases and as each candidate progresses through clinical trial phases.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8" w:name="page29"/>
    <w:bookmarkEnd w:id="28"/>
    <w:p>
      <w:pPr>
        <w:ind w:right="40" w:firstLine="518"/>
        <w:spacing w:after="0" w:line="255" w:lineRule="auto"/>
        <w:rPr>
          <w:sz w:val="20"/>
          <w:szCs w:val="20"/>
          <w:color w:val="auto"/>
        </w:rPr>
      </w:pPr>
      <w:r>
        <w:rPr>
          <w:rFonts w:ascii="Arial" w:cs="Arial" w:eastAsia="Arial" w:hAnsi="Arial"/>
          <w:sz w:val="18"/>
          <w:szCs w:val="18"/>
          <w:color w:val="auto"/>
        </w:rPr>
        <w:t>Toxicity/efficacy studies expense increased by $1,009,000 from $849,000 during the three months ended June 30, 2018 to $1,858,000 during the current period. Toxicity/efficacy studies expense increased by $2,575,000 from $4,104,000 during the nine months ended June 30, 2018 to $6,679,000 during the current period. This category includes IND-enabling toxicology studies as well as post-IND toxicology studies, such as long-term toxicology studies, and other efficacy studies. The increase in the expense primarily relates to toxicology studies for ARO-AAT, JNJ-3989 (ARO-HBV), ARO-ANG3 and ARO-APOC3 as each candidate progresses through and into clinical trials. We anticipate this expense to increase as we prepare to enter clinical trials with our other drug candidates.</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Clinical trials expense increased by $3,281,000 from $1,029,000 during the three months ended June 30, 2018 to $4,310,000 during the current period. Clinical trials expense increased by 6,831,000 from $2,925,000 during the nine months ended June 30, 2018 to $9,756,000 during the current period. The increase in the expense is primarily due to the ongoing ARO-AAT and JNJ-3989 (ARO-HBV) clinical trials, and the start up of the ARO-ANG3 and ARO-APOC3 clinical trials. We anticipate this expense to increase as our current clinical candidates progress through clinical trials and as we enter clinical trials with our other drug candidates.</w:t>
      </w:r>
    </w:p>
    <w:p>
      <w:pPr>
        <w:spacing w:after="0" w:line="18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License, royalty and milestones expense was minor in both periods.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Facilities expense increased by $98,000 from $554,000 during the three months ended June 30, 2018 to $652,000 during the current period. Facilities expense increased by $336,000 from $1,682,000 during the nine months ended June 30, 2018 to $2,018,000 during the current period. This category includes rental costs for our research and development facility in Madison, Wisconsin. The increase in the expense is primarily due to increased rental and common area maintenance expenses for our research and development facility.</w:t>
      </w:r>
    </w:p>
    <w:p>
      <w:pPr>
        <w:spacing w:after="0" w:line="18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Depreciation and amortization expense, a non-cash expense, decreased by $172,000 from $1,170,000 during the three months ended June 30, 2018 to $998,000 during the current period. Depreciation and amortization expense, a non-cash expense, decreased by $109,000 from $3,449,000 during the nine months ended June 30, 2018 to $3,340,000 during the current period. The majority of depreciation and amortization expense relates to depreciation on lab equipment at our Madison research facility. In addition, the Company records depreciation on leasehold improvements at its Madison research facility, and the decrease in depreciation and amortization expense relates to the timing of amortization of these leasehold improvements in each period as the length of our lease has been extended.</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Other research expense increased by $223,000 from $1,191,000 during the three months ended June 30, 2018 to $1,414,000 during the current period. Other research expense increased by $225,000 from $3,268,000 during the nine months ended June 30, 2018 to $3,493,000 during the current period. This category includes the following costs to support discovery efforts and the advancement of current drug candidates: in-house laboratory supplies, outsourced labs services, and other miscellaneous research and development expenses. The increase in other research expense is due to additional in-house laboratory supplies for our increased headcount.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1,241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1,115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1,670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527</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4,809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4,594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Nine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Nine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4,909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3,621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4,252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3,324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16,288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12,680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3,608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Salaries expense increased by $126,000 from $1,115,000 during the three months ended June 30, 2018 to $1,241,000 during the current</w:t>
      </w:r>
    </w:p>
    <w:p>
      <w:pPr>
        <w:spacing w:after="0" w:line="35"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period. Salaries expense increased by $1,288,000 from $3,621,000 during the nine months ended June 30, 2018 to $4,909,000 during the current period. The increase in the expense is primarily driven by annual merit increases, performance bonuses and increased headcount.</w:t>
      </w:r>
    </w:p>
    <w:p>
      <w:pPr>
        <w:spacing w:after="0" w:line="18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Stock compensation expense, a non-cash expense, decreased by $649,000 from $1,676,000 during the three months ended June 30, 2018 to $1,027,000 during the current period. Stock compensation expense, a non-cash expense, increased by $791,000 from $4,033,000 during the nine months ended June 30, 2018 to $4,824,000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changes in expense in each period are primarily due to the timing of the achievement of certain performance-based awards in each period.</w:t>
      </w:r>
    </w:p>
    <w:p>
      <w:pPr>
        <w:spacing w:after="0" w:line="19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 by the Company. Professional/outside services expense increased by $527,000 from $1,143,000 during the three months ended June 30, 2018 to $1,670,000 during the current period. Professional/outside services expense increased by $928,000 from $3,324,000 during the nine months ended June 30, 2018 to $4,252,000 during the current period. The increase in the expense is primarily related to recruiting fees for increased headcount.</w:t>
      </w:r>
    </w:p>
    <w:p>
      <w:pPr>
        <w:spacing w:after="0" w:line="154" w:lineRule="exact"/>
        <w:rPr>
          <w:sz w:val="20"/>
          <w:szCs w:val="20"/>
          <w:color w:val="auto"/>
        </w:rPr>
      </w:pPr>
    </w:p>
    <w:p>
      <w:pPr>
        <w:ind w:right="700" w:firstLine="518"/>
        <w:spacing w:after="0" w:line="279" w:lineRule="auto"/>
        <w:rPr>
          <w:sz w:val="20"/>
          <w:szCs w:val="20"/>
          <w:color w:val="auto"/>
        </w:rPr>
      </w:pPr>
      <w:r>
        <w:rPr>
          <w:rFonts w:ascii="Arial" w:cs="Arial" w:eastAsia="Arial" w:hAnsi="Arial"/>
          <w:sz w:val="17"/>
          <w:szCs w:val="17"/>
          <w:color w:val="auto"/>
        </w:rPr>
        <w:t>Facilities-related expense increased by $61,000 from $180,000 during the three months ended June 30, 2018 to $241,000 during the current period. Facilities-related expense increased by $272,000 from $531,000 during the nine months ended June 30, 2018 to $803,000 during the current period. This category primarily includes rental costs for our corporate headquarters in Pasadena, California. However, the increase in the expense is primarily related to miscellaneous office expenses driven by our increased headcount.</w:t>
      </w:r>
    </w:p>
    <w:p>
      <w:pPr>
        <w:spacing w:after="0" w:line="17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Depreciation and amortization expense, a noncash expense, was minor in each of the periods. The majority of general and administrative depreciation and amortization expense relates to depreciation on leasehold improvements at our Pasadena headquarters.</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Other G&amp;A expense increased by $150,000 from $474,000 during the three months ended June 30, 2018 to $624,000 during the current period. Other G&amp;A expense increased by $335,000 from $1,149,000 during the nine months ended June 30, 2018 to $1,484,000 during the current period. This category consists primarily of travel, communication and technology, office expenses, and franchise and property tax expenses. The increase in the expense was due to various travel and communication and technology expenses.</w:t>
      </w: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Other income / expense was income of $1,739,959 and $313,702 during the three months ended June 30, 2019 and 2018, respectively. Other income / expense was income of $4,717,359 and $1,077,919 during the nine months ended June 30, 2019 and 2018, respectively. The largest component of other income / expense in the current periods was interest income earned on the Company’s investments. This interest income has increased in the current periods as our investment holdings have grown.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640" w:firstLine="518"/>
        <w:spacing w:after="0" w:line="342"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At June 30, 2019, the Company had cash on hand of approximately $189.3 million as compared to $30.1 million at September 30, 2018. Excess cash invested in short-term fixed income securities was $48.6 million at June 30, 2019, compared to $46.4 million at September 30, 2018. Excess cash invested in long-term fixed income securities was $57.6 million at June 30, 2019, compared to $0 million at September 30, 2018. The Company believes its current financial resources are sufficient to fund its operations through at least the next twelve months.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nine months ended June 30, 2019 and 2018 is as follows: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Nine Months Ended June 30,</w:t>
            </w:r>
          </w:p>
        </w:tc>
        <w:tc>
          <w:tcPr>
            <w:tcW w:w="120" w:type="dxa"/>
            <w:vAlign w:val="bottom"/>
          </w:tcPr>
          <w:p>
            <w:pPr>
              <w:spacing w:after="0"/>
              <w:rPr>
                <w:sz w:val="14"/>
                <w:szCs w:val="14"/>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Nine Months Ended June</w:t>
            </w: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Activities</w:t>
            </w:r>
          </w:p>
        </w:tc>
        <w:tc>
          <w:tcPr>
            <w:tcW w:w="78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159,225,017</w:t>
            </w:r>
          </w:p>
        </w:tc>
        <w:tc>
          <w:tcPr>
            <w:tcW w:w="160" w:type="dxa"/>
            <w:vAlign w:val="bottom"/>
          </w:tcPr>
          <w:p>
            <w:pPr>
              <w:spacing w:after="0"/>
              <w:rPr>
                <w:sz w:val="19"/>
                <w:szCs w:val="19"/>
                <w:color w:val="auto"/>
              </w:rPr>
            </w:pP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(44,543,099)</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(64,575,067)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(10,681,979)</w:t>
            </w: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64,548,584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58,381,897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159,198,534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3,156,819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Cash and Restricted Cash at Beginning of Period</w:t>
            </w:r>
          </w:p>
        </w:tc>
        <w:tc>
          <w:tcPr>
            <w:tcW w:w="3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30,133,213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24,838,567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at End of Period</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189,331,747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27,995,386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During the nine months ended June 30, 2019, the Company generated $159.2 million in cash from operating activities, which was primarily related to the $175.0 million upfront payment and the $25.0 million milestone payment received from Janssen, and the premium JJDC paid on the Company’s common stock during the period. These inflows were partially offset by approximately $55 million of cash used for the ongoing expenses of the Company’s research and development programs and general and administrative expenses. Cash used in investing activities was $64.6 million, which was primarily related to purchases of fixed-income investments of $90.3 million partially offset by maturities of fixed-income investments of $30.0 million. Cash provided by financing activities of $64.5 million was driven by the equity investment the Company received from JJDC during the period.</w:t>
      </w:r>
    </w:p>
    <w:p>
      <w:pPr>
        <w:spacing w:after="0" w:line="178"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During the nine months ended June 30, 2018, the Company used $44.5 million in cash from operating activities for the on-going expenses of its research and development programs and general and administrative expenses. Cash used in investing activities was $10.7 million, which was primarily related to purchases of fixed-income investments of $47.2 million partially offset by maturities of fixed-income investments of $37.2 million. Cash provided by financing activities of $58.4 million was driven by the $56.6 million of cash generated from the fully underwritten public offering in January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31" w:name="page32"/>
    <w:bookmarkEnd w:id="31"/>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2018, filed with the Securities and Exchange Commission on December 11, 2018.</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2018. For an update to those disclosures, see Note 7 to the Consolidated Financial Statements under the heading “Litigation” in Part I, Item 1.</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2018. Please carefully consider the information set forth in this Quarterly Report on Form 10-Q and the risk factors discussed in Part I, “Item 1A. Risk Factors” in our Annual Report on Form 10-K for the year ended September 30, 2018,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500" w:type="dxa"/>
            <w:vAlign w:val="bottom"/>
            <w:tcBorders>
              <w:top w:val="single" w:sz="8" w:color="auto"/>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Lease Agreement between Arrowhead Pharmaceuticals, Inc. and 177 Colorado Owner LLC, dated April 17, 2019*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Certification of Chief Executive Officer pursuant to Rule 13a-14(a)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of the Sarbanes-Oxley Act of 2002*</w:t>
              </w:r>
            </w:hyperlink>
          </w:p>
        </w:tc>
        <w:tc>
          <w:tcPr>
            <w:tcW w:w="778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Certification of Chief Financial Officer pursuant to Rule 13a-14(a) of the Securities Exchange Act of 1934, as Adopted Pursuant to Section 302</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of the Sarbanes-Oxley Act of 2002*</w:t>
              </w:r>
            </w:hyperlink>
          </w:p>
        </w:tc>
        <w:tc>
          <w:tcPr>
            <w:tcW w:w="7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106">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566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566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20" w:right="160" w:hanging="912"/>
        <w:spacing w:after="0" w:line="312"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June 30, 2019,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9690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2019</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590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121" w:right="41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EXECUTION COPY</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u w:val="single" w:color="auto"/>
          <w:color w:val="auto"/>
        </w:rPr>
        <w:t>EXHIBIT 10.1</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177 E. COLORADO BOULEVARD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OFFICE LEASE</w:t>
      </w:r>
    </w:p>
    <w:p>
      <w:pPr>
        <w:spacing w:after="0" w:line="206"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color w:val="auto"/>
        </w:rPr>
        <w:t>This Office Lease (the "</w:t>
      </w:r>
      <w:r>
        <w:rPr>
          <w:rFonts w:ascii="Arial" w:cs="Arial" w:eastAsia="Arial" w:hAnsi="Arial"/>
          <w:sz w:val="22"/>
          <w:szCs w:val="22"/>
          <w:b w:val="1"/>
          <w:bCs w:val="1"/>
          <w:color w:val="auto"/>
        </w:rPr>
        <w:t>Lease</w:t>
      </w:r>
      <w:r>
        <w:rPr>
          <w:rFonts w:ascii="Arial" w:cs="Arial" w:eastAsia="Arial" w:hAnsi="Arial"/>
          <w:sz w:val="22"/>
          <w:szCs w:val="22"/>
          <w:color w:val="auto"/>
        </w:rPr>
        <w:t xml:space="preserve">"), dated as of the date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the Summary of Basic Lease Information (the "</w:t>
      </w:r>
      <w:r>
        <w:rPr>
          <w:rFonts w:ascii="Arial" w:cs="Arial" w:eastAsia="Arial" w:hAnsi="Arial"/>
          <w:sz w:val="22"/>
          <w:szCs w:val="22"/>
          <w:b w:val="1"/>
          <w:bCs w:val="1"/>
          <w:color w:val="auto"/>
        </w:rPr>
        <w:t>Summary</w:t>
      </w:r>
      <w:r>
        <w:rPr>
          <w:rFonts w:ascii="Arial" w:cs="Arial" w:eastAsia="Arial" w:hAnsi="Arial"/>
          <w:sz w:val="22"/>
          <w:szCs w:val="22"/>
          <w:color w:val="auto"/>
        </w:rPr>
        <w:t>"), below, is made by and between 177 COLORADO OWNER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ARROWHEAD PHARMACEUTICALS,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ectPr>
          <w:pgSz w:w="11900" w:h="16838" w:orient="portrait"/>
          <w:cols w:equalWidth="0" w:num="1">
            <w:col w:w="11440"/>
          </w:cols>
          <w:pgMar w:left="240" w:top="11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860"/>
        <w:spacing w:after="0" w:line="435" w:lineRule="auto"/>
        <w:rPr>
          <w:sz w:val="20"/>
          <w:szCs w:val="20"/>
          <w:color w:val="auto"/>
        </w:rPr>
      </w:pPr>
      <w:r>
        <w:rPr>
          <w:rFonts w:ascii="Arial" w:cs="Arial" w:eastAsia="Arial" w:hAnsi="Arial"/>
          <w:sz w:val="22"/>
          <w:szCs w:val="22"/>
          <w:color w:val="auto"/>
        </w:rPr>
        <w:t>TERMS OF LEASE 1.Date: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9"/>
          <w:szCs w:val="19"/>
          <w:color w:val="auto"/>
        </w:rPr>
        <w:t>2.Premises (</w:t>
      </w:r>
      <w:r>
        <w:rPr>
          <w:rFonts w:ascii="Arial" w:cs="Arial" w:eastAsia="Arial" w:hAnsi="Arial"/>
          <w:sz w:val="19"/>
          <w:szCs w:val="19"/>
          <w:u w:val="single" w:color="auto"/>
          <w:color w:val="auto"/>
        </w:rPr>
        <w:t>Article 1</w:t>
      </w:r>
      <w:r>
        <w:rPr>
          <w:rFonts w:ascii="Arial" w:cs="Arial" w:eastAsia="Arial" w:hAnsi="Arial"/>
          <w:sz w:val="19"/>
          <w:szCs w:val="19"/>
          <w:color w:val="auto"/>
        </w:rPr>
        <w:t>):</w:t>
      </w:r>
    </w:p>
    <w:p>
      <w:pPr>
        <w:spacing w:after="0" w:line="24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2.1Building: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BASIC LEASE INFORMATION</w:t>
      </w:r>
    </w:p>
    <w:p>
      <w:pPr>
        <w:spacing w:after="0" w:line="212"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DESCRIPTION</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April 17,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320" w:right="60"/>
        <w:spacing w:after="0"/>
        <w:rPr>
          <w:sz w:val="20"/>
          <w:szCs w:val="20"/>
          <w:color w:val="auto"/>
        </w:rPr>
      </w:pPr>
      <w:r>
        <w:rPr>
          <w:rFonts w:ascii="Arial" w:cs="Arial" w:eastAsia="Arial" w:hAnsi="Arial"/>
          <w:sz w:val="22"/>
          <w:szCs w:val="22"/>
          <w:color w:val="auto"/>
        </w:rPr>
        <w:t>That certain twelve (12) story office building located at 177 E. Colorado Boulevard, Pasadena, California, containing 311,689 rentable square feet of space (“</w:t>
      </w:r>
      <w:r>
        <w:rPr>
          <w:rFonts w:ascii="Arial" w:cs="Arial" w:eastAsia="Arial" w:hAnsi="Arial"/>
          <w:sz w:val="22"/>
          <w:szCs w:val="22"/>
          <w:b w:val="1"/>
          <w:bCs w:val="1"/>
          <w:color w:val="auto"/>
        </w:rPr>
        <w:t>RSF</w:t>
      </w:r>
      <w:r>
        <w:rPr>
          <w:rFonts w:ascii="Arial" w:cs="Arial" w:eastAsia="Arial" w:hAnsi="Arial"/>
          <w:sz w:val="22"/>
          <w:szCs w:val="22"/>
          <w:color w:val="auto"/>
        </w:rPr>
        <w:t>”).</w:t>
      </w:r>
    </w:p>
    <w:p>
      <w:pPr>
        <w:spacing w:after="0" w:line="177" w:lineRule="exact"/>
        <w:rPr>
          <w:sz w:val="20"/>
          <w:szCs w:val="20"/>
          <w:color w:val="auto"/>
        </w:rPr>
      </w:pPr>
    </w:p>
    <w:p>
      <w:pPr>
        <w:sectPr>
          <w:pgSz w:w="11900" w:h="16838" w:orient="portrait"/>
          <w:cols w:equalWidth="0" w:num="2">
            <w:col w:w="2680" w:space="720"/>
            <w:col w:w="8040"/>
          </w:cols>
          <w:pgMar w:left="240" w:top="118" w:right="21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4580" w:type="dxa"/>
            <w:vAlign w:val="bottom"/>
            <w:gridSpan w:val="3"/>
          </w:tcPr>
          <w:p>
            <w:pPr>
              <w:ind w:left="680"/>
              <w:spacing w:after="0"/>
              <w:rPr>
                <w:sz w:val="20"/>
                <w:szCs w:val="20"/>
                <w:color w:val="auto"/>
              </w:rPr>
            </w:pPr>
            <w:r>
              <w:rPr>
                <w:rFonts w:ascii="Arial" w:cs="Arial" w:eastAsia="Arial" w:hAnsi="Arial"/>
                <w:sz w:val="22"/>
                <w:szCs w:val="22"/>
                <w:color w:val="auto"/>
              </w:rPr>
              <w:t>2.2Premises:</w:t>
            </w:r>
          </w:p>
        </w:tc>
        <w:tc>
          <w:tcPr>
            <w:tcW w:w="6860" w:type="dxa"/>
            <w:vAlign w:val="bottom"/>
            <w:gridSpan w:val="9"/>
          </w:tcPr>
          <w:p>
            <w:pPr>
              <w:ind w:left="1140"/>
              <w:spacing w:after="0"/>
              <w:rPr>
                <w:sz w:val="20"/>
                <w:szCs w:val="20"/>
                <w:color w:val="auto"/>
              </w:rPr>
            </w:pPr>
            <w:r>
              <w:rPr>
                <w:rFonts w:ascii="Arial" w:cs="Arial" w:eastAsia="Arial" w:hAnsi="Arial"/>
                <w:sz w:val="22"/>
                <w:szCs w:val="22"/>
                <w:color w:val="auto"/>
                <w:w w:val="90"/>
              </w:rPr>
              <w:t>24,434 RSF comprising all of the rentable area on the 7th floor of</w:t>
            </w:r>
          </w:p>
        </w:tc>
      </w:tr>
      <w:tr>
        <w:trPr>
          <w:trHeight w:val="237"/>
        </w:trPr>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60" w:type="dxa"/>
            <w:vAlign w:val="bottom"/>
            <w:gridSpan w:val="9"/>
          </w:tcPr>
          <w:p>
            <w:pPr>
              <w:ind w:left="1140"/>
              <w:spacing w:after="0" w:line="237" w:lineRule="exact"/>
              <w:rPr>
                <w:sz w:val="20"/>
                <w:szCs w:val="20"/>
                <w:color w:val="auto"/>
              </w:rPr>
            </w:pPr>
            <w:r>
              <w:rPr>
                <w:rFonts w:ascii="Arial" w:cs="Arial" w:eastAsia="Arial" w:hAnsi="Arial"/>
                <w:sz w:val="22"/>
                <w:szCs w:val="22"/>
                <w:color w:val="auto"/>
                <w:w w:val="94"/>
              </w:rPr>
              <w:t>the Building and commonly known as Suite 700, as further set</w:t>
            </w:r>
          </w:p>
        </w:tc>
      </w:tr>
      <w:tr>
        <w:trPr>
          <w:trHeight w:val="230"/>
        </w:trPr>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60" w:type="dxa"/>
            <w:vAlign w:val="bottom"/>
            <w:gridSpan w:val="9"/>
          </w:tcPr>
          <w:p>
            <w:pPr>
              <w:ind w:left="1140"/>
              <w:spacing w:after="0" w:line="230" w:lineRule="exact"/>
              <w:rPr>
                <w:sz w:val="20"/>
                <w:szCs w:val="20"/>
                <w:color w:val="auto"/>
              </w:rPr>
            </w:pPr>
            <w:r>
              <w:rPr>
                <w:rFonts w:ascii="Arial" w:cs="Arial" w:eastAsia="Arial" w:hAnsi="Arial"/>
                <w:sz w:val="22"/>
                <w:szCs w:val="22"/>
                <w:color w:val="auto"/>
              </w:rPr>
              <w:t xml:space="preserve">forth in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to the Lease.</w:t>
            </w:r>
          </w:p>
        </w:tc>
      </w:tr>
      <w:tr>
        <w:trPr>
          <w:trHeight w:val="439"/>
        </w:trPr>
        <w:tc>
          <w:tcPr>
            <w:tcW w:w="4580" w:type="dxa"/>
            <w:vAlign w:val="bottom"/>
            <w:gridSpan w:val="3"/>
          </w:tcPr>
          <w:p>
            <w:pPr>
              <w:ind w:left="40"/>
              <w:spacing w:after="0"/>
              <w:rPr>
                <w:sz w:val="20"/>
                <w:szCs w:val="20"/>
                <w:color w:val="auto"/>
              </w:rPr>
            </w:pPr>
            <w:r>
              <w:rPr>
                <w:rFonts w:ascii="Arial" w:cs="Arial" w:eastAsia="Arial" w:hAnsi="Arial"/>
                <w:sz w:val="22"/>
                <w:szCs w:val="22"/>
                <w:color w:val="auto"/>
              </w:rPr>
              <w:t>3.Lease Term (Article 2):</w:t>
            </w:r>
          </w:p>
        </w:tc>
        <w:tc>
          <w:tcPr>
            <w:tcW w:w="18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90"/>
        </w:trPr>
        <w:tc>
          <w:tcPr>
            <w:tcW w:w="4580" w:type="dxa"/>
            <w:vAlign w:val="bottom"/>
            <w:gridSpan w:val="3"/>
          </w:tcPr>
          <w:p>
            <w:pPr>
              <w:ind w:left="680"/>
              <w:spacing w:after="0"/>
              <w:rPr>
                <w:sz w:val="20"/>
                <w:szCs w:val="20"/>
                <w:color w:val="auto"/>
              </w:rPr>
            </w:pPr>
            <w:r>
              <w:rPr>
                <w:rFonts w:ascii="Arial" w:cs="Arial" w:eastAsia="Arial" w:hAnsi="Arial"/>
                <w:sz w:val="22"/>
                <w:szCs w:val="22"/>
                <w:color w:val="auto"/>
              </w:rPr>
              <w:t>3.1Length of Term:</w:t>
            </w:r>
          </w:p>
        </w:tc>
        <w:tc>
          <w:tcPr>
            <w:tcW w:w="6860" w:type="dxa"/>
            <w:vAlign w:val="bottom"/>
            <w:gridSpan w:val="9"/>
          </w:tcPr>
          <w:p>
            <w:pPr>
              <w:ind w:left="1140"/>
              <w:spacing w:after="0"/>
              <w:rPr>
                <w:sz w:val="20"/>
                <w:szCs w:val="20"/>
                <w:color w:val="auto"/>
              </w:rPr>
            </w:pPr>
            <w:r>
              <w:rPr>
                <w:rFonts w:ascii="Arial" w:cs="Arial" w:eastAsia="Arial" w:hAnsi="Arial"/>
                <w:sz w:val="22"/>
                <w:szCs w:val="22"/>
                <w:color w:val="auto"/>
              </w:rPr>
              <w:t>Seven (7) years and seven (7) months.</w:t>
            </w:r>
          </w:p>
        </w:tc>
      </w:tr>
      <w:tr>
        <w:trPr>
          <w:trHeight w:val="428"/>
        </w:trPr>
        <w:tc>
          <w:tcPr>
            <w:tcW w:w="4580" w:type="dxa"/>
            <w:vAlign w:val="bottom"/>
            <w:gridSpan w:val="3"/>
          </w:tcPr>
          <w:p>
            <w:pPr>
              <w:ind w:left="680"/>
              <w:spacing w:after="0"/>
              <w:rPr>
                <w:sz w:val="20"/>
                <w:szCs w:val="20"/>
                <w:color w:val="auto"/>
              </w:rPr>
            </w:pPr>
            <w:r>
              <w:rPr>
                <w:rFonts w:ascii="Arial" w:cs="Arial" w:eastAsia="Arial" w:hAnsi="Arial"/>
                <w:sz w:val="22"/>
                <w:szCs w:val="22"/>
                <w:color w:val="auto"/>
              </w:rPr>
              <w:t>3.2Lease Commencement Date:</w:t>
            </w:r>
          </w:p>
        </w:tc>
        <w:tc>
          <w:tcPr>
            <w:tcW w:w="6860" w:type="dxa"/>
            <w:vAlign w:val="bottom"/>
            <w:gridSpan w:val="9"/>
          </w:tcPr>
          <w:p>
            <w:pPr>
              <w:ind w:left="1140"/>
              <w:spacing w:after="0"/>
              <w:rPr>
                <w:sz w:val="20"/>
                <w:szCs w:val="20"/>
                <w:color w:val="auto"/>
              </w:rPr>
            </w:pPr>
            <w:r>
              <w:rPr>
                <w:rFonts w:ascii="Arial" w:cs="Arial" w:eastAsia="Arial" w:hAnsi="Arial"/>
                <w:sz w:val="22"/>
                <w:szCs w:val="22"/>
                <w:color w:val="auto"/>
                <w:w w:val="97"/>
              </w:rPr>
              <w:t>The earlier to occur of (a) November 1, 2019; or (b) the date</w:t>
            </w:r>
          </w:p>
        </w:tc>
      </w:tr>
      <w:tr>
        <w:trPr>
          <w:trHeight w:val="243"/>
        </w:trPr>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860" w:type="dxa"/>
            <w:vAlign w:val="bottom"/>
            <w:gridSpan w:val="9"/>
          </w:tcPr>
          <w:p>
            <w:pPr>
              <w:ind w:left="1140"/>
              <w:spacing w:after="0" w:line="243" w:lineRule="exact"/>
              <w:rPr>
                <w:sz w:val="20"/>
                <w:szCs w:val="20"/>
                <w:color w:val="auto"/>
              </w:rPr>
            </w:pPr>
            <w:r>
              <w:rPr>
                <w:rFonts w:ascii="Arial" w:cs="Arial" w:eastAsia="Arial" w:hAnsi="Arial"/>
                <w:sz w:val="22"/>
                <w:szCs w:val="22"/>
                <w:color w:val="auto"/>
                <w:w w:val="93"/>
              </w:rPr>
              <w:t>upon which Tenant first commences to conduct business in the</w:t>
            </w:r>
          </w:p>
        </w:tc>
      </w:tr>
      <w:tr>
        <w:trPr>
          <w:trHeight w:val="237"/>
        </w:trPr>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60" w:type="dxa"/>
            <w:vAlign w:val="bottom"/>
            <w:gridSpan w:val="9"/>
          </w:tcPr>
          <w:p>
            <w:pPr>
              <w:ind w:left="1140"/>
              <w:spacing w:after="0" w:line="237" w:lineRule="exact"/>
              <w:rPr>
                <w:sz w:val="20"/>
                <w:szCs w:val="20"/>
                <w:color w:val="auto"/>
              </w:rPr>
            </w:pPr>
            <w:r>
              <w:rPr>
                <w:rFonts w:ascii="Arial" w:cs="Arial" w:eastAsia="Arial" w:hAnsi="Arial"/>
                <w:sz w:val="22"/>
                <w:szCs w:val="22"/>
                <w:color w:val="auto"/>
                <w:w w:val="92"/>
              </w:rPr>
              <w:t>Premises, and (c) the later to occur of (i) substantial completion</w:t>
            </w:r>
          </w:p>
        </w:tc>
      </w:tr>
      <w:tr>
        <w:trPr>
          <w:trHeight w:val="230"/>
        </w:trPr>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60" w:type="dxa"/>
            <w:vAlign w:val="bottom"/>
            <w:gridSpan w:val="9"/>
          </w:tcPr>
          <w:p>
            <w:pPr>
              <w:ind w:left="1140"/>
              <w:spacing w:after="0" w:line="230" w:lineRule="exact"/>
              <w:rPr>
                <w:sz w:val="20"/>
                <w:szCs w:val="20"/>
                <w:color w:val="auto"/>
              </w:rPr>
            </w:pPr>
            <w:r>
              <w:rPr>
                <w:rFonts w:ascii="Arial" w:cs="Arial" w:eastAsia="Arial" w:hAnsi="Arial"/>
                <w:sz w:val="22"/>
                <w:szCs w:val="22"/>
                <w:color w:val="auto"/>
                <w:w w:val="91"/>
              </w:rPr>
              <w:t xml:space="preserve">of the Improvements pursuant to </w:t>
            </w:r>
            <w:r>
              <w:rPr>
                <w:rFonts w:ascii="Arial" w:cs="Arial" w:eastAsia="Arial" w:hAnsi="Arial"/>
                <w:sz w:val="22"/>
                <w:szCs w:val="22"/>
                <w:b w:val="1"/>
                <w:bCs w:val="1"/>
                <w:color w:val="auto"/>
                <w:w w:val="91"/>
              </w:rPr>
              <w:t>Exhibit B</w:t>
            </w:r>
            <w:r>
              <w:rPr>
                <w:rFonts w:ascii="Arial" w:cs="Arial" w:eastAsia="Arial" w:hAnsi="Arial"/>
                <w:sz w:val="22"/>
                <w:szCs w:val="22"/>
                <w:color w:val="auto"/>
                <w:w w:val="91"/>
              </w:rPr>
              <w:t xml:space="preserve"> of this Lease (where</w:t>
            </w:r>
          </w:p>
        </w:tc>
      </w:tr>
      <w:tr>
        <w:trPr>
          <w:trHeight w:val="20"/>
        </w:trPr>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36"/>
        </w:trPr>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60" w:type="dxa"/>
            <w:vAlign w:val="bottom"/>
            <w:gridSpan w:val="9"/>
          </w:tcPr>
          <w:p>
            <w:pPr>
              <w:ind w:left="1140"/>
              <w:spacing w:after="0" w:line="237" w:lineRule="exact"/>
              <w:rPr>
                <w:sz w:val="20"/>
                <w:szCs w:val="20"/>
                <w:color w:val="auto"/>
              </w:rPr>
            </w:pPr>
            <w:r>
              <w:rPr>
                <w:rFonts w:ascii="Arial" w:cs="Arial" w:eastAsia="Arial" w:hAnsi="Arial"/>
                <w:sz w:val="22"/>
                <w:szCs w:val="22"/>
                <w:color w:val="auto"/>
                <w:w w:val="98"/>
              </w:rPr>
              <w:t>“substantial completion” means that Tenant has satisfied all</w:t>
            </w:r>
          </w:p>
        </w:tc>
      </w:tr>
      <w:tr>
        <w:trPr>
          <w:trHeight w:val="230"/>
        </w:trPr>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60" w:type="dxa"/>
            <w:vAlign w:val="bottom"/>
            <w:gridSpan w:val="9"/>
          </w:tcPr>
          <w:p>
            <w:pPr>
              <w:ind w:left="1140"/>
              <w:spacing w:after="0" w:line="230" w:lineRule="exact"/>
              <w:rPr>
                <w:sz w:val="20"/>
                <w:szCs w:val="20"/>
                <w:color w:val="auto"/>
              </w:rPr>
            </w:pPr>
            <w:r>
              <w:rPr>
                <w:rFonts w:ascii="Arial" w:cs="Arial" w:eastAsia="Arial" w:hAnsi="Arial"/>
                <w:sz w:val="22"/>
                <w:szCs w:val="22"/>
                <w:color w:val="auto"/>
                <w:w w:val="91"/>
              </w:rPr>
              <w:t xml:space="preserve">conditions under Section 2.2.2.2 of </w:t>
            </w:r>
            <w:r>
              <w:rPr>
                <w:rFonts w:ascii="Arial" w:cs="Arial" w:eastAsia="Arial" w:hAnsi="Arial"/>
                <w:sz w:val="22"/>
                <w:szCs w:val="22"/>
                <w:b w:val="1"/>
                <w:bCs w:val="1"/>
                <w:color w:val="auto"/>
                <w:w w:val="91"/>
              </w:rPr>
              <w:t>Exhibit B</w:t>
            </w:r>
            <w:r>
              <w:rPr>
                <w:rFonts w:ascii="Arial" w:cs="Arial" w:eastAsia="Arial" w:hAnsi="Arial"/>
                <w:sz w:val="22"/>
                <w:szCs w:val="22"/>
                <w:color w:val="auto"/>
                <w:w w:val="91"/>
              </w:rPr>
              <w:t xml:space="preserve"> for payment of the</w:t>
            </w:r>
          </w:p>
        </w:tc>
      </w:tr>
      <w:tr>
        <w:trPr>
          <w:trHeight w:val="20"/>
        </w:trPr>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42"/>
        </w:trPr>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860" w:type="dxa"/>
            <w:vAlign w:val="bottom"/>
            <w:gridSpan w:val="9"/>
          </w:tcPr>
          <w:p>
            <w:pPr>
              <w:ind w:left="1140"/>
              <w:spacing w:after="0" w:line="242" w:lineRule="exact"/>
              <w:rPr>
                <w:sz w:val="20"/>
                <w:szCs w:val="20"/>
                <w:color w:val="auto"/>
              </w:rPr>
            </w:pPr>
            <w:r>
              <w:rPr>
                <w:rFonts w:ascii="Arial" w:cs="Arial" w:eastAsia="Arial" w:hAnsi="Arial"/>
                <w:sz w:val="22"/>
                <w:szCs w:val="22"/>
                <w:color w:val="auto"/>
                <w:w w:val="99"/>
              </w:rPr>
              <w:t>Final  Retention),  except  for  typical  punch  list  items,  or</w:t>
            </w:r>
          </w:p>
        </w:tc>
      </w:tr>
      <w:tr>
        <w:trPr>
          <w:trHeight w:val="275"/>
        </w:trPr>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6860" w:type="dxa"/>
            <w:vAlign w:val="bottom"/>
            <w:gridSpan w:val="9"/>
          </w:tcPr>
          <w:p>
            <w:pPr>
              <w:ind w:left="1140"/>
              <w:spacing w:after="0"/>
              <w:rPr>
                <w:sz w:val="20"/>
                <w:szCs w:val="20"/>
                <w:color w:val="auto"/>
              </w:rPr>
            </w:pPr>
            <w:r>
              <w:rPr>
                <w:rFonts w:ascii="Arial" w:cs="Arial" w:eastAsia="Arial" w:hAnsi="Arial"/>
                <w:sz w:val="22"/>
                <w:szCs w:val="22"/>
                <w:color w:val="auto"/>
              </w:rPr>
              <w:t>(ii) October 1, 2019.</w:t>
            </w:r>
          </w:p>
        </w:tc>
      </w:tr>
      <w:tr>
        <w:trPr>
          <w:trHeight w:val="428"/>
        </w:trPr>
        <w:tc>
          <w:tcPr>
            <w:tcW w:w="4580" w:type="dxa"/>
            <w:vAlign w:val="bottom"/>
            <w:gridSpan w:val="3"/>
          </w:tcPr>
          <w:p>
            <w:pPr>
              <w:ind w:left="680"/>
              <w:spacing w:after="0"/>
              <w:rPr>
                <w:sz w:val="20"/>
                <w:szCs w:val="20"/>
                <w:color w:val="auto"/>
              </w:rPr>
            </w:pPr>
            <w:r>
              <w:rPr>
                <w:rFonts w:ascii="Arial" w:cs="Arial" w:eastAsia="Arial" w:hAnsi="Arial"/>
                <w:sz w:val="22"/>
                <w:szCs w:val="22"/>
                <w:color w:val="auto"/>
              </w:rPr>
              <w:t>3.3Lease Expiration Date:</w:t>
            </w:r>
          </w:p>
        </w:tc>
        <w:tc>
          <w:tcPr>
            <w:tcW w:w="6860" w:type="dxa"/>
            <w:vAlign w:val="bottom"/>
            <w:gridSpan w:val="9"/>
          </w:tcPr>
          <w:p>
            <w:pPr>
              <w:ind w:left="1140"/>
              <w:spacing w:after="0"/>
              <w:rPr>
                <w:sz w:val="20"/>
                <w:szCs w:val="20"/>
                <w:color w:val="auto"/>
              </w:rPr>
            </w:pPr>
            <w:r>
              <w:rPr>
                <w:rFonts w:ascii="Arial" w:cs="Arial" w:eastAsia="Arial" w:hAnsi="Arial"/>
                <w:sz w:val="22"/>
                <w:szCs w:val="22"/>
                <w:color w:val="auto"/>
                <w:w w:val="93"/>
              </w:rPr>
              <w:t>The last day of the ninety-first (91st) month following the Lease</w:t>
            </w:r>
          </w:p>
        </w:tc>
      </w:tr>
      <w:tr>
        <w:trPr>
          <w:trHeight w:val="275"/>
        </w:trPr>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6860" w:type="dxa"/>
            <w:vAlign w:val="bottom"/>
            <w:gridSpan w:val="9"/>
          </w:tcPr>
          <w:p>
            <w:pPr>
              <w:ind w:left="1140"/>
              <w:spacing w:after="0"/>
              <w:rPr>
                <w:sz w:val="20"/>
                <w:szCs w:val="20"/>
                <w:color w:val="auto"/>
              </w:rPr>
            </w:pPr>
            <w:r>
              <w:rPr>
                <w:rFonts w:ascii="Arial" w:cs="Arial" w:eastAsia="Arial" w:hAnsi="Arial"/>
                <w:sz w:val="22"/>
                <w:szCs w:val="22"/>
                <w:color w:val="auto"/>
              </w:rPr>
              <w:t>Commencement Date.</w:t>
            </w:r>
          </w:p>
        </w:tc>
      </w:tr>
      <w:tr>
        <w:trPr>
          <w:trHeight w:val="352"/>
        </w:trPr>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r>
      <w:tr>
        <w:trPr>
          <w:trHeight w:val="191"/>
        </w:trPr>
        <w:tc>
          <w:tcPr>
            <w:tcW w:w="4580" w:type="dxa"/>
            <w:vAlign w:val="bottom"/>
            <w:gridSpan w:val="3"/>
          </w:tcPr>
          <w:p>
            <w:pPr>
              <w:spacing w:after="0"/>
              <w:rPr>
                <w:sz w:val="20"/>
                <w:szCs w:val="20"/>
                <w:color w:val="auto"/>
              </w:rPr>
            </w:pPr>
            <w:r>
              <w:rPr>
                <w:rFonts w:ascii="Arial" w:cs="Arial" w:eastAsia="Arial" w:hAnsi="Arial"/>
                <w:sz w:val="13"/>
                <w:szCs w:val="13"/>
                <w:color w:val="auto"/>
              </w:rPr>
              <w:t>795344.01/WLA</w:t>
            </w:r>
          </w:p>
        </w:tc>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60"/>
        </w:trPr>
        <w:tc>
          <w:tcPr>
            <w:tcW w:w="4580" w:type="dxa"/>
            <w:vAlign w:val="bottom"/>
            <w:gridSpan w:val="3"/>
          </w:tcPr>
          <w:p>
            <w:pPr>
              <w:spacing w:after="0"/>
              <w:rPr>
                <w:sz w:val="20"/>
                <w:szCs w:val="20"/>
                <w:color w:val="auto"/>
              </w:rPr>
            </w:pPr>
            <w:r>
              <w:rPr>
                <w:rFonts w:ascii="Arial" w:cs="Arial" w:eastAsia="Arial" w:hAnsi="Arial"/>
                <w:sz w:val="13"/>
                <w:szCs w:val="13"/>
                <w:color w:val="auto"/>
              </w:rPr>
              <w:t>377082-00004//ejs/ejs</w:t>
            </w:r>
          </w:p>
        </w:tc>
        <w:tc>
          <w:tcPr>
            <w:tcW w:w="1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w w:val="94"/>
              </w:rPr>
              <w:t>[Arrowhead Pharmaceuticals, Inc.]</w:t>
            </w:r>
          </w:p>
        </w:tc>
      </w:tr>
      <w:tr>
        <w:trPr>
          <w:trHeight w:val="320"/>
        </w:trPr>
        <w:tc>
          <w:tcPr>
            <w:tcW w:w="1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type w:val="continuous"/>
        </w:sectPr>
      </w:pPr>
    </w:p>
    <w:bookmarkStart w:id="36" w:name="page37"/>
    <w:bookmarkEnd w:id="36"/>
    <w:tbl>
      <w:tblPr>
        <w:tblLayout w:type="fixed"/>
        <w:tblInd w:w="40" w:type="dxa"/>
        <w:tblCellMar>
          <w:top w:w="0" w:type="dxa"/>
          <w:left w:w="0" w:type="dxa"/>
          <w:bottom w:w="0" w:type="dxa"/>
          <w:right w:w="0" w:type="dxa"/>
        </w:tblCellMar>
      </w:tblPr>
      <w:tr>
        <w:trPr>
          <w:trHeight w:val="253"/>
        </w:trPr>
        <w:tc>
          <w:tcPr>
            <w:tcW w:w="3140" w:type="dxa"/>
            <w:vAlign w:val="bottom"/>
            <w:gridSpan w:val="3"/>
          </w:tcPr>
          <w:p>
            <w:pPr>
              <w:spacing w:after="0"/>
              <w:rPr>
                <w:sz w:val="20"/>
                <w:szCs w:val="20"/>
                <w:color w:val="auto"/>
              </w:rPr>
            </w:pPr>
            <w:r>
              <w:rPr>
                <w:rFonts w:ascii="Arial" w:cs="Arial" w:eastAsia="Arial" w:hAnsi="Arial"/>
                <w:sz w:val="22"/>
                <w:szCs w:val="22"/>
                <w:color w:val="auto"/>
              </w:rPr>
              <w:t>4.Base Rent (Article 3):</w:t>
            </w:r>
          </w:p>
        </w:tc>
        <w:tc>
          <w:tcPr>
            <w:tcW w:w="22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458"/>
        </w:trPr>
        <w:tc>
          <w:tcPr>
            <w:tcW w:w="1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3"/>
              </w:rPr>
              <w:t>Annual</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91"/>
              </w:rPr>
              <w:t>Monthly Installment of Base</w:t>
            </w:r>
          </w:p>
        </w:tc>
        <w:tc>
          <w:tcPr>
            <w:tcW w:w="2940" w:type="dxa"/>
            <w:vAlign w:val="bottom"/>
          </w:tcPr>
          <w:p>
            <w:pPr>
              <w:jc w:val="center"/>
              <w:spacing w:after="0"/>
              <w:rPr>
                <w:sz w:val="20"/>
                <w:szCs w:val="20"/>
                <w:color w:val="auto"/>
              </w:rPr>
            </w:pPr>
            <w:r>
              <w:rPr>
                <w:rFonts w:ascii="Arial" w:cs="Arial" w:eastAsia="Arial" w:hAnsi="Arial"/>
                <w:sz w:val="22"/>
                <w:szCs w:val="22"/>
                <w:color w:val="auto"/>
                <w:w w:val="89"/>
              </w:rPr>
              <w:t>Monthly Base Rent per Rentable</w:t>
            </w:r>
          </w:p>
        </w:tc>
      </w:tr>
      <w:tr>
        <w:trPr>
          <w:trHeight w:val="275"/>
        </w:trPr>
        <w:tc>
          <w:tcPr>
            <w:tcW w:w="3140" w:type="dxa"/>
            <w:vAlign w:val="bottom"/>
            <w:gridSpan w:val="3"/>
          </w:tcPr>
          <w:p>
            <w:pPr>
              <w:jc w:val="center"/>
              <w:ind w:right="300"/>
              <w:spacing w:after="0"/>
              <w:rPr>
                <w:sz w:val="20"/>
                <w:szCs w:val="20"/>
                <w:color w:val="auto"/>
              </w:rPr>
            </w:pPr>
            <w:r>
              <w:rPr>
                <w:rFonts w:ascii="Arial" w:cs="Arial" w:eastAsia="Arial" w:hAnsi="Arial"/>
                <w:sz w:val="22"/>
                <w:szCs w:val="22"/>
                <w:color w:val="auto"/>
                <w:w w:val="85"/>
              </w:rPr>
              <w:t>Lease Year</w:t>
            </w:r>
          </w:p>
        </w:tc>
        <w:tc>
          <w:tcPr>
            <w:tcW w:w="2280" w:type="dxa"/>
            <w:vAlign w:val="bottom"/>
          </w:tcPr>
          <w:p>
            <w:pPr>
              <w:jc w:val="center"/>
              <w:spacing w:after="0"/>
              <w:rPr>
                <w:sz w:val="20"/>
                <w:szCs w:val="20"/>
                <w:color w:val="auto"/>
              </w:rPr>
            </w:pPr>
            <w:r>
              <w:rPr>
                <w:rFonts w:ascii="Arial" w:cs="Arial" w:eastAsia="Arial" w:hAnsi="Arial"/>
                <w:sz w:val="22"/>
                <w:szCs w:val="22"/>
                <w:color w:val="auto"/>
                <w:w w:val="85"/>
              </w:rPr>
              <w:t>Base Rent</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85"/>
              </w:rPr>
              <w:t>Rent</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Square Foot</w:t>
            </w:r>
          </w:p>
        </w:tc>
      </w:tr>
      <w:tr>
        <w:trPr>
          <w:trHeight w:val="459"/>
        </w:trPr>
        <w:tc>
          <w:tcPr>
            <w:tcW w:w="1920" w:type="dxa"/>
            <w:vAlign w:val="bottom"/>
            <w:gridSpan w:val="2"/>
          </w:tcPr>
          <w:p>
            <w:pPr>
              <w:jc w:val="center"/>
              <w:ind w:left="812"/>
              <w:spacing w:after="0"/>
              <w:rPr>
                <w:sz w:val="20"/>
                <w:szCs w:val="20"/>
                <w:color w:val="auto"/>
              </w:rPr>
            </w:pPr>
            <w:r>
              <w:rPr>
                <w:rFonts w:ascii="Arial" w:cs="Arial" w:eastAsia="Arial" w:hAnsi="Arial"/>
                <w:sz w:val="22"/>
                <w:szCs w:val="22"/>
                <w:color w:val="auto"/>
                <w:w w:val="97"/>
              </w:rPr>
              <w:t>1</w:t>
            </w: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3"/>
              </w:rPr>
              <w:t>**$788,832.00</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94"/>
              </w:rPr>
              <w:t>**$65,736.00</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$4.00</w:t>
            </w:r>
          </w:p>
        </w:tc>
      </w:tr>
      <w:tr>
        <w:trPr>
          <w:trHeight w:val="459"/>
        </w:trPr>
        <w:tc>
          <w:tcPr>
            <w:tcW w:w="1920" w:type="dxa"/>
            <w:vAlign w:val="bottom"/>
            <w:gridSpan w:val="2"/>
          </w:tcPr>
          <w:p>
            <w:pPr>
              <w:jc w:val="center"/>
              <w:ind w:left="812"/>
              <w:spacing w:after="0"/>
              <w:rPr>
                <w:sz w:val="20"/>
                <w:szCs w:val="20"/>
                <w:color w:val="auto"/>
              </w:rPr>
            </w:pPr>
            <w:r>
              <w:rPr>
                <w:rFonts w:ascii="Arial" w:cs="Arial" w:eastAsia="Arial" w:hAnsi="Arial"/>
                <w:sz w:val="22"/>
                <w:szCs w:val="22"/>
                <w:color w:val="auto"/>
                <w:w w:val="97"/>
              </w:rPr>
              <w:t>2</w:t>
            </w: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2"/>
              </w:rPr>
              <w:t>**$1,010,256.96</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94"/>
              </w:rPr>
              <w:t>**$84,188.08</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$4.12</w:t>
            </w:r>
          </w:p>
        </w:tc>
      </w:tr>
      <w:tr>
        <w:trPr>
          <w:trHeight w:val="459"/>
        </w:trPr>
        <w:tc>
          <w:tcPr>
            <w:tcW w:w="1920" w:type="dxa"/>
            <w:vAlign w:val="bottom"/>
            <w:gridSpan w:val="2"/>
          </w:tcPr>
          <w:p>
            <w:pPr>
              <w:jc w:val="center"/>
              <w:ind w:left="812"/>
              <w:spacing w:after="0"/>
              <w:rPr>
                <w:sz w:val="20"/>
                <w:szCs w:val="20"/>
                <w:color w:val="auto"/>
              </w:rPr>
            </w:pPr>
            <w:r>
              <w:rPr>
                <w:rFonts w:ascii="Arial" w:cs="Arial" w:eastAsia="Arial" w:hAnsi="Arial"/>
                <w:sz w:val="22"/>
                <w:szCs w:val="22"/>
                <w:color w:val="auto"/>
                <w:w w:val="97"/>
              </w:rPr>
              <w:t>3</w:t>
            </w: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88"/>
              </w:rPr>
              <w:t>$1,244,257.47</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88"/>
              </w:rPr>
              <w:t>$103,688.12</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$4.24</w:t>
            </w:r>
          </w:p>
        </w:tc>
      </w:tr>
      <w:tr>
        <w:trPr>
          <w:trHeight w:val="459"/>
        </w:trPr>
        <w:tc>
          <w:tcPr>
            <w:tcW w:w="1920" w:type="dxa"/>
            <w:vAlign w:val="bottom"/>
            <w:gridSpan w:val="2"/>
          </w:tcPr>
          <w:p>
            <w:pPr>
              <w:jc w:val="center"/>
              <w:ind w:left="812"/>
              <w:spacing w:after="0"/>
              <w:rPr>
                <w:sz w:val="20"/>
                <w:szCs w:val="20"/>
                <w:color w:val="auto"/>
              </w:rPr>
            </w:pPr>
            <w:r>
              <w:rPr>
                <w:rFonts w:ascii="Arial" w:cs="Arial" w:eastAsia="Arial" w:hAnsi="Arial"/>
                <w:sz w:val="22"/>
                <w:szCs w:val="22"/>
                <w:color w:val="auto"/>
                <w:w w:val="97"/>
              </w:rPr>
              <w:t>4</w:t>
            </w: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88"/>
              </w:rPr>
              <w:t>$1,281,585.19</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88"/>
              </w:rPr>
              <w:t>$106,798.77</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$4.37</w:t>
            </w:r>
          </w:p>
        </w:tc>
      </w:tr>
      <w:tr>
        <w:trPr>
          <w:trHeight w:val="459"/>
        </w:trPr>
        <w:tc>
          <w:tcPr>
            <w:tcW w:w="1920" w:type="dxa"/>
            <w:vAlign w:val="bottom"/>
            <w:gridSpan w:val="2"/>
          </w:tcPr>
          <w:p>
            <w:pPr>
              <w:jc w:val="center"/>
              <w:ind w:left="812"/>
              <w:spacing w:after="0"/>
              <w:rPr>
                <w:sz w:val="20"/>
                <w:szCs w:val="20"/>
                <w:color w:val="auto"/>
              </w:rPr>
            </w:pPr>
            <w:r>
              <w:rPr>
                <w:rFonts w:ascii="Arial" w:cs="Arial" w:eastAsia="Arial" w:hAnsi="Arial"/>
                <w:sz w:val="22"/>
                <w:szCs w:val="22"/>
                <w:color w:val="auto"/>
                <w:w w:val="97"/>
              </w:rPr>
              <w:t>5</w:t>
            </w: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88"/>
              </w:rPr>
              <w:t>$1,320,032.75</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88"/>
              </w:rPr>
              <w:t>$110,002.73</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$4.50</w:t>
            </w:r>
          </w:p>
        </w:tc>
      </w:tr>
      <w:tr>
        <w:trPr>
          <w:trHeight w:val="459"/>
        </w:trPr>
        <w:tc>
          <w:tcPr>
            <w:tcW w:w="1920" w:type="dxa"/>
            <w:vAlign w:val="bottom"/>
            <w:gridSpan w:val="2"/>
          </w:tcPr>
          <w:p>
            <w:pPr>
              <w:jc w:val="center"/>
              <w:ind w:left="812"/>
              <w:spacing w:after="0"/>
              <w:rPr>
                <w:sz w:val="20"/>
                <w:szCs w:val="20"/>
                <w:color w:val="auto"/>
              </w:rPr>
            </w:pPr>
            <w:r>
              <w:rPr>
                <w:rFonts w:ascii="Arial" w:cs="Arial" w:eastAsia="Arial" w:hAnsi="Arial"/>
                <w:sz w:val="22"/>
                <w:szCs w:val="22"/>
                <w:color w:val="auto"/>
                <w:w w:val="97"/>
              </w:rPr>
              <w:t>6</w:t>
            </w: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88"/>
              </w:rPr>
              <w:t>$1,359,633.73</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88"/>
              </w:rPr>
              <w:t>$113,302.81</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$4.64</w:t>
            </w:r>
          </w:p>
        </w:tc>
      </w:tr>
      <w:tr>
        <w:trPr>
          <w:trHeight w:val="459"/>
        </w:trPr>
        <w:tc>
          <w:tcPr>
            <w:tcW w:w="1920" w:type="dxa"/>
            <w:vAlign w:val="bottom"/>
            <w:gridSpan w:val="2"/>
          </w:tcPr>
          <w:p>
            <w:pPr>
              <w:jc w:val="center"/>
              <w:ind w:left="812"/>
              <w:spacing w:after="0"/>
              <w:rPr>
                <w:sz w:val="20"/>
                <w:szCs w:val="20"/>
                <w:color w:val="auto"/>
              </w:rPr>
            </w:pPr>
            <w:r>
              <w:rPr>
                <w:rFonts w:ascii="Arial" w:cs="Arial" w:eastAsia="Arial" w:hAnsi="Arial"/>
                <w:sz w:val="22"/>
                <w:szCs w:val="22"/>
                <w:color w:val="auto"/>
                <w:w w:val="97"/>
              </w:rPr>
              <w:t>7</w:t>
            </w:r>
          </w:p>
        </w:tc>
        <w:tc>
          <w:tcPr>
            <w:tcW w:w="1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88"/>
              </w:rPr>
              <w:t>$1,400,422.74</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88"/>
              </w:rPr>
              <w:t>$116,701.90</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$4.78</w:t>
            </w:r>
          </w:p>
        </w:tc>
      </w:tr>
      <w:tr>
        <w:trPr>
          <w:trHeight w:val="459"/>
        </w:trPr>
        <w:tc>
          <w:tcPr>
            <w:tcW w:w="3140" w:type="dxa"/>
            <w:vAlign w:val="bottom"/>
            <w:gridSpan w:val="3"/>
          </w:tcPr>
          <w:p>
            <w:pPr>
              <w:jc w:val="center"/>
              <w:ind w:right="300"/>
              <w:spacing w:after="0"/>
              <w:rPr>
                <w:sz w:val="20"/>
                <w:szCs w:val="20"/>
                <w:color w:val="auto"/>
              </w:rPr>
            </w:pPr>
            <w:r>
              <w:rPr>
                <w:rFonts w:ascii="Arial" w:cs="Arial" w:eastAsia="Arial" w:hAnsi="Arial"/>
                <w:sz w:val="22"/>
                <w:szCs w:val="22"/>
                <w:color w:val="auto"/>
                <w:w w:val="90"/>
              </w:rPr>
              <w:t>8 (until Lease Expiration Date)</w:t>
            </w:r>
          </w:p>
        </w:tc>
        <w:tc>
          <w:tcPr>
            <w:tcW w:w="2280" w:type="dxa"/>
            <w:vAlign w:val="bottom"/>
          </w:tcPr>
          <w:p>
            <w:pPr>
              <w:jc w:val="center"/>
              <w:spacing w:after="0"/>
              <w:rPr>
                <w:sz w:val="20"/>
                <w:szCs w:val="20"/>
                <w:color w:val="auto"/>
              </w:rPr>
            </w:pPr>
            <w:r>
              <w:rPr>
                <w:rFonts w:ascii="Arial" w:cs="Arial" w:eastAsia="Arial" w:hAnsi="Arial"/>
                <w:sz w:val="22"/>
                <w:szCs w:val="22"/>
                <w:color w:val="auto"/>
                <w:w w:val="88"/>
              </w:rPr>
              <w:t>$1,442,435.43</w:t>
            </w:r>
          </w:p>
        </w:tc>
        <w:tc>
          <w:tcPr>
            <w:tcW w:w="3000" w:type="dxa"/>
            <w:vAlign w:val="bottom"/>
          </w:tcPr>
          <w:p>
            <w:pPr>
              <w:jc w:val="center"/>
              <w:ind w:left="252"/>
              <w:spacing w:after="0"/>
              <w:rPr>
                <w:sz w:val="20"/>
                <w:szCs w:val="20"/>
                <w:color w:val="auto"/>
              </w:rPr>
            </w:pPr>
            <w:r>
              <w:rPr>
                <w:rFonts w:ascii="Arial" w:cs="Arial" w:eastAsia="Arial" w:hAnsi="Arial"/>
                <w:sz w:val="22"/>
                <w:szCs w:val="22"/>
                <w:color w:val="auto"/>
                <w:w w:val="88"/>
              </w:rPr>
              <w:t>$120,202.95</w:t>
            </w:r>
          </w:p>
        </w:tc>
        <w:tc>
          <w:tcPr>
            <w:tcW w:w="2940" w:type="dxa"/>
            <w:vAlign w:val="bottom"/>
          </w:tcPr>
          <w:p>
            <w:pPr>
              <w:jc w:val="center"/>
              <w:spacing w:after="0"/>
              <w:rPr>
                <w:sz w:val="20"/>
                <w:szCs w:val="20"/>
                <w:color w:val="auto"/>
              </w:rPr>
            </w:pPr>
            <w:r>
              <w:rPr>
                <w:rFonts w:ascii="Arial" w:cs="Arial" w:eastAsia="Arial" w:hAnsi="Arial"/>
                <w:sz w:val="22"/>
                <w:szCs w:val="22"/>
                <w:color w:val="auto"/>
                <w:w w:val="87"/>
              </w:rPr>
              <w:t>$4.92</w:t>
            </w:r>
          </w:p>
        </w:tc>
      </w:tr>
    </w:tbl>
    <w:p>
      <w:pPr>
        <w:spacing w:after="0" w:line="185" w:lineRule="exact"/>
        <w:rPr>
          <w:sz w:val="20"/>
          <w:szCs w:val="20"/>
          <w:color w:val="auto"/>
        </w:rPr>
      </w:pPr>
    </w:p>
    <w:p>
      <w:pPr>
        <w:jc w:val="both"/>
        <w:ind w:left="40" w:right="20"/>
        <w:spacing w:after="0"/>
        <w:rPr>
          <w:sz w:val="20"/>
          <w:szCs w:val="20"/>
          <w:color w:val="auto"/>
        </w:rPr>
      </w:pPr>
      <w:r>
        <w:rPr>
          <w:rFonts w:ascii="Arial" w:cs="Arial" w:eastAsia="Arial" w:hAnsi="Arial"/>
          <w:sz w:val="22"/>
          <w:szCs w:val="22"/>
          <w:color w:val="auto"/>
        </w:rPr>
        <w:t xml:space="preserve">*Notwithstanding the foregoing Base Rent schedule or any contrary provision of this Lease, but subject to the terms of </w:t>
      </w:r>
      <w:r>
        <w:rPr>
          <w:rFonts w:ascii="Arial" w:cs="Arial" w:eastAsia="Arial" w:hAnsi="Arial"/>
          <w:sz w:val="22"/>
          <w:szCs w:val="22"/>
          <w:u w:val="single" w:color="auto"/>
          <w:color w:val="auto"/>
        </w:rPr>
        <w:t>Section 3.2</w:t>
      </w:r>
      <w:r>
        <w:rPr>
          <w:rFonts w:ascii="Arial" w:cs="Arial" w:eastAsia="Arial" w:hAnsi="Arial"/>
          <w:sz w:val="22"/>
          <w:szCs w:val="22"/>
          <w:color w:val="auto"/>
        </w:rPr>
        <w:t>, below, Tenant shall not be obligated to pay Base Rent with respect to the Premises during the 2nd through 8th full months of the Lease Term.</w:t>
      </w:r>
    </w:p>
    <w:p>
      <w:pPr>
        <w:spacing w:after="0" w:line="186" w:lineRule="exact"/>
        <w:rPr>
          <w:sz w:val="20"/>
          <w:szCs w:val="20"/>
          <w:color w:val="auto"/>
        </w:rPr>
      </w:pPr>
    </w:p>
    <w:p>
      <w:pPr>
        <w:jc w:val="both"/>
        <w:ind w:left="40" w:right="20"/>
        <w:spacing w:after="0" w:line="238" w:lineRule="auto"/>
        <w:rPr>
          <w:sz w:val="20"/>
          <w:szCs w:val="20"/>
          <w:color w:val="auto"/>
        </w:rPr>
      </w:pPr>
      <w:r>
        <w:rPr>
          <w:rFonts w:ascii="Arial" w:cs="Arial" w:eastAsia="Arial" w:hAnsi="Arial"/>
          <w:sz w:val="22"/>
          <w:szCs w:val="22"/>
          <w:color w:val="auto"/>
        </w:rPr>
        <w:t>**Note that (i) the Base Rent during the first (1st) Lease Year has been calculated as if the Premises contained only 16,434 rentable square feet, and (ii) the Base Rent during the second (2nd) Lease Year has been calculated as if the Premises contained only 20,434 rentable square feet. Such calculations shall not affect Tenant's Share or any other of Tenant's obligations under this Lease.</w:t>
      </w:r>
    </w:p>
    <w:p>
      <w:pPr>
        <w:sectPr>
          <w:pgSz w:w="11900" w:h="16838" w:orient="portrait"/>
          <w:cols w:equalWidth="0" w:num="1">
            <w:col w:w="11420"/>
          </w:cols>
          <w:pgMar w:left="240" w:top="521" w:right="2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5.Base Year (</w:t>
      </w:r>
      <w:r>
        <w:rPr>
          <w:rFonts w:ascii="Arial" w:cs="Arial" w:eastAsia="Arial" w:hAnsi="Arial"/>
          <w:sz w:val="22"/>
          <w:szCs w:val="22"/>
          <w:u w:val="single" w:color="auto"/>
          <w:color w:val="auto"/>
        </w:rPr>
        <w:t>Article 4</w:t>
      </w:r>
      <w:r>
        <w:rPr>
          <w:rFonts w:ascii="Arial" w:cs="Arial" w:eastAsia="Arial" w:hAnsi="Arial"/>
          <w:sz w:val="22"/>
          <w:szCs w:val="22"/>
          <w:color w:val="auto"/>
        </w:rPr>
        <w: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1"/>
          <w:szCs w:val="21"/>
          <w:color w:val="auto"/>
        </w:rPr>
        <w:t>6.Tenant's Share (</w:t>
      </w:r>
      <w:r>
        <w:rPr>
          <w:rFonts w:ascii="Arial" w:cs="Arial" w:eastAsia="Arial" w:hAnsi="Arial"/>
          <w:sz w:val="21"/>
          <w:szCs w:val="21"/>
          <w:u w:val="single" w:color="auto"/>
          <w:color w:val="auto"/>
        </w:rPr>
        <w:t>Article 4</w:t>
      </w:r>
      <w:r>
        <w:rPr>
          <w:rFonts w:ascii="Arial" w:cs="Arial" w:eastAsia="Arial" w:hAnsi="Arial"/>
          <w:sz w:val="21"/>
          <w:szCs w:val="21"/>
          <w:color w:val="auto"/>
        </w:rPr>
        <w: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1"/>
          <w:szCs w:val="21"/>
          <w:color w:val="auto"/>
        </w:rPr>
        <w:t>7.Permitted Use (</w:t>
      </w:r>
      <w:r>
        <w:rPr>
          <w:rFonts w:ascii="Arial" w:cs="Arial" w:eastAsia="Arial" w:hAnsi="Arial"/>
          <w:sz w:val="21"/>
          <w:szCs w:val="21"/>
          <w:u w:val="single" w:color="auto"/>
          <w:color w:val="auto"/>
        </w:rPr>
        <w:t>Article 5</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9"/>
          <w:szCs w:val="19"/>
          <w:color w:val="auto"/>
        </w:rPr>
        <w:t>8.Letter of Credit (</w:t>
      </w:r>
      <w:r>
        <w:rPr>
          <w:rFonts w:ascii="Arial" w:cs="Arial" w:eastAsia="Arial" w:hAnsi="Arial"/>
          <w:sz w:val="19"/>
          <w:szCs w:val="19"/>
          <w:u w:val="single" w:color="auto"/>
          <w:color w:val="auto"/>
        </w:rPr>
        <w:t>Article 21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795344.01/WLA</w:t>
      </w:r>
    </w:p>
    <w:p>
      <w:pPr>
        <w:spacing w:after="0"/>
        <w:rPr>
          <w:sz w:val="20"/>
          <w:szCs w:val="20"/>
          <w:color w:val="auto"/>
        </w:rPr>
      </w:pPr>
      <w:r>
        <w:rPr>
          <w:rFonts w:ascii="Arial" w:cs="Arial" w:eastAsia="Arial" w:hAnsi="Arial"/>
          <w:sz w:val="13"/>
          <w:szCs w:val="13"/>
          <w:color w:val="auto"/>
        </w:rPr>
        <w:t>377082-00004//ejs/ejs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Calendar year 2020.</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Approximately 7.84%.</w:t>
      </w:r>
    </w:p>
    <w:p>
      <w:pPr>
        <w:spacing w:after="0" w:line="206" w:lineRule="exact"/>
        <w:rPr>
          <w:sz w:val="20"/>
          <w:szCs w:val="20"/>
          <w:color w:val="auto"/>
        </w:rPr>
      </w:pPr>
    </w:p>
    <w:p>
      <w:pPr>
        <w:jc w:val="both"/>
        <w:ind w:left="100" w:right="20"/>
        <w:spacing w:after="0"/>
        <w:rPr>
          <w:sz w:val="20"/>
          <w:szCs w:val="20"/>
          <w:color w:val="auto"/>
        </w:rPr>
      </w:pPr>
      <w:r>
        <w:rPr>
          <w:rFonts w:ascii="Arial" w:cs="Arial" w:eastAsia="Arial" w:hAnsi="Arial"/>
          <w:sz w:val="22"/>
          <w:szCs w:val="22"/>
          <w:color w:val="auto"/>
        </w:rPr>
        <w:t>General office use and all other legal uses incidental thereto consistent with a first-class office building, subject to the terms of the Lease.</w:t>
      </w:r>
    </w:p>
    <w:p>
      <w:pPr>
        <w:spacing w:after="0" w:line="186" w:lineRule="exact"/>
        <w:rPr>
          <w:sz w:val="20"/>
          <w:szCs w:val="20"/>
          <w:color w:val="auto"/>
        </w:rPr>
      </w:pPr>
    </w:p>
    <w:p>
      <w:pPr>
        <w:jc w:val="both"/>
        <w:ind w:left="100" w:right="20"/>
        <w:spacing w:after="0" w:line="251" w:lineRule="auto"/>
        <w:rPr>
          <w:sz w:val="20"/>
          <w:szCs w:val="20"/>
          <w:color w:val="auto"/>
        </w:rPr>
      </w:pPr>
      <w:r>
        <w:rPr>
          <w:rFonts w:ascii="Arial" w:cs="Arial" w:eastAsia="Arial" w:hAnsi="Arial"/>
          <w:sz w:val="22"/>
          <w:szCs w:val="22"/>
          <w:color w:val="auto"/>
        </w:rPr>
        <w:t xml:space="preserve">$1,000,000.00, subject to reduction as set forth in </w:t>
      </w:r>
      <w:r>
        <w:rPr>
          <w:rFonts w:ascii="Arial" w:cs="Arial" w:eastAsia="Arial" w:hAnsi="Arial"/>
          <w:sz w:val="22"/>
          <w:szCs w:val="22"/>
          <w:u w:val="single" w:color="auto"/>
          <w:color w:val="auto"/>
        </w:rPr>
        <w:t>Section 21.3.2</w:t>
      </w:r>
      <w:r>
        <w:rPr>
          <w:rFonts w:ascii="Arial" w:cs="Arial" w:eastAsia="Arial" w:hAnsi="Arial"/>
          <w:sz w:val="22"/>
          <w:szCs w:val="22"/>
          <w:color w:val="auto"/>
        </w:rPr>
        <w:t xml:space="preserv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2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r>
      <w:tr>
        <w:trPr>
          <w:trHeight w:val="351"/>
        </w:trPr>
        <w:tc>
          <w:tcPr>
            <w:tcW w:w="2120" w:type="dxa"/>
            <w:vAlign w:val="bottom"/>
          </w:tcPr>
          <w:p>
            <w:pPr>
              <w:jc w:val="right"/>
              <w:ind w:right="1839"/>
              <w:spacing w:after="0"/>
              <w:rPr>
                <w:sz w:val="20"/>
                <w:szCs w:val="20"/>
                <w:color w:val="auto"/>
              </w:rPr>
            </w:pPr>
            <w:r>
              <w:rPr>
                <w:rFonts w:ascii="Arial" w:cs="Arial" w:eastAsia="Arial" w:hAnsi="Arial"/>
                <w:sz w:val="16"/>
                <w:szCs w:val="16"/>
                <w:color w:val="auto"/>
                <w:w w:val="91"/>
              </w:rPr>
              <w:t>-2-</w:t>
            </w: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186055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900" w:space="720"/>
            <w:col w:w="5800"/>
          </w:cols>
          <w:pgMar w:left="240" w:top="521" w:right="239" w:bottom="1440" w:gutter="0" w:footer="0" w:header="0"/>
          <w:type w:val="continuous"/>
        </w:sectPr>
      </w:pPr>
    </w:p>
    <w:bookmarkStart w:id="37" w:name="page38"/>
    <w:bookmarkEnd w:id="37"/>
    <w:tbl>
      <w:tblPr>
        <w:tblLayout w:type="fixed"/>
        <w:tblInd w:w="40" w:type="dxa"/>
        <w:tblCellMar>
          <w:top w:w="0" w:type="dxa"/>
          <w:left w:w="0" w:type="dxa"/>
          <w:bottom w:w="0" w:type="dxa"/>
          <w:right w:w="0" w:type="dxa"/>
        </w:tblCellMar>
      </w:tblPr>
      <w:tr>
        <w:trPr>
          <w:trHeight w:val="253"/>
        </w:trPr>
        <w:tc>
          <w:tcPr>
            <w:tcW w:w="4120" w:type="dxa"/>
            <w:vAlign w:val="bottom"/>
            <w:gridSpan w:val="3"/>
          </w:tcPr>
          <w:p>
            <w:pPr>
              <w:spacing w:after="0"/>
              <w:rPr>
                <w:sz w:val="20"/>
                <w:szCs w:val="20"/>
                <w:color w:val="auto"/>
              </w:rPr>
            </w:pPr>
            <w:r>
              <w:rPr>
                <w:rFonts w:ascii="Arial" w:cs="Arial" w:eastAsia="Arial" w:hAnsi="Arial"/>
                <w:sz w:val="22"/>
                <w:szCs w:val="22"/>
                <w:color w:val="auto"/>
              </w:rPr>
              <w:t>9.Parking Passes (Article 28):</w:t>
            </w:r>
          </w:p>
        </w:tc>
        <w:tc>
          <w:tcPr>
            <w:tcW w:w="7220" w:type="dxa"/>
            <w:vAlign w:val="bottom"/>
            <w:gridSpan w:val="3"/>
          </w:tcPr>
          <w:p>
            <w:pPr>
              <w:ind w:left="1560"/>
              <w:spacing w:after="0"/>
              <w:rPr>
                <w:sz w:val="20"/>
                <w:szCs w:val="20"/>
                <w:color w:val="auto"/>
              </w:rPr>
            </w:pPr>
            <w:r>
              <w:rPr>
                <w:rFonts w:ascii="Arial" w:cs="Arial" w:eastAsia="Arial" w:hAnsi="Arial"/>
                <w:sz w:val="22"/>
                <w:szCs w:val="22"/>
                <w:color w:val="auto"/>
                <w:w w:val="95"/>
              </w:rPr>
              <w:t>Up to seventy-five (75) unreserved parking passes, of which,</w:t>
            </w:r>
          </w:p>
        </w:tc>
      </w:tr>
      <w:tr>
        <w:trPr>
          <w:trHeight w:val="223"/>
        </w:trPr>
        <w:tc>
          <w:tcPr>
            <w:tcW w:w="15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7220" w:type="dxa"/>
            <w:vAlign w:val="bottom"/>
            <w:gridSpan w:val="3"/>
          </w:tcPr>
          <w:p>
            <w:pPr>
              <w:ind w:left="1560"/>
              <w:spacing w:after="0" w:line="223" w:lineRule="exact"/>
              <w:rPr>
                <w:sz w:val="20"/>
                <w:szCs w:val="20"/>
                <w:color w:val="auto"/>
              </w:rPr>
            </w:pPr>
            <w:r>
              <w:rPr>
                <w:rFonts w:ascii="Arial" w:cs="Arial" w:eastAsia="Arial" w:hAnsi="Arial"/>
                <w:sz w:val="22"/>
                <w:szCs w:val="22"/>
                <w:color w:val="auto"/>
                <w:w w:val="97"/>
              </w:rPr>
              <w:t>subject to the terms of Article 28 of the Lease, up to five (5)</w:t>
            </w:r>
          </w:p>
        </w:tc>
      </w:tr>
      <w:tr>
        <w:trPr>
          <w:trHeight w:val="20"/>
        </w:trPr>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74"/>
        </w:trPr>
        <w:tc>
          <w:tcPr>
            <w:tcW w:w="1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7220" w:type="dxa"/>
            <w:vAlign w:val="bottom"/>
            <w:gridSpan w:val="3"/>
          </w:tcPr>
          <w:p>
            <w:pPr>
              <w:ind w:left="1560"/>
              <w:spacing w:after="0"/>
              <w:rPr>
                <w:sz w:val="20"/>
                <w:szCs w:val="20"/>
                <w:color w:val="auto"/>
              </w:rPr>
            </w:pPr>
            <w:r>
              <w:rPr>
                <w:rFonts w:ascii="Arial" w:cs="Arial" w:eastAsia="Arial" w:hAnsi="Arial"/>
                <w:sz w:val="22"/>
                <w:szCs w:val="22"/>
                <w:color w:val="auto"/>
                <w:w w:val="88"/>
              </w:rPr>
              <w:t>passes may be converted to the use of a reserved parking space.</w:t>
            </w:r>
          </w:p>
        </w:tc>
      </w:tr>
    </w:tbl>
    <w:p>
      <w:pPr>
        <w:spacing w:after="0" w:line="185" w:lineRule="exact"/>
        <w:rPr>
          <w:sz w:val="20"/>
          <w:szCs w:val="20"/>
          <w:color w:val="auto"/>
        </w:rPr>
      </w:pPr>
    </w:p>
    <w:p>
      <w:pPr>
        <w:sectPr>
          <w:pgSz w:w="11900" w:h="16838" w:orient="portrait"/>
          <w:cols w:equalWidth="0" w:num="1">
            <w:col w:w="11420"/>
          </w:cols>
          <w:pgMar w:left="240" w:top="521" w:right="239" w:bottom="1440" w:gutter="0" w:footer="0" w:header="0"/>
        </w:sectPr>
      </w:pPr>
    </w:p>
    <w:p>
      <w:pPr>
        <w:ind w:left="40"/>
        <w:spacing w:after="0"/>
        <w:rPr>
          <w:sz w:val="20"/>
          <w:szCs w:val="20"/>
          <w:color w:val="auto"/>
        </w:rPr>
      </w:pPr>
      <w:r>
        <w:rPr>
          <w:rFonts w:ascii="Arial" w:cs="Arial" w:eastAsia="Arial" w:hAnsi="Arial"/>
          <w:sz w:val="22"/>
          <w:szCs w:val="22"/>
          <w:color w:val="auto"/>
        </w:rPr>
        <w:t>10.Address of Tenant (</w:t>
      </w:r>
      <w:r>
        <w:rPr>
          <w:rFonts w:ascii="Arial" w:cs="Arial" w:eastAsia="Arial" w:hAnsi="Arial"/>
          <w:sz w:val="22"/>
          <w:szCs w:val="22"/>
          <w:u w:val="single" w:color="auto"/>
          <w:color w:val="auto"/>
        </w:rPr>
        <w:t>Section 29.18</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11.Address of Landlord (</w:t>
      </w:r>
      <w:r>
        <w:rPr>
          <w:rFonts w:ascii="Arial" w:cs="Arial" w:eastAsia="Arial" w:hAnsi="Arial"/>
          <w:sz w:val="22"/>
          <w:szCs w:val="22"/>
          <w:u w:val="single" w:color="auto"/>
          <w:color w:val="auto"/>
        </w:rPr>
        <w:t>Section 29.18</w:t>
      </w:r>
      <w:r>
        <w:rPr>
          <w:rFonts w:ascii="Arial" w:cs="Arial" w:eastAsia="Arial" w:hAnsi="Arial"/>
          <w:sz w:val="22"/>
          <w:szCs w:val="22"/>
          <w:color w:val="auto"/>
        </w:rPr>
        <w: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12.Broker(s) (</w:t>
      </w:r>
      <w:r>
        <w:rPr>
          <w:rFonts w:ascii="Arial" w:cs="Arial" w:eastAsia="Arial" w:hAnsi="Arial"/>
          <w:sz w:val="22"/>
          <w:szCs w:val="22"/>
          <w:u w:val="single" w:color="auto"/>
          <w:color w:val="auto"/>
        </w:rPr>
        <w:t>Section 29.24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13.Tenant Improvement Allowance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795344.01/WLA</w:t>
      </w:r>
    </w:p>
    <w:p>
      <w:pPr>
        <w:spacing w:after="0"/>
        <w:rPr>
          <w:sz w:val="20"/>
          <w:szCs w:val="20"/>
          <w:color w:val="auto"/>
        </w:rPr>
      </w:pPr>
      <w:r>
        <w:rPr>
          <w:rFonts w:ascii="Arial" w:cs="Arial" w:eastAsia="Arial" w:hAnsi="Arial"/>
          <w:sz w:val="13"/>
          <w:szCs w:val="13"/>
          <w:color w:val="auto"/>
        </w:rPr>
        <w:t>377082-00004//ejs/ejs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22"/>
          <w:szCs w:val="22"/>
          <w:color w:val="auto"/>
        </w:rPr>
        <w:t>Arrowhead Pharmaceuticals, Inc.</w:t>
      </w:r>
    </w:p>
    <w:p>
      <w:pPr>
        <w:ind w:left="100"/>
        <w:spacing w:after="0" w:line="238" w:lineRule="auto"/>
        <w:rPr>
          <w:sz w:val="20"/>
          <w:szCs w:val="20"/>
          <w:color w:val="auto"/>
        </w:rPr>
      </w:pPr>
      <w:r>
        <w:rPr>
          <w:rFonts w:ascii="Arial" w:cs="Arial" w:eastAsia="Arial" w:hAnsi="Arial"/>
          <w:sz w:val="22"/>
          <w:szCs w:val="22"/>
          <w:color w:val="auto"/>
        </w:rPr>
        <w:t>225 S. Lake Avenue</w:t>
      </w:r>
    </w:p>
    <w:p>
      <w:pPr>
        <w:ind w:left="100"/>
        <w:spacing w:after="0" w:line="230" w:lineRule="auto"/>
        <w:rPr>
          <w:sz w:val="20"/>
          <w:szCs w:val="20"/>
          <w:color w:val="auto"/>
        </w:rPr>
      </w:pPr>
      <w:r>
        <w:rPr>
          <w:rFonts w:ascii="Arial" w:cs="Arial" w:eastAsia="Arial" w:hAnsi="Arial"/>
          <w:sz w:val="22"/>
          <w:szCs w:val="22"/>
          <w:color w:val="auto"/>
        </w:rPr>
        <w:t>Suite 1050</w:t>
      </w:r>
    </w:p>
    <w:p>
      <w:pPr>
        <w:ind w:left="100"/>
        <w:spacing w:after="0" w:line="231" w:lineRule="auto"/>
        <w:rPr>
          <w:sz w:val="20"/>
          <w:szCs w:val="20"/>
          <w:color w:val="auto"/>
        </w:rPr>
      </w:pPr>
      <w:r>
        <w:rPr>
          <w:rFonts w:ascii="Arial" w:cs="Arial" w:eastAsia="Arial" w:hAnsi="Arial"/>
          <w:sz w:val="22"/>
          <w:szCs w:val="22"/>
          <w:color w:val="auto"/>
        </w:rPr>
        <w:t>Pasadena, California 91101</w:t>
      </w:r>
    </w:p>
    <w:p>
      <w:pPr>
        <w:ind w:left="100"/>
        <w:spacing w:after="0" w:line="231" w:lineRule="auto"/>
        <w:rPr>
          <w:sz w:val="20"/>
          <w:szCs w:val="20"/>
          <w:color w:val="auto"/>
        </w:rPr>
      </w:pPr>
      <w:r>
        <w:rPr>
          <w:rFonts w:ascii="Arial" w:cs="Arial" w:eastAsia="Arial" w:hAnsi="Arial"/>
          <w:sz w:val="22"/>
          <w:szCs w:val="22"/>
          <w:color w:val="auto"/>
        </w:rPr>
        <w:t>Attention: General Counsel</w:t>
      </w:r>
    </w:p>
    <w:p>
      <w:pPr>
        <w:ind w:left="100"/>
        <w:spacing w:after="0"/>
        <w:rPr>
          <w:sz w:val="20"/>
          <w:szCs w:val="20"/>
          <w:color w:val="auto"/>
        </w:rPr>
      </w:pPr>
      <w:r>
        <w:rPr>
          <w:rFonts w:ascii="Arial" w:cs="Arial" w:eastAsia="Arial" w:hAnsi="Arial"/>
          <w:sz w:val="22"/>
          <w:szCs w:val="22"/>
          <w:color w:val="auto"/>
        </w:rPr>
        <w:t>(Prior to Lease Commencement Date)</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Arrowhead Pharmaceuticals, Inc.</w:t>
      </w:r>
    </w:p>
    <w:p>
      <w:pPr>
        <w:ind w:left="100"/>
        <w:spacing w:after="0" w:line="238" w:lineRule="auto"/>
        <w:rPr>
          <w:sz w:val="20"/>
          <w:szCs w:val="20"/>
          <w:color w:val="auto"/>
        </w:rPr>
      </w:pPr>
      <w:r>
        <w:rPr>
          <w:rFonts w:ascii="Arial" w:cs="Arial" w:eastAsia="Arial" w:hAnsi="Arial"/>
          <w:sz w:val="22"/>
          <w:szCs w:val="22"/>
          <w:color w:val="auto"/>
        </w:rPr>
        <w:t>177 E. Colorado Boulevard, Suite 700</w:t>
      </w:r>
    </w:p>
    <w:p>
      <w:pPr>
        <w:ind w:left="100"/>
        <w:spacing w:after="0" w:line="230" w:lineRule="auto"/>
        <w:rPr>
          <w:sz w:val="20"/>
          <w:szCs w:val="20"/>
          <w:color w:val="auto"/>
        </w:rPr>
      </w:pPr>
      <w:r>
        <w:rPr>
          <w:rFonts w:ascii="Arial" w:cs="Arial" w:eastAsia="Arial" w:hAnsi="Arial"/>
          <w:sz w:val="22"/>
          <w:szCs w:val="22"/>
          <w:color w:val="auto"/>
        </w:rPr>
        <w:t>Los Angeles, California 91101</w:t>
      </w:r>
    </w:p>
    <w:p>
      <w:pPr>
        <w:ind w:left="100"/>
        <w:spacing w:after="0" w:line="231"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(After Lease Commencement Date)</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Holland &amp; Knight, LLP</w:t>
      </w:r>
    </w:p>
    <w:p>
      <w:pPr>
        <w:ind w:left="100"/>
        <w:spacing w:after="0" w:line="238" w:lineRule="auto"/>
        <w:rPr>
          <w:sz w:val="20"/>
          <w:szCs w:val="20"/>
          <w:color w:val="auto"/>
        </w:rPr>
      </w:pPr>
      <w:r>
        <w:rPr>
          <w:rFonts w:ascii="Arial" w:cs="Arial" w:eastAsia="Arial" w:hAnsi="Arial"/>
          <w:sz w:val="22"/>
          <w:szCs w:val="22"/>
          <w:color w:val="auto"/>
        </w:rPr>
        <w:t>400 South Hope Street, 8</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100"/>
        <w:spacing w:after="0" w:line="230" w:lineRule="auto"/>
        <w:rPr>
          <w:sz w:val="20"/>
          <w:szCs w:val="20"/>
          <w:color w:val="auto"/>
        </w:rPr>
      </w:pPr>
      <w:r>
        <w:rPr>
          <w:rFonts w:ascii="Arial" w:cs="Arial" w:eastAsia="Arial" w:hAnsi="Arial"/>
          <w:sz w:val="22"/>
          <w:szCs w:val="22"/>
          <w:color w:val="auto"/>
        </w:rPr>
        <w:t>Los Angeles, California 90071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 Karl J. Lott, Esq.</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u w:val="single" w:color="auto"/>
          <w:color w:val="auto"/>
        </w:rPr>
        <w:t>Section 29.18</w:t>
      </w:r>
      <w:r>
        <w:rPr>
          <w:rFonts w:ascii="Arial" w:cs="Arial" w:eastAsia="Arial" w:hAnsi="Arial"/>
          <w:sz w:val="22"/>
          <w:szCs w:val="22"/>
          <w:color w:val="auto"/>
        </w:rPr>
        <w:t xml:space="preserve"> of the Lease.</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i w:val="1"/>
          <w:iCs w:val="1"/>
          <w:u w:val="single" w:color="auto"/>
          <w:color w:val="auto"/>
        </w:rPr>
        <w:t>Landlord's Broker</w:t>
      </w:r>
      <w:r>
        <w:rPr>
          <w:rFonts w:ascii="Arial" w:cs="Arial" w:eastAsia="Arial" w:hAnsi="Arial"/>
          <w:sz w:val="22"/>
          <w:szCs w:val="22"/>
          <w:color w:val="auto"/>
        </w:rPr>
        <w:t>:</w:t>
      </w:r>
    </w:p>
    <w:p>
      <w:pPr>
        <w:ind w:left="100"/>
        <w:spacing w:after="0" w:line="238" w:lineRule="auto"/>
        <w:rPr>
          <w:sz w:val="20"/>
          <w:szCs w:val="20"/>
          <w:color w:val="auto"/>
        </w:rPr>
      </w:pPr>
      <w:r>
        <w:rPr>
          <w:rFonts w:ascii="Arial" w:cs="Arial" w:eastAsia="Arial" w:hAnsi="Arial"/>
          <w:sz w:val="22"/>
          <w:szCs w:val="22"/>
          <w:color w:val="auto"/>
        </w:rPr>
        <w:t>Jones Lang LaSalle Brokerage, Inc.</w:t>
      </w:r>
    </w:p>
    <w:p>
      <w:pPr>
        <w:ind w:left="100"/>
        <w:spacing w:after="0" w:line="230" w:lineRule="auto"/>
        <w:rPr>
          <w:sz w:val="20"/>
          <w:szCs w:val="20"/>
          <w:color w:val="auto"/>
        </w:rPr>
      </w:pPr>
      <w:r>
        <w:rPr>
          <w:rFonts w:ascii="Arial" w:cs="Arial" w:eastAsia="Arial" w:hAnsi="Arial"/>
          <w:sz w:val="22"/>
          <w:szCs w:val="22"/>
          <w:color w:val="auto"/>
        </w:rPr>
        <w:t>515 South Flower Street, Suite 1300</w:t>
      </w:r>
    </w:p>
    <w:p>
      <w:pPr>
        <w:ind w:left="100"/>
        <w:spacing w:after="0" w:line="231" w:lineRule="auto"/>
        <w:rPr>
          <w:sz w:val="20"/>
          <w:szCs w:val="20"/>
          <w:color w:val="auto"/>
        </w:rPr>
      </w:pPr>
      <w:r>
        <w:rPr>
          <w:rFonts w:ascii="Arial" w:cs="Arial" w:eastAsia="Arial" w:hAnsi="Arial"/>
          <w:sz w:val="22"/>
          <w:szCs w:val="22"/>
          <w:color w:val="auto"/>
        </w:rPr>
        <w:t>Los Angeles, California 90071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Attention: Charlie Smith; Patrick Church</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i w:val="1"/>
          <w:iCs w:val="1"/>
          <w:u w:val="single" w:color="auto"/>
          <w:color w:val="auto"/>
        </w:rPr>
        <w:t>Tenant's Broker</w:t>
      </w:r>
      <w:r>
        <w:rPr>
          <w:rFonts w:ascii="Arial" w:cs="Arial" w:eastAsia="Arial" w:hAnsi="Arial"/>
          <w:sz w:val="22"/>
          <w:szCs w:val="22"/>
          <w:color w:val="auto"/>
        </w:rPr>
        <w:t>:</w:t>
      </w:r>
    </w:p>
    <w:p>
      <w:pPr>
        <w:ind w:left="100"/>
        <w:spacing w:after="0" w:line="238" w:lineRule="auto"/>
        <w:rPr>
          <w:sz w:val="20"/>
          <w:szCs w:val="20"/>
          <w:color w:val="auto"/>
        </w:rPr>
      </w:pPr>
      <w:r>
        <w:rPr>
          <w:rFonts w:ascii="Arial" w:cs="Arial" w:eastAsia="Arial" w:hAnsi="Arial"/>
          <w:sz w:val="22"/>
          <w:szCs w:val="22"/>
          <w:color w:val="auto"/>
        </w:rPr>
        <w:t>Cresa</w:t>
      </w:r>
    </w:p>
    <w:p>
      <w:pPr>
        <w:ind w:left="100"/>
        <w:spacing w:after="0" w:line="230" w:lineRule="auto"/>
        <w:rPr>
          <w:sz w:val="20"/>
          <w:szCs w:val="20"/>
          <w:color w:val="auto"/>
        </w:rPr>
      </w:pPr>
      <w:r>
        <w:rPr>
          <w:rFonts w:ascii="Arial" w:cs="Arial" w:eastAsia="Arial" w:hAnsi="Arial"/>
          <w:sz w:val="22"/>
          <w:szCs w:val="22"/>
          <w:color w:val="auto"/>
        </w:rPr>
        <w:t>11726 San Vicente Boulevard, Suite 500</w:t>
      </w:r>
    </w:p>
    <w:p>
      <w:pPr>
        <w:ind w:left="100"/>
        <w:spacing w:after="0" w:line="231" w:lineRule="auto"/>
        <w:rPr>
          <w:sz w:val="20"/>
          <w:szCs w:val="20"/>
          <w:color w:val="auto"/>
        </w:rPr>
      </w:pPr>
      <w:r>
        <w:rPr>
          <w:rFonts w:ascii="Arial" w:cs="Arial" w:eastAsia="Arial" w:hAnsi="Arial"/>
          <w:sz w:val="22"/>
          <w:szCs w:val="22"/>
          <w:color w:val="auto"/>
        </w:rPr>
        <w:t>Los Angeles, CA 90049</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Attention: Dan Gallup</w:t>
      </w:r>
    </w:p>
    <w:p>
      <w:pPr>
        <w:spacing w:after="0" w:line="188" w:lineRule="exact"/>
        <w:rPr>
          <w:sz w:val="20"/>
          <w:szCs w:val="20"/>
          <w:color w:val="auto"/>
        </w:rPr>
      </w:pPr>
    </w:p>
    <w:p>
      <w:pPr>
        <w:ind w:left="100" w:right="580"/>
        <w:spacing w:after="0" w:line="251" w:lineRule="auto"/>
        <w:rPr>
          <w:sz w:val="20"/>
          <w:szCs w:val="20"/>
          <w:color w:val="auto"/>
        </w:rPr>
      </w:pPr>
      <w:r>
        <w:rPr>
          <w:rFonts w:ascii="Arial" w:cs="Arial" w:eastAsia="Arial" w:hAnsi="Arial"/>
          <w:sz w:val="22"/>
          <w:szCs w:val="22"/>
          <w:color w:val="auto"/>
        </w:rPr>
        <w:t>$75.00 per RSF of the Premises (i.e., $1,832,550.00 for the 24,434 RSF of the Premises).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2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r>
      <w:tr>
        <w:trPr>
          <w:trHeight w:val="351"/>
        </w:trPr>
        <w:tc>
          <w:tcPr>
            <w:tcW w:w="2120" w:type="dxa"/>
            <w:vAlign w:val="bottom"/>
          </w:tcPr>
          <w:p>
            <w:pPr>
              <w:jc w:val="right"/>
              <w:ind w:right="1839"/>
              <w:spacing w:after="0"/>
              <w:rPr>
                <w:sz w:val="20"/>
                <w:szCs w:val="20"/>
                <w:color w:val="auto"/>
              </w:rPr>
            </w:pPr>
            <w:r>
              <w:rPr>
                <w:rFonts w:ascii="Arial" w:cs="Arial" w:eastAsia="Arial" w:hAnsi="Arial"/>
                <w:sz w:val="16"/>
                <w:szCs w:val="16"/>
                <w:color w:val="auto"/>
                <w:w w:val="91"/>
              </w:rPr>
              <w:t>-3-</w:t>
            </w: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186055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900" w:space="720"/>
            <w:col w:w="5800"/>
          </w:cols>
          <w:pgMar w:left="240" w:top="521" w:right="239" w:bottom="1440" w:gutter="0" w:footer="0" w:header="0"/>
          <w:type w:val="continuous"/>
        </w:sectPr>
      </w:pPr>
    </w:p>
    <w:bookmarkStart w:id="38" w:name="page39"/>
    <w:bookmarkEnd w:id="38"/>
    <w:tbl>
      <w:tblPr>
        <w:tblLayout w:type="fixed"/>
        <w:tblInd w:w="880" w:type="dxa"/>
        <w:tblCellMar>
          <w:top w:w="0" w:type="dxa"/>
          <w:left w:w="0" w:type="dxa"/>
          <w:bottom w:w="0" w:type="dxa"/>
          <w:right w:w="0" w:type="dxa"/>
        </w:tblCellMar>
      </w:tblPr>
      <w:tr>
        <w:trPr>
          <w:trHeight w:val="281"/>
        </w:trPr>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60" w:type="dxa"/>
            <w:vAlign w:val="bottom"/>
            <w:gridSpan w:val="4"/>
          </w:tcPr>
          <w:p>
            <w:pPr>
              <w:jc w:val="center"/>
              <w:ind w:right="4120"/>
              <w:spacing w:after="0"/>
              <w:rPr>
                <w:sz w:val="20"/>
                <w:szCs w:val="20"/>
                <w:color w:val="auto"/>
              </w:rPr>
            </w:pPr>
            <w:r>
              <w:rPr>
                <w:rFonts w:ascii="Arial" w:cs="Arial" w:eastAsia="Arial" w:hAnsi="Arial"/>
                <w:sz w:val="22"/>
                <w:szCs w:val="22"/>
                <w:b w:val="1"/>
                <w:bCs w:val="1"/>
                <w:color w:val="auto"/>
              </w:rPr>
              <w:t>ARTICLE 1</w:t>
            </w:r>
          </w:p>
        </w:tc>
      </w:tr>
      <w:tr>
        <w:trPr>
          <w:trHeight w:val="436"/>
        </w:trPr>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8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b w:val="1"/>
                <w:bCs w:val="1"/>
                <w:color w:val="auto"/>
                <w:w w:val="97"/>
              </w:rPr>
              <w:t>PREMISES, BUILDING, PROJECT, AND COMMON AREAS</w:t>
            </w:r>
          </w:p>
        </w:tc>
        <w:tc>
          <w:tcPr>
            <w:tcW w:w="2740" w:type="dxa"/>
            <w:vAlign w:val="bottom"/>
          </w:tcPr>
          <w:p>
            <w:pPr>
              <w:spacing w:after="0"/>
              <w:rPr>
                <w:sz w:val="24"/>
                <w:szCs w:val="24"/>
                <w:color w:val="auto"/>
              </w:rPr>
            </w:pPr>
          </w:p>
        </w:tc>
      </w:tr>
      <w:tr>
        <w:trPr>
          <w:trHeight w:val="439"/>
        </w:trPr>
        <w:tc>
          <w:tcPr>
            <w:tcW w:w="1440" w:type="dxa"/>
            <w:vAlign w:val="bottom"/>
          </w:tcPr>
          <w:p>
            <w:pPr>
              <w:jc w:val="right"/>
              <w:ind w:right="1052"/>
              <w:spacing w:after="0"/>
              <w:rPr>
                <w:sz w:val="20"/>
                <w:szCs w:val="20"/>
                <w:color w:val="auto"/>
              </w:rPr>
            </w:pPr>
            <w:r>
              <w:rPr>
                <w:rFonts w:ascii="Arial" w:cs="Arial" w:eastAsia="Arial" w:hAnsi="Arial"/>
                <w:sz w:val="22"/>
                <w:szCs w:val="22"/>
                <w:color w:val="auto"/>
                <w:w w:val="84"/>
              </w:rPr>
              <w:t>1.1</w:t>
            </w:r>
          </w:p>
        </w:tc>
        <w:tc>
          <w:tcPr>
            <w:tcW w:w="9080" w:type="dxa"/>
            <w:vAlign w:val="bottom"/>
            <w:gridSpan w:val="7"/>
          </w:tcPr>
          <w:p>
            <w:pPr>
              <w:ind w:left="140"/>
              <w:spacing w:after="0"/>
              <w:rPr>
                <w:sz w:val="20"/>
                <w:szCs w:val="20"/>
                <w:color w:val="auto"/>
              </w:rPr>
            </w:pPr>
            <w:r>
              <w:rPr>
                <w:rFonts w:ascii="Arial" w:cs="Arial" w:eastAsia="Arial" w:hAnsi="Arial"/>
                <w:sz w:val="22"/>
                <w:szCs w:val="22"/>
                <w:b w:val="1"/>
                <w:bCs w:val="1"/>
                <w:color w:val="auto"/>
              </w:rPr>
              <w:t>Premises, Building, Project and Common Areas</w:t>
            </w:r>
            <w:r>
              <w:rPr>
                <w:rFonts w:ascii="Arial" w:cs="Arial" w:eastAsia="Arial" w:hAnsi="Arial"/>
                <w:sz w:val="22"/>
                <w:szCs w:val="22"/>
                <w:color w:val="auto"/>
              </w:rPr>
              <w:t>.</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439"/>
        </w:trPr>
        <w:tc>
          <w:tcPr>
            <w:tcW w:w="1440" w:type="dxa"/>
            <w:vAlign w:val="bottom"/>
          </w:tcPr>
          <w:p>
            <w:pPr>
              <w:jc w:val="right"/>
              <w:ind w:right="12"/>
              <w:spacing w:after="0"/>
              <w:rPr>
                <w:sz w:val="20"/>
                <w:szCs w:val="20"/>
                <w:color w:val="auto"/>
              </w:rPr>
            </w:pPr>
            <w:r>
              <w:rPr>
                <w:rFonts w:ascii="Arial" w:cs="Arial" w:eastAsia="Arial" w:hAnsi="Arial"/>
                <w:sz w:val="22"/>
                <w:szCs w:val="22"/>
                <w:color w:val="auto"/>
              </w:rPr>
              <w:t>1.1.1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60" w:type="dxa"/>
            <w:vAlign w:val="bottom"/>
            <w:gridSpan w:val="4"/>
          </w:tcPr>
          <w:p>
            <w:pPr>
              <w:spacing w:after="0"/>
              <w:rPr>
                <w:sz w:val="20"/>
                <w:szCs w:val="20"/>
                <w:color w:val="auto"/>
              </w:rPr>
            </w:pPr>
            <w:r>
              <w:rPr>
                <w:rFonts w:ascii="Arial" w:cs="Arial" w:eastAsia="Arial" w:hAnsi="Arial"/>
                <w:sz w:val="22"/>
                <w:szCs w:val="22"/>
                <w:b w:val="1"/>
                <w:bCs w:val="1"/>
                <w:color w:val="auto"/>
                <w:w w:val="90"/>
              </w:rPr>
              <w:t>The Premises</w:t>
            </w:r>
            <w:r>
              <w:rPr>
                <w:rFonts w:ascii="Arial" w:cs="Arial" w:eastAsia="Arial" w:hAnsi="Arial"/>
                <w:sz w:val="22"/>
                <w:szCs w:val="22"/>
                <w:color w:val="auto"/>
                <w:w w:val="90"/>
              </w:rPr>
              <w:t>.  Landlord hereby leases to Tenant and Tenant hereby leases from</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jc w:val="both"/>
        <w:ind w:right="20"/>
        <w:spacing w:after="0" w:line="268" w:lineRule="auto"/>
        <w:rPr>
          <w:sz w:val="20"/>
          <w:szCs w:val="20"/>
          <w:color w:val="auto"/>
        </w:rPr>
      </w:pPr>
      <w:r>
        <w:rPr>
          <w:rFonts w:ascii="Arial" w:cs="Arial" w:eastAsia="Arial" w:hAnsi="Arial"/>
          <w:sz w:val="19"/>
          <w:szCs w:val="19"/>
          <w:color w:val="auto"/>
        </w:rPr>
        <w:t xml:space="preserve">Landlord the premises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of the Summary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The outline of the Premises is set forth in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and each floor or floors of the Premises has the number of rentable square feet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2.2</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Summary.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is to show the approximate location of the Premises in the "Building," as that term is defined in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below, or the elements thereof or of the accessways to the Premises or the "Project," as that term is defined in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below. Except as specifically set forth in this Lease and in the Tenant Work Letter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color w:val="auto"/>
        </w:rPr>
        <w:t>Tenant Work Letter</w:t>
      </w:r>
      <w:r>
        <w:rPr>
          <w:rFonts w:ascii="Arial" w:cs="Arial" w:eastAsia="Arial" w:hAnsi="Arial"/>
          <w:sz w:val="19"/>
          <w:szCs w:val="19"/>
          <w:color w:val="auto"/>
        </w:rPr>
        <w:t>"), Tenant shall accept the Premises in its presently existing "as-is" condition and Landlord shall not be obligated to provide or pay for any improvement work or services related to the improvement of the Premises. Tenant also acknowledges that, except as expressly stated in this Lease and in the Tenant Work Letter,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Except as otherwise provided in the Tenant Work Letter, the taking of possession of the Premises by Tenant shall conclusively establish that the Premises and the Building were at such time in good and sanitary order, condition and repair. Except when and where Tenant’s right of access is specifically excluded as the result of (i) an emergency,</w:t>
      </w:r>
    </w:p>
    <w:p>
      <w:pPr>
        <w:spacing w:after="0" w:line="8" w:lineRule="exact"/>
        <w:rPr>
          <w:sz w:val="20"/>
          <w:szCs w:val="20"/>
          <w:color w:val="auto"/>
        </w:rPr>
      </w:pPr>
    </w:p>
    <w:p>
      <w:pPr>
        <w:jc w:val="both"/>
        <w:ind w:right="20" w:firstLine="8"/>
        <w:spacing w:after="0" w:line="244" w:lineRule="auto"/>
        <w:tabs>
          <w:tab w:leader="none" w:pos="324" w:val="left"/>
        </w:tabs>
        <w:numPr>
          <w:ilvl w:val="0"/>
          <w:numId w:val="9"/>
        </w:numPr>
        <w:rPr>
          <w:rFonts w:ascii="Arial" w:cs="Arial" w:eastAsia="Arial" w:hAnsi="Arial"/>
          <w:sz w:val="21"/>
          <w:szCs w:val="21"/>
          <w:color w:val="auto"/>
        </w:rPr>
      </w:pPr>
      <w:r>
        <w:rPr>
          <w:rFonts w:ascii="Arial" w:cs="Arial" w:eastAsia="Arial" w:hAnsi="Arial"/>
          <w:sz w:val="21"/>
          <w:szCs w:val="21"/>
          <w:color w:val="auto"/>
        </w:rPr>
        <w:t>a requirement by law, or (iii) a specific provision set forth in this Lease, Tenant shall have the right of ingress and egress to the Premises and the Project parking areas twenty-four (24) hours per day, seven (7) days per week, every day of the year during the Lease Term. Notwithstanding the foregoing, Tenant hereby acknowledges that access to the Building, the Building parking facility and Common Areas may be restricted on New Year's Eve and New Year's Day due to the annual Rose Bowl Parade; provided, however, that Tenant shall continue to have access to the Premises at all times and Landlord shall use commercially reasonable efforts, to the extent within Landlord’s reasonable control, to provide Tenant with access to the Building parking facility notwithstanding the fact that such restrictions may be in place.</w:t>
      </w:r>
    </w:p>
    <w:p>
      <w:pPr>
        <w:spacing w:after="0" w:line="175"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u w:val="single" w:color="auto"/>
          <w:color w:val="auto"/>
        </w:rPr>
        <w:t>The Building and The Project</w:t>
      </w:r>
      <w:r>
        <w:rPr>
          <w:rFonts w:ascii="Arial" w:cs="Arial" w:eastAsia="Arial" w:hAnsi="Arial"/>
          <w:sz w:val="21"/>
          <w:szCs w:val="21"/>
          <w:color w:val="auto"/>
        </w:rPr>
        <w:t xml:space="preserve">. The Premises are a part of the building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of the Summary (the "</w:t>
      </w:r>
      <w:r>
        <w:rPr>
          <w:rFonts w:ascii="Arial" w:cs="Arial" w:eastAsia="Arial" w:hAnsi="Arial"/>
          <w:sz w:val="21"/>
          <w:szCs w:val="21"/>
          <w:b w:val="1"/>
          <w:bCs w:val="1"/>
          <w:color w:val="auto"/>
        </w:rPr>
        <w:t>Building</w:t>
      </w:r>
      <w:r>
        <w:rPr>
          <w:rFonts w:ascii="Arial" w:cs="Arial" w:eastAsia="Arial" w:hAnsi="Arial"/>
          <w:sz w:val="21"/>
          <w:szCs w:val="21"/>
          <w:color w:val="auto"/>
        </w:rPr>
        <w:t>"). The term "</w:t>
      </w:r>
      <w:r>
        <w:rPr>
          <w:rFonts w:ascii="Arial" w:cs="Arial" w:eastAsia="Arial" w:hAnsi="Arial"/>
          <w:sz w:val="21"/>
          <w:szCs w:val="21"/>
          <w:b w:val="1"/>
          <w:bCs w:val="1"/>
          <w:color w:val="auto"/>
        </w:rPr>
        <w:t>Project</w:t>
      </w:r>
      <w:r>
        <w:rPr>
          <w:rFonts w:ascii="Arial" w:cs="Arial" w:eastAsia="Arial" w:hAnsi="Arial"/>
          <w:sz w:val="21"/>
          <w:szCs w:val="21"/>
          <w:color w:val="auto"/>
        </w:rPr>
        <w:t>," as used in this Lease, shall mean (i) the Building and the Common Areas, (ii) the adjacent building located at 179 E. Colorado, (iii) the land (which is improved with landscaping, a multi-level detached parking structure including loading docks (“</w:t>
      </w:r>
      <w:r>
        <w:rPr>
          <w:rFonts w:ascii="Arial" w:cs="Arial" w:eastAsia="Arial" w:hAnsi="Arial"/>
          <w:sz w:val="21"/>
          <w:szCs w:val="21"/>
          <w:b w:val="1"/>
          <w:bCs w:val="1"/>
          <w:color w:val="auto"/>
        </w:rPr>
        <w:t>Parking Structure</w:t>
      </w:r>
      <w:r>
        <w:rPr>
          <w:rFonts w:ascii="Arial" w:cs="Arial" w:eastAsia="Arial" w:hAnsi="Arial"/>
          <w:sz w:val="21"/>
          <w:szCs w:val="21"/>
          <w:color w:val="auto"/>
        </w:rPr>
        <w:t>”), and other improvements) upon which the Building, adjacent building, Parking Structure and other Common Areas are located, and (iv) at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-1-</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39" w:name="page40"/>
    <w:bookmarkEnd w:id="39"/>
    <w:p>
      <w:pPr>
        <w:jc w:val="both"/>
        <w:ind w:right="20"/>
        <w:spacing w:after="0"/>
        <w:rPr>
          <w:sz w:val="20"/>
          <w:szCs w:val="20"/>
          <w:color w:val="auto"/>
        </w:rPr>
      </w:pPr>
      <w:r>
        <w:rPr>
          <w:rFonts w:ascii="Arial" w:cs="Arial" w:eastAsia="Arial" w:hAnsi="Arial"/>
          <w:sz w:val="22"/>
          <w:szCs w:val="22"/>
          <w:color w:val="auto"/>
        </w:rPr>
        <w:t>Landlord's discretion, any additional real property, areas, land, buildings or other improvements added thereto outside of the Project (provided, however, that Landlord’s addition of any such additional real property, areas, land, buildings or other improvements shall not increase Tenant’s obligations, costs or Rent under this Lease).</w:t>
      </w:r>
    </w:p>
    <w:p>
      <w:pPr>
        <w:spacing w:after="0" w:line="180" w:lineRule="exact"/>
        <w:rPr>
          <w:sz w:val="20"/>
          <w:szCs w:val="20"/>
          <w:color w:val="auto"/>
        </w:rPr>
      </w:pPr>
    </w:p>
    <w:p>
      <w:pPr>
        <w:jc w:val="both"/>
        <w:ind w:right="20" w:firstLine="1755"/>
        <w:spacing w:after="0" w:line="27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u w:val="single" w:color="auto"/>
          <w:color w:val="auto"/>
        </w:rPr>
        <w:t>Common Areas</w:t>
      </w:r>
      <w:r>
        <w:rPr>
          <w:rFonts w:ascii="Arial" w:cs="Arial" w:eastAsia="Arial" w:hAnsi="Arial"/>
          <w:sz w:val="19"/>
          <w:szCs w:val="19"/>
          <w:color w:val="auto"/>
        </w:rPr>
        <w:t xml:space="preserve">. Tenant shall have the non-exclusive right to use in common with other tenants in the Project, and subject to the rules and regulations referred to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to be shared by Landlord and tenants, are collectively referred to herein as the "</w:t>
      </w:r>
      <w:r>
        <w:rPr>
          <w:rFonts w:ascii="Arial" w:cs="Arial" w:eastAsia="Arial" w:hAnsi="Arial"/>
          <w:sz w:val="19"/>
          <w:szCs w:val="19"/>
          <w:b w:val="1"/>
          <w:bCs w:val="1"/>
          <w:color w:val="auto"/>
        </w:rPr>
        <w:t>Common Areas</w:t>
      </w:r>
      <w:r>
        <w:rPr>
          <w:rFonts w:ascii="Arial" w:cs="Arial" w:eastAsia="Arial" w:hAnsi="Arial"/>
          <w:sz w:val="19"/>
          <w:szCs w:val="19"/>
          <w:color w:val="auto"/>
        </w:rPr>
        <w:t>"). The Common Areas shall consist of the "Project Common Areas" and the "Building Common Areas." The term "</w:t>
      </w:r>
      <w:r>
        <w:rPr>
          <w:rFonts w:ascii="Arial" w:cs="Arial" w:eastAsia="Arial" w:hAnsi="Arial"/>
          <w:sz w:val="19"/>
          <w:szCs w:val="19"/>
          <w:b w:val="1"/>
          <w:bCs w:val="1"/>
          <w:color w:val="auto"/>
        </w:rPr>
        <w:t>Project Common Areas</w:t>
      </w:r>
      <w:r>
        <w:rPr>
          <w:rFonts w:ascii="Arial" w:cs="Arial" w:eastAsia="Arial" w:hAnsi="Arial"/>
          <w:sz w:val="19"/>
          <w:szCs w:val="19"/>
          <w:color w:val="auto"/>
        </w:rPr>
        <w:t>," as used in this Lease, shall mean the portion of the Project designated as such by Landlord. The term "</w:t>
      </w:r>
      <w:r>
        <w:rPr>
          <w:rFonts w:ascii="Arial" w:cs="Arial" w:eastAsia="Arial" w:hAnsi="Arial"/>
          <w:sz w:val="19"/>
          <w:szCs w:val="19"/>
          <w:b w:val="1"/>
          <w:bCs w:val="1"/>
          <w:color w:val="auto"/>
        </w:rPr>
        <w:t>Building Common Areas</w:t>
      </w:r>
      <w:r>
        <w:rPr>
          <w:rFonts w:ascii="Arial" w:cs="Arial" w:eastAsia="Arial" w:hAnsi="Arial"/>
          <w:sz w:val="19"/>
          <w:szCs w:val="19"/>
          <w:color w:val="auto"/>
        </w:rPr>
        <w:t>," as used in this Lease, shall mean the portions of the Common Areas located within the Building designated as such by Landlord. Landlord shall maintain and operate the Common Areas in a professional manner consistent with the standards applicable to Comparable Buildings, and the use thereof shall be subject to such commercially reasonable rules, regulations and restrictions as Landlord may make from time to time. Landlord reserves the right to close temporarily, make alterations or additions to, or change the location of elements of the Project and the Common Areas, as long as no such closures, alterations, additions or changes result in Tenant not being able to access the Premises or use the Premises for the Permitted Use.</w:t>
      </w:r>
    </w:p>
    <w:p>
      <w:pPr>
        <w:spacing w:after="0" w:line="15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u w:val="single" w:color="auto"/>
          <w:color w:val="auto"/>
        </w:rPr>
        <w:t>Rentable Square Feet of Premises and Building</w:t>
      </w:r>
      <w:r>
        <w:rPr>
          <w:rFonts w:ascii="Arial" w:cs="Arial" w:eastAsia="Arial" w:hAnsi="Arial"/>
          <w:sz w:val="19"/>
          <w:szCs w:val="19"/>
          <w:color w:val="auto"/>
        </w:rPr>
        <w:t>. For purposes of this Lease, "</w:t>
      </w:r>
      <w:r>
        <w:rPr>
          <w:rFonts w:ascii="Arial" w:cs="Arial" w:eastAsia="Arial" w:hAnsi="Arial"/>
          <w:sz w:val="19"/>
          <w:szCs w:val="19"/>
          <w:b w:val="1"/>
          <w:bCs w:val="1"/>
          <w:color w:val="auto"/>
        </w:rPr>
        <w:t>rentable square feet</w:t>
      </w:r>
      <w:r>
        <w:rPr>
          <w:rFonts w:ascii="Arial" w:cs="Arial" w:eastAsia="Arial" w:hAnsi="Arial"/>
          <w:sz w:val="19"/>
          <w:szCs w:val="19"/>
          <w:color w:val="auto"/>
        </w:rPr>
        <w:t>"</w:t>
      </w:r>
    </w:p>
    <w:p>
      <w:pPr>
        <w:spacing w:after="0" w:line="14"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 xml:space="preserve">in the Premises and the Building, as the case may be, shall be calculated pursuant to Landlord's then current method for measuring rentable square footage. Landlord and Tenant hereby stipulate and agree that the rentable area of the Premises is as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of the Summary.</w:t>
      </w:r>
    </w:p>
    <w:p>
      <w:pPr>
        <w:spacing w:after="0" w:line="181" w:lineRule="exact"/>
        <w:rPr>
          <w:sz w:val="20"/>
          <w:szCs w:val="20"/>
          <w:color w:val="auto"/>
        </w:rPr>
      </w:pPr>
    </w:p>
    <w:p>
      <w:pPr>
        <w:jc w:val="both"/>
        <w:ind w:right="20" w:firstLine="877"/>
        <w:spacing w:after="0" w:line="234"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u w:val="single" w:color="auto"/>
          <w:color w:val="auto"/>
        </w:rPr>
        <w:t>Right of First Offer</w:t>
      </w:r>
      <w:r>
        <w:rPr>
          <w:rFonts w:ascii="Arial" w:cs="Arial" w:eastAsia="Arial" w:hAnsi="Arial"/>
          <w:sz w:val="22"/>
          <w:szCs w:val="22"/>
          <w:b w:val="1"/>
          <w:bCs w:val="1"/>
          <w:color w:val="auto"/>
        </w:rPr>
        <w:t>.</w:t>
      </w:r>
      <w:r>
        <w:rPr>
          <w:rFonts w:ascii="Arial" w:cs="Arial" w:eastAsia="Arial" w:hAnsi="Arial"/>
          <w:sz w:val="22"/>
          <w:szCs w:val="22"/>
          <w:color w:val="auto"/>
        </w:rPr>
        <w:t xml:space="preserve"> From the date hereof through the first three (3) Lease Years, Landlord hereby grants to the originally named Tenant herein ("</w:t>
      </w:r>
      <w:r>
        <w:rPr>
          <w:rFonts w:ascii="Arial" w:cs="Arial" w:eastAsia="Arial" w:hAnsi="Arial"/>
          <w:sz w:val="22"/>
          <w:szCs w:val="22"/>
          <w:b w:val="1"/>
          <w:bCs w:val="1"/>
          <w:color w:val="auto"/>
        </w:rPr>
        <w:t>Original Tenant</w:t>
      </w:r>
      <w:r>
        <w:rPr>
          <w:rFonts w:ascii="Arial" w:cs="Arial" w:eastAsia="Arial" w:hAnsi="Arial"/>
          <w:sz w:val="22"/>
          <w:szCs w:val="22"/>
          <w:color w:val="auto"/>
        </w:rPr>
        <w:t xml:space="preserve">"), and any Permitted Assignee (as defined in </w:t>
      </w:r>
      <w:r>
        <w:rPr>
          <w:rFonts w:ascii="Arial" w:cs="Arial" w:eastAsia="Arial" w:hAnsi="Arial"/>
          <w:sz w:val="22"/>
          <w:szCs w:val="22"/>
          <w:u w:val="single" w:color="auto"/>
          <w:color w:val="auto"/>
        </w:rPr>
        <w:t>Section 14.8</w:t>
      </w:r>
      <w:r>
        <w:rPr>
          <w:rFonts w:ascii="Arial" w:cs="Arial" w:eastAsia="Arial" w:hAnsi="Arial"/>
          <w:sz w:val="22"/>
          <w:szCs w:val="22"/>
          <w:color w:val="auto"/>
        </w:rPr>
        <w:t>, below), a right of first offer with respect to the space located on the sixth (6th) floor of the Building (the "</w:t>
      </w:r>
      <w:r>
        <w:rPr>
          <w:rFonts w:ascii="Arial" w:cs="Arial" w:eastAsia="Arial" w:hAnsi="Arial"/>
          <w:sz w:val="22"/>
          <w:szCs w:val="22"/>
          <w:b w:val="1"/>
          <w:bCs w:val="1"/>
          <w:color w:val="auto"/>
        </w:rPr>
        <w:t>First Offer</w:t>
      </w:r>
      <w:r>
        <w:rPr>
          <w:rFonts w:ascii="Arial" w:cs="Arial" w:eastAsia="Arial" w:hAnsi="Arial"/>
          <w:sz w:val="22"/>
          <w:szCs w:val="22"/>
          <w:color w:val="auto"/>
        </w:rPr>
        <w:t xml:space="preserve"> </w:t>
      </w:r>
      <w:r>
        <w:rPr>
          <w:rFonts w:ascii="Arial" w:cs="Arial" w:eastAsia="Arial" w:hAnsi="Arial"/>
          <w:sz w:val="22"/>
          <w:szCs w:val="22"/>
          <w:b w:val="1"/>
          <w:bCs w:val="1"/>
          <w:color w:val="auto"/>
        </w:rPr>
        <w:t>Space</w:t>
      </w:r>
      <w:r>
        <w:rPr>
          <w:rFonts w:ascii="Arial" w:cs="Arial" w:eastAsia="Arial" w:hAnsi="Arial"/>
          <w:sz w:val="22"/>
          <w:szCs w:val="22"/>
          <w:color w:val="auto"/>
        </w:rPr>
        <w:t>"). Notwithstanding the foregoing, Tenant acknowledges that the First Offer Space is currently occupied by a third party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Existing Lease</w:t>
      </w:r>
      <w:r>
        <w:rPr>
          <w:rFonts w:ascii="Arial" w:cs="Arial" w:eastAsia="Arial" w:hAnsi="Arial"/>
          <w:sz w:val="22"/>
          <w:szCs w:val="22"/>
          <w:color w:val="auto"/>
        </w:rPr>
        <w:t xml:space="preserve">”), and that the first offer right of Tenant shall commence only following the expiration or earlier termination of the Existing Lease (including any renewal or extension of the Existing Lease, whether pursuant to rights currently existing or hereafter granted). Landlord represents and warrants to Tenant that other than the tenant under the Existing Lease, no other tenant of the Building has any right to lease the First Offer Space. Tenant's right of first offer shall be on the terms and conditions set forth in this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184" w:lineRule="exact"/>
        <w:rPr>
          <w:sz w:val="20"/>
          <w:szCs w:val="20"/>
          <w:color w:val="auto"/>
        </w:rPr>
      </w:pPr>
    </w:p>
    <w:p>
      <w:pPr>
        <w:jc w:val="both"/>
        <w:ind w:right="20" w:firstLine="1755"/>
        <w:spacing w:after="0" w:line="237"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b w:val="1"/>
          <w:bCs w:val="1"/>
          <w:u w:val="single" w:color="auto"/>
          <w:color w:val="auto"/>
        </w:rPr>
        <w:t>Procedure for Offer</w:t>
      </w:r>
      <w:r>
        <w:rPr>
          <w:rFonts w:ascii="Arial" w:cs="Arial" w:eastAsia="Arial" w:hAnsi="Arial"/>
          <w:sz w:val="22"/>
          <w:szCs w:val="22"/>
          <w:b w:val="1"/>
          <w:bCs w:val="1"/>
          <w:color w:val="auto"/>
        </w:rPr>
        <w:t>.</w:t>
      </w:r>
      <w:r>
        <w:rPr>
          <w:rFonts w:ascii="Arial" w:cs="Arial" w:eastAsia="Arial" w:hAnsi="Arial"/>
          <w:sz w:val="22"/>
          <w:szCs w:val="22"/>
          <w:color w:val="auto"/>
        </w:rPr>
        <w:t xml:space="preserve"> Landlord shall notify Tenant in writing (a "</w:t>
      </w:r>
      <w:r>
        <w:rPr>
          <w:rFonts w:ascii="Arial" w:cs="Arial" w:eastAsia="Arial" w:hAnsi="Arial"/>
          <w:sz w:val="22"/>
          <w:szCs w:val="22"/>
          <w:b w:val="1"/>
          <w:bCs w:val="1"/>
          <w:color w:val="auto"/>
        </w:rPr>
        <w:t>First Offer</w:t>
      </w:r>
      <w:r>
        <w:rPr>
          <w:rFonts w:ascii="Arial" w:cs="Arial" w:eastAsia="Arial" w:hAnsi="Arial"/>
          <w:sz w:val="22"/>
          <w:szCs w:val="22"/>
          <w:color w:val="auto"/>
        </w:rPr>
        <w:t xml:space="preserve"> </w:t>
      </w:r>
      <w:r>
        <w:rPr>
          <w:rFonts w:ascii="Arial" w:cs="Arial" w:eastAsia="Arial" w:hAnsi="Arial"/>
          <w:sz w:val="22"/>
          <w:szCs w:val="22"/>
          <w:b w:val="1"/>
          <w:bCs w:val="1"/>
          <w:color w:val="auto"/>
        </w:rPr>
        <w:t>Notice</w:t>
      </w:r>
      <w:r>
        <w:rPr>
          <w:rFonts w:ascii="Arial" w:cs="Arial" w:eastAsia="Arial" w:hAnsi="Arial"/>
          <w:sz w:val="22"/>
          <w:szCs w:val="22"/>
          <w:color w:val="auto"/>
        </w:rPr>
        <w:t>") prior to leasing any such First Offer Space to a third-party (other than the tenant under the Existing Lease).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First Offer Notice, Landlord shall offer to lease to Tenant the then available First Offer Space. A First Offer Notice shall describe the space so offered to Tenant and shall set forth the Base Rent, concessions, allowances, and other economic terms upon which Landlord is willing to lease such space to Tenant and at which Landlord intends in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-2-</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40" w:name="page41"/>
    <w:bookmarkEnd w:id="40"/>
    <w:p>
      <w:pPr>
        <w:jc w:val="both"/>
        <w:ind w:right="40"/>
        <w:spacing w:after="0" w:line="256" w:lineRule="auto"/>
        <w:rPr>
          <w:sz w:val="20"/>
          <w:szCs w:val="20"/>
          <w:color w:val="auto"/>
        </w:rPr>
      </w:pPr>
      <w:r>
        <w:rPr>
          <w:rFonts w:ascii="Arial" w:cs="Arial" w:eastAsia="Arial" w:hAnsi="Arial"/>
          <w:sz w:val="22"/>
          <w:szCs w:val="22"/>
          <w:color w:val="auto"/>
        </w:rPr>
        <w:t>good faith to market the First Offer Space to third-parties (the “</w:t>
      </w:r>
      <w:r>
        <w:rPr>
          <w:rFonts w:ascii="Arial" w:cs="Arial" w:eastAsia="Arial" w:hAnsi="Arial"/>
          <w:sz w:val="22"/>
          <w:szCs w:val="22"/>
          <w:b w:val="1"/>
          <w:bCs w:val="1"/>
          <w:color w:val="auto"/>
        </w:rPr>
        <w:t>First Offer Rent</w:t>
      </w:r>
      <w:r>
        <w:rPr>
          <w:rFonts w:ascii="Arial" w:cs="Arial" w:eastAsia="Arial" w:hAnsi="Arial"/>
          <w:sz w:val="22"/>
          <w:szCs w:val="22"/>
          <w:color w:val="auto"/>
        </w:rPr>
        <w:t>”). The rentable square footage of the space so offered to Tenant shall be as set forth in the First Offer Notice.</w:t>
      </w:r>
    </w:p>
    <w:p>
      <w:pPr>
        <w:spacing w:after="0" w:line="163" w:lineRule="exact"/>
        <w:rPr>
          <w:sz w:val="20"/>
          <w:szCs w:val="20"/>
          <w:color w:val="auto"/>
        </w:rPr>
      </w:pPr>
    </w:p>
    <w:p>
      <w:pPr>
        <w:jc w:val="both"/>
        <w:ind w:right="20" w:firstLine="1755"/>
        <w:spacing w:after="0" w:line="271"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b w:val="1"/>
          <w:bCs w:val="1"/>
          <w:u w:val="single" w:color="auto"/>
          <w:color w:val="auto"/>
        </w:rPr>
        <w:t>Procedure for Acceptance</w:t>
      </w:r>
      <w:r>
        <w:rPr>
          <w:rFonts w:ascii="Arial" w:cs="Arial" w:eastAsia="Arial" w:hAnsi="Arial"/>
          <w:sz w:val="19"/>
          <w:szCs w:val="19"/>
          <w:b w:val="1"/>
          <w:bCs w:val="1"/>
          <w:color w:val="auto"/>
        </w:rPr>
        <w:t>.</w:t>
      </w:r>
      <w:r>
        <w:rPr>
          <w:rFonts w:ascii="Arial" w:cs="Arial" w:eastAsia="Arial" w:hAnsi="Arial"/>
          <w:sz w:val="19"/>
          <w:szCs w:val="19"/>
          <w:color w:val="auto"/>
        </w:rPr>
        <w:t xml:space="preserve"> If Tenant wishes to exercise Tenant's right of first offer with respect to the space described in a First Offer Notice, then within seven (7) business days of delivery of such First Offer Notice to Tenant, Tenant shall deliver notice to Landlord of Tenant's intention to exercise its right of first offer with respect to the entire space described in such First Offer Notice on the terms contained therein. If Tenant does not so notify Landlord within the seven (7) business day period, then Landlord shall be free to lease the space described in such First Offer Notice to anyone to whom Landlord desires on terms that are not “materially more favorable” (as defined below) than the terms set forth in the First Offer Notice. Notwithstanding anything to the contrary contained herein, Tenant must elect to exercise its right of first offer, if at all, with respect to all of the space offered by Landlord to Tenant at any particular time, and Tenant may not elect to lease only a portion thereof. If Tenant does not exercise its right of first offer with respect to any space described in a First Offer Notice or if Tenant fails to respond to a First Offer Notice within seven (7) business days of delivery thereof, then Tenant's right of first offer as set forth in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shall terminate as to all of the space described in such First Offer Notice. If Landlord fails to enter into a lease with a third party for such First Offer Space within nine (9) months thereafter, or if Landlord wishes to enter into a lease on terms that are materially more favorable to the tenant than those set forth in the First Offer Notice, then Landlord shall again provide Tenant with a First Offer Notice and Tenant shall have the same rights with respect to such First Offer Notice as are provided in this </w:t>
      </w:r>
      <w:r>
        <w:rPr>
          <w:rFonts w:ascii="Arial" w:cs="Arial" w:eastAsia="Arial" w:hAnsi="Arial"/>
          <w:sz w:val="19"/>
          <w:szCs w:val="19"/>
          <w:u w:val="single" w:color="auto"/>
          <w:color w:val="auto"/>
        </w:rPr>
        <w:t>Section 1.3</w:t>
      </w:r>
      <w:r>
        <w:rPr>
          <w:rFonts w:ascii="Arial" w:cs="Arial" w:eastAsia="Arial" w:hAnsi="Arial"/>
          <w:sz w:val="19"/>
          <w:szCs w:val="19"/>
          <w:color w:val="auto"/>
        </w:rPr>
        <w:t>. For the purposes hereof, “terms materially more favorable” shall mean terms that result in a change, on a net present value basis, of seven percent (7%) or more (using an eight percent (8%) discount rate) to the material economic terms set forth in Landlord’s First Offer Notice.</w:t>
      </w:r>
    </w:p>
    <w:p>
      <w:pPr>
        <w:spacing w:after="0" w:line="378"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380" w:type="dxa"/>
            <w:vAlign w:val="bottom"/>
          </w:tcPr>
          <w:p>
            <w:pPr>
              <w:jc w:val="right"/>
              <w:ind w:right="1832"/>
              <w:spacing w:after="0"/>
              <w:rPr>
                <w:sz w:val="20"/>
                <w:szCs w:val="20"/>
                <w:color w:val="auto"/>
              </w:rPr>
            </w:pPr>
            <w:r>
              <w:rPr>
                <w:rFonts w:ascii="Arial" w:cs="Arial" w:eastAsia="Arial" w:hAnsi="Arial"/>
                <w:sz w:val="22"/>
                <w:szCs w:val="22"/>
                <w:color w:val="auto"/>
                <w:w w:val="85"/>
              </w:rPr>
              <w:t>1.3.3</w:t>
            </w:r>
          </w:p>
        </w:tc>
        <w:tc>
          <w:tcPr>
            <w:tcW w:w="7260" w:type="dxa"/>
            <w:vAlign w:val="bottom"/>
            <w:gridSpan w:val="3"/>
          </w:tcPr>
          <w:p>
            <w:pPr>
              <w:spacing w:after="0"/>
              <w:rPr>
                <w:sz w:val="20"/>
                <w:szCs w:val="20"/>
                <w:color w:val="auto"/>
              </w:rPr>
            </w:pPr>
            <w:r>
              <w:rPr>
                <w:rFonts w:ascii="Arial" w:cs="Arial" w:eastAsia="Arial" w:hAnsi="Arial"/>
                <w:sz w:val="22"/>
                <w:szCs w:val="22"/>
                <w:b w:val="1"/>
                <w:bCs w:val="1"/>
                <w:color w:val="auto"/>
              </w:rPr>
              <w:t>Intentionally Omitted</w:t>
            </w:r>
            <w:r>
              <w:rPr>
                <w:rFonts w:ascii="Arial" w:cs="Arial" w:eastAsia="Arial" w:hAnsi="Arial"/>
                <w:sz w:val="22"/>
                <w:szCs w:val="22"/>
                <w:color w:val="auto"/>
              </w:rPr>
              <w:t>.</w:t>
            </w:r>
          </w:p>
        </w:tc>
      </w:tr>
      <w:tr>
        <w:trPr>
          <w:trHeight w:val="20"/>
        </w:trPr>
        <w:tc>
          <w:tcPr>
            <w:tcW w:w="23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39"/>
        </w:trPr>
        <w:tc>
          <w:tcPr>
            <w:tcW w:w="2380" w:type="dxa"/>
            <w:vAlign w:val="bottom"/>
          </w:tcPr>
          <w:p>
            <w:pPr>
              <w:jc w:val="right"/>
              <w:ind w:right="1832"/>
              <w:spacing w:after="0"/>
              <w:rPr>
                <w:sz w:val="20"/>
                <w:szCs w:val="20"/>
                <w:color w:val="auto"/>
              </w:rPr>
            </w:pPr>
            <w:r>
              <w:rPr>
                <w:rFonts w:ascii="Arial" w:cs="Arial" w:eastAsia="Arial" w:hAnsi="Arial"/>
                <w:sz w:val="22"/>
                <w:szCs w:val="22"/>
                <w:color w:val="auto"/>
                <w:w w:val="85"/>
              </w:rPr>
              <w:t>1.3.4</w:t>
            </w:r>
          </w:p>
        </w:tc>
        <w:tc>
          <w:tcPr>
            <w:tcW w:w="7260" w:type="dxa"/>
            <w:vAlign w:val="bottom"/>
            <w:gridSpan w:val="3"/>
          </w:tcPr>
          <w:p>
            <w:pPr>
              <w:spacing w:after="0"/>
              <w:rPr>
                <w:sz w:val="20"/>
                <w:szCs w:val="20"/>
                <w:color w:val="auto"/>
              </w:rPr>
            </w:pPr>
            <w:r>
              <w:rPr>
                <w:rFonts w:ascii="Arial" w:cs="Arial" w:eastAsia="Arial" w:hAnsi="Arial"/>
                <w:sz w:val="22"/>
                <w:szCs w:val="22"/>
                <w:b w:val="1"/>
                <w:bCs w:val="1"/>
                <w:color w:val="auto"/>
                <w:w w:val="95"/>
              </w:rPr>
              <w:t xml:space="preserve">Construction In First Offer Space.  </w:t>
            </w:r>
            <w:r>
              <w:rPr>
                <w:rFonts w:ascii="Arial" w:cs="Arial" w:eastAsia="Arial" w:hAnsi="Arial"/>
                <w:sz w:val="22"/>
                <w:szCs w:val="22"/>
                <w:color w:val="auto"/>
                <w:w w:val="95"/>
              </w:rPr>
              <w:t>Except as otherwise provided in the First</w:t>
            </w:r>
          </w:p>
        </w:tc>
      </w:tr>
      <w:tr>
        <w:trPr>
          <w:trHeight w:val="20"/>
        </w:trPr>
        <w:tc>
          <w:tcPr>
            <w:tcW w:w="23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 xml:space="preserve">Offer Notice, Tenant shall accept the First Offer Space in its then existing "as is" condition and the construction of improvements in the First Offer Space shall comply with the terms of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of this Lease.</w:t>
      </w:r>
    </w:p>
    <w:p>
      <w:pPr>
        <w:spacing w:after="0" w:line="167" w:lineRule="exact"/>
        <w:rPr>
          <w:sz w:val="20"/>
          <w:szCs w:val="20"/>
          <w:color w:val="auto"/>
        </w:rPr>
      </w:pPr>
    </w:p>
    <w:p>
      <w:pPr>
        <w:jc w:val="both"/>
        <w:ind w:right="20" w:firstLine="1755"/>
        <w:spacing w:after="0" w:line="278"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b w:val="1"/>
          <w:bCs w:val="1"/>
          <w:u w:val="single" w:color="auto"/>
          <w:color w:val="auto"/>
        </w:rPr>
        <w:t>Amendment to Lease</w:t>
      </w:r>
      <w:r>
        <w:rPr>
          <w:rFonts w:ascii="Arial" w:cs="Arial" w:eastAsia="Arial" w:hAnsi="Arial"/>
          <w:sz w:val="19"/>
          <w:szCs w:val="19"/>
          <w:b w:val="1"/>
          <w:bCs w:val="1"/>
          <w:color w:val="auto"/>
        </w:rPr>
        <w:t>.</w:t>
      </w:r>
      <w:r>
        <w:rPr>
          <w:rFonts w:ascii="Arial" w:cs="Arial" w:eastAsia="Arial" w:hAnsi="Arial"/>
          <w:sz w:val="19"/>
          <w:szCs w:val="19"/>
          <w:color w:val="auto"/>
        </w:rPr>
        <w:t xml:space="preserve"> If Tenant timely exercises Tenant's right to lease First Offer Space as set forth herein, then, within fifteen (15) days thereafter, Landlord and Tenant shall execute an amendment (the "</w:t>
      </w:r>
      <w:r>
        <w:rPr>
          <w:rFonts w:ascii="Arial" w:cs="Arial" w:eastAsia="Arial" w:hAnsi="Arial"/>
          <w:sz w:val="19"/>
          <w:szCs w:val="19"/>
          <w:b w:val="1"/>
          <w:b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color w:val="auto"/>
        </w:rPr>
        <w:t>Offer Amendment</w:t>
      </w:r>
      <w:r>
        <w:rPr>
          <w:rFonts w:ascii="Arial" w:cs="Arial" w:eastAsia="Arial" w:hAnsi="Arial"/>
          <w:sz w:val="19"/>
          <w:szCs w:val="19"/>
          <w:color w:val="auto"/>
        </w:rPr>
        <w:t>") adding such First Offer Space to the Premises upon the terms and conditions as set forth in the First Offer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Notice therefor and this </w:t>
      </w:r>
      <w:r>
        <w:rPr>
          <w:rFonts w:ascii="Arial" w:cs="Arial" w:eastAsia="Arial" w:hAnsi="Arial"/>
          <w:sz w:val="19"/>
          <w:szCs w:val="19"/>
          <w:u w:val="single" w:color="auto"/>
          <w:color w:val="auto"/>
        </w:rPr>
        <w:t>Section 1.3</w:t>
      </w:r>
      <w:r>
        <w:rPr>
          <w:rFonts w:ascii="Arial" w:cs="Arial" w:eastAsia="Arial" w:hAnsi="Arial"/>
          <w:sz w:val="19"/>
          <w:szCs w:val="19"/>
          <w:color w:val="auto"/>
        </w:rPr>
        <w:t>. Tenant shall commence payment of Rent for such First Offer Space, and the term of such First Offer Space shall commence, upon the date of delivery of such First Offer Space to Tenant (the "</w:t>
      </w:r>
      <w:r>
        <w:rPr>
          <w:rFonts w:ascii="Arial" w:cs="Arial" w:eastAsia="Arial" w:hAnsi="Arial"/>
          <w:sz w:val="19"/>
          <w:szCs w:val="19"/>
          <w:b w:val="1"/>
          <w:bCs w:val="1"/>
          <w:color w:val="auto"/>
        </w:rPr>
        <w:t>First Offer Commencement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which shall be not less than sixty (60) days following the date of the First Offer Amendment, and terminate on the date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the First Offer Notice therefor (which date shall be no later than the Lease Expiration Date).</w:t>
      </w:r>
    </w:p>
    <w:p>
      <w:pPr>
        <w:spacing w:after="0" w:line="146" w:lineRule="exact"/>
        <w:rPr>
          <w:sz w:val="20"/>
          <w:szCs w:val="20"/>
          <w:color w:val="auto"/>
        </w:rPr>
      </w:pPr>
    </w:p>
    <w:p>
      <w:pPr>
        <w:jc w:val="both"/>
        <w:ind w:right="20" w:firstLine="1755"/>
        <w:spacing w:after="0" w:line="239" w:lineRule="auto"/>
        <w:rPr>
          <w:sz w:val="20"/>
          <w:szCs w:val="20"/>
          <w:color w:val="auto"/>
        </w:rPr>
      </w:pPr>
      <w:r>
        <w:rPr>
          <w:rFonts w:ascii="Arial" w:cs="Arial" w:eastAsia="Arial" w:hAnsi="Arial"/>
          <w:sz w:val="22"/>
          <w:szCs w:val="22"/>
          <w:color w:val="auto"/>
        </w:rPr>
        <w:t xml:space="preserve">1.3.6 </w:t>
      </w:r>
      <w:r>
        <w:rPr>
          <w:rFonts w:ascii="Arial" w:cs="Arial" w:eastAsia="Arial" w:hAnsi="Arial"/>
          <w:sz w:val="22"/>
          <w:szCs w:val="22"/>
          <w:b w:val="1"/>
          <w:bCs w:val="1"/>
          <w:u w:val="single" w:color="auto"/>
          <w:color w:val="auto"/>
        </w:rPr>
        <w:t>Termination of Right of First Offer</w:t>
      </w:r>
      <w:r>
        <w:rPr>
          <w:rFonts w:ascii="Arial" w:cs="Arial" w:eastAsia="Arial" w:hAnsi="Arial"/>
          <w:sz w:val="22"/>
          <w:szCs w:val="22"/>
          <w:b w:val="1"/>
          <w:bCs w:val="1"/>
          <w:color w:val="auto"/>
        </w:rPr>
        <w:t>.</w:t>
      </w:r>
      <w:r>
        <w:rPr>
          <w:rFonts w:ascii="Arial" w:cs="Arial" w:eastAsia="Arial" w:hAnsi="Arial"/>
          <w:sz w:val="22"/>
          <w:szCs w:val="22"/>
          <w:color w:val="auto"/>
        </w:rPr>
        <w:t xml:space="preserve"> Tenant shall not have the right to lease First Offer Space, as provided in this </w:t>
      </w:r>
      <w:r>
        <w:rPr>
          <w:rFonts w:ascii="Arial" w:cs="Arial" w:eastAsia="Arial" w:hAnsi="Arial"/>
          <w:sz w:val="22"/>
          <w:szCs w:val="22"/>
          <w:u w:val="single" w:color="auto"/>
          <w:color w:val="auto"/>
        </w:rPr>
        <w:t>Section 1.3</w:t>
      </w:r>
      <w:r>
        <w:rPr>
          <w:rFonts w:ascii="Arial" w:cs="Arial" w:eastAsia="Arial" w:hAnsi="Arial"/>
          <w:sz w:val="22"/>
          <w:szCs w:val="22"/>
          <w:color w:val="auto"/>
        </w:rPr>
        <w:t>, if, as of the date of the attempted exercise of any right of first offer by Tenant, as of the date Landlord and Tenant execute the First Offer Amendment, or as of the scheduled date of delivery of such First Offer Space to Tenant, Tenant 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-3-</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41" w:name="page42"/>
    <w:bookmarkEnd w:id="41"/>
    <w:p>
      <w:pPr>
        <w:jc w:val="both"/>
        <w:ind w:right="20"/>
        <w:spacing w:after="0" w:line="238" w:lineRule="auto"/>
        <w:rPr>
          <w:sz w:val="20"/>
          <w:szCs w:val="20"/>
          <w:color w:val="auto"/>
        </w:rPr>
      </w:pPr>
      <w:r>
        <w:rPr>
          <w:rFonts w:ascii="Arial" w:cs="Arial" w:eastAsia="Arial" w:hAnsi="Arial"/>
          <w:sz w:val="22"/>
          <w:szCs w:val="22"/>
          <w:color w:val="auto"/>
        </w:rPr>
        <w:t>in default under this Lease beyond all applicable notice and cure periods or Tenant has previously been in default beyond all applicable notice and cure periods under this Lease more than once (the ("</w:t>
      </w:r>
      <w:r>
        <w:rPr>
          <w:rFonts w:ascii="Arial" w:cs="Arial" w:eastAsia="Arial" w:hAnsi="Arial"/>
          <w:sz w:val="22"/>
          <w:szCs w:val="22"/>
          <w:b w:val="1"/>
          <w:bCs w:val="1"/>
          <w:color w:val="auto"/>
        </w:rPr>
        <w:t>Option Conditions</w:t>
      </w:r>
      <w:r>
        <w:rPr>
          <w:rFonts w:ascii="Arial" w:cs="Arial" w:eastAsia="Arial" w:hAnsi="Arial"/>
          <w:sz w:val="22"/>
          <w:szCs w:val="22"/>
          <w:color w:val="auto"/>
        </w:rPr>
        <w:t xml:space="preserve">"); provided Landlord shall have the right to waive the Option Conditions in Landlord's sole discretion. The terms of this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shall terminate and be of no further force or effect as of the end of the last day of the third (3rd) Lease Year.</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2</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u w:val="single" w:color="auto"/>
                <w:color w:val="auto"/>
              </w:rPr>
              <w:t>LEASE TERM; OPTION TERM</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color w:val="auto"/>
                <w:w w:val="84"/>
              </w:rPr>
              <w:t>2.1</w:t>
            </w:r>
          </w:p>
        </w:tc>
        <w:tc>
          <w:tcPr>
            <w:tcW w:w="9620" w:type="dxa"/>
            <w:vAlign w:val="bottom"/>
          </w:tcPr>
          <w:p>
            <w:pPr>
              <w:ind w:left="660"/>
              <w:spacing w:after="0"/>
              <w:rPr>
                <w:sz w:val="20"/>
                <w:szCs w:val="20"/>
                <w:color w:val="auto"/>
              </w:rPr>
            </w:pPr>
            <w:r>
              <w:rPr>
                <w:rFonts w:ascii="Arial" w:cs="Arial" w:eastAsia="Arial" w:hAnsi="Arial"/>
                <w:sz w:val="22"/>
                <w:szCs w:val="22"/>
                <w:b w:val="1"/>
                <w:bCs w:val="1"/>
                <w:u w:val="single" w:color="auto"/>
                <w:color w:val="auto"/>
                <w:w w:val="89"/>
              </w:rPr>
              <w:t>Lease Term</w:t>
            </w:r>
            <w:r>
              <w:rPr>
                <w:rFonts w:ascii="Arial" w:cs="Arial" w:eastAsia="Arial" w:hAnsi="Arial"/>
                <w:sz w:val="22"/>
                <w:szCs w:val="22"/>
                <w:color w:val="auto"/>
                <w:w w:val="89"/>
              </w:rPr>
              <w:t>. The terms and provisions of this Lease shall be effective as of the date of this Lease. The</w:t>
            </w:r>
          </w:p>
        </w:tc>
      </w:tr>
    </w:tbl>
    <w:p>
      <w:pPr>
        <w:jc w:val="both"/>
        <w:ind w:right="20"/>
        <w:spacing w:after="0" w:line="267" w:lineRule="auto"/>
        <w:rPr>
          <w:sz w:val="20"/>
          <w:szCs w:val="20"/>
          <w:color w:val="auto"/>
        </w:rPr>
      </w:pPr>
      <w:r>
        <w:rPr>
          <w:rFonts w:ascii="Arial" w:cs="Arial" w:eastAsia="Arial" w:hAnsi="Arial"/>
          <w:sz w:val="19"/>
          <w:szCs w:val="19"/>
          <w:color w:val="auto"/>
        </w:rPr>
        <w:t>term of this Lease (the "</w:t>
      </w:r>
      <w:r>
        <w:rPr>
          <w:rFonts w:ascii="Arial" w:cs="Arial" w:eastAsia="Arial" w:hAnsi="Arial"/>
          <w:sz w:val="19"/>
          <w:szCs w:val="19"/>
          <w:b w:val="1"/>
          <w:bCs w:val="1"/>
          <w:color w:val="auto"/>
        </w:rPr>
        <w:t>Lease Term</w:t>
      </w:r>
      <w:r>
        <w:rPr>
          <w:rFonts w:ascii="Arial" w:cs="Arial" w:eastAsia="Arial" w:hAnsi="Arial"/>
          <w:sz w:val="19"/>
          <w:szCs w:val="19"/>
          <w:color w:val="auto"/>
        </w:rPr>
        <w:t xml:space="preserve">") shall be as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the Summary, shall commence on the date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of the Summary (the "</w:t>
      </w:r>
      <w:r>
        <w:rPr>
          <w:rFonts w:ascii="Arial" w:cs="Arial" w:eastAsia="Arial" w:hAnsi="Arial"/>
          <w:sz w:val="19"/>
          <w:szCs w:val="19"/>
          <w:b w:val="1"/>
          <w:bCs w:val="1"/>
          <w:color w:val="auto"/>
        </w:rPr>
        <w:t>Lease Commencement Date</w:t>
      </w:r>
      <w:r>
        <w:rPr>
          <w:rFonts w:ascii="Arial" w:cs="Arial" w:eastAsia="Arial" w:hAnsi="Arial"/>
          <w:sz w:val="19"/>
          <w:szCs w:val="19"/>
          <w:color w:val="auto"/>
        </w:rPr>
        <w:t xml:space="preserve">"), and shall terminate on the date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the Summary (the "</w:t>
      </w:r>
      <w:r>
        <w:rPr>
          <w:rFonts w:ascii="Arial" w:cs="Arial" w:eastAsia="Arial" w:hAnsi="Arial"/>
          <w:sz w:val="19"/>
          <w:szCs w:val="19"/>
          <w:b w:val="1"/>
          <w:bCs w:val="1"/>
          <w:color w:val="auto"/>
        </w:rPr>
        <w:t>Lease Expiration Date</w:t>
      </w:r>
      <w:r>
        <w:rPr>
          <w:rFonts w:ascii="Arial" w:cs="Arial" w:eastAsia="Arial" w:hAnsi="Arial"/>
          <w:sz w:val="19"/>
          <w:szCs w:val="19"/>
          <w:color w:val="auto"/>
        </w:rPr>
        <w:t>") unless this Lease is sooner terminated or extended as hereinafter provided. For purposes of this Lease, the term "</w:t>
      </w:r>
      <w:r>
        <w:rPr>
          <w:rFonts w:ascii="Arial" w:cs="Arial" w:eastAsia="Arial" w:hAnsi="Arial"/>
          <w:sz w:val="19"/>
          <w:szCs w:val="19"/>
          <w:b w:val="1"/>
          <w:bCs w:val="1"/>
          <w:color w:val="auto"/>
        </w:rPr>
        <w:t>Lease Year</w:t>
      </w:r>
      <w:r>
        <w:rPr>
          <w:rFonts w:ascii="Arial" w:cs="Arial" w:eastAsia="Arial" w:hAnsi="Arial"/>
          <w:sz w:val="19"/>
          <w:szCs w:val="19"/>
          <w:color w:val="auto"/>
        </w:rPr>
        <w:t xml:space="preserve">" shall mean each consecutive twelve (12) month period during the Lease Term. At any time during the Lease Term, Landlord may deliver to Tenant a notice in the form as set forth in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attached hereto, as a confirmation only of the information set forth therein, which, if accurate, Tenant shall execute and return to Landlord within five</w:t>
      </w:r>
    </w:p>
    <w:p>
      <w:pPr>
        <w:jc w:val="both"/>
        <w:ind w:right="20" w:firstLine="8"/>
        <w:spacing w:after="0" w:line="232" w:lineRule="auto"/>
        <w:tabs>
          <w:tab w:leader="none" w:pos="341" w:val="left"/>
        </w:tabs>
        <w:numPr>
          <w:ilvl w:val="0"/>
          <w:numId w:val="10"/>
        </w:numPr>
        <w:rPr>
          <w:rFonts w:ascii="Arial" w:cs="Arial" w:eastAsia="Arial" w:hAnsi="Arial"/>
          <w:sz w:val="22"/>
          <w:szCs w:val="22"/>
          <w:color w:val="auto"/>
        </w:rPr>
      </w:pPr>
      <w:r>
        <w:rPr>
          <w:rFonts w:ascii="Arial" w:cs="Arial" w:eastAsia="Arial" w:hAnsi="Arial"/>
          <w:sz w:val="22"/>
          <w:szCs w:val="22"/>
          <w:color w:val="auto"/>
        </w:rPr>
        <w:t>days of receipt thereof. If Tenant fails to respond to such notice within such 5-day period, Landlord may send a written “reminder notice”. Tenant's failure to respond to such reminder notice within three (3) business days shall be deemed Tenant’s agreement that the information set forth in such notice is as specified therein. For the avoidance of any doubt, Tenant shall not be deemed to have failed to respond to, and shall not be bound by the information set forth in, a proposed confirmation of lease commencement if Tenant shall timely notify Landlord, in writing, that Tenant disputes any or all of the information set forth therein.</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440" w:type="dxa"/>
            <w:vAlign w:val="bottom"/>
          </w:tcPr>
          <w:p>
            <w:pPr>
              <w:jc w:val="right"/>
              <w:ind w:right="1052"/>
              <w:spacing w:after="0"/>
              <w:rPr>
                <w:sz w:val="20"/>
                <w:szCs w:val="20"/>
                <w:color w:val="auto"/>
              </w:rPr>
            </w:pPr>
            <w:r>
              <w:rPr>
                <w:rFonts w:ascii="Arial" w:cs="Arial" w:eastAsia="Arial" w:hAnsi="Arial"/>
                <w:sz w:val="22"/>
                <w:szCs w:val="22"/>
                <w:color w:val="auto"/>
                <w:w w:val="84"/>
              </w:rPr>
              <w:t>2.2</w:t>
            </w:r>
          </w:p>
        </w:tc>
        <w:tc>
          <w:tcPr>
            <w:tcW w:w="9100" w:type="dxa"/>
            <w:vAlign w:val="bottom"/>
            <w:gridSpan w:val="5"/>
          </w:tcPr>
          <w:p>
            <w:pPr>
              <w:ind w:left="140"/>
              <w:spacing w:after="0"/>
              <w:rPr>
                <w:sz w:val="20"/>
                <w:szCs w:val="20"/>
                <w:color w:val="auto"/>
              </w:rPr>
            </w:pPr>
            <w:r>
              <w:rPr>
                <w:rFonts w:ascii="Arial" w:cs="Arial" w:eastAsia="Arial" w:hAnsi="Arial"/>
                <w:sz w:val="22"/>
                <w:szCs w:val="22"/>
                <w:b w:val="1"/>
                <w:bCs w:val="1"/>
                <w:color w:val="auto"/>
              </w:rPr>
              <w:t>Option Term</w:t>
            </w:r>
            <w:r>
              <w:rPr>
                <w:rFonts w:ascii="Arial" w:cs="Arial" w:eastAsia="Arial" w:hAnsi="Arial"/>
                <w:sz w:val="22"/>
                <w:szCs w:val="22"/>
                <w:color w:val="auto"/>
              </w:rPr>
              <w:t>.</w:t>
            </w:r>
          </w:p>
        </w:tc>
      </w:tr>
      <w:tr>
        <w:trPr>
          <w:trHeight w:val="439"/>
        </w:trPr>
        <w:tc>
          <w:tcPr>
            <w:tcW w:w="1440" w:type="dxa"/>
            <w:vAlign w:val="bottom"/>
          </w:tcPr>
          <w:p>
            <w:pPr>
              <w:jc w:val="right"/>
              <w:ind w:right="12"/>
              <w:spacing w:after="0"/>
              <w:rPr>
                <w:sz w:val="20"/>
                <w:szCs w:val="20"/>
                <w:color w:val="auto"/>
              </w:rPr>
            </w:pPr>
            <w:r>
              <w:rPr>
                <w:rFonts w:ascii="Arial" w:cs="Arial" w:eastAsia="Arial" w:hAnsi="Arial"/>
                <w:sz w:val="22"/>
                <w:szCs w:val="22"/>
                <w:color w:val="auto"/>
              </w:rPr>
              <w:t>2.2.1</w:t>
            </w:r>
          </w:p>
        </w:tc>
        <w:tc>
          <w:tcPr>
            <w:tcW w:w="1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2"/>
                <w:szCs w:val="22"/>
                <w:b w:val="1"/>
                <w:bCs w:val="1"/>
                <w:color w:val="auto"/>
                <w:w w:val="97"/>
              </w:rPr>
              <w:t>Option Right</w:t>
            </w:r>
            <w:r>
              <w:rPr>
                <w:rFonts w:ascii="Arial" w:cs="Arial" w:eastAsia="Arial" w:hAnsi="Arial"/>
                <w:sz w:val="22"/>
                <w:szCs w:val="22"/>
                <w:color w:val="auto"/>
                <w:w w:val="97"/>
              </w:rPr>
              <w:t>.  Landlord hereby grants to the originally named Tenant herein</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bl>
    <w:p>
      <w:pPr>
        <w:jc w:val="both"/>
        <w:ind w:right="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Tenant</w:t>
      </w:r>
      <w:r>
        <w:rPr>
          <w:rFonts w:ascii="Arial" w:cs="Arial" w:eastAsia="Arial" w:hAnsi="Arial"/>
          <w:sz w:val="19"/>
          <w:szCs w:val="19"/>
          <w:color w:val="auto"/>
        </w:rPr>
        <w:t xml:space="preserve">") and its Permitted Assignees (as defined in </w:t>
      </w:r>
      <w:r>
        <w:rPr>
          <w:rFonts w:ascii="Arial" w:cs="Arial" w:eastAsia="Arial" w:hAnsi="Arial"/>
          <w:sz w:val="19"/>
          <w:szCs w:val="19"/>
          <w:u w:val="single" w:color="auto"/>
          <w:color w:val="auto"/>
        </w:rPr>
        <w:t>Section 14.8</w:t>
      </w:r>
      <w:r>
        <w:rPr>
          <w:rFonts w:ascii="Arial" w:cs="Arial" w:eastAsia="Arial" w:hAnsi="Arial"/>
          <w:sz w:val="19"/>
          <w:szCs w:val="19"/>
          <w:color w:val="auto"/>
        </w:rPr>
        <w:t>, below) one (1) option to extend the Lease Term for the entire Premises for a period of five (5) years (the "</w:t>
      </w:r>
      <w:r>
        <w:rPr>
          <w:rFonts w:ascii="Arial" w:cs="Arial" w:eastAsia="Arial" w:hAnsi="Arial"/>
          <w:sz w:val="19"/>
          <w:szCs w:val="19"/>
          <w:b w:val="1"/>
          <w:bCs w:val="1"/>
          <w:color w:val="auto"/>
        </w:rPr>
        <w:t>Option Term</w:t>
      </w:r>
      <w:r>
        <w:rPr>
          <w:rFonts w:ascii="Arial" w:cs="Arial" w:eastAsia="Arial" w:hAnsi="Arial"/>
          <w:sz w:val="19"/>
          <w:szCs w:val="19"/>
          <w:color w:val="auto"/>
        </w:rPr>
        <w:t xml:space="preserve">"), which option shall be irrevocably exercised only by written notice delivered by Tenant to Landlord not earlier than fifteen (15) months, and not later than twelve (12) months, prior to the Lease Expiration Date, provided that the following conditions </w:t>
      </w:r>
      <w:r>
        <w:rPr>
          <w:rFonts w:ascii="Arial" w:cs="Arial" w:eastAsia="Arial" w:hAnsi="Arial"/>
          <w:sz w:val="19"/>
          <w:szCs w:val="19"/>
          <w:b w:val="1"/>
          <w:bCs w:val="1"/>
          <w:color w:val="auto"/>
        </w:rPr>
        <w:t>(</w:t>
      </w:r>
      <w:r>
        <w:rPr>
          <w:rFonts w:ascii="Arial" w:cs="Arial" w:eastAsia="Arial" w:hAnsi="Arial"/>
          <w:sz w:val="19"/>
          <w:szCs w:val="19"/>
          <w:color w:val="auto"/>
        </w:rPr>
        <w:t>the "</w:t>
      </w:r>
      <w:r>
        <w:rPr>
          <w:rFonts w:ascii="Arial" w:cs="Arial" w:eastAsia="Arial" w:hAnsi="Arial"/>
          <w:sz w:val="19"/>
          <w:szCs w:val="19"/>
          <w:b w:val="1"/>
          <w:bCs w:val="1"/>
          <w:color w:val="auto"/>
        </w:rPr>
        <w:t>Option Conditions</w:t>
      </w:r>
      <w:r>
        <w:rPr>
          <w:rFonts w:ascii="Arial" w:cs="Arial" w:eastAsia="Arial" w:hAnsi="Arial"/>
          <w:sz w:val="19"/>
          <w:szCs w:val="19"/>
          <w:color w:val="auto"/>
        </w:rPr>
        <w:t>") are satisfied: (i) as of the date of delivery of such notice, Tenant is not in default beyond all applicable notice and cure periods under this Lease; (ii) Tenant is not in default beyond all applicable notice and cure periods under this Lease at the time Landlord and Tenant execute an amendment to this Lease extending the Lease Term for the Option Term, and as of the end of the Lease Term, Tenant is not in default beyond all applicable notice and cure periods under this Lease; (iii) Tenant has not previously been in default beyond all applicable notice and cure periods under this Lease more than two (2) times in any twelve (12) month period; and (iv) the Lease then remains in full force and effect and Tenant (and/or any Permitted Transferee) occupies at least seventy (70%) of the Premises at the time the option to extend is exercised and as of the commencement of the Option Term. Landlord may, at Landlord's option, exercised in Landlord's sole and absolute discretion, waive any of the Option Conditions in which case the option, if otherwise properly exercised by Tenant, shall remain in full force and effect. Upon the proper</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-4-</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42" w:name="page43"/>
    <w:bookmarkEnd w:id="42"/>
    <w:p>
      <w:pPr>
        <w:jc w:val="both"/>
        <w:ind w:right="20"/>
        <w:spacing w:after="0" w:line="249" w:lineRule="auto"/>
        <w:rPr>
          <w:sz w:val="20"/>
          <w:szCs w:val="20"/>
          <w:color w:val="auto"/>
        </w:rPr>
      </w:pPr>
      <w:r>
        <w:rPr>
          <w:rFonts w:ascii="Arial" w:cs="Arial" w:eastAsia="Arial" w:hAnsi="Arial"/>
          <w:sz w:val="21"/>
          <w:szCs w:val="21"/>
          <w:color w:val="auto"/>
        </w:rPr>
        <w:t xml:space="preserve">exercise of such option to extend, and provided that Tenant satisfies all of the Option Conditions (except those, if any, which are waived by Landlord), the Lease Term, as it applies to the Premises, shall be extended for a period of five (5) years. The rights contained in this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shall be personal to Original Tenant any Permitted Assignee and only and may be exercised by Original Tenant or any such Permitted Assignee (and not by any other assignee, sublessee or other "Transferee," as that term is defined in </w:t>
      </w:r>
      <w:r>
        <w:rPr>
          <w:rFonts w:ascii="Arial" w:cs="Arial" w:eastAsia="Arial" w:hAnsi="Arial"/>
          <w:sz w:val="21"/>
          <w:szCs w:val="21"/>
          <w:u w:val="single" w:color="auto"/>
          <w:color w:val="auto"/>
        </w:rPr>
        <w:t>Section 14.1</w:t>
      </w:r>
      <w:r>
        <w:rPr>
          <w:rFonts w:ascii="Arial" w:cs="Arial" w:eastAsia="Arial" w:hAnsi="Arial"/>
          <w:sz w:val="21"/>
          <w:szCs w:val="21"/>
          <w:color w:val="auto"/>
        </w:rPr>
        <w:t xml:space="preserve"> of this Lease, of Tenant's interest in this Lease).</w:t>
      </w:r>
    </w:p>
    <w:p>
      <w:pPr>
        <w:spacing w:after="0" w:line="173" w:lineRule="exact"/>
        <w:rPr>
          <w:sz w:val="20"/>
          <w:szCs w:val="20"/>
          <w:color w:val="auto"/>
        </w:rPr>
      </w:pPr>
    </w:p>
    <w:p>
      <w:pPr>
        <w:jc w:val="both"/>
        <w:ind w:right="20" w:firstLine="1755"/>
        <w:spacing w:after="0" w:line="268"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b w:val="1"/>
          <w:bCs w:val="1"/>
          <w:u w:val="single" w:color="auto"/>
          <w:color w:val="auto"/>
        </w:rPr>
        <w:t>Option Rent</w:t>
      </w:r>
      <w:r>
        <w:rPr>
          <w:rFonts w:ascii="Arial" w:cs="Arial" w:eastAsia="Arial" w:hAnsi="Arial"/>
          <w:sz w:val="19"/>
          <w:szCs w:val="19"/>
          <w:color w:val="auto"/>
        </w:rPr>
        <w:t>. The annual Rent payable by Tenant during the Option Term (the "</w:t>
      </w:r>
      <w:r>
        <w:rPr>
          <w:rFonts w:ascii="Arial" w:cs="Arial" w:eastAsia="Arial" w:hAnsi="Arial"/>
          <w:sz w:val="19"/>
          <w:szCs w:val="19"/>
          <w:b w:val="1"/>
          <w:bCs w:val="1"/>
          <w:color w:val="auto"/>
        </w:rPr>
        <w:t>Option Rent</w:t>
      </w:r>
      <w:r>
        <w:rPr>
          <w:rFonts w:ascii="Arial" w:cs="Arial" w:eastAsia="Arial" w:hAnsi="Arial"/>
          <w:sz w:val="19"/>
          <w:szCs w:val="19"/>
          <w:color w:val="auto"/>
        </w:rPr>
        <w:t>") shall be equal to the "Fair Rental Value," as that term is defined below, for the Premises as of the commencement date of the Option Term. The "</w:t>
      </w:r>
      <w:r>
        <w:rPr>
          <w:rFonts w:ascii="Arial" w:cs="Arial" w:eastAsia="Arial" w:hAnsi="Arial"/>
          <w:sz w:val="19"/>
          <w:szCs w:val="19"/>
          <w:b w:val="1"/>
          <w:bCs w:val="1"/>
          <w:color w:val="auto"/>
        </w:rPr>
        <w:t>Fair Rental Value</w:t>
      </w:r>
      <w:r>
        <w:rPr>
          <w:rFonts w:ascii="Arial" w:cs="Arial" w:eastAsia="Arial" w:hAnsi="Arial"/>
          <w:sz w:val="19"/>
          <w:szCs w:val="19"/>
          <w:color w:val="auto"/>
        </w:rPr>
        <w:t xml:space="preserve">,"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for a comparable lease term, in an arm's length transaction, which comparable space is located in the "Comparable Buildings," as that term is defined in this </w:t>
      </w:r>
      <w:r>
        <w:rPr>
          <w:rFonts w:ascii="Arial" w:cs="Arial" w:eastAsia="Arial" w:hAnsi="Arial"/>
          <w:sz w:val="19"/>
          <w:szCs w:val="19"/>
          <w:u w:val="single" w:color="auto"/>
          <w:color w:val="auto"/>
        </w:rPr>
        <w:t>Section 2.2.2</w:t>
      </w:r>
      <w:r>
        <w:rPr>
          <w:rFonts w:ascii="Arial" w:cs="Arial" w:eastAsia="Arial" w:hAnsi="Arial"/>
          <w:sz w:val="19"/>
          <w:szCs w:val="19"/>
          <w:color w:val="auto"/>
        </w:rPr>
        <w:t>, below (transactions satisfying the foregoing criteria shall be known as the "</w:t>
      </w:r>
      <w:r>
        <w:rPr>
          <w:rFonts w:ascii="Arial" w:cs="Arial" w:eastAsia="Arial" w:hAnsi="Arial"/>
          <w:sz w:val="19"/>
          <w:szCs w:val="19"/>
          <w:b w:val="1"/>
          <w:bCs w:val="1"/>
          <w:color w:val="auto"/>
        </w:rPr>
        <w:t>Comparable</w:t>
      </w:r>
      <w:r>
        <w:rPr>
          <w:rFonts w:ascii="Arial" w:cs="Arial" w:eastAsia="Arial" w:hAnsi="Arial"/>
          <w:sz w:val="19"/>
          <w:szCs w:val="19"/>
          <w:color w:val="auto"/>
        </w:rPr>
        <w:t xml:space="preserve"> </w:t>
      </w:r>
      <w:r>
        <w:rPr>
          <w:rFonts w:ascii="Arial" w:cs="Arial" w:eastAsia="Arial" w:hAnsi="Arial"/>
          <w:sz w:val="19"/>
          <w:szCs w:val="19"/>
          <w:b w:val="1"/>
          <w:bCs w:val="1"/>
          <w:color w:val="auto"/>
        </w:rPr>
        <w:t>Transactions</w:t>
      </w:r>
      <w:r>
        <w:rPr>
          <w:rFonts w:ascii="Arial" w:cs="Arial" w:eastAsia="Arial" w:hAnsi="Arial"/>
          <w:sz w:val="19"/>
          <w:szCs w:val="19"/>
          <w:color w:val="auto"/>
        </w:rPr>
        <w:t>"), taking into consideration the following concessions (the "</w:t>
      </w:r>
      <w:r>
        <w:rPr>
          <w:rFonts w:ascii="Arial" w:cs="Arial" w:eastAsia="Arial" w:hAnsi="Arial"/>
          <w:sz w:val="19"/>
          <w:szCs w:val="19"/>
          <w:b w:val="1"/>
          <w:bCs w:val="1"/>
          <w:color w:val="auto"/>
        </w:rPr>
        <w:t>Concessions</w:t>
      </w:r>
      <w:r>
        <w:rPr>
          <w:rFonts w:ascii="Arial" w:cs="Arial" w:eastAsia="Arial" w:hAnsi="Arial"/>
          <w:sz w:val="19"/>
          <w:szCs w:val="19"/>
          <w:color w:val="auto"/>
        </w:rPr>
        <w:t>"): (a) rental abatement concessions, if any,</w:t>
      </w:r>
      <w:r>
        <w:rPr>
          <w:rFonts w:ascii="Arial" w:cs="Arial" w:eastAsia="Arial" w:hAnsi="Arial"/>
          <w:sz w:val="19"/>
          <w:szCs w:val="19"/>
          <w:b w:val="1"/>
          <w:bCs w:val="1"/>
          <w:color w:val="auto"/>
        </w:rPr>
        <w:t xml:space="preserve"> </w:t>
      </w:r>
      <w:r>
        <w:rPr>
          <w:rFonts w:ascii="Arial" w:cs="Arial" w:eastAsia="Arial" w:hAnsi="Arial"/>
          <w:sz w:val="19"/>
          <w:szCs w:val="19"/>
          <w:color w:val="auto"/>
        </w:rPr>
        <w:t>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the extent to which the same can be utilized by a general office user other than Tenant; and (c) other reasonable monetary concessions being granted such tenants in connection with such comparable space; provided, however, that in calculating the Fair Rental Value, no consideration shall be given to (i)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(ii) any construction period granted to tenants in comparable transactions in connection with the design, permitting and construction of tenant improvements in such comparable spaces, or</w:t>
      </w:r>
    </w:p>
    <w:p>
      <w:pPr>
        <w:spacing w:after="0" w:line="8" w:lineRule="exact"/>
        <w:rPr>
          <w:sz w:val="20"/>
          <w:szCs w:val="20"/>
          <w:color w:val="auto"/>
        </w:rPr>
      </w:pPr>
    </w:p>
    <w:p>
      <w:pPr>
        <w:jc w:val="both"/>
        <w:ind w:right="20" w:firstLine="8"/>
        <w:spacing w:after="0" w:line="271" w:lineRule="auto"/>
        <w:tabs>
          <w:tab w:leader="none" w:pos="3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the savings to Tenant from not having to relocate its business in the Premises. In addition, in connection with Tenant’s lease of the Premises during the Option Term, Landlord may require that Tenant provide Landlord with additional financial security, such as a letter of credit or guaranty, for Tenant's Rent obligations in connection with Tenant's lease of the Premises during the Option Term. The amount of such additional financial security, if any, shall be commensurate with the financial security then generally being imposed in Comparable Transactions from tenants of comparable financial condition and credit history as Tenant as of the expiration of the initial Lease Term, provided that (1) in no event shall Tenant be required to provide financial security in the aggregate in excess of $1,000,000 as of the commencement of the Option Term, and (ii) the amount so such additional security shall be reduced on an annual basis over the Option Term in the same manner and in the same proportion as the reduction of the L-C Amount as provided in </w:t>
      </w:r>
      <w:r>
        <w:rPr>
          <w:rFonts w:ascii="Arial" w:cs="Arial" w:eastAsia="Arial" w:hAnsi="Arial"/>
          <w:sz w:val="19"/>
          <w:szCs w:val="19"/>
          <w:u w:val="single" w:color="auto"/>
          <w:color w:val="auto"/>
        </w:rPr>
        <w:t>Section 21.3.2</w:t>
      </w:r>
      <w:r>
        <w:rPr>
          <w:rFonts w:ascii="Arial" w:cs="Arial" w:eastAsia="Arial" w:hAnsi="Arial"/>
          <w:sz w:val="19"/>
          <w:szCs w:val="19"/>
          <w:color w:val="auto"/>
        </w:rPr>
        <w:t>, below. The Concessions (A)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or (B) at</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-5-</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43" w:name="page44"/>
    <w:bookmarkEnd w:id="43"/>
    <w:p>
      <w:pPr>
        <w:jc w:val="both"/>
        <w:ind w:right="20"/>
        <w:spacing w:after="0" w:line="256" w:lineRule="auto"/>
        <w:rPr>
          <w:sz w:val="20"/>
          <w:szCs w:val="20"/>
          <w:color w:val="auto"/>
        </w:rPr>
      </w:pPr>
      <w:r>
        <w:rPr>
          <w:rFonts w:ascii="Arial" w:cs="Arial" w:eastAsia="Arial" w:hAnsi="Arial"/>
          <w:sz w:val="22"/>
          <w:szCs w:val="22"/>
          <w:color w:val="auto"/>
        </w:rPr>
        <w:t>Landlord’s election, all such Concessions shall be granted to Tenant in kind. The term "</w:t>
      </w:r>
      <w:r>
        <w:rPr>
          <w:rFonts w:ascii="Arial" w:cs="Arial" w:eastAsia="Arial" w:hAnsi="Arial"/>
          <w:sz w:val="22"/>
          <w:szCs w:val="22"/>
          <w:b w:val="1"/>
          <w:bCs w:val="1"/>
          <w:color w:val="auto"/>
        </w:rPr>
        <w:t>Comparable Buildings</w:t>
      </w:r>
      <w:r>
        <w:rPr>
          <w:rFonts w:ascii="Arial" w:cs="Arial" w:eastAsia="Arial" w:hAnsi="Arial"/>
          <w:sz w:val="22"/>
          <w:szCs w:val="22"/>
          <w:color w:val="auto"/>
        </w:rPr>
        <w:t>" shall mean the Building and those other Class A high-rise office buildings located in the Pasadena, California area.</w:t>
      </w:r>
    </w:p>
    <w:p>
      <w:pPr>
        <w:spacing w:after="0" w:line="163" w:lineRule="exact"/>
        <w:rPr>
          <w:sz w:val="20"/>
          <w:szCs w:val="20"/>
          <w:color w:val="auto"/>
        </w:rPr>
      </w:pPr>
    </w:p>
    <w:p>
      <w:pPr>
        <w:jc w:val="both"/>
        <w:ind w:right="20" w:firstLine="1755"/>
        <w:spacing w:after="0" w:line="270" w:lineRule="auto"/>
        <w:rPr>
          <w:sz w:val="20"/>
          <w:szCs w:val="20"/>
          <w:color w:val="auto"/>
        </w:rPr>
      </w:pPr>
      <w:r>
        <w:rPr>
          <w:rFonts w:ascii="Arial" w:cs="Arial" w:eastAsia="Arial" w:hAnsi="Arial"/>
          <w:sz w:val="19"/>
          <w:szCs w:val="19"/>
          <w:color w:val="auto"/>
        </w:rPr>
        <w:t xml:space="preserve">2.2.3 </w:t>
      </w:r>
      <w:r>
        <w:rPr>
          <w:rFonts w:ascii="Arial" w:cs="Arial" w:eastAsia="Arial" w:hAnsi="Arial"/>
          <w:sz w:val="19"/>
          <w:szCs w:val="19"/>
          <w:b w:val="1"/>
          <w:bCs w:val="1"/>
          <w:u w:val="single" w:color="auto"/>
          <w:color w:val="auto"/>
        </w:rPr>
        <w:t>Determination of Option Rent</w:t>
      </w:r>
      <w:r>
        <w:rPr>
          <w:rFonts w:ascii="Arial" w:cs="Arial" w:eastAsia="Arial" w:hAnsi="Arial"/>
          <w:sz w:val="19"/>
          <w:szCs w:val="19"/>
          <w:color w:val="auto"/>
        </w:rPr>
        <w:t>. In the event Tenant timely and appropriately exercises an option to extend the Lease Term, Landlord shall notify Tenant of Landlord's good faith determination of the Option Rent on or before the Lease Expiration Date. If Tenant, on or before the date which is thirty (30)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on or before the commencement of the Option Term (the "</w:t>
      </w:r>
      <w:r>
        <w:rPr>
          <w:rFonts w:ascii="Arial" w:cs="Arial" w:eastAsia="Arial" w:hAnsi="Arial"/>
          <w:sz w:val="19"/>
          <w:szCs w:val="19"/>
          <w:b w:val="1"/>
          <w:bCs w:val="1"/>
          <w:color w:val="auto"/>
        </w:rPr>
        <w:t>Outside Agreement Date</w:t>
      </w:r>
      <w:r>
        <w:rPr>
          <w:rFonts w:ascii="Arial" w:cs="Arial" w:eastAsia="Arial" w:hAnsi="Arial"/>
          <w:sz w:val="19"/>
          <w:szCs w:val="19"/>
          <w:color w:val="auto"/>
        </w:rPr>
        <w:t xml:space="preserve">"), then each party shall make a separate determination of the Option Rent, within five (5) days, and such determinations shall be submitted to arbitration in accordance with </w:t>
      </w:r>
      <w:r>
        <w:rPr>
          <w:rFonts w:ascii="Arial" w:cs="Arial" w:eastAsia="Arial" w:hAnsi="Arial"/>
          <w:sz w:val="19"/>
          <w:szCs w:val="19"/>
          <w:u w:val="single" w:color="auto"/>
          <w:color w:val="auto"/>
        </w:rPr>
        <w:t>Sections 2.2.3.1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2.2.3.7</w:t>
      </w:r>
      <w:r>
        <w:rPr>
          <w:rFonts w:ascii="Arial" w:cs="Arial" w:eastAsia="Arial" w:hAnsi="Arial"/>
          <w:sz w:val="19"/>
          <w:szCs w:val="19"/>
          <w:color w:val="auto"/>
        </w:rPr>
        <w:t>, below. If within such thirty (30) day period, Tenant fails to either</w:t>
      </w:r>
    </w:p>
    <w:p>
      <w:pPr>
        <w:spacing w:after="0" w:line="2" w:lineRule="exact"/>
        <w:rPr>
          <w:sz w:val="20"/>
          <w:szCs w:val="20"/>
          <w:color w:val="auto"/>
        </w:rPr>
      </w:pPr>
    </w:p>
    <w:p>
      <w:pPr>
        <w:jc w:val="both"/>
        <w:ind w:right="20" w:firstLine="8"/>
        <w:spacing w:after="0" w:line="280" w:lineRule="auto"/>
        <w:tabs>
          <w:tab w:leader="none" w:pos="276" w:val="left"/>
        </w:tabs>
        <w:numPr>
          <w:ilvl w:val="0"/>
          <w:numId w:val="12"/>
        </w:numPr>
        <w:rPr>
          <w:rFonts w:ascii="Arial" w:cs="Arial" w:eastAsia="Arial" w:hAnsi="Arial"/>
          <w:sz w:val="19"/>
          <w:szCs w:val="19"/>
          <w:color w:val="auto"/>
        </w:rPr>
      </w:pPr>
      <w:r>
        <w:rPr>
          <w:rFonts w:ascii="Arial" w:cs="Arial" w:eastAsia="Arial" w:hAnsi="Arial"/>
          <w:sz w:val="19"/>
          <w:szCs w:val="19"/>
          <w:color w:val="auto"/>
        </w:rPr>
        <w:t>affirmatively accept Landlord’s determination of the Option Rent by written notice to Landlord, or (ii) affirmatively object to Landlord's determination of the Option Rent in writing, while reaffirming Tenant’s exercise of its option to extend, then Tenant shall be deemed to have rejected Landlord's determination of Option Rent and waived its option to extend pursuant hereto, in which case Tenant shall have no further option to extend and the Lease will expire on the scheduled Lease Expiration Date.</w:t>
      </w:r>
    </w:p>
    <w:p>
      <w:pPr>
        <w:spacing w:after="0" w:line="151" w:lineRule="exact"/>
        <w:rPr>
          <w:sz w:val="20"/>
          <w:szCs w:val="20"/>
          <w:color w:val="auto"/>
        </w:rPr>
      </w:pPr>
    </w:p>
    <w:p>
      <w:pPr>
        <w:jc w:val="both"/>
        <w:ind w:right="20" w:firstLine="2634"/>
        <w:spacing w:after="0" w:line="233" w:lineRule="auto"/>
        <w:rPr>
          <w:sz w:val="20"/>
          <w:szCs w:val="20"/>
          <w:color w:val="auto"/>
        </w:rPr>
      </w:pPr>
      <w:r>
        <w:rPr>
          <w:rFonts w:ascii="Arial" w:cs="Arial" w:eastAsia="Arial" w:hAnsi="Arial"/>
          <w:sz w:val="22"/>
          <w:szCs w:val="22"/>
          <w:color w:val="auto"/>
        </w:rPr>
        <w:t xml:space="preserve">2.2.3.1 Landlord and Tenant shall each appoint one arbitrator who shall be, at the option of the appointing party, a real estate broker, appraiser or attorney who shall have been active over the five (5) year period ending on the date of such appointment in the leasing or appraisal, as the case may be, of commercial high-rise properties in the Pasadena, California area. The determination of the arbitrators shall be limited solely to the issue of whether Landlord's or Tenant's submitted Option Rent is the closest to the actual Option Rent, taking into account the requirements of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Arial" w:cs="Arial" w:eastAsia="Arial" w:hAnsi="Arial"/>
          <w:sz w:val="22"/>
          <w:szCs w:val="22"/>
          <w:b w:val="1"/>
          <w:bCs w:val="1"/>
          <w:color w:val="auto"/>
        </w:rPr>
        <w:t>Advocate Arbitrators</w:t>
      </w:r>
      <w:r>
        <w:rPr>
          <w:rFonts w:ascii="Arial" w:cs="Arial" w:eastAsia="Arial" w:hAnsi="Arial"/>
          <w:sz w:val="22"/>
          <w:szCs w:val="22"/>
          <w:color w:val="auto"/>
        </w:rPr>
        <w:t>."</w:t>
      </w:r>
    </w:p>
    <w:p>
      <w:pPr>
        <w:spacing w:after="0" w:line="194" w:lineRule="exact"/>
        <w:rPr>
          <w:sz w:val="20"/>
          <w:szCs w:val="20"/>
          <w:color w:val="auto"/>
        </w:rPr>
      </w:pPr>
    </w:p>
    <w:p>
      <w:pPr>
        <w:jc w:val="both"/>
        <w:ind w:right="20" w:firstLine="2634"/>
        <w:spacing w:after="0" w:line="234" w:lineRule="auto"/>
        <w:rPr>
          <w:sz w:val="20"/>
          <w:szCs w:val="20"/>
          <w:color w:val="auto"/>
        </w:rPr>
      </w:pPr>
      <w:r>
        <w:rPr>
          <w:rFonts w:ascii="Arial" w:cs="Arial" w:eastAsia="Arial" w:hAnsi="Arial"/>
          <w:sz w:val="22"/>
          <w:szCs w:val="22"/>
          <w:color w:val="auto"/>
        </w:rPr>
        <w:t>2.2.3.2 The two (2) Advocate Arbitrators so appointed shall be specifically required pursuant to an engagement letter within ten (10) days of the date of the appointment of the last appointed Advocate Arbitrator to agree upon and appoint a third arbitrator ("</w:t>
      </w:r>
      <w:r>
        <w:rPr>
          <w:rFonts w:ascii="Arial" w:cs="Arial" w:eastAsia="Arial" w:hAnsi="Arial"/>
          <w:sz w:val="22"/>
          <w:szCs w:val="22"/>
          <w:b w:val="1"/>
          <w:bCs w:val="1"/>
          <w:color w:val="auto"/>
        </w:rPr>
        <w:t>Neutral Arbitrator</w:t>
      </w:r>
      <w:r>
        <w:rPr>
          <w:rFonts w:ascii="Arial" w:cs="Arial" w:eastAsia="Arial" w:hAnsi="Arial"/>
          <w:sz w:val="22"/>
          <w:szCs w:val="22"/>
          <w:color w:val="auto"/>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spacing w:after="0" w:line="191" w:lineRule="exact"/>
        <w:rPr>
          <w:sz w:val="20"/>
          <w:szCs w:val="20"/>
          <w:color w:val="auto"/>
        </w:rPr>
      </w:pPr>
    </w:p>
    <w:p>
      <w:pPr>
        <w:jc w:val="both"/>
        <w:ind w:right="20" w:firstLine="2634"/>
        <w:spacing w:after="0"/>
        <w:rPr>
          <w:sz w:val="20"/>
          <w:szCs w:val="20"/>
          <w:color w:val="auto"/>
        </w:rPr>
      </w:pPr>
      <w:r>
        <w:rPr>
          <w:rFonts w:ascii="Arial" w:cs="Arial" w:eastAsia="Arial" w:hAnsi="Arial"/>
          <w:sz w:val="22"/>
          <w:szCs w:val="22"/>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-6-</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3"/>
        </w:trPr>
        <w:tc>
          <w:tcPr>
            <w:tcW w:w="4620" w:type="dxa"/>
            <w:vAlign w:val="bottom"/>
          </w:tcPr>
          <w:p>
            <w:pPr>
              <w:jc w:val="right"/>
              <w:ind w:right="1272"/>
              <w:spacing w:after="0"/>
              <w:rPr>
                <w:sz w:val="20"/>
                <w:szCs w:val="20"/>
                <w:color w:val="auto"/>
              </w:rPr>
            </w:pPr>
            <w:r>
              <w:rPr>
                <w:rFonts w:ascii="Arial" w:cs="Arial" w:eastAsia="Arial" w:hAnsi="Arial"/>
                <w:sz w:val="22"/>
                <w:szCs w:val="22"/>
                <w:color w:val="auto"/>
              </w:rPr>
              <w:t>2.2.3.4</w:t>
            </w:r>
          </w:p>
        </w:tc>
        <w:tc>
          <w:tcPr>
            <w:tcW w:w="6800" w:type="dxa"/>
            <w:vAlign w:val="bottom"/>
          </w:tcPr>
          <w:p>
            <w:pPr>
              <w:ind w:left="1380"/>
              <w:spacing w:after="0"/>
              <w:rPr>
                <w:sz w:val="20"/>
                <w:szCs w:val="20"/>
                <w:color w:val="auto"/>
              </w:rPr>
            </w:pPr>
            <w:r>
              <w:rPr>
                <w:rFonts w:ascii="Arial" w:cs="Arial" w:eastAsia="Arial" w:hAnsi="Arial"/>
                <w:sz w:val="22"/>
                <w:szCs w:val="22"/>
                <w:color w:val="auto"/>
                <w:w w:val="94"/>
              </w:rPr>
              <w:t>The decision of the majority of the three arbitrators shall be</w:t>
            </w:r>
          </w:p>
        </w:tc>
      </w:tr>
      <w:tr>
        <w:trPr>
          <w:trHeight w:val="275"/>
        </w:trPr>
        <w:tc>
          <w:tcPr>
            <w:tcW w:w="4620" w:type="dxa"/>
            <w:vAlign w:val="bottom"/>
          </w:tcPr>
          <w:p>
            <w:pPr>
              <w:jc w:val="right"/>
              <w:ind w:right="1452"/>
              <w:spacing w:after="0"/>
              <w:rPr>
                <w:sz w:val="20"/>
                <w:szCs w:val="20"/>
                <w:color w:val="auto"/>
              </w:rPr>
            </w:pPr>
            <w:r>
              <w:rPr>
                <w:rFonts w:ascii="Arial" w:cs="Arial" w:eastAsia="Arial" w:hAnsi="Arial"/>
                <w:sz w:val="22"/>
                <w:szCs w:val="22"/>
                <w:color w:val="auto"/>
                <w:w w:val="89"/>
              </w:rPr>
              <w:t>binding upon Landlord and Tenant.</w:t>
            </w:r>
          </w:p>
        </w:tc>
        <w:tc>
          <w:tcPr>
            <w:tcW w:w="6800" w:type="dxa"/>
            <w:vAlign w:val="bottom"/>
          </w:tcPr>
          <w:p>
            <w:pPr>
              <w:spacing w:after="0"/>
              <w:rPr>
                <w:sz w:val="23"/>
                <w:szCs w:val="23"/>
                <w:color w:val="auto"/>
              </w:rPr>
            </w:pPr>
          </w:p>
        </w:tc>
      </w:tr>
      <w:tr>
        <w:trPr>
          <w:trHeight w:val="446"/>
        </w:trPr>
        <w:tc>
          <w:tcPr>
            <w:tcW w:w="4620" w:type="dxa"/>
            <w:vAlign w:val="bottom"/>
          </w:tcPr>
          <w:p>
            <w:pPr>
              <w:jc w:val="right"/>
              <w:ind w:right="1272"/>
              <w:spacing w:after="0"/>
              <w:rPr>
                <w:sz w:val="20"/>
                <w:szCs w:val="20"/>
                <w:color w:val="auto"/>
              </w:rPr>
            </w:pPr>
            <w:r>
              <w:rPr>
                <w:rFonts w:ascii="Arial" w:cs="Arial" w:eastAsia="Arial" w:hAnsi="Arial"/>
                <w:sz w:val="22"/>
                <w:szCs w:val="22"/>
                <w:color w:val="auto"/>
              </w:rPr>
              <w:t>2.2.3.5</w:t>
            </w:r>
          </w:p>
        </w:tc>
        <w:tc>
          <w:tcPr>
            <w:tcW w:w="6800" w:type="dxa"/>
            <w:vAlign w:val="bottom"/>
          </w:tcPr>
          <w:p>
            <w:pPr>
              <w:ind w:left="1380"/>
              <w:spacing w:after="0"/>
              <w:rPr>
                <w:sz w:val="20"/>
                <w:szCs w:val="20"/>
                <w:color w:val="auto"/>
              </w:rPr>
            </w:pPr>
            <w:r>
              <w:rPr>
                <w:rFonts w:ascii="Arial" w:cs="Arial" w:eastAsia="Arial" w:hAnsi="Arial"/>
                <w:sz w:val="22"/>
                <w:szCs w:val="22"/>
                <w:color w:val="auto"/>
                <w:w w:val="99"/>
              </w:rPr>
              <w:t>If either Landlord or Tenant fails to appoint an Advocate</w:t>
            </w:r>
          </w:p>
        </w:tc>
      </w:tr>
    </w:tbl>
    <w:p>
      <w:pPr>
        <w:jc w:val="both"/>
        <w:ind w:right="20"/>
        <w:spacing w:after="0" w:line="233" w:lineRule="auto"/>
        <w:rPr>
          <w:sz w:val="20"/>
          <w:szCs w:val="20"/>
          <w:color w:val="auto"/>
        </w:rPr>
      </w:pPr>
      <w:r>
        <w:rPr>
          <w:rFonts w:ascii="Arial" w:cs="Arial" w:eastAsia="Arial" w:hAnsi="Arial"/>
          <w:sz w:val="22"/>
          <w:szCs w:val="22"/>
          <w:color w:val="auto"/>
        </w:rPr>
        <w:t xml:space="preserve">Arbitrator within fifteen (15) days after the Outside Agreement Date, then either party may petition the presiding judge of the Superior Court of Los Angeles County to appoint such Advocate Arbitrator subject to the criteria in </w:t>
      </w:r>
      <w:r>
        <w:rPr>
          <w:rFonts w:ascii="Arial" w:cs="Arial" w:eastAsia="Arial" w:hAnsi="Arial"/>
          <w:sz w:val="22"/>
          <w:szCs w:val="22"/>
          <w:u w:val="single" w:color="auto"/>
          <w:color w:val="auto"/>
        </w:rPr>
        <w:t>Section 2.2.3.1</w:t>
      </w:r>
      <w:r>
        <w:rPr>
          <w:rFonts w:ascii="Arial" w:cs="Arial" w:eastAsia="Arial" w:hAnsi="Arial"/>
          <w:sz w:val="22"/>
          <w:szCs w:val="22"/>
          <w:color w:val="auto"/>
        </w:rPr>
        <w:t xml:space="preserve"> of this Lease, or if he or she refuses to act, either party may petition any judge having jurisdiction over the parties to appoint such Advocate Arbitrator.</w:t>
      </w:r>
    </w:p>
    <w:p>
      <w:pPr>
        <w:spacing w:after="0" w:line="188" w:lineRule="exact"/>
        <w:rPr>
          <w:sz w:val="20"/>
          <w:szCs w:val="20"/>
          <w:color w:val="auto"/>
        </w:rPr>
      </w:pPr>
    </w:p>
    <w:p>
      <w:pPr>
        <w:jc w:val="both"/>
        <w:ind w:right="20" w:firstLine="2634"/>
        <w:spacing w:after="0" w:line="236" w:lineRule="auto"/>
        <w:rPr>
          <w:sz w:val="20"/>
          <w:szCs w:val="20"/>
          <w:color w:val="auto"/>
        </w:rPr>
      </w:pPr>
      <w:r>
        <w:rPr>
          <w:rFonts w:ascii="Arial" w:cs="Arial" w:eastAsia="Arial" w:hAnsi="Arial"/>
          <w:sz w:val="22"/>
          <w:szCs w:val="22"/>
          <w:color w:val="auto"/>
        </w:rPr>
        <w:t xml:space="preserve">2.2.3.6 If the two (2) Advocate Arbitrators fail to agree upon and appoint the Neutral Arbitrator within ten (10) business days following the date of the appointment of the last appointed Advocate Arbitrator, then either party may petition the presiding judge of the Superior Court of Los Angeles County to appoint the Neutral Arbitrator, subject to criteria in </w:t>
      </w:r>
      <w:r>
        <w:rPr>
          <w:rFonts w:ascii="Arial" w:cs="Arial" w:eastAsia="Arial" w:hAnsi="Arial"/>
          <w:sz w:val="22"/>
          <w:szCs w:val="22"/>
          <w:u w:val="single" w:color="auto"/>
          <w:color w:val="auto"/>
        </w:rPr>
        <w:t>Section 2.2.3.2</w:t>
      </w:r>
      <w:r>
        <w:rPr>
          <w:rFonts w:ascii="Arial" w:cs="Arial" w:eastAsia="Arial" w:hAnsi="Arial"/>
          <w:sz w:val="22"/>
          <w:szCs w:val="22"/>
          <w:color w:val="auto"/>
        </w:rPr>
        <w:t xml:space="preserve"> of this Lease, or if he or she refuses to act, either party may petition any judge having jurisdiction over the parties to appoint such arbitrator.</w:t>
      </w:r>
    </w:p>
    <w:p>
      <w:pPr>
        <w:spacing w:after="0" w:line="188" w:lineRule="exact"/>
        <w:rPr>
          <w:sz w:val="20"/>
          <w:szCs w:val="20"/>
          <w:color w:val="auto"/>
        </w:rPr>
      </w:pPr>
    </w:p>
    <w:p>
      <w:pPr>
        <w:jc w:val="both"/>
        <w:ind w:right="20" w:firstLine="2634"/>
        <w:spacing w:after="0"/>
        <w:rPr>
          <w:sz w:val="20"/>
          <w:szCs w:val="20"/>
          <w:color w:val="auto"/>
        </w:rPr>
      </w:pPr>
      <w:r>
        <w:rPr>
          <w:rFonts w:ascii="Arial" w:cs="Arial" w:eastAsia="Arial" w:hAnsi="Arial"/>
          <w:sz w:val="22"/>
          <w:szCs w:val="22"/>
          <w:color w:val="auto"/>
        </w:rPr>
        <w:t>2.2.3.7 Each party shall pay the cost of the Advocate Arbitrator that it appoints, and the cost of the Neutral Arbitrator (and other costs of the arbitration, excluding costs of counsel and other consultants and/or experts hired by a party in connection therewith) shall be paid by Landlord and Tenant equally.</w:t>
      </w:r>
    </w:p>
    <w:p>
      <w:pPr>
        <w:spacing w:after="0" w:line="186" w:lineRule="exact"/>
        <w:rPr>
          <w:sz w:val="20"/>
          <w:szCs w:val="20"/>
          <w:color w:val="auto"/>
        </w:rPr>
      </w:pPr>
    </w:p>
    <w:p>
      <w:pPr>
        <w:jc w:val="both"/>
        <w:ind w:right="20" w:firstLine="2634"/>
        <w:spacing w:after="0" w:line="248" w:lineRule="auto"/>
        <w:rPr>
          <w:sz w:val="20"/>
          <w:szCs w:val="20"/>
          <w:color w:val="auto"/>
        </w:rPr>
      </w:pPr>
      <w:r>
        <w:rPr>
          <w:rFonts w:ascii="Arial" w:cs="Arial" w:eastAsia="Arial" w:hAnsi="Arial"/>
          <w:sz w:val="21"/>
          <w:szCs w:val="21"/>
          <w:color w:val="auto"/>
        </w:rPr>
        <w:t>2.2.3.8 In the event that the Option Rent shall not have been determined pursuant to the terms hereof prior to the commencement of the Option Term, Tenant shall be required to pay Rent equal to 103% of the Rent applicable to the final Lease Year until the Option Rent is finally determined, and upon the final determination of the Option Rent, the payments made by Tenant pursuant hereto shall be reconciled with the actual amounts of Option Rent due(which amounts shall be deemed to apply retroactive to the beginning of the Option Term, regardless of the date on which the Option Rent is finally determined), and the appropriate party shall make any corresponding payment to the other party.</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3</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u w:val="single" w:color="auto"/>
                <w:color w:val="auto"/>
                <w:w w:val="95"/>
              </w:rPr>
              <w:t>BASE RENT</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color w:val="auto"/>
                <w:w w:val="84"/>
              </w:rPr>
              <w:t>3.1</w:t>
            </w:r>
          </w:p>
        </w:tc>
        <w:tc>
          <w:tcPr>
            <w:tcW w:w="9620" w:type="dxa"/>
            <w:vAlign w:val="bottom"/>
          </w:tcPr>
          <w:p>
            <w:pPr>
              <w:ind w:left="660"/>
              <w:spacing w:after="0"/>
              <w:rPr>
                <w:sz w:val="20"/>
                <w:szCs w:val="20"/>
                <w:color w:val="auto"/>
              </w:rPr>
            </w:pPr>
            <w:r>
              <w:rPr>
                <w:rFonts w:ascii="Arial" w:cs="Arial" w:eastAsia="Arial" w:hAnsi="Arial"/>
                <w:sz w:val="22"/>
                <w:szCs w:val="22"/>
                <w:b w:val="1"/>
                <w:bCs w:val="1"/>
                <w:u w:val="single" w:color="auto"/>
                <w:color w:val="auto"/>
                <w:w w:val="92"/>
              </w:rPr>
              <w:t>Base Rent</w:t>
            </w:r>
            <w:r>
              <w:rPr>
                <w:rFonts w:ascii="Arial" w:cs="Arial" w:eastAsia="Arial" w:hAnsi="Arial"/>
                <w:sz w:val="22"/>
                <w:szCs w:val="22"/>
                <w:color w:val="auto"/>
                <w:w w:val="92"/>
              </w:rPr>
              <w:t>. Tenant shall pay, without prior notice or demand, to Landlord or Landlord's agent at the</w:t>
            </w:r>
          </w:p>
        </w:tc>
      </w:tr>
    </w:tbl>
    <w:p>
      <w:pPr>
        <w:jc w:val="both"/>
        <w:ind w:right="20"/>
        <w:spacing w:after="0" w:line="243" w:lineRule="auto"/>
        <w:rPr>
          <w:sz w:val="20"/>
          <w:szCs w:val="20"/>
          <w:color w:val="auto"/>
        </w:rPr>
      </w:pPr>
      <w:r>
        <w:rPr>
          <w:rFonts w:ascii="Arial" w:cs="Arial" w:eastAsia="Arial" w:hAnsi="Arial"/>
          <w:sz w:val="21"/>
          <w:szCs w:val="21"/>
          <w:color w:val="auto"/>
        </w:rPr>
        <w:t>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21"/>
          <w:szCs w:val="21"/>
          <w:b w:val="1"/>
          <w:bCs w:val="1"/>
          <w:color w:val="auto"/>
        </w:rPr>
        <w:t>Base Rent</w:t>
      </w:r>
      <w:r>
        <w:rPr>
          <w:rFonts w:ascii="Arial" w:cs="Arial" w:eastAsia="Arial" w:hAnsi="Arial"/>
          <w:sz w:val="21"/>
          <w:szCs w:val="21"/>
          <w:color w:val="auto"/>
        </w:rPr>
        <w:t xml:space="preserve">") as set forth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of the Summary, payable in equal monthly installments as set forth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of the Summary in advance on or before the first day of each and every calendar month during the Lease Term, without any setoff or deduction whatsoever, except as otherwise expressly set forth herein. The Base Rent for the first full month of the Lease Term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-7-</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45" w:name="page46"/>
    <w:bookmarkEnd w:id="45"/>
    <w:p>
      <w:pPr>
        <w:jc w:val="both"/>
        <w:ind w:right="20"/>
        <w:spacing w:after="0"/>
        <w:rPr>
          <w:sz w:val="20"/>
          <w:szCs w:val="20"/>
          <w:color w:val="auto"/>
        </w:rPr>
      </w:pPr>
      <w:r>
        <w:rPr>
          <w:rFonts w:ascii="Arial" w:cs="Arial" w:eastAsia="Arial" w:hAnsi="Arial"/>
          <w:sz w:val="22"/>
          <w:szCs w:val="22"/>
          <w:color w:val="auto"/>
        </w:rPr>
        <w:t>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80" w:lineRule="exact"/>
        <w:rPr>
          <w:sz w:val="20"/>
          <w:szCs w:val="20"/>
          <w:color w:val="auto"/>
        </w:rPr>
      </w:pPr>
    </w:p>
    <w:p>
      <w:pPr>
        <w:jc w:val="both"/>
        <w:ind w:right="20" w:firstLine="877"/>
        <w:spacing w:after="0" w:line="24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u w:val="single" w:color="auto"/>
          <w:color w:val="auto"/>
        </w:rPr>
        <w:t>Abated Base Rent</w:t>
      </w:r>
      <w:r>
        <w:rPr>
          <w:rFonts w:ascii="Arial" w:cs="Arial" w:eastAsia="Arial" w:hAnsi="Arial"/>
          <w:sz w:val="21"/>
          <w:szCs w:val="21"/>
          <w:color w:val="auto"/>
        </w:rPr>
        <w:t>. Provided that Tenant is not then in default of this Lease beyond all applicable notice and cure periods, then during the seven (7) month period commencing on the first (1</w:t>
      </w:r>
      <w:r>
        <w:rPr>
          <w:rFonts w:ascii="Arial" w:cs="Arial" w:eastAsia="Arial" w:hAnsi="Arial"/>
          <w:sz w:val="17"/>
          <w:szCs w:val="17"/>
          <w:color w:val="auto"/>
        </w:rPr>
        <w:t>st</w:t>
      </w:r>
      <w:r>
        <w:rPr>
          <w:rFonts w:ascii="Arial" w:cs="Arial" w:eastAsia="Arial" w:hAnsi="Arial"/>
          <w:sz w:val="21"/>
          <w:szCs w:val="21"/>
          <w:color w:val="auto"/>
        </w:rPr>
        <w:t>) day of the second (2</w:t>
      </w:r>
      <w:r>
        <w:rPr>
          <w:rFonts w:ascii="Arial" w:cs="Arial" w:eastAsia="Arial" w:hAnsi="Arial"/>
          <w:sz w:val="17"/>
          <w:szCs w:val="17"/>
          <w:color w:val="auto"/>
        </w:rPr>
        <w:t>nd</w:t>
      </w:r>
      <w:r>
        <w:rPr>
          <w:rFonts w:ascii="Arial" w:cs="Arial" w:eastAsia="Arial" w:hAnsi="Arial"/>
          <w:sz w:val="21"/>
          <w:szCs w:val="21"/>
          <w:color w:val="auto"/>
        </w:rPr>
        <w:t>) full calendar month of the Lease Term and continuing through and including the last day of the eighth (8</w:t>
      </w:r>
      <w:r>
        <w:rPr>
          <w:rFonts w:ascii="Arial" w:cs="Arial" w:eastAsia="Arial" w:hAnsi="Arial"/>
          <w:sz w:val="17"/>
          <w:szCs w:val="17"/>
          <w:color w:val="auto"/>
        </w:rPr>
        <w:t>th</w:t>
      </w:r>
      <w:r>
        <w:rPr>
          <w:rFonts w:ascii="Arial" w:cs="Arial" w:eastAsia="Arial" w:hAnsi="Arial"/>
          <w:sz w:val="21"/>
          <w:szCs w:val="21"/>
          <w:color w:val="auto"/>
        </w:rPr>
        <w:t>) full calendar month of the Lease Term (the "</w:t>
      </w:r>
      <w:r>
        <w:rPr>
          <w:rFonts w:ascii="Arial" w:cs="Arial" w:eastAsia="Arial" w:hAnsi="Arial"/>
          <w:sz w:val="21"/>
          <w:szCs w:val="21"/>
          <w:b w:val="1"/>
          <w:bCs w:val="1"/>
          <w:color w:val="auto"/>
        </w:rPr>
        <w:t>Rent Abatement Period</w:t>
      </w:r>
      <w:r>
        <w:rPr>
          <w:rFonts w:ascii="Arial" w:cs="Arial" w:eastAsia="Arial" w:hAnsi="Arial"/>
          <w:sz w:val="21"/>
          <w:szCs w:val="21"/>
          <w:color w:val="auto"/>
        </w:rPr>
        <w:t>"), Tenant shall not be obligated to pay any Base Rent otherwise attributable to the Premises during such Rent Abatement Period (the "</w:t>
      </w:r>
      <w:r>
        <w:rPr>
          <w:rFonts w:ascii="Arial" w:cs="Arial" w:eastAsia="Arial" w:hAnsi="Arial"/>
          <w:sz w:val="21"/>
          <w:szCs w:val="21"/>
          <w:b w:val="1"/>
          <w:bCs w:val="1"/>
          <w:color w:val="auto"/>
        </w:rPr>
        <w:t>Rent Abatement</w:t>
      </w:r>
      <w:r>
        <w:rPr>
          <w:rFonts w:ascii="Arial" w:cs="Arial" w:eastAsia="Arial" w:hAnsi="Arial"/>
          <w:sz w:val="21"/>
          <w:szCs w:val="21"/>
          <w:color w:val="auto"/>
        </w:rPr>
        <w:t>"). Landlord and Tenant acknowledge that the aggregate amount of the Rent Abatement equals $460,152.00 (</w:t>
      </w:r>
      <w:r>
        <w:rPr>
          <w:rFonts w:ascii="Arial" w:cs="Arial" w:eastAsia="Arial" w:hAnsi="Arial"/>
          <w:sz w:val="21"/>
          <w:szCs w:val="21"/>
          <w:i w:val="1"/>
          <w:iCs w:val="1"/>
          <w:color w:val="auto"/>
        </w:rPr>
        <w:t>i.e</w:t>
      </w:r>
      <w:r>
        <w:rPr>
          <w:rFonts w:ascii="Arial" w:cs="Arial" w:eastAsia="Arial" w:hAnsi="Arial"/>
          <w:sz w:val="21"/>
          <w:szCs w:val="21"/>
          <w:color w:val="auto"/>
        </w:rPr>
        <w:t>., $65,736.00 per month)</w:t>
      </w:r>
      <w:r>
        <w:rPr>
          <w:rFonts w:ascii="Arial" w:cs="Arial" w:eastAsia="Arial" w:hAnsi="Arial"/>
          <w:sz w:val="21"/>
          <w:szCs w:val="21"/>
          <w:b w:val="1"/>
          <w:bCs w:val="1"/>
          <w:color w:val="auto"/>
        </w:rPr>
        <w:t>]</w:t>
      </w:r>
      <w:r>
        <w:rPr>
          <w:rFonts w:ascii="Arial" w:cs="Arial" w:eastAsia="Arial" w:hAnsi="Arial"/>
          <w:sz w:val="21"/>
          <w:szCs w:val="21"/>
          <w:color w:val="auto"/>
        </w:rPr>
        <w:t>. Tenant acknowledges and agrees that the foregoing Rent Abatement has been granted to Tenant as additional consideration for entering into this Lease, and for agreeing to pay the rental and performing the terms and conditions otherwise required under this Lease. If Tenant shall be in default under this Lease, and shall fail to cure such default within the notice and cure period, if any, permitted for cure pursuant to terms and conditions of the Lease, or if this Lease is terminated for any reason other than Landlord’s breach of this Lease, then the dollar amount of the unapplied portion of the Rent Abatement as of the date of such default or termination, as the case may be, shall be converted to a credit to be applied to the Base Rent applicable at the end of the Lease Term (as the same may have been modified by virtue of such termination) and Tenant shall immediately be obligated to begin paying Base Rent for the Premises in full (subject to the application of such credit).</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4</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u w:val="single" w:color="auto"/>
                <w:color w:val="auto"/>
              </w:rPr>
              <w:t>ADDITIONAL RENT</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color w:val="auto"/>
                <w:w w:val="84"/>
              </w:rPr>
              <w:t>4.1</w:t>
            </w:r>
          </w:p>
        </w:tc>
        <w:tc>
          <w:tcPr>
            <w:tcW w:w="9620" w:type="dxa"/>
            <w:vAlign w:val="bottom"/>
          </w:tcPr>
          <w:p>
            <w:pPr>
              <w:ind w:left="660"/>
              <w:spacing w:after="0"/>
              <w:rPr>
                <w:sz w:val="20"/>
                <w:szCs w:val="20"/>
                <w:color w:val="auto"/>
              </w:rPr>
            </w:pPr>
            <w:r>
              <w:rPr>
                <w:rFonts w:ascii="Arial" w:cs="Arial" w:eastAsia="Arial" w:hAnsi="Arial"/>
                <w:sz w:val="22"/>
                <w:szCs w:val="22"/>
                <w:b w:val="1"/>
                <w:bCs w:val="1"/>
                <w:u w:val="single" w:color="auto"/>
                <w:color w:val="auto"/>
                <w:w w:val="91"/>
              </w:rPr>
              <w:t>General Terms</w:t>
            </w:r>
            <w:r>
              <w:rPr>
                <w:rFonts w:ascii="Arial" w:cs="Arial" w:eastAsia="Arial" w:hAnsi="Arial"/>
                <w:sz w:val="22"/>
                <w:szCs w:val="22"/>
                <w:color w:val="auto"/>
                <w:w w:val="91"/>
              </w:rPr>
              <w:t>. In addition to paying the Base Rent specified in</w:t>
            </w:r>
            <w:r>
              <w:rPr>
                <w:rFonts w:ascii="Arial" w:cs="Arial" w:eastAsia="Arial" w:hAnsi="Arial"/>
                <w:sz w:val="22"/>
                <w:szCs w:val="22"/>
                <w:b w:val="1"/>
                <w:bCs w:val="1"/>
                <w:color w:val="auto"/>
                <w:w w:val="91"/>
              </w:rPr>
              <w:t xml:space="preserve"> </w:t>
            </w:r>
            <w:r>
              <w:rPr>
                <w:rFonts w:ascii="Arial" w:cs="Arial" w:eastAsia="Arial" w:hAnsi="Arial"/>
                <w:sz w:val="22"/>
                <w:szCs w:val="22"/>
                <w:u w:val="single" w:color="auto"/>
                <w:color w:val="auto"/>
                <w:w w:val="91"/>
              </w:rPr>
              <w:t>Article 3</w:t>
            </w:r>
            <w:r>
              <w:rPr>
                <w:rFonts w:ascii="Arial" w:cs="Arial" w:eastAsia="Arial" w:hAnsi="Arial"/>
                <w:sz w:val="22"/>
                <w:szCs w:val="22"/>
                <w:b w:val="1"/>
                <w:bCs w:val="1"/>
                <w:color w:val="auto"/>
                <w:w w:val="91"/>
              </w:rPr>
              <w:t xml:space="preserve"> </w:t>
            </w:r>
            <w:r>
              <w:rPr>
                <w:rFonts w:ascii="Arial" w:cs="Arial" w:eastAsia="Arial" w:hAnsi="Arial"/>
                <w:sz w:val="22"/>
                <w:szCs w:val="22"/>
                <w:color w:val="auto"/>
                <w:w w:val="91"/>
              </w:rPr>
              <w:t>of this Lease, Tenant shall</w:t>
            </w:r>
          </w:p>
        </w:tc>
      </w:tr>
    </w:tbl>
    <w:p>
      <w:pPr>
        <w:jc w:val="both"/>
        <w:ind w:right="20"/>
        <w:spacing w:after="0" w:line="271" w:lineRule="auto"/>
        <w:rPr>
          <w:sz w:val="20"/>
          <w:szCs w:val="20"/>
          <w:color w:val="auto"/>
        </w:rPr>
      </w:pPr>
      <w:r>
        <w:rPr>
          <w:rFonts w:ascii="Arial" w:cs="Arial" w:eastAsia="Arial" w:hAnsi="Arial"/>
          <w:sz w:val="19"/>
          <w:szCs w:val="19"/>
          <w:color w:val="auto"/>
        </w:rPr>
        <w:t xml:space="preserve">pay "Tenant's Share" of the annual "Direct Expenses," as those terms are defined in </w:t>
      </w:r>
      <w:r>
        <w:rPr>
          <w:rFonts w:ascii="Arial" w:cs="Arial" w:eastAsia="Arial" w:hAnsi="Arial"/>
          <w:sz w:val="19"/>
          <w:szCs w:val="19"/>
          <w:u w:val="single" w:color="auto"/>
          <w:color w:val="auto"/>
        </w:rPr>
        <w:t>Sections 4.2.6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4.2.2</w:t>
      </w:r>
      <w:r>
        <w:rPr>
          <w:rFonts w:ascii="Arial" w:cs="Arial" w:eastAsia="Arial" w:hAnsi="Arial"/>
          <w:sz w:val="19"/>
          <w:szCs w:val="19"/>
          <w:color w:val="auto"/>
        </w:rPr>
        <w:t xml:space="preserve"> of this Lease, respectively, which are in excess of the amount of Direct Expenses applicable to the "Base Year," as that term is defined in </w:t>
      </w:r>
      <w:r>
        <w:rPr>
          <w:rFonts w:ascii="Arial" w:cs="Arial" w:eastAsia="Arial" w:hAnsi="Arial"/>
          <w:sz w:val="19"/>
          <w:szCs w:val="19"/>
          <w:u w:val="single" w:color="auto"/>
          <w:color w:val="auto"/>
        </w:rPr>
        <w:t>Section 4.2.1</w:t>
      </w:r>
      <w:r>
        <w:rPr>
          <w:rFonts w:ascii="Arial" w:cs="Arial" w:eastAsia="Arial" w:hAnsi="Arial"/>
          <w:sz w:val="19"/>
          <w:szCs w:val="19"/>
          <w:color w:val="auto"/>
        </w:rPr>
        <w:t>, below; provided, however, that in no event shall any decrease in Direct Expenses for any "</w:t>
      </w:r>
      <w:r>
        <w:rPr>
          <w:rFonts w:ascii="Arial" w:cs="Arial" w:eastAsia="Arial" w:hAnsi="Arial"/>
          <w:sz w:val="19"/>
          <w:szCs w:val="19"/>
          <w:b w:val="1"/>
          <w:bCs w:val="1"/>
          <w:color w:val="auto"/>
        </w:rPr>
        <w:t>Expense Year</w:t>
      </w:r>
      <w:r>
        <w:rPr>
          <w:rFonts w:ascii="Arial" w:cs="Arial" w:eastAsia="Arial" w:hAnsi="Arial"/>
          <w:sz w:val="19"/>
          <w:szCs w:val="19"/>
          <w:color w:val="auto"/>
        </w:rPr>
        <w:t xml:space="preserve">," as that term is defined in </w:t>
      </w:r>
      <w:r>
        <w:rPr>
          <w:rFonts w:ascii="Arial" w:cs="Arial" w:eastAsia="Arial" w:hAnsi="Arial"/>
          <w:sz w:val="19"/>
          <w:szCs w:val="19"/>
          <w:u w:val="single" w:color="auto"/>
          <w:color w:val="auto"/>
        </w:rPr>
        <w:t>Section 4.2.3</w:t>
      </w:r>
      <w:r>
        <w:rPr>
          <w:rFonts w:ascii="Arial" w:cs="Arial" w:eastAsia="Arial" w:hAnsi="Arial"/>
          <w:sz w:val="19"/>
          <w:szCs w:val="19"/>
          <w:color w:val="auto"/>
        </w:rPr>
        <w:t xml:space="preserve"> below, below Direct Expenses for the Base Year entitle Tenant to any decrease in Base Rent or any credit against sums due under this Lease. Such payments by Tenant, together with any and all other amounts payable by Tenant to Landlord pursuant to the terms of this Lease, are hereinafter collectively referred to as the "</w:t>
      </w:r>
      <w:r>
        <w:rPr>
          <w:rFonts w:ascii="Arial" w:cs="Arial" w:eastAsia="Arial" w:hAnsi="Arial"/>
          <w:sz w:val="19"/>
          <w:szCs w:val="19"/>
          <w:b w:val="1"/>
          <w:bCs w:val="1"/>
          <w:color w:val="auto"/>
        </w:rPr>
        <w:t>Additional Rent</w:t>
      </w:r>
      <w:r>
        <w:rPr>
          <w:rFonts w:ascii="Arial" w:cs="Arial" w:eastAsia="Arial" w:hAnsi="Arial"/>
          <w:sz w:val="19"/>
          <w:szCs w:val="19"/>
          <w:color w:val="auto"/>
        </w:rPr>
        <w:t>", and the Base Rent and the Additional Rent are herein collectively referred to as "</w:t>
      </w:r>
      <w:r>
        <w:rPr>
          <w:rFonts w:ascii="Arial" w:cs="Arial" w:eastAsia="Arial" w:hAnsi="Arial"/>
          <w:sz w:val="19"/>
          <w:szCs w:val="19"/>
          <w:b w:val="1"/>
          <w:bCs w:val="1"/>
          <w:color w:val="auto"/>
        </w:rPr>
        <w:t>Rent</w:t>
      </w:r>
      <w:r>
        <w:rPr>
          <w:rFonts w:ascii="Arial" w:cs="Arial" w:eastAsia="Arial" w:hAnsi="Arial"/>
          <w:sz w:val="19"/>
          <w:szCs w:val="19"/>
          <w:color w:val="auto"/>
        </w:rPr>
        <w:t xml:space="preserve">." All amounts due under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shall survive the expiration of the Lease Term.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jc w:val="right"/>
              <w:ind w:right="1210"/>
              <w:spacing w:after="0"/>
              <w:rPr>
                <w:sz w:val="20"/>
                <w:szCs w:val="20"/>
                <w:color w:val="auto"/>
              </w:rPr>
            </w:pPr>
            <w:r>
              <w:rPr>
                <w:rFonts w:ascii="Arial" w:cs="Arial" w:eastAsia="Arial" w:hAnsi="Arial"/>
                <w:sz w:val="22"/>
                <w:szCs w:val="22"/>
                <w:color w:val="auto"/>
              </w:rPr>
              <w:t>4.2</w:t>
            </w:r>
          </w:p>
        </w:tc>
        <w:tc>
          <w:tcPr>
            <w:tcW w:w="8980" w:type="dxa"/>
            <w:vAlign w:val="bottom"/>
            <w:gridSpan w:val="6"/>
          </w:tcPr>
          <w:p>
            <w:pPr>
              <w:jc w:val="right"/>
              <w:spacing w:after="0"/>
              <w:rPr>
                <w:sz w:val="20"/>
                <w:szCs w:val="20"/>
                <w:color w:val="auto"/>
              </w:rPr>
            </w:pPr>
            <w:r>
              <w:rPr>
                <w:rFonts w:ascii="Arial" w:cs="Arial" w:eastAsia="Arial" w:hAnsi="Arial"/>
                <w:sz w:val="22"/>
                <w:szCs w:val="22"/>
                <w:b w:val="1"/>
                <w:bCs w:val="1"/>
                <w:color w:val="auto"/>
                <w:w w:val="90"/>
              </w:rPr>
              <w:t>Definitions of Key Terms Relating to Additional Rent</w:t>
            </w:r>
            <w:r>
              <w:rPr>
                <w:rFonts w:ascii="Arial" w:cs="Arial" w:eastAsia="Arial" w:hAnsi="Arial"/>
                <w:sz w:val="22"/>
                <w:szCs w:val="22"/>
                <w:color w:val="auto"/>
                <w:w w:val="90"/>
              </w:rPr>
              <w:t>. As used in this Article 4, the following terms</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360" w:type="dxa"/>
            <w:vAlign w:val="bottom"/>
            <w:gridSpan w:val="2"/>
          </w:tcPr>
          <w:p>
            <w:pPr>
              <w:jc w:val="center"/>
              <w:ind w:right="3361"/>
              <w:spacing w:after="0"/>
              <w:rPr>
                <w:sz w:val="20"/>
                <w:szCs w:val="20"/>
                <w:color w:val="auto"/>
              </w:rPr>
            </w:pPr>
            <w:r>
              <w:rPr>
                <w:rFonts w:ascii="Arial" w:cs="Arial" w:eastAsia="Arial" w:hAnsi="Arial"/>
                <w:sz w:val="22"/>
                <w:szCs w:val="22"/>
                <w:color w:val="auto"/>
                <w:w w:val="88"/>
              </w:rPr>
              <w:t>shall have the meanings hereinafter set forth:</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9"/>
        </w:trPr>
        <w:tc>
          <w:tcPr>
            <w:tcW w:w="2460" w:type="dxa"/>
            <w:vAlign w:val="bottom"/>
          </w:tcPr>
          <w:p>
            <w:pPr>
              <w:jc w:val="right"/>
              <w:ind w:right="170"/>
              <w:spacing w:after="0"/>
              <w:rPr>
                <w:sz w:val="20"/>
                <w:szCs w:val="20"/>
                <w:color w:val="auto"/>
              </w:rPr>
            </w:pPr>
            <w:r>
              <w:rPr>
                <w:rFonts w:ascii="Arial" w:cs="Arial" w:eastAsia="Arial" w:hAnsi="Arial"/>
                <w:sz w:val="22"/>
                <w:szCs w:val="22"/>
                <w:color w:val="auto"/>
              </w:rPr>
              <w:t>4.2.1</w:t>
            </w:r>
          </w:p>
        </w:tc>
        <w:tc>
          <w:tcPr>
            <w:tcW w:w="8980" w:type="dxa"/>
            <w:vAlign w:val="bottom"/>
            <w:gridSpan w:val="6"/>
          </w:tcPr>
          <w:p>
            <w:pPr>
              <w:jc w:val="right"/>
              <w:ind w:right="8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Year</w:t>
            </w:r>
            <w:r>
              <w:rPr>
                <w:rFonts w:ascii="Arial" w:cs="Arial" w:eastAsia="Arial" w:hAnsi="Arial"/>
                <w:sz w:val="22"/>
                <w:szCs w:val="22"/>
                <w:color w:val="auto"/>
              </w:rPr>
              <w:t>" shall mean the period set forth in Section 5 of the Summary.</w:t>
            </w:r>
          </w:p>
        </w:tc>
        <w:tc>
          <w:tcPr>
            <w:tcW w:w="0" w:type="dxa"/>
            <w:vAlign w:val="bottom"/>
          </w:tcPr>
          <w:p>
            <w:pPr>
              <w:spacing w:after="0"/>
              <w:rPr>
                <w:sz w:val="1"/>
                <w:szCs w:val="1"/>
                <w:color w:val="auto"/>
              </w:rPr>
            </w:pPr>
          </w:p>
        </w:tc>
      </w:tr>
      <w:tr>
        <w:trPr>
          <w:trHeight w:val="383"/>
        </w:trPr>
        <w:tc>
          <w:tcPr>
            <w:tcW w:w="2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20"/>
                <w:szCs w:val="20"/>
                <w:color w:val="auto"/>
              </w:rPr>
            </w:pPr>
            <w:r>
              <w:rPr>
                <w:rFonts w:ascii="Arial" w:cs="Arial" w:eastAsia="Arial" w:hAnsi="Arial"/>
                <w:sz w:val="13"/>
                <w:szCs w:val="13"/>
                <w:color w:val="auto"/>
              </w:rPr>
              <w:t>795344.01/WLA</w:t>
            </w:r>
          </w:p>
        </w:tc>
        <w:tc>
          <w:tcPr>
            <w:tcW w:w="4900" w:type="dxa"/>
            <w:vAlign w:val="bottom"/>
            <w:vMerge w:val="restart"/>
          </w:tcPr>
          <w:p>
            <w:pPr>
              <w:jc w:val="right"/>
              <w:ind w:right="1441"/>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60" w:type="dxa"/>
            <w:vAlign w:val="bottom"/>
          </w:tcPr>
          <w:p>
            <w:pPr>
              <w:spacing w:after="0"/>
              <w:rPr>
                <w:sz w:val="20"/>
                <w:szCs w:val="20"/>
                <w:color w:val="auto"/>
              </w:rPr>
            </w:pPr>
            <w:r>
              <w:rPr>
                <w:rFonts w:ascii="Arial" w:cs="Arial" w:eastAsia="Arial" w:hAnsi="Arial"/>
                <w:sz w:val="13"/>
                <w:szCs w:val="13"/>
                <w:color w:val="auto"/>
              </w:rPr>
              <w:t>377082-00004//ejs/ejs</w:t>
            </w:r>
          </w:p>
        </w:tc>
        <w:tc>
          <w:tcPr>
            <w:tcW w:w="49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w w:val="90"/>
              </w:rPr>
              <w:t>[Arrowhead Pharmaceuticals, Inc.]</w:t>
            </w:r>
          </w:p>
        </w:tc>
        <w:tc>
          <w:tcPr>
            <w:tcW w:w="0" w:type="dxa"/>
            <w:vAlign w:val="bottom"/>
          </w:tcPr>
          <w:p>
            <w:pPr>
              <w:spacing w:after="0"/>
              <w:rPr>
                <w:sz w:val="1"/>
                <w:szCs w:val="1"/>
                <w:color w:val="auto"/>
              </w:rPr>
            </w:pPr>
          </w:p>
        </w:tc>
      </w:tr>
      <w:tr>
        <w:trPr>
          <w:trHeight w:val="320"/>
        </w:trPr>
        <w:tc>
          <w:tcPr>
            <w:tcW w:w="24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46" w:name="page47"/>
    <w:bookmarkEnd w:id="46"/>
    <w:tbl>
      <w:tblPr>
        <w:tblLayout w:type="fixed"/>
        <w:tblInd w:w="1760" w:type="dxa"/>
        <w:tblCellMar>
          <w:top w:w="0" w:type="dxa"/>
          <w:left w:w="0" w:type="dxa"/>
          <w:bottom w:w="0" w:type="dxa"/>
          <w:right w:w="0" w:type="dxa"/>
        </w:tblCellMar>
      </w:tblPr>
      <w:tr>
        <w:trPr>
          <w:trHeight w:val="281"/>
        </w:trPr>
        <w:tc>
          <w:tcPr>
            <w:tcW w:w="1400" w:type="dxa"/>
            <w:vAlign w:val="bottom"/>
          </w:tcPr>
          <w:p>
            <w:pPr>
              <w:jc w:val="right"/>
              <w:ind w:right="852"/>
              <w:spacing w:after="0"/>
              <w:rPr>
                <w:sz w:val="20"/>
                <w:szCs w:val="20"/>
                <w:color w:val="auto"/>
              </w:rPr>
            </w:pPr>
            <w:r>
              <w:rPr>
                <w:rFonts w:ascii="Arial" w:cs="Arial" w:eastAsia="Arial" w:hAnsi="Arial"/>
                <w:sz w:val="22"/>
                <w:szCs w:val="22"/>
                <w:color w:val="auto"/>
                <w:w w:val="85"/>
              </w:rPr>
              <w:t>4.2.2</w:t>
            </w:r>
          </w:p>
        </w:tc>
        <w:tc>
          <w:tcPr>
            <w:tcW w:w="8260" w:type="dxa"/>
            <w:vAlign w:val="bottom"/>
          </w:tcPr>
          <w:p>
            <w:pPr>
              <w:ind w:left="980"/>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Direct Expenses</w:t>
            </w:r>
            <w:r>
              <w:rPr>
                <w:rFonts w:ascii="Arial" w:cs="Arial" w:eastAsia="Arial" w:hAnsi="Arial"/>
                <w:sz w:val="22"/>
                <w:szCs w:val="22"/>
                <w:color w:val="auto"/>
                <w:w w:val="99"/>
              </w:rPr>
              <w:t>" shall mean "Operating Expenses" and "Tax Expenses."</w:t>
            </w:r>
          </w:p>
        </w:tc>
      </w:tr>
      <w:tr>
        <w:trPr>
          <w:trHeight w:val="446"/>
        </w:trPr>
        <w:tc>
          <w:tcPr>
            <w:tcW w:w="1400" w:type="dxa"/>
            <w:vAlign w:val="bottom"/>
          </w:tcPr>
          <w:p>
            <w:pPr>
              <w:jc w:val="right"/>
              <w:ind w:right="852"/>
              <w:spacing w:after="0"/>
              <w:rPr>
                <w:sz w:val="20"/>
                <w:szCs w:val="20"/>
                <w:color w:val="auto"/>
              </w:rPr>
            </w:pPr>
            <w:r>
              <w:rPr>
                <w:rFonts w:ascii="Arial" w:cs="Arial" w:eastAsia="Arial" w:hAnsi="Arial"/>
                <w:sz w:val="22"/>
                <w:szCs w:val="22"/>
                <w:color w:val="auto"/>
                <w:w w:val="85"/>
              </w:rPr>
              <w:t>4.2.3</w:t>
            </w:r>
          </w:p>
        </w:tc>
        <w:tc>
          <w:tcPr>
            <w:tcW w:w="8260" w:type="dxa"/>
            <w:vAlign w:val="bottom"/>
          </w:tcPr>
          <w:p>
            <w:pPr>
              <w:ind w:left="98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Expense Year</w:t>
            </w:r>
            <w:r>
              <w:rPr>
                <w:rFonts w:ascii="Arial" w:cs="Arial" w:eastAsia="Arial" w:hAnsi="Arial"/>
                <w:sz w:val="22"/>
                <w:szCs w:val="22"/>
                <w:color w:val="auto"/>
                <w:w w:val="91"/>
              </w:rPr>
              <w:t>" shall mean each calendar year in which any portion of the Lease</w:t>
            </w:r>
          </w:p>
        </w:tc>
      </w:tr>
    </w:tbl>
    <w:p>
      <w:pPr>
        <w:jc w:val="both"/>
        <w:ind w:right="20"/>
        <w:spacing w:after="0" w:line="246" w:lineRule="auto"/>
        <w:rPr>
          <w:sz w:val="20"/>
          <w:szCs w:val="20"/>
          <w:color w:val="auto"/>
        </w:rPr>
      </w:pPr>
      <w:r>
        <w:rPr>
          <w:rFonts w:ascii="Arial" w:cs="Arial" w:eastAsia="Arial" w:hAnsi="Arial"/>
          <w:sz w:val="21"/>
          <w:szCs w:val="21"/>
          <w:color w:val="auto"/>
        </w:rPr>
        <w:t>Term falls, through and including the calendar year in which the Lease Term expires, provided that Landlord, upon notice to Tenant, may change the Expense Year from time to time to any other twelve (12) consecutive month period consistent with commercially reasonable changes in Landlord’s accounting practices, and, in the event of any such change, Tenant's Share of Direct Expenses shall be equitably adjusted for any Expense Year involved in any such change.</w:t>
      </w:r>
    </w:p>
    <w:p>
      <w:pPr>
        <w:spacing w:after="0" w:line="174" w:lineRule="exact"/>
        <w:rPr>
          <w:sz w:val="20"/>
          <w:szCs w:val="20"/>
          <w:color w:val="auto"/>
        </w:rPr>
      </w:pPr>
    </w:p>
    <w:p>
      <w:pPr>
        <w:jc w:val="both"/>
        <w:ind w:right="20" w:firstLine="1755"/>
        <w:spacing w:after="0" w:line="269" w:lineRule="auto"/>
        <w:rPr>
          <w:sz w:val="20"/>
          <w:szCs w:val="20"/>
          <w:color w:val="auto"/>
        </w:rPr>
      </w:pPr>
      <w:r>
        <w:rPr>
          <w:rFonts w:ascii="Arial" w:cs="Arial" w:eastAsia="Arial" w:hAnsi="Arial"/>
          <w:sz w:val="19"/>
          <w:szCs w:val="19"/>
          <w:color w:val="auto"/>
        </w:rPr>
        <w:t>4.2.4 "</w:t>
      </w:r>
      <w:r>
        <w:rPr>
          <w:rFonts w:ascii="Arial" w:cs="Arial" w:eastAsia="Arial" w:hAnsi="Arial"/>
          <w:sz w:val="19"/>
          <w:szCs w:val="19"/>
          <w:b w:val="1"/>
          <w:bCs w:val="1"/>
          <w:color w:val="auto"/>
        </w:rPr>
        <w:t>Operating Expenses</w:t>
      </w:r>
      <w:r>
        <w:rPr>
          <w:rFonts w:ascii="Arial" w:cs="Arial" w:eastAsia="Arial" w:hAnsi="Arial"/>
          <w:sz w:val="19"/>
          <w:szCs w:val="19"/>
          <w:color w:val="auto"/>
        </w:rPr>
        <w:t>" shall mean all expenses, costs and amounts of every kind and nature which Landlord pays or accrues during any Expense Year because of or in connection with the management, maintenance, security, repair, or operation of the Project, or any portion thereof. Without limiting the generality of the foregoing, Operating Expenses shall specifically include any and all of the following: (i) the cost of supplying all utilities, the cost of operating, repairing and maintaining the utility, telephone, mechanical, sanitary, storm drainage, and elevator systems, and the cost of maintenance and service contracts in connection therewith; (ii) the cost of licenses, certificates, permits and inspections and the reasonable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as reasonably determined by Landlord; (iv) the cost of landscaping, relamping, and all non-capital costs of supplies, tools, equipment and materials used in the operation, repair and maintenance of the Project, or any portion thereof; (v) the cost of parking area operation, repair, non-capital restoration, and maintenance; (vi) fees and other costs, including management and/or incentive fees (not to exceed five percent (5%) of gross revenues of the Project), and reasonable consulting fees, legal fees and accounting fees, of all contractors and consultants in connection with the management, operation, maintenance and repair of the Project; (vii) payments under any equipment rental agreements and the fair rental value of office space provided without charge to the third-party manager of the Building; (viii) subject to item (f), below, wages, salaries and other compensation and benefits, including taxes levied thereon, of all persons engaged in the operation, maintenance and security of the Project; (ix) costs under any instrument pertaining to the sharing of costs by the Project; (x) operation, repair and maintenance and non-capital replacement of all systems and equipment and components thereof of the Project; (xi) the cost of janitorial, alarm, security and other services, non-capital repairs and maintenance of wall and floor coverings, ceiling tiles and fixtures in common areas, maintenance of curbs and walkways, and repair to roofs; (xii) amortization (including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effect economies in the operation or maintenance of the Project, or any portion thereof, or reduce current or future Operating Expenses, (B) that are required to comply with present or anticipated governmentally-mandated conservation programs, (C) intentionally omitted, or (D) that are required under any governmental law or regulation not affecting the Project as of the date hereof; provided, however, that any capital expenditure shall be amortized (including interest on the amortized cost) on a straight line basis over its reasonable useful life (or reasonable “pay-back” period for improvements that reduce Operating Expenses); and (xiv) costs, fees, charges or assessments imposed by, or resulting from any mandate imposed on Landlord by, any federal, state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3"/>
                <w:szCs w:val="13"/>
                <w:color w:val="auto"/>
              </w:rPr>
              <w:t>795344.01/WLA</w:t>
            </w:r>
          </w:p>
        </w:tc>
        <w:tc>
          <w:tcPr>
            <w:tcW w:w="4360" w:type="dxa"/>
            <w:vAlign w:val="bottom"/>
            <w:vMerge w:val="restart"/>
          </w:tcPr>
          <w:p>
            <w:pPr>
              <w:jc w:val="right"/>
              <w:ind w:right="1839"/>
              <w:spacing w:after="0"/>
              <w:rPr>
                <w:sz w:val="20"/>
                <w:szCs w:val="20"/>
                <w:color w:val="auto"/>
              </w:rPr>
            </w:pPr>
            <w:r>
              <w:rPr>
                <w:rFonts w:ascii="Arial" w:cs="Arial" w:eastAsia="Arial" w:hAnsi="Arial"/>
                <w:sz w:val="16"/>
                <w:szCs w:val="16"/>
                <w:color w:val="auto"/>
              </w:rPr>
              <w:t>-9-</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Arial" w:cs="Arial" w:eastAsia="Arial" w:hAnsi="Arial"/>
                <w:sz w:val="13"/>
                <w:szCs w:val="13"/>
                <w:color w:val="auto"/>
              </w:rPr>
              <w:t>377082-00004//ejs/ejs</w:t>
            </w:r>
          </w:p>
        </w:tc>
        <w:tc>
          <w:tcPr>
            <w:tcW w:w="4360" w:type="dxa"/>
            <w:vAlign w:val="bottom"/>
            <w:vMerge w:val="continue"/>
          </w:tcPr>
          <w:p>
            <w:pPr>
              <w:spacing w:after="0"/>
              <w:rPr>
                <w:sz w:val="13"/>
                <w:szCs w:val="13"/>
                <w:color w:val="auto"/>
              </w:rPr>
            </w:pPr>
          </w:p>
        </w:tc>
        <w:tc>
          <w:tcPr>
            <w:tcW w:w="37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47" w:name="page48"/>
    <w:bookmarkEnd w:id="47"/>
    <w:p>
      <w:pPr>
        <w:jc w:val="both"/>
        <w:ind w:right="20"/>
        <w:spacing w:after="0" w:line="273" w:lineRule="auto"/>
        <w:rPr>
          <w:sz w:val="20"/>
          <w:szCs w:val="20"/>
          <w:color w:val="auto"/>
        </w:rPr>
      </w:pPr>
      <w:r>
        <w:rPr>
          <w:rFonts w:ascii="Arial" w:cs="Arial" w:eastAsia="Arial" w:hAnsi="Arial"/>
          <w:sz w:val="19"/>
          <w:szCs w:val="19"/>
          <w:color w:val="auto"/>
        </w:rPr>
        <w:t xml:space="preserve">or local government for fire and police protection, trash removal, community services, or other services which do not constitute "Tax Expenses" as that term is defined in </w:t>
      </w:r>
      <w:r>
        <w:rPr>
          <w:rFonts w:ascii="Arial" w:cs="Arial" w:eastAsia="Arial" w:hAnsi="Arial"/>
          <w:sz w:val="19"/>
          <w:szCs w:val="19"/>
          <w:u w:val="single" w:color="auto"/>
          <w:color w:val="auto"/>
        </w:rPr>
        <w:t>Section 4.2.5</w:t>
      </w:r>
      <w:r>
        <w:rPr>
          <w:rFonts w:ascii="Arial" w:cs="Arial" w:eastAsia="Arial" w:hAnsi="Arial"/>
          <w:sz w:val="19"/>
          <w:szCs w:val="19"/>
          <w:color w:val="auto"/>
        </w:rPr>
        <w:t xml:space="preserve"> (except to the extent incurred to correct non-compliance with any of the same existing as of the date hereof), below, (xv) cost of tenant relation programs reasonably established by Landlord, and</w:t>
      </w:r>
    </w:p>
    <w:p>
      <w:pPr>
        <w:spacing w:after="0" w:line="2" w:lineRule="exact"/>
        <w:rPr>
          <w:sz w:val="20"/>
          <w:szCs w:val="20"/>
          <w:color w:val="auto"/>
        </w:rPr>
      </w:pPr>
    </w:p>
    <w:p>
      <w:pPr>
        <w:jc w:val="both"/>
        <w:ind w:right="20" w:firstLine="8"/>
        <w:spacing w:after="0" w:line="233" w:lineRule="auto"/>
        <w:tabs>
          <w:tab w:leader="none" w:pos="483" w:val="left"/>
        </w:tabs>
        <w:numPr>
          <w:ilvl w:val="0"/>
          <w:numId w:val="13"/>
        </w:numPr>
        <w:rPr>
          <w:rFonts w:ascii="Arial" w:cs="Arial" w:eastAsia="Arial" w:hAnsi="Arial"/>
          <w:sz w:val="22"/>
          <w:szCs w:val="22"/>
          <w:color w:val="auto"/>
        </w:rPr>
      </w:pPr>
      <w:r>
        <w:rPr>
          <w:rFonts w:ascii="Arial" w:cs="Arial" w:eastAsia="Arial" w:hAnsi="Arial"/>
          <w:sz w:val="22"/>
          <w:szCs w:val="22"/>
          <w:color w:val="auto"/>
        </w:rPr>
        <w:t>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Arial" w:cs="Arial" w:eastAsia="Arial" w:hAnsi="Arial"/>
          <w:sz w:val="22"/>
          <w:szCs w:val="22"/>
          <w:b w:val="1"/>
          <w:bCs w:val="1"/>
          <w:color w:val="auto"/>
        </w:rPr>
        <w:t>Underlying Documents</w:t>
      </w:r>
      <w:r>
        <w:rPr>
          <w:rFonts w:ascii="Arial" w:cs="Arial" w:eastAsia="Arial" w:hAnsi="Arial"/>
          <w:sz w:val="22"/>
          <w:szCs w:val="22"/>
          <w:color w:val="auto"/>
        </w:rPr>
        <w:t>"). Notwithstanding the foregoing, for purposes of this Lease, Operating Expenses shall not, however, include:</w:t>
      </w:r>
    </w:p>
    <w:p>
      <w:pPr>
        <w:spacing w:after="0" w:line="185" w:lineRule="exact"/>
        <w:rPr>
          <w:rFonts w:ascii="Arial" w:cs="Arial" w:eastAsia="Arial" w:hAnsi="Arial"/>
          <w:sz w:val="22"/>
          <w:szCs w:val="22"/>
          <w:color w:val="auto"/>
        </w:rPr>
      </w:pPr>
    </w:p>
    <w:p>
      <w:pPr>
        <w:jc w:val="both"/>
        <w:ind w:right="20" w:firstLine="2642"/>
        <w:spacing w:after="0" w:line="279" w:lineRule="auto"/>
        <w:tabs>
          <w:tab w:leader="none" w:pos="3432" w:val="left"/>
        </w:tabs>
        <w:numPr>
          <w:ilvl w:val="1"/>
          <w:numId w:val="13"/>
        </w:numPr>
        <w:rPr>
          <w:rFonts w:ascii="Arial" w:cs="Arial" w:eastAsia="Arial" w:hAnsi="Arial"/>
          <w:sz w:val="19"/>
          <w:szCs w:val="19"/>
          <w:color w:val="auto"/>
        </w:rPr>
      </w:pPr>
      <w:r>
        <w:rPr>
          <w:rFonts w:ascii="Arial" w:cs="Arial" w:eastAsia="Arial" w:hAnsi="Arial"/>
          <w:sz w:val="19"/>
          <w:szCs w:val="19"/>
          <w:color w:val="auto"/>
        </w:rPr>
        <w:t>costs, including legal fees, space planners' fees, advertising and promotional expenses (except as otherwise set forth above), and brokerage fees incurred in connection with the original construction or development, or original or future leasing of the Project, and costs, including permit, license and inspection costs, incurred with respect to the installation of tenant improvements made for other tenants occupying space in the Project or incurred in renovating or otherwise improving, decorating, painting or redecorating vacant space for tenants or other occupants of the Project (excluding, however, such costs relating to any common areas of the Project or parking facilities to the extent not otherwise excluded);</w:t>
      </w:r>
    </w:p>
    <w:p>
      <w:pPr>
        <w:spacing w:after="0" w:line="150" w:lineRule="exact"/>
        <w:rPr>
          <w:rFonts w:ascii="Arial" w:cs="Arial" w:eastAsia="Arial" w:hAnsi="Arial"/>
          <w:sz w:val="19"/>
          <w:szCs w:val="19"/>
          <w:color w:val="auto"/>
        </w:rPr>
      </w:pPr>
    </w:p>
    <w:p>
      <w:pPr>
        <w:jc w:val="both"/>
        <w:ind w:right="40" w:firstLine="2642"/>
        <w:spacing w:after="0"/>
        <w:tabs>
          <w:tab w:leader="none" w:pos="3444" w:val="left"/>
        </w:tabs>
        <w:numPr>
          <w:ilvl w:val="1"/>
          <w:numId w:val="13"/>
        </w:numPr>
        <w:rPr>
          <w:rFonts w:ascii="Arial" w:cs="Arial" w:eastAsia="Arial" w:hAnsi="Arial"/>
          <w:sz w:val="22"/>
          <w:szCs w:val="22"/>
          <w:color w:val="auto"/>
        </w:rPr>
      </w:pPr>
      <w:r>
        <w:rPr>
          <w:rFonts w:ascii="Arial" w:cs="Arial" w:eastAsia="Arial" w:hAnsi="Arial"/>
          <w:sz w:val="22"/>
          <w:szCs w:val="22"/>
          <w:color w:val="auto"/>
        </w:rPr>
        <w:t>except as set forth in items (xii), (xiii), and (xiv) above, depreciation, interest and principal payments on mortgages and other debt costs, if any, penalties and interest, costs of capital repairs and alterations, and costs of capital improvements and equipment;</w:t>
      </w:r>
    </w:p>
    <w:p>
      <w:pPr>
        <w:spacing w:after="0" w:line="186" w:lineRule="exact"/>
        <w:rPr>
          <w:rFonts w:ascii="Arial" w:cs="Arial" w:eastAsia="Arial" w:hAnsi="Arial"/>
          <w:sz w:val="22"/>
          <w:szCs w:val="22"/>
          <w:color w:val="auto"/>
        </w:rPr>
      </w:pPr>
    </w:p>
    <w:p>
      <w:pPr>
        <w:jc w:val="both"/>
        <w:ind w:right="20" w:firstLine="2642"/>
        <w:spacing w:after="0"/>
        <w:tabs>
          <w:tab w:leader="none" w:pos="3432" w:val="left"/>
        </w:tabs>
        <w:numPr>
          <w:ilvl w:val="1"/>
          <w:numId w:val="13"/>
        </w:numPr>
        <w:rPr>
          <w:rFonts w:ascii="Arial" w:cs="Arial" w:eastAsia="Arial" w:hAnsi="Arial"/>
          <w:sz w:val="22"/>
          <w:szCs w:val="22"/>
          <w:color w:val="auto"/>
        </w:rPr>
      </w:pPr>
      <w:r>
        <w:rPr>
          <w:rFonts w:ascii="Arial" w:cs="Arial" w:eastAsia="Arial" w:hAnsi="Arial"/>
          <w:sz w:val="22"/>
          <w:szCs w:val="22"/>
          <w:color w:val="auto"/>
        </w:rPr>
        <w:t>costs for which the Landlord is reimbursed by any tenant or occupant of the Project under any warranty or by insurance by its carrier or any tenant's carrier or by anyone else, and electric power costs for which any tenant directly contracts with the local public service company;</w:t>
      </w:r>
    </w:p>
    <w:p>
      <w:pPr>
        <w:spacing w:after="0" w:line="186" w:lineRule="exact"/>
        <w:rPr>
          <w:rFonts w:ascii="Arial" w:cs="Arial" w:eastAsia="Arial" w:hAnsi="Arial"/>
          <w:sz w:val="22"/>
          <w:szCs w:val="22"/>
          <w:color w:val="auto"/>
        </w:rPr>
      </w:pPr>
    </w:p>
    <w:p>
      <w:pPr>
        <w:ind w:left="3460" w:hanging="818"/>
        <w:spacing w:after="0"/>
        <w:tabs>
          <w:tab w:leader="none" w:pos="34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any bad debt loss, rent loss, or reserves of any kind;</w:t>
      </w:r>
    </w:p>
    <w:p>
      <w:pPr>
        <w:spacing w:after="0" w:line="206" w:lineRule="exact"/>
        <w:rPr>
          <w:rFonts w:ascii="Arial" w:cs="Arial" w:eastAsia="Arial" w:hAnsi="Arial"/>
          <w:sz w:val="22"/>
          <w:szCs w:val="22"/>
          <w:color w:val="auto"/>
        </w:rPr>
      </w:pPr>
    </w:p>
    <w:p>
      <w:pPr>
        <w:jc w:val="both"/>
        <w:ind w:right="20" w:firstLine="2642"/>
        <w:spacing w:after="0" w:line="246" w:lineRule="auto"/>
        <w:tabs>
          <w:tab w:leader="none" w:pos="3432" w:val="left"/>
        </w:tabs>
        <w:numPr>
          <w:ilvl w:val="1"/>
          <w:numId w:val="13"/>
        </w:numPr>
        <w:rPr>
          <w:rFonts w:ascii="Arial" w:cs="Arial" w:eastAsia="Arial" w:hAnsi="Arial"/>
          <w:sz w:val="21"/>
          <w:szCs w:val="21"/>
          <w:color w:val="auto"/>
        </w:rPr>
      </w:pPr>
      <w:r>
        <w:rPr>
          <w:rFonts w:ascii="Arial" w:cs="Arial" w:eastAsia="Arial" w:hAnsi="Arial"/>
          <w:sz w:val="21"/>
          <w:szCs w:val="21"/>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between Landlord and other tenants or occupants, or between Landlord and any governmental agencies;</w:t>
      </w:r>
    </w:p>
    <w:p>
      <w:pPr>
        <w:spacing w:after="0" w:line="180" w:lineRule="exact"/>
        <w:rPr>
          <w:rFonts w:ascii="Arial" w:cs="Arial" w:eastAsia="Arial" w:hAnsi="Arial"/>
          <w:sz w:val="21"/>
          <w:szCs w:val="21"/>
          <w:color w:val="auto"/>
        </w:rPr>
      </w:pPr>
    </w:p>
    <w:p>
      <w:pPr>
        <w:jc w:val="both"/>
        <w:ind w:right="20" w:firstLine="2642"/>
        <w:spacing w:after="0" w:line="297" w:lineRule="auto"/>
        <w:tabs>
          <w:tab w:leader="none" w:pos="3408"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-10-</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Expenses for purposes of this Lease include wages and/or benefits attributable to personnel above the level of Project manager;</w:t>
      </w:r>
    </w:p>
    <w:p>
      <w:pPr>
        <w:spacing w:after="0" w:line="241" w:lineRule="exact"/>
        <w:rPr>
          <w:sz w:val="20"/>
          <w:szCs w:val="20"/>
          <w:color w:val="auto"/>
        </w:rPr>
      </w:pPr>
    </w:p>
    <w:p>
      <w:pPr>
        <w:ind w:left="3460" w:hanging="818"/>
        <w:spacing w:after="0"/>
        <w:tabs>
          <w:tab w:leader="none" w:pos="3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amount paid as ground rental for the Project by the Landlord;</w:t>
      </w:r>
    </w:p>
    <w:p>
      <w:pPr>
        <w:sectPr>
          <w:pgSz w:w="11900" w:h="16838" w:orient="portrait"/>
          <w:cols w:equalWidth="0" w:num="1">
            <w:col w:w="11440"/>
          </w:cols>
          <w:pgMar w:left="240" w:top="550" w:right="21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the Project to the extent the unaffiliated third parties;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both"/>
        <w:ind w:left="98" w:right="20" w:hanging="98"/>
        <w:spacing w:after="0" w:line="328" w:lineRule="auto"/>
        <w:tabs>
          <w:tab w:leader="none" w:pos="815" w:val="left"/>
        </w:tabs>
        <w:numPr>
          <w:ilvl w:val="0"/>
          <w:numId w:val="15"/>
        </w:numPr>
        <w:rPr>
          <w:rFonts w:ascii="Arial" w:cs="Arial" w:eastAsia="Arial" w:hAnsi="Arial"/>
          <w:sz w:val="19"/>
          <w:szCs w:val="19"/>
          <w:color w:val="auto"/>
        </w:rPr>
      </w:pPr>
      <w:r>
        <w:rPr>
          <w:rFonts w:ascii="Arial" w:cs="Arial" w:eastAsia="Arial" w:hAnsi="Arial"/>
          <w:sz w:val="19"/>
          <w:szCs w:val="19"/>
          <w:color w:val="auto"/>
        </w:rPr>
        <w:t>amounts paid to the Landlord or to subsidiaries or affiliates of the Landlord for services in same exceeds a competitive market rate for such services as rendered by qualified, first-class</w:t>
      </w:r>
    </w:p>
    <w:p>
      <w:pPr>
        <w:spacing w:after="0" w:line="348" w:lineRule="exact"/>
        <w:rPr>
          <w:sz w:val="20"/>
          <w:szCs w:val="20"/>
          <w:color w:val="auto"/>
        </w:rPr>
      </w:pPr>
    </w:p>
    <w:p>
      <w:pPr>
        <w:sectPr>
          <w:pgSz w:w="11900" w:h="16838" w:orient="portrait"/>
          <w:cols w:equalWidth="0" w:num="2">
            <w:col w:w="2640" w:space="2"/>
            <w:col w:w="8798"/>
          </w:cols>
          <w:pgMar w:left="240" w:top="550" w:right="219" w:bottom="1440" w:gutter="0" w:footer="0" w:header="0"/>
          <w:type w:val="continuous"/>
        </w:sectPr>
      </w:pPr>
    </w:p>
    <w:p>
      <w:pPr>
        <w:jc w:val="both"/>
        <w:ind w:right="20" w:firstLine="2642"/>
        <w:spacing w:after="0"/>
        <w:tabs>
          <w:tab w:leader="none" w:pos="3396"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86" w:lineRule="exact"/>
        <w:rPr>
          <w:rFonts w:ascii="Arial" w:cs="Arial" w:eastAsia="Arial" w:hAnsi="Arial"/>
          <w:sz w:val="22"/>
          <w:szCs w:val="22"/>
          <w:color w:val="auto"/>
        </w:rPr>
      </w:pPr>
    </w:p>
    <w:p>
      <w:pPr>
        <w:jc w:val="both"/>
        <w:ind w:right="20" w:firstLine="2642"/>
        <w:spacing w:after="0" w:line="287" w:lineRule="auto"/>
        <w:tabs>
          <w:tab w:leader="none" w:pos="3396"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rentals and other related expenses incurred in leasing air conditioning systems, elevators or other equipment, the cost of which would, if purchased,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143" w:lineRule="exact"/>
        <w:rPr>
          <w:rFonts w:ascii="Arial" w:cs="Arial" w:eastAsia="Arial" w:hAnsi="Arial"/>
          <w:sz w:val="19"/>
          <w:szCs w:val="19"/>
          <w:color w:val="auto"/>
        </w:rPr>
      </w:pPr>
    </w:p>
    <w:p>
      <w:pPr>
        <w:ind w:right="20" w:firstLine="2642"/>
        <w:spacing w:after="0" w:line="274" w:lineRule="auto"/>
        <w:tabs>
          <w:tab w:leader="none" w:pos="3444" w:val="left"/>
        </w:tabs>
        <w:numPr>
          <w:ilvl w:val="0"/>
          <w:numId w:val="16"/>
        </w:numPr>
        <w:rPr>
          <w:rFonts w:ascii="Arial" w:cs="Arial" w:eastAsia="Arial" w:hAnsi="Arial"/>
          <w:sz w:val="21"/>
          <w:szCs w:val="21"/>
          <w:color w:val="auto"/>
        </w:rPr>
      </w:pPr>
      <w:r>
        <w:rPr>
          <w:rFonts w:ascii="Arial" w:cs="Arial" w:eastAsia="Arial" w:hAnsi="Arial"/>
          <w:sz w:val="21"/>
          <w:szCs w:val="21"/>
          <w:color w:val="auto"/>
        </w:rPr>
        <w:t>all items and services for which Tenant or any other tenant in the Project reimburses Landlord or which Landlord provides selectively to one or more tenants (other than Tenant) without reimbursement;</w:t>
      </w:r>
    </w:p>
    <w:p>
      <w:pPr>
        <w:spacing w:after="0" w:line="150" w:lineRule="exact"/>
        <w:rPr>
          <w:rFonts w:ascii="Arial" w:cs="Arial" w:eastAsia="Arial" w:hAnsi="Arial"/>
          <w:sz w:val="21"/>
          <w:szCs w:val="21"/>
          <w:color w:val="auto"/>
        </w:rPr>
      </w:pPr>
    </w:p>
    <w:p>
      <w:pPr>
        <w:ind w:left="3400" w:hanging="758"/>
        <w:spacing w:after="0"/>
        <w:tabs>
          <w:tab w:leader="none" w:pos="3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any costs expressly excluded from Operating Expenses elsewhere in this Lease;</w:t>
      </w:r>
    </w:p>
    <w:p>
      <w:pPr>
        <w:spacing w:after="0" w:line="206" w:lineRule="exact"/>
        <w:rPr>
          <w:rFonts w:ascii="Arial" w:cs="Arial" w:eastAsia="Arial" w:hAnsi="Arial"/>
          <w:sz w:val="22"/>
          <w:szCs w:val="22"/>
          <w:color w:val="auto"/>
        </w:rPr>
      </w:pPr>
    </w:p>
    <w:p>
      <w:pPr>
        <w:jc w:val="both"/>
        <w:ind w:right="20" w:firstLine="2642"/>
        <w:spacing w:after="0" w:line="297" w:lineRule="auto"/>
        <w:tabs>
          <w:tab w:leader="none" w:pos="3504"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ectPr>
          <w:pgSz w:w="11900" w:h="16838" w:orient="portrait"/>
          <w:cols w:equalWidth="0" w:num="1">
            <w:col w:w="11440"/>
          </w:cols>
          <w:pgMar w:left="240" w:top="550" w:right="219" w:bottom="1440" w:gutter="0" w:footer="0" w:header="0"/>
          <w:type w:val="continuous"/>
        </w:sectPr>
      </w:pPr>
    </w:p>
    <w:p>
      <w:pPr>
        <w:spacing w:after="0" w:line="134"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Landlord or its agents, employees,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Landlord’s property manager);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20" w:firstLine="166"/>
        <w:spacing w:after="0" w:line="328" w:lineRule="auto"/>
        <w:rPr>
          <w:sz w:val="20"/>
          <w:szCs w:val="20"/>
          <w:color w:val="auto"/>
        </w:rPr>
      </w:pPr>
      <w:r>
        <w:rPr>
          <w:rFonts w:ascii="Arial" w:cs="Arial" w:eastAsia="Arial" w:hAnsi="Arial"/>
          <w:sz w:val="19"/>
          <w:szCs w:val="19"/>
          <w:color w:val="auto"/>
        </w:rPr>
        <w:t>costs arising from property damage resulting from the negligence or willful misconduct of vendors, contractors, or providers of materials or services (including, without limitation,</w:t>
      </w:r>
    </w:p>
    <w:p>
      <w:pPr>
        <w:spacing w:after="0" w:line="347" w:lineRule="exact"/>
        <w:rPr>
          <w:sz w:val="20"/>
          <w:szCs w:val="20"/>
          <w:color w:val="auto"/>
        </w:rPr>
      </w:pPr>
    </w:p>
    <w:p>
      <w:pPr>
        <w:sectPr>
          <w:pgSz w:w="11900" w:h="16838" w:orient="portrait"/>
          <w:cols w:equalWidth="0" w:num="2">
            <w:col w:w="3180" w:space="100"/>
            <w:col w:w="8160"/>
          </w:cols>
          <w:pgMar w:left="240" w:top="550" w:right="219" w:bottom="1440" w:gutter="0" w:footer="0" w:header="0"/>
          <w:type w:val="continuous"/>
        </w:sectPr>
      </w:pPr>
    </w:p>
    <w:p>
      <w:pPr>
        <w:jc w:val="both"/>
        <w:ind w:right="20" w:firstLine="2642"/>
        <w:spacing w:after="0" w:line="273" w:lineRule="auto"/>
        <w:tabs>
          <w:tab w:leader="none" w:pos="3444" w:val="left"/>
        </w:tabs>
        <w:numPr>
          <w:ilvl w:val="0"/>
          <w:numId w:val="17"/>
        </w:numPr>
        <w:rPr>
          <w:rFonts w:ascii="Arial" w:cs="Arial" w:eastAsia="Arial" w:hAnsi="Arial"/>
          <w:sz w:val="19"/>
          <w:szCs w:val="19"/>
          <w:color w:val="auto"/>
        </w:rPr>
      </w:pPr>
      <w:r>
        <w:rPr>
          <w:rFonts w:ascii="Arial" w:cs="Arial" w:eastAsia="Arial" w:hAnsi="Arial"/>
          <w:sz w:val="19"/>
          <w:szCs w:val="19"/>
          <w:color w:val="auto"/>
        </w:rPr>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-11-</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type w:val="continuous"/>
        </w:sectPr>
      </w:pPr>
    </w:p>
    <w:bookmarkStart w:id="49" w:name="page50"/>
    <w:bookmarkEnd w:id="49"/>
    <w:p>
      <w:pPr>
        <w:ind w:left="3460" w:hanging="818"/>
        <w:spacing w:after="0"/>
        <w:tabs>
          <w:tab w:leader="none" w:pos="34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costs which constitute (or are expressly excluded from the definition of) Tax Expenses;</w:t>
      </w:r>
    </w:p>
    <w:p>
      <w:pPr>
        <w:spacing w:after="0" w:line="240" w:lineRule="exact"/>
        <w:rPr>
          <w:rFonts w:ascii="Arial" w:cs="Arial" w:eastAsia="Arial" w:hAnsi="Arial"/>
          <w:sz w:val="19"/>
          <w:szCs w:val="19"/>
          <w:color w:val="auto"/>
        </w:rPr>
      </w:pPr>
    </w:p>
    <w:p>
      <w:pPr>
        <w:ind w:left="3460" w:hanging="818"/>
        <w:spacing w:after="0"/>
        <w:tabs>
          <w:tab w:leader="none" w:pos="34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cost of repairs, alterations or replacements caused by the exercise of rights of eminent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domain;</w:t>
      </w:r>
    </w:p>
    <w:p>
      <w:pPr>
        <w:spacing w:after="0" w:line="188" w:lineRule="exact"/>
        <w:rPr>
          <w:sz w:val="20"/>
          <w:szCs w:val="20"/>
          <w:color w:val="auto"/>
        </w:rPr>
      </w:pPr>
    </w:p>
    <w:p>
      <w:pPr>
        <w:ind w:left="3400" w:hanging="758"/>
        <w:spacing w:after="0"/>
        <w:tabs>
          <w:tab w:leader="none" w:pos="34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court costs and legal fees incurred with regard to enforcing the obligations of tenants under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other leases;</w:t>
      </w:r>
    </w:p>
    <w:p>
      <w:pPr>
        <w:spacing w:after="0" w:line="188" w:lineRule="exact"/>
        <w:rPr>
          <w:sz w:val="20"/>
          <w:szCs w:val="20"/>
          <w:color w:val="auto"/>
        </w:rPr>
      </w:pPr>
    </w:p>
    <w:p>
      <w:pPr>
        <w:ind w:right="280" w:firstLine="2642"/>
        <w:spacing w:after="0" w:line="251" w:lineRule="auto"/>
        <w:tabs>
          <w:tab w:leader="none" w:pos="34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costs incurred as a result of Landlord's violation of Applicable Laws or any lease or other agreement to which Landlord is a party;</w:t>
      </w:r>
    </w:p>
    <w:p>
      <w:pPr>
        <w:spacing w:after="0" w:line="173" w:lineRule="exact"/>
        <w:rPr>
          <w:rFonts w:ascii="Arial" w:cs="Arial" w:eastAsia="Arial" w:hAnsi="Arial"/>
          <w:sz w:val="22"/>
          <w:szCs w:val="22"/>
          <w:color w:val="auto"/>
        </w:rPr>
      </w:pPr>
    </w:p>
    <w:p>
      <w:pPr>
        <w:ind w:right="440" w:firstLine="2642"/>
        <w:spacing w:after="0" w:line="251" w:lineRule="auto"/>
        <w:tabs>
          <w:tab w:leader="none" w:pos="3396" w:val="left"/>
        </w:tabs>
        <w:numPr>
          <w:ilvl w:val="0"/>
          <w:numId w:val="20"/>
        </w:numPr>
        <w:rPr>
          <w:rFonts w:ascii="Arial" w:cs="Arial" w:eastAsia="Arial" w:hAnsi="Arial"/>
          <w:sz w:val="22"/>
          <w:szCs w:val="22"/>
          <w:color w:val="auto"/>
        </w:rPr>
      </w:pPr>
      <w:r>
        <w:rPr>
          <w:rFonts w:ascii="Arial" w:cs="Arial" w:eastAsia="Arial" w:hAnsi="Arial"/>
          <w:sz w:val="22"/>
          <w:szCs w:val="22"/>
          <w:color w:val="auto"/>
        </w:rPr>
        <w:t>costs incurred to correct an instance of non-compliance with Applicable Laws that were enacted and enforceable against the Project prior to the date hereof;</w:t>
      </w:r>
    </w:p>
    <w:p>
      <w:pPr>
        <w:spacing w:after="0" w:line="173" w:lineRule="exact"/>
        <w:rPr>
          <w:rFonts w:ascii="Arial" w:cs="Arial" w:eastAsia="Arial" w:hAnsi="Arial"/>
          <w:sz w:val="22"/>
          <w:szCs w:val="22"/>
          <w:color w:val="auto"/>
        </w:rPr>
      </w:pPr>
    </w:p>
    <w:p>
      <w:pPr>
        <w:ind w:left="3460" w:hanging="818"/>
        <w:spacing w:after="0"/>
        <w:tabs>
          <w:tab w:leader="none" w:pos="34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costs for purchase of sculptures, paintings or other objects of art, or the display of such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items in the Building or the Project;</w:t>
      </w:r>
    </w:p>
    <w:p>
      <w:pPr>
        <w:spacing w:after="0" w:line="188" w:lineRule="exact"/>
        <w:rPr>
          <w:rFonts w:ascii="Arial" w:cs="Arial" w:eastAsia="Arial" w:hAnsi="Arial"/>
          <w:sz w:val="19"/>
          <w:szCs w:val="19"/>
          <w:color w:val="auto"/>
        </w:rPr>
      </w:pPr>
    </w:p>
    <w:p>
      <w:pPr>
        <w:ind w:right="160" w:firstLine="2642"/>
        <w:spacing w:after="0" w:line="251" w:lineRule="auto"/>
        <w:tabs>
          <w:tab w:leader="none" w:pos="343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costs, fees, dues, contributions or similar expenses for political or charitable organizations, as well as the cost of any newspaper, magazine, trade publication or other subscription.</w:t>
      </w:r>
    </w:p>
    <w:p>
      <w:pPr>
        <w:spacing w:after="0" w:line="173"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9"/>
          <w:szCs w:val="19"/>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one hundred percent (100%) occupied during all or a portion of the Base Year or any Expense Year, Landlord shall make an appropriate adjustment to the components of Operating Expenses for such year to determine the amount of Operating Expenses that would have been incurred had the Project been one hundred percent (100%) occupied; and the amount so determined shall be deemed to have been the amount of Operating Expenses for such year. Operating Expenses for the Base Year shall include market-wide cost increases due to extraordinary circumstances, including, but not limited to, Force Majeure, boycotts, strikes, conservation surcharges, embargoes or shortages, or amortized costs relating to capital improvements (collectively, the “</w:t>
      </w:r>
      <w:r>
        <w:rPr>
          <w:rFonts w:ascii="Arial" w:cs="Arial" w:eastAsia="Arial" w:hAnsi="Arial"/>
          <w:sz w:val="19"/>
          <w:szCs w:val="19"/>
          <w:b w:val="1"/>
          <w:bCs w:val="1"/>
          <w:color w:val="auto"/>
        </w:rPr>
        <w:t>Temporary Costs</w:t>
      </w:r>
      <w:r>
        <w:rPr>
          <w:rFonts w:ascii="Arial" w:cs="Arial" w:eastAsia="Arial" w:hAnsi="Arial"/>
          <w:sz w:val="19"/>
          <w:szCs w:val="19"/>
          <w:color w:val="auto"/>
        </w:rPr>
        <w:t>”), provided that at such time as any such Temporary Costs are no longer included in Operating Expenses, Operating Expenses for the Base Year shall be adjusted to remove such costs. In no event shall the components of Direct Expenses for any Expense Year related to Taxes, Project insurance, security or utility costs be less than the components of Direct Expenses related to Taxes, Project insurance, security or utility costs, respectively, in the Base Year.</w:t>
      </w:r>
    </w:p>
    <w:p>
      <w:pPr>
        <w:spacing w:after="0" w:line="165"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22"/>
          <w:szCs w:val="22"/>
          <w:color w:val="auto"/>
        </w:rPr>
        <w:t xml:space="preserve">Notwithstanding any provision to the contrary set forth in this </w:t>
      </w:r>
      <w:r>
        <w:rPr>
          <w:rFonts w:ascii="Arial" w:cs="Arial" w:eastAsia="Arial" w:hAnsi="Arial"/>
          <w:sz w:val="22"/>
          <w:szCs w:val="22"/>
          <w:u w:val="single" w:color="auto"/>
          <w:color w:val="auto"/>
        </w:rPr>
        <w:t>Section 4.2.4</w:t>
      </w:r>
      <w:r>
        <w:rPr>
          <w:rFonts w:ascii="Arial" w:cs="Arial" w:eastAsia="Arial" w:hAnsi="Arial"/>
          <w:sz w:val="22"/>
          <w:szCs w:val="22"/>
          <w:color w:val="auto"/>
        </w:rPr>
        <w:t>, in no event shall those components of Operating Expenses constituting "Controllable Expenses" (defined below) in any particular Expense Year, exceed on an aggregate basis for any year after the Base Year, the amount that Controllable Expenses would have been had the Controllable Expenses included in the Base Year increased by five percent (5%) per year for each year following the Base Year (on a cumulative and compounding basis). For purposes of this Lease, “</w:t>
      </w:r>
      <w:r>
        <w:rPr>
          <w:rFonts w:ascii="Arial" w:cs="Arial" w:eastAsia="Arial" w:hAnsi="Arial"/>
          <w:sz w:val="22"/>
          <w:szCs w:val="22"/>
          <w:b w:val="1"/>
          <w:bCs w:val="1"/>
          <w:color w:val="auto"/>
        </w:rPr>
        <w:t>Controllable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-12-</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0" w:name="page51"/>
    <w:bookmarkEnd w:id="50"/>
    <w:p>
      <w:pPr>
        <w:jc w:val="both"/>
        <w:ind w:right="20"/>
        <w:spacing w:after="0" w:line="251" w:lineRule="auto"/>
        <w:rPr>
          <w:sz w:val="20"/>
          <w:szCs w:val="20"/>
          <w:color w:val="auto"/>
        </w:rPr>
      </w:pPr>
      <w:r>
        <w:rPr>
          <w:rFonts w:ascii="Arial" w:cs="Arial" w:eastAsia="Arial" w:hAnsi="Arial"/>
          <w:sz w:val="21"/>
          <w:szCs w:val="21"/>
          <w:b w:val="1"/>
          <w:bCs w:val="1"/>
          <w:color w:val="auto"/>
        </w:rPr>
        <w:t>Expenses</w:t>
      </w:r>
      <w:r>
        <w:rPr>
          <w:rFonts w:ascii="Arial" w:cs="Arial" w:eastAsia="Arial" w:hAnsi="Arial"/>
          <w:sz w:val="18"/>
          <w:szCs w:val="18"/>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all Operating Expenses other than (A) utilities, insurance, or taxes or other governmentally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(B) the cost of union labor (including janitorial staff and security personnel), including labor which is not union as of the date of this Lease but which unionizes after the date of this Lease, (C) market-wide labor-rate increases due to extraordinary circumstances, including without limitation, boycotts and strikes, (E) costs incurred due to an event of Force Majeure, and (E) costs incurred to comply with laws first enacted or enforceable against the Project after the date hereof.</w:t>
      </w:r>
    </w:p>
    <w:p>
      <w:pPr>
        <w:spacing w:after="0" w:line="146"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1920" w:type="dxa"/>
            <w:vAlign w:val="bottom"/>
          </w:tcPr>
          <w:p>
            <w:pPr>
              <w:jc w:val="right"/>
              <w:ind w:right="1372"/>
              <w:spacing w:after="0"/>
              <w:rPr>
                <w:sz w:val="20"/>
                <w:szCs w:val="20"/>
                <w:color w:val="auto"/>
              </w:rPr>
            </w:pPr>
            <w:r>
              <w:rPr>
                <w:rFonts w:ascii="Arial" w:cs="Arial" w:eastAsia="Arial" w:hAnsi="Arial"/>
                <w:sz w:val="22"/>
                <w:szCs w:val="22"/>
                <w:color w:val="auto"/>
                <w:w w:val="85"/>
              </w:rPr>
              <w:t>4.2.5</w:t>
            </w:r>
          </w:p>
        </w:tc>
        <w:tc>
          <w:tcPr>
            <w:tcW w:w="7740" w:type="dxa"/>
            <w:vAlign w:val="bottom"/>
            <w:gridSpan w:val="3"/>
          </w:tcPr>
          <w:p>
            <w:pPr>
              <w:ind w:left="460"/>
              <w:spacing w:after="0"/>
              <w:rPr>
                <w:sz w:val="20"/>
                <w:szCs w:val="20"/>
                <w:color w:val="auto"/>
              </w:rPr>
            </w:pPr>
            <w:r>
              <w:rPr>
                <w:rFonts w:ascii="Arial" w:cs="Arial" w:eastAsia="Arial" w:hAnsi="Arial"/>
                <w:sz w:val="22"/>
                <w:szCs w:val="22"/>
                <w:b w:val="1"/>
                <w:bCs w:val="1"/>
                <w:color w:val="auto"/>
              </w:rPr>
              <w:t>Taxes</w:t>
            </w:r>
            <w:r>
              <w:rPr>
                <w:rFonts w:ascii="Arial" w:cs="Arial" w:eastAsia="Arial" w:hAnsi="Arial"/>
                <w:sz w:val="22"/>
                <w:szCs w:val="22"/>
                <w:color w:val="auto"/>
              </w:rPr>
              <w:t>.</w:t>
            </w:r>
          </w:p>
        </w:tc>
      </w:tr>
      <w:tr>
        <w:trPr>
          <w:trHeight w:val="476"/>
        </w:trPr>
        <w:tc>
          <w:tcPr>
            <w:tcW w:w="1920" w:type="dxa"/>
            <w:vAlign w:val="bottom"/>
          </w:tcPr>
          <w:p>
            <w:pPr>
              <w:jc w:val="right"/>
              <w:ind w:right="332"/>
              <w:spacing w:after="0"/>
              <w:rPr>
                <w:sz w:val="20"/>
                <w:szCs w:val="20"/>
                <w:color w:val="auto"/>
              </w:rPr>
            </w:pPr>
            <w:r>
              <w:rPr>
                <w:rFonts w:ascii="Arial" w:cs="Arial" w:eastAsia="Arial" w:hAnsi="Arial"/>
                <w:sz w:val="22"/>
                <w:szCs w:val="22"/>
                <w:color w:val="auto"/>
              </w:rPr>
              <w:t>4.2.5.1</w:t>
            </w:r>
          </w:p>
        </w:tc>
        <w:tc>
          <w:tcPr>
            <w:tcW w:w="4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760" w:type="dxa"/>
            <w:vAlign w:val="bottom"/>
          </w:tcPr>
          <w:p>
            <w:pPr>
              <w:ind w:left="116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Tax Expenses</w:t>
            </w:r>
            <w:r>
              <w:rPr>
                <w:rFonts w:ascii="Arial" w:cs="Arial" w:eastAsia="Arial" w:hAnsi="Arial"/>
                <w:sz w:val="22"/>
                <w:szCs w:val="22"/>
                <w:color w:val="auto"/>
                <w:w w:val="93"/>
              </w:rPr>
              <w:t>" shall mean all federal, state, county, or local</w:t>
            </w:r>
          </w:p>
        </w:tc>
      </w:tr>
    </w:tbl>
    <w:p>
      <w:pPr>
        <w:jc w:val="both"/>
        <w:ind w:right="20"/>
        <w:spacing w:after="0" w:line="273" w:lineRule="auto"/>
        <w:rPr>
          <w:sz w:val="20"/>
          <w:szCs w:val="20"/>
          <w:color w:val="auto"/>
        </w:rPr>
      </w:pPr>
      <w:r>
        <w:rPr>
          <w:rFonts w:ascii="Arial" w:cs="Arial" w:eastAsia="Arial" w:hAnsi="Arial"/>
          <w:sz w:val="19"/>
          <w:szCs w:val="19"/>
          <w:color w:val="auto"/>
        </w:rPr>
        <w:t>governmental or municipal taxes, fees, charges or other impositions of every kind and nature, whether general, special, ordinary or extraordinary, (including, without limitation, real estate taxes, real estate excise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60" w:lineRule="exact"/>
        <w:rPr>
          <w:sz w:val="20"/>
          <w:szCs w:val="20"/>
          <w:color w:val="auto"/>
        </w:rPr>
      </w:pPr>
    </w:p>
    <w:p>
      <w:pPr>
        <w:jc w:val="both"/>
        <w:ind w:right="20" w:firstLine="2634"/>
        <w:spacing w:after="0" w:line="270" w:lineRule="auto"/>
        <w:rPr>
          <w:sz w:val="20"/>
          <w:szCs w:val="20"/>
          <w:color w:val="auto"/>
        </w:rPr>
      </w:pPr>
      <w:r>
        <w:rPr>
          <w:rFonts w:ascii="Arial" w:cs="Arial" w:eastAsia="Arial" w:hAnsi="Arial"/>
          <w:sz w:val="19"/>
          <w:szCs w:val="19"/>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9"/>
          <w:szCs w:val="19"/>
          <w:b w:val="1"/>
          <w:bCs w:val="1"/>
          <w:color w:val="auto"/>
        </w:rPr>
        <w:t>Proposition 13</w:t>
      </w:r>
      <w:r>
        <w:rPr>
          <w:rFonts w:ascii="Arial" w:cs="Arial" w:eastAsia="Arial" w:hAnsi="Arial"/>
          <w:sz w:val="19"/>
          <w:szCs w:val="19"/>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 All assessments which can be paid by Landlord in installments, shall be paid by Landlord in the maximum number of installments permitted by law (except to the extent inconsistent with the general practice of landlords of the Comparable Buildings) and each installment shall be included as Tax Expenses in the year in which the installment is actually paid.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-13-</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51" w:name="page52"/>
    <w:bookmarkEnd w:id="51"/>
    <w:p>
      <w:pPr>
        <w:jc w:val="both"/>
        <w:ind w:right="20" w:firstLine="2634"/>
        <w:spacing w:after="0" w:line="271" w:lineRule="auto"/>
        <w:rPr>
          <w:sz w:val="20"/>
          <w:szCs w:val="20"/>
          <w:color w:val="auto"/>
        </w:rPr>
      </w:pPr>
      <w:r>
        <w:rPr>
          <w:rFonts w:ascii="Arial" w:cs="Arial" w:eastAsia="Arial" w:hAnsi="Arial"/>
          <w:sz w:val="19"/>
          <w:szCs w:val="19"/>
          <w:color w:val="auto"/>
        </w:rPr>
        <w:t xml:space="preserve">4.2.5.3 If Tax Expenses for any period during the Lease Term or any extension thereof are increased after payment thereof for any reason, including, without limitation, error or reassessment by applicable governmental or municipal authorities, subject to the terms of the last sentence of </w:t>
      </w:r>
      <w:r>
        <w:rPr>
          <w:rFonts w:ascii="Arial" w:cs="Arial" w:eastAsia="Arial" w:hAnsi="Arial"/>
          <w:sz w:val="19"/>
          <w:szCs w:val="19"/>
          <w:u w:val="single" w:color="auto"/>
          <w:color w:val="auto"/>
        </w:rPr>
        <w:t>Section 4.2.5.1</w:t>
      </w:r>
      <w:r>
        <w:rPr>
          <w:rFonts w:ascii="Arial" w:cs="Arial" w:eastAsia="Arial" w:hAnsi="Arial"/>
          <w:sz w:val="19"/>
          <w:szCs w:val="19"/>
          <w:color w:val="auto"/>
        </w:rPr>
        <w:t xml:space="preserve">, above, Tenant shall pay Landlord upon demand Tenant's Share of any such increased Tax Expenses included by Landlord as Tax Expenses pursuant to the terms of this Lease. Notwithstanding anything to the contrary contained in this </w:t>
      </w:r>
      <w:r>
        <w:rPr>
          <w:rFonts w:ascii="Arial" w:cs="Arial" w:eastAsia="Arial" w:hAnsi="Arial"/>
          <w:sz w:val="19"/>
          <w:szCs w:val="19"/>
          <w:u w:val="single" w:color="auto"/>
          <w:color w:val="auto"/>
        </w:rPr>
        <w:t>Section 4.2.5</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4.2.5.1</w:t>
      </w:r>
      <w:r>
        <w:rPr>
          <w:rFonts w:ascii="Arial" w:cs="Arial" w:eastAsia="Arial" w:hAnsi="Arial"/>
          <w:sz w:val="19"/>
          <w:szCs w:val="19"/>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of this Lease, (iv) amounts excluded from Tax Expenses pursuant to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below, and (v) tax penalties incurred as a result of Landlord’s failure to make payments and/or to file any tax or informational returns when due. If the property tax assessment for the Project (or any portion thereof) (or Tax Expenses) for the Base Year or any Expense Year does not reflect an assessment (or Tax Expenses) for a one hundred percent (100%) leased, completed and occupied project (such that existing or future leasing, tenant improvements and/or occupancy may result in an increased assessment and/or increased Tax Expenses), Tax Expenses shall be adjusted, on a basis consistent with sound real estate accounting principles, to reflect an assessment for (and Tax Expenses for) a one hundred percent (100%) leased, completed and occupied project.</w:t>
      </w:r>
    </w:p>
    <w:p>
      <w:pPr>
        <w:spacing w:after="0" w:line="200" w:lineRule="exact"/>
        <w:rPr>
          <w:sz w:val="20"/>
          <w:szCs w:val="20"/>
          <w:color w:val="auto"/>
        </w:rPr>
      </w:pPr>
    </w:p>
    <w:p>
      <w:pPr>
        <w:spacing w:after="0" w:line="205" w:lineRule="exact"/>
        <w:rPr>
          <w:sz w:val="20"/>
          <w:szCs w:val="20"/>
          <w:color w:val="auto"/>
        </w:rPr>
      </w:pPr>
    </w:p>
    <w:p>
      <w:pPr>
        <w:jc w:val="both"/>
        <w:ind w:right="20" w:firstLine="2634"/>
        <w:spacing w:after="0" w:line="243" w:lineRule="auto"/>
        <w:rPr>
          <w:sz w:val="20"/>
          <w:szCs w:val="20"/>
          <w:color w:val="auto"/>
        </w:rPr>
      </w:pPr>
      <w:r>
        <w:rPr>
          <w:rFonts w:ascii="Arial" w:cs="Arial" w:eastAsia="Arial" w:hAnsi="Arial"/>
          <w:sz w:val="21"/>
          <w:szCs w:val="21"/>
          <w:color w:val="auto"/>
        </w:rPr>
        <w:t>4.2.5.4 Notwithstanding anything to the contrary set forth in this Lease, the amount of Tax Expenses for the Base Year and any Expense Year shall be calculated without taking into account any decreases in real estate taxes obtained in connection with Proposition 8, and, therefore, the Tax Expenses in the Base Year and/or an Expense Year may be greater than those actually incurred by Landlord, but shall, nonetheless, be the Tax Expenses due under this Lease; provided that (i) any costs and expenses incurred by Landlord in securing any Proposition 8 reduction shall not be deducted from Tax Expenses nor included in Direct Expenses for purposes of this Lease, and (ii) tax refunds under Proposition 8 shall not be deducted from Tax Expenses nor refunded to Tenant, but rather shall be the sole property of Landlord. Landlord and Tenant acknowledge that the preceding sentence is not intended to in any way affect (A) the inclusion in Tax Expenses of the statutory two percent (2.0%) annual increase in Tax Expenses (as such statutory increase may be modified by subsequent legislation), or (B) the inclusion or exclusion of Tax Expenses pursuant to the terms of Proposition 13. Notwithstanding anything to the contrary set forth in this Lease, only Landlord may institute proceedings to reduce Tax Expenses and the filing of any such proceeding by Tenant without Landlord's consent shall constitute an event of default by Tenant under this Lease. Notwithstanding the foregoing, Landlord shall not be obligated to file any application or institute any proceeding seeking a reduction in Tax Expenses. The amount of Tax Expenses for the Base Year attributable to the valuation of the Project, inclusive of tenant improvements, shall be known as the "</w:t>
      </w:r>
      <w:r>
        <w:rPr>
          <w:rFonts w:ascii="Arial" w:cs="Arial" w:eastAsia="Arial" w:hAnsi="Arial"/>
          <w:sz w:val="21"/>
          <w:szCs w:val="21"/>
          <w:b w:val="1"/>
          <w:bCs w:val="1"/>
          <w:color w:val="auto"/>
        </w:rPr>
        <w:t>Base Taxes</w:t>
      </w:r>
      <w:r>
        <w:rPr>
          <w:rFonts w:ascii="Arial" w:cs="Arial" w:eastAsia="Arial" w:hAnsi="Arial"/>
          <w:sz w:val="21"/>
          <w:szCs w:val="21"/>
          <w:color w:val="auto"/>
        </w:rPr>
        <w:t>".</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580" w:type="dxa"/>
            <w:vAlign w:val="bottom"/>
          </w:tcPr>
          <w:p>
            <w:pPr>
              <w:jc w:val="right"/>
              <w:ind w:right="152"/>
              <w:spacing w:after="0"/>
              <w:rPr>
                <w:sz w:val="20"/>
                <w:szCs w:val="20"/>
                <w:color w:val="auto"/>
              </w:rPr>
            </w:pPr>
            <w:r>
              <w:rPr>
                <w:rFonts w:ascii="Arial" w:cs="Arial" w:eastAsia="Arial" w:hAnsi="Arial"/>
                <w:sz w:val="22"/>
                <w:szCs w:val="22"/>
                <w:color w:val="auto"/>
              </w:rPr>
              <w:t>4.2.6</w:t>
            </w:r>
          </w:p>
        </w:tc>
        <w:tc>
          <w:tcPr>
            <w:tcW w:w="980" w:type="dxa"/>
            <w:vAlign w:val="bottom"/>
          </w:tcPr>
          <w:p>
            <w:pPr>
              <w:spacing w:after="0"/>
              <w:rPr>
                <w:sz w:val="21"/>
                <w:szCs w:val="21"/>
                <w:color w:val="auto"/>
              </w:rPr>
            </w:pPr>
          </w:p>
        </w:tc>
        <w:tc>
          <w:tcPr>
            <w:tcW w:w="7980" w:type="dxa"/>
            <w:vAlign w:val="bottom"/>
            <w:gridSpan w:val="3"/>
          </w:tcPr>
          <w:p>
            <w:pPr>
              <w:ind w:left="70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Tenant's Share</w:t>
            </w:r>
            <w:r>
              <w:rPr>
                <w:rFonts w:ascii="Arial" w:cs="Arial" w:eastAsia="Arial" w:hAnsi="Arial"/>
                <w:sz w:val="22"/>
                <w:szCs w:val="22"/>
                <w:color w:val="auto"/>
                <w:w w:val="89"/>
              </w:rPr>
              <w:t>" shall mean the percentage set forth in Section 6 of the Summary.</w:t>
            </w:r>
          </w:p>
        </w:tc>
      </w:tr>
      <w:tr>
        <w:trPr>
          <w:trHeight w:val="20"/>
        </w:trPr>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1580" w:type="dxa"/>
            <w:vAlign w:val="bottom"/>
          </w:tcPr>
          <w:p>
            <w:pPr>
              <w:jc w:val="right"/>
              <w:ind w:right="1192"/>
              <w:spacing w:after="0"/>
              <w:rPr>
                <w:sz w:val="20"/>
                <w:szCs w:val="20"/>
                <w:color w:val="auto"/>
              </w:rPr>
            </w:pPr>
            <w:r>
              <w:rPr>
                <w:rFonts w:ascii="Arial" w:cs="Arial" w:eastAsia="Arial" w:hAnsi="Arial"/>
                <w:sz w:val="22"/>
                <w:szCs w:val="22"/>
                <w:color w:val="auto"/>
                <w:w w:val="84"/>
              </w:rPr>
              <w:t>4.3</w:t>
            </w:r>
          </w:p>
        </w:tc>
        <w:tc>
          <w:tcPr>
            <w:tcW w:w="8960" w:type="dxa"/>
            <w:vAlign w:val="bottom"/>
            <w:gridSpan w:val="4"/>
          </w:tcPr>
          <w:p>
            <w:pPr>
              <w:spacing w:after="0"/>
              <w:rPr>
                <w:sz w:val="20"/>
                <w:szCs w:val="20"/>
                <w:color w:val="auto"/>
              </w:rPr>
            </w:pPr>
            <w:r>
              <w:rPr>
                <w:rFonts w:ascii="Arial" w:cs="Arial" w:eastAsia="Arial" w:hAnsi="Arial"/>
                <w:sz w:val="22"/>
                <w:szCs w:val="22"/>
                <w:b w:val="1"/>
                <w:bCs w:val="1"/>
                <w:color w:val="auto"/>
                <w:w w:val="93"/>
              </w:rPr>
              <w:t>Cost Pools</w:t>
            </w:r>
            <w:r>
              <w:rPr>
                <w:rFonts w:ascii="Arial" w:cs="Arial" w:eastAsia="Arial" w:hAnsi="Arial"/>
                <w:sz w:val="22"/>
                <w:szCs w:val="22"/>
                <w:color w:val="auto"/>
                <w:w w:val="93"/>
              </w:rPr>
              <w:t>. Landlord shall have the right, from time to time, to equitably allocate some or all of the</w:t>
            </w:r>
          </w:p>
        </w:tc>
      </w:tr>
      <w:tr>
        <w:trPr>
          <w:trHeight w:val="20"/>
        </w:trPr>
        <w:tc>
          <w:tcPr>
            <w:tcW w:w="1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jc w:val="both"/>
        <w:ind w:right="20"/>
        <w:spacing w:after="0" w:line="256" w:lineRule="auto"/>
        <w:rPr>
          <w:sz w:val="20"/>
          <w:szCs w:val="20"/>
          <w:color w:val="auto"/>
        </w:rPr>
      </w:pPr>
      <w:r>
        <w:rPr>
          <w:rFonts w:ascii="Arial" w:cs="Arial" w:eastAsia="Arial" w:hAnsi="Arial"/>
          <w:sz w:val="22"/>
          <w:szCs w:val="22"/>
          <w:color w:val="auto"/>
        </w:rPr>
        <w:t>Direct Expenses for the Project among different portions or occupants of the Project (the "</w:t>
      </w:r>
      <w:r>
        <w:rPr>
          <w:rFonts w:ascii="Arial" w:cs="Arial" w:eastAsia="Arial" w:hAnsi="Arial"/>
          <w:sz w:val="22"/>
          <w:szCs w:val="22"/>
          <w:b w:val="1"/>
          <w:bCs w:val="1"/>
          <w:color w:val="auto"/>
        </w:rPr>
        <w:t>Cost Pools</w:t>
      </w:r>
      <w:r>
        <w:rPr>
          <w:rFonts w:ascii="Arial" w:cs="Arial" w:eastAsia="Arial" w:hAnsi="Arial"/>
          <w:sz w:val="22"/>
          <w:szCs w:val="22"/>
          <w:color w:val="auto"/>
        </w:rPr>
        <w:t>"), in Landlord's reasonable discretion and upon reasonable prior written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-14-</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2" w:name="page53"/>
    <w:bookmarkEnd w:id="52"/>
    <w:p>
      <w:pPr>
        <w:jc w:val="both"/>
        <w:ind w:right="20"/>
        <w:spacing w:after="0" w:line="236" w:lineRule="auto"/>
        <w:rPr>
          <w:sz w:val="20"/>
          <w:szCs w:val="20"/>
          <w:color w:val="auto"/>
        </w:rPr>
      </w:pPr>
      <w:r>
        <w:rPr>
          <w:rFonts w:ascii="Arial" w:cs="Arial" w:eastAsia="Arial" w:hAnsi="Arial"/>
          <w:sz w:val="22"/>
          <w:szCs w:val="22"/>
          <w:color w:val="auto"/>
        </w:rPr>
        <w:t>notice to Tenant. Such Cost Pools may include, but shall not be limited to, the office space tenants of a building of the Project or of the Project, and the retail space tenants of a building of the Project or of the Project. The Direct Expenses within each such Cost Pool shall be allocated and charged to the tenants within such Cost Pool in an equitable manner, and on a consistent basis from the Base Year to any Expense Year, including with respect to the inclusion or exclusion of items pertaining to the adjacent retail building that is part of the Project.</w:t>
      </w:r>
    </w:p>
    <w:p>
      <w:pPr>
        <w:spacing w:after="0" w:line="182" w:lineRule="exact"/>
        <w:rPr>
          <w:sz w:val="20"/>
          <w:szCs w:val="20"/>
          <w:color w:val="auto"/>
        </w:rPr>
      </w:pPr>
    </w:p>
    <w:p>
      <w:pPr>
        <w:jc w:val="both"/>
        <w:ind w:right="20" w:firstLine="877"/>
        <w:spacing w:after="0" w:line="239"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u w:val="single" w:color="auto"/>
          <w:color w:val="auto"/>
        </w:rPr>
        <w:t>Calculation and Payment of Additional Rent</w:t>
      </w:r>
      <w:r>
        <w:rPr>
          <w:rFonts w:ascii="Arial" w:cs="Arial" w:eastAsia="Arial" w:hAnsi="Arial"/>
          <w:sz w:val="22"/>
          <w:szCs w:val="22"/>
          <w:color w:val="auto"/>
        </w:rPr>
        <w:t xml:space="preserve">. If for any Expense Year ending or commencing within the Lease Term, Tenant's Share of Direct Expenses for such Expense Year exceeds Tenant's Share of Direct Expenses applicable to the Base Year, then Tenant shall pay to Landlord, in the manner set forth in </w:t>
      </w:r>
      <w:r>
        <w:rPr>
          <w:rFonts w:ascii="Arial" w:cs="Arial" w:eastAsia="Arial" w:hAnsi="Arial"/>
          <w:sz w:val="22"/>
          <w:szCs w:val="22"/>
          <w:u w:val="single" w:color="auto"/>
          <w:color w:val="auto"/>
        </w:rPr>
        <w:t>Section 4.4.1</w:t>
      </w:r>
      <w:r>
        <w:rPr>
          <w:rFonts w:ascii="Arial" w:cs="Arial" w:eastAsia="Arial" w:hAnsi="Arial"/>
          <w:sz w:val="22"/>
          <w:szCs w:val="22"/>
          <w:color w:val="auto"/>
        </w:rPr>
        <w:t>, below, and as Additional Rent, an amount equal to the excess (the "</w:t>
      </w:r>
      <w:r>
        <w:rPr>
          <w:rFonts w:ascii="Arial" w:cs="Arial" w:eastAsia="Arial" w:hAnsi="Arial"/>
          <w:sz w:val="22"/>
          <w:szCs w:val="22"/>
          <w:b w:val="1"/>
          <w:bCs w:val="1"/>
          <w:color w:val="auto"/>
        </w:rPr>
        <w:t>Excess</w:t>
      </w:r>
      <w:r>
        <w:rPr>
          <w:rFonts w:ascii="Arial" w:cs="Arial" w:eastAsia="Arial" w:hAnsi="Arial"/>
          <w:sz w:val="22"/>
          <w:szCs w:val="22"/>
          <w:color w:val="auto"/>
        </w:rPr>
        <w:t>").</w:t>
      </w:r>
    </w:p>
    <w:p>
      <w:pPr>
        <w:spacing w:after="0" w:line="181"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color w:val="auto"/>
        </w:rPr>
        <w:t>4.4.1</w:t>
      </w:r>
      <w:r>
        <w:rPr>
          <w:sz w:val="20"/>
          <w:szCs w:val="20"/>
          <w:color w:val="auto"/>
        </w:rPr>
        <w:tab/>
      </w:r>
      <w:r>
        <w:rPr>
          <w:rFonts w:ascii="Arial" w:cs="Arial" w:eastAsia="Arial" w:hAnsi="Arial"/>
          <w:sz w:val="19"/>
          <w:szCs w:val="19"/>
          <w:b w:val="1"/>
          <w:bCs w:val="1"/>
          <w:u w:val="single" w:color="auto"/>
          <w:color w:val="auto"/>
        </w:rPr>
        <w:t>Statement of Actual Direct Expenses and Payment by Tenant</w:t>
      </w:r>
      <w:r>
        <w:rPr>
          <w:rFonts w:ascii="Arial" w:cs="Arial" w:eastAsia="Arial" w:hAnsi="Arial"/>
          <w:sz w:val="19"/>
          <w:szCs w:val="19"/>
          <w:color w:val="auto"/>
        </w:rPr>
        <w:t>.  Landlord shall</w:t>
      </w:r>
    </w:p>
    <w:p>
      <w:pPr>
        <w:spacing w:after="0" w:line="14"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give to Tenant following the end of each Expense Year, a statement (the "</w:t>
      </w:r>
      <w:r>
        <w:rPr>
          <w:rFonts w:ascii="Arial" w:cs="Arial" w:eastAsia="Arial" w:hAnsi="Arial"/>
          <w:sz w:val="19"/>
          <w:szCs w:val="19"/>
          <w:b w:val="1"/>
          <w:bCs w:val="1"/>
          <w:color w:val="auto"/>
        </w:rPr>
        <w:t>Statement</w:t>
      </w:r>
      <w:r>
        <w:rPr>
          <w:rFonts w:ascii="Arial" w:cs="Arial" w:eastAsia="Arial" w:hAnsi="Arial"/>
          <w:sz w:val="19"/>
          <w:szCs w:val="19"/>
          <w:color w:val="auto"/>
        </w:rPr>
        <w:t>") which shall state the Direct Expenses incurred or accrued for such preceding Expense Year, and which shall indicate the amount of the Excess. Upon receipt of the Statement for each Expense Year commencing or ending during the Lease Term, if an Excess is present, Tenant shall pay, with its next installment of Base Rent due, the full amount of the Excess for such Expense Year, less the amounts, if any, paid during such Expense Year as "</w:t>
      </w:r>
      <w:r>
        <w:rPr>
          <w:rFonts w:ascii="Arial" w:cs="Arial" w:eastAsia="Arial" w:hAnsi="Arial"/>
          <w:sz w:val="19"/>
          <w:szCs w:val="19"/>
          <w:b w:val="1"/>
          <w:bCs w:val="1"/>
          <w:color w:val="auto"/>
        </w:rPr>
        <w:t>Estimated Excess</w:t>
      </w:r>
      <w:r>
        <w:rPr>
          <w:rFonts w:ascii="Arial" w:cs="Arial" w:eastAsia="Arial" w:hAnsi="Arial"/>
          <w:sz w:val="19"/>
          <w:szCs w:val="19"/>
          <w:color w:val="auto"/>
        </w:rPr>
        <w:t xml:space="preserve">," as that term is defined in </w:t>
      </w:r>
      <w:r>
        <w:rPr>
          <w:rFonts w:ascii="Arial" w:cs="Arial" w:eastAsia="Arial" w:hAnsi="Arial"/>
          <w:sz w:val="19"/>
          <w:szCs w:val="19"/>
          <w:u w:val="single" w:color="auto"/>
          <w:color w:val="auto"/>
        </w:rPr>
        <w:t>Section 4.4.2</w:t>
      </w:r>
      <w:r>
        <w:rPr>
          <w:rFonts w:ascii="Arial" w:cs="Arial" w:eastAsia="Arial" w:hAnsi="Arial"/>
          <w:sz w:val="19"/>
          <w:szCs w:val="19"/>
          <w:color w:val="auto"/>
        </w:rPr>
        <w:t xml:space="preserve">, below, and if Tenant paid more as Estimated Excess than the actual Excess, Tenant shall receive a credit in the amount of Tenant's overpayment against Rent next due under this Lease or, if the Lease Term has expired, a refund as provided below. The failure of Landlord to timely furnish the Statement for any Expense Year shall not prejudice Landlord or Tenant from enforcing its rights under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provided, however, that Landlord may not deliver a Statement, or recover additional Excess with respect thereto, more than two hundred seventy (270) days after the end of the applicable Expense Year. Even though the Lease Term has expired and Tenant has vacated the Premises, when the final determination is made of Tenant's Share of Direct Expenses for the Expense Year in which this Lease terminates, if an Excess if present, Tenant shall immediately pay to Landlord such amount, and if Tenant paid more as Estimated Excess than the actual Excess, Landlord shall, within thirty (30) days, deliver a check payable to Tenant in the amount of the overpayment. The provisions of this </w:t>
      </w:r>
      <w:r>
        <w:rPr>
          <w:rFonts w:ascii="Arial" w:cs="Arial" w:eastAsia="Arial" w:hAnsi="Arial"/>
          <w:sz w:val="19"/>
          <w:szCs w:val="19"/>
          <w:u w:val="single" w:color="auto"/>
          <w:color w:val="auto"/>
        </w:rPr>
        <w:t>Section 4.4.1</w:t>
      </w:r>
      <w:r>
        <w:rPr>
          <w:rFonts w:ascii="Arial" w:cs="Arial" w:eastAsia="Arial" w:hAnsi="Arial"/>
          <w:sz w:val="19"/>
          <w:szCs w:val="19"/>
          <w:color w:val="auto"/>
        </w:rPr>
        <w:t xml:space="preserve"> shall survive the expiration or earlier termination of the Lease Term.</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jc w:val="right"/>
              <w:ind w:right="152"/>
              <w:spacing w:after="0"/>
              <w:rPr>
                <w:sz w:val="20"/>
                <w:szCs w:val="20"/>
                <w:color w:val="auto"/>
              </w:rPr>
            </w:pPr>
            <w:r>
              <w:rPr>
                <w:rFonts w:ascii="Arial" w:cs="Arial" w:eastAsia="Arial" w:hAnsi="Arial"/>
                <w:sz w:val="22"/>
                <w:szCs w:val="22"/>
                <w:color w:val="auto"/>
              </w:rPr>
              <w:t>4.4.2</w:t>
            </w:r>
          </w:p>
        </w:tc>
        <w:tc>
          <w:tcPr>
            <w:tcW w:w="168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Arial" w:cs="Arial" w:eastAsia="Arial" w:hAnsi="Arial"/>
                <w:sz w:val="22"/>
                <w:szCs w:val="22"/>
                <w:b w:val="1"/>
                <w:bCs w:val="1"/>
                <w:color w:val="auto"/>
                <w:w w:val="90"/>
              </w:rPr>
              <w:t>Statement of Estimated Direct Expenses</w:t>
            </w:r>
            <w:r>
              <w:rPr>
                <w:rFonts w:ascii="Arial" w:cs="Arial" w:eastAsia="Arial" w:hAnsi="Arial"/>
                <w:sz w:val="22"/>
                <w:szCs w:val="22"/>
                <w:color w:val="auto"/>
                <w:w w:val="90"/>
              </w:rPr>
              <w:t>. In addition, Landlord shall give Tenant</w:t>
            </w:r>
          </w:p>
        </w:tc>
        <w:tc>
          <w:tcPr>
            <w:tcW w:w="0" w:type="dxa"/>
            <w:vAlign w:val="bottom"/>
          </w:tcPr>
          <w:p>
            <w:pPr>
              <w:spacing w:after="0"/>
              <w:rPr>
                <w:sz w:val="1"/>
                <w:szCs w:val="1"/>
                <w:color w:val="auto"/>
              </w:rPr>
            </w:pPr>
          </w:p>
        </w:tc>
      </w:tr>
      <w:tr>
        <w:trPr>
          <w:trHeight w:val="20"/>
        </w:trPr>
        <w:tc>
          <w:tcPr>
            <w:tcW w:w="2460" w:type="dxa"/>
            <w:vAlign w:val="bottom"/>
            <w:vMerge w:val="restart"/>
          </w:tcPr>
          <w:p>
            <w:pPr>
              <w:jc w:val="right"/>
              <w:spacing w:after="0"/>
              <w:rPr>
                <w:sz w:val="20"/>
                <w:szCs w:val="20"/>
                <w:color w:val="auto"/>
              </w:rPr>
            </w:pPr>
            <w:r>
              <w:rPr>
                <w:rFonts w:ascii="Arial" w:cs="Arial" w:eastAsia="Arial" w:hAnsi="Arial"/>
                <w:sz w:val="22"/>
                <w:szCs w:val="22"/>
                <w:color w:val="auto"/>
                <w:w w:val="93"/>
              </w:rPr>
              <w:t>a yearly expense estimate</w:t>
            </w:r>
          </w:p>
        </w:tc>
        <w:tc>
          <w:tcPr>
            <w:tcW w:w="1680" w:type="dxa"/>
            <w:vAlign w:val="bottom"/>
            <w:vMerge w:val="restart"/>
          </w:tcPr>
          <w:p>
            <w:pPr>
              <w:ind w:left="60"/>
              <w:spacing w:after="0"/>
              <w:rPr>
                <w:sz w:val="20"/>
                <w:szCs w:val="20"/>
                <w:color w:val="auto"/>
              </w:rPr>
            </w:pPr>
            <w:r>
              <w:rPr>
                <w:rFonts w:ascii="Arial" w:cs="Arial" w:eastAsia="Arial" w:hAnsi="Arial"/>
                <w:sz w:val="22"/>
                <w:szCs w:val="22"/>
                <w:color w:val="auto"/>
              </w:rPr>
              <w:t>statement (the "</w:t>
            </w:r>
          </w:p>
        </w:tc>
        <w:tc>
          <w:tcPr>
            <w:tcW w:w="37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460" w:type="dxa"/>
            <w:vAlign w:val="bottom"/>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7280" w:type="dxa"/>
            <w:vAlign w:val="bottom"/>
            <w:gridSpan w:val="2"/>
          </w:tcPr>
          <w:p>
            <w:pPr>
              <w:spacing w:after="0"/>
              <w:rPr>
                <w:sz w:val="20"/>
                <w:szCs w:val="20"/>
                <w:color w:val="auto"/>
              </w:rPr>
            </w:pPr>
            <w:r>
              <w:rPr>
                <w:rFonts w:ascii="Arial" w:cs="Arial" w:eastAsia="Arial" w:hAnsi="Arial"/>
                <w:sz w:val="22"/>
                <w:szCs w:val="22"/>
                <w:b w:val="1"/>
                <w:bCs w:val="1"/>
                <w:color w:val="auto"/>
                <w:w w:val="93"/>
              </w:rPr>
              <w:t>Estimate Statement</w:t>
            </w:r>
            <w:r>
              <w:rPr>
                <w:rFonts w:ascii="Arial" w:cs="Arial" w:eastAsia="Arial" w:hAnsi="Arial"/>
                <w:sz w:val="22"/>
                <w:szCs w:val="22"/>
                <w:color w:val="auto"/>
                <w:w w:val="93"/>
              </w:rPr>
              <w:t>") which shall set forth Landlord's reasonable estimate (the</w:t>
            </w:r>
          </w:p>
        </w:tc>
        <w:tc>
          <w:tcPr>
            <w:tcW w:w="0" w:type="dxa"/>
            <w:vAlign w:val="bottom"/>
          </w:tcPr>
          <w:p>
            <w:pPr>
              <w:spacing w:after="0"/>
              <w:rPr>
                <w:sz w:val="1"/>
                <w:szCs w:val="1"/>
                <w:color w:val="auto"/>
              </w:rPr>
            </w:pPr>
          </w:p>
        </w:tc>
      </w:tr>
    </w:tbl>
    <w:p>
      <w:pPr>
        <w:jc w:val="both"/>
        <w:ind w:right="2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w:t>
      </w:r>
      <w:r>
        <w:rPr>
          <w:rFonts w:ascii="Arial" w:cs="Arial" w:eastAsia="Arial" w:hAnsi="Arial"/>
          <w:sz w:val="22"/>
          <w:szCs w:val="22"/>
          <w:color w:val="auto"/>
        </w:rPr>
        <w:t>") of what the total amount of Direct Expenses for the Base Year and the then-current Expense Year shall be and the estimated excess (the "</w:t>
      </w:r>
      <w:r>
        <w:rPr>
          <w:rFonts w:ascii="Arial" w:cs="Arial" w:eastAsia="Arial" w:hAnsi="Arial"/>
          <w:sz w:val="22"/>
          <w:szCs w:val="22"/>
          <w:b w:val="1"/>
          <w:bCs w:val="1"/>
          <w:color w:val="auto"/>
        </w:rPr>
        <w:t>Estimated Excess</w:t>
      </w:r>
      <w:r>
        <w:rPr>
          <w:rFonts w:ascii="Arial" w:cs="Arial" w:eastAsia="Arial" w:hAnsi="Arial"/>
          <w:sz w:val="22"/>
          <w:szCs w:val="22"/>
          <w:color w:val="auto"/>
        </w:rPr>
        <w:t xml:space="preserve">") as calculated by comparing the Direct Expenses for such Expense Year, which shall be based upon the Estimate, to the amount of Direct Expenses for the Base Year. The failure of Landlord to timely furnish the Estimate Statement for any Expense Year shall not preclude Landlord from enforcing its rights to collect any Estimated Excess under this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nor shall Landlord be prohibited from revising any Estimate Statement or Estimated Excess theretofore delivered to the extent necessary. Thereafter, Tenant shall pay, with its next installment of Base Rent due, a fraction of the Estimated Excess for the then-current Expense Year (reduced by any amounts paid pursuant to the last sentence of this </w:t>
      </w:r>
      <w:r>
        <w:rPr>
          <w:rFonts w:ascii="Arial" w:cs="Arial" w:eastAsia="Arial" w:hAnsi="Arial"/>
          <w:sz w:val="22"/>
          <w:szCs w:val="22"/>
          <w:u w:val="single" w:color="auto"/>
          <w:color w:val="auto"/>
        </w:rPr>
        <w:t>Section 4.4.2</w:t>
      </w:r>
      <w:r>
        <w:rPr>
          <w:rFonts w:ascii="Arial" w:cs="Arial" w:eastAsia="Arial" w:hAnsi="Arial"/>
          <w:sz w:val="22"/>
          <w:szCs w:val="22"/>
          <w:color w:val="auto"/>
        </w:rPr>
        <w:t>). Such fraction shall have as its numerator the number of months which have elapsed in such current Expense Year, including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-15-</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3" w:name="page54"/>
    <w:bookmarkEnd w:id="53"/>
    <w:p>
      <w:pPr>
        <w:jc w:val="both"/>
        <w:ind w:right="20"/>
        <w:spacing w:after="0" w:line="238" w:lineRule="auto"/>
        <w:rPr>
          <w:sz w:val="20"/>
          <w:szCs w:val="20"/>
          <w:color w:val="auto"/>
        </w:rPr>
      </w:pPr>
      <w:r>
        <w:rPr>
          <w:rFonts w:ascii="Arial" w:cs="Arial" w:eastAsia="Arial" w:hAnsi="Arial"/>
          <w:sz w:val="22"/>
          <w:szCs w:val="22"/>
          <w:color w:val="auto"/>
        </w:rPr>
        <w:t>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Excess set forth in the previous Estimate Statement delivered by Landlord to Tenant.</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440" w:type="dxa"/>
            <w:vAlign w:val="bottom"/>
          </w:tcPr>
          <w:p>
            <w:pPr>
              <w:jc w:val="right"/>
              <w:ind w:right="1052"/>
              <w:spacing w:after="0"/>
              <w:rPr>
                <w:sz w:val="20"/>
                <w:szCs w:val="20"/>
                <w:color w:val="auto"/>
              </w:rPr>
            </w:pPr>
            <w:r>
              <w:rPr>
                <w:rFonts w:ascii="Arial" w:cs="Arial" w:eastAsia="Arial" w:hAnsi="Arial"/>
                <w:sz w:val="22"/>
                <w:szCs w:val="22"/>
                <w:color w:val="auto"/>
                <w:w w:val="84"/>
              </w:rPr>
              <w:t>4.5</w:t>
            </w:r>
          </w:p>
        </w:tc>
        <w:tc>
          <w:tcPr>
            <w:tcW w:w="9100" w:type="dxa"/>
            <w:vAlign w:val="bottom"/>
            <w:gridSpan w:val="3"/>
          </w:tcPr>
          <w:p>
            <w:pPr>
              <w:ind w:left="140"/>
              <w:spacing w:after="0"/>
              <w:rPr>
                <w:sz w:val="20"/>
                <w:szCs w:val="20"/>
                <w:color w:val="auto"/>
              </w:rPr>
            </w:pPr>
            <w:r>
              <w:rPr>
                <w:rFonts w:ascii="Arial" w:cs="Arial" w:eastAsia="Arial" w:hAnsi="Arial"/>
                <w:sz w:val="22"/>
                <w:szCs w:val="22"/>
                <w:b w:val="1"/>
                <w:bCs w:val="1"/>
                <w:color w:val="auto"/>
              </w:rPr>
              <w:t>Taxes and Other Charges for Which Tenant Is Directly Responsible</w:t>
            </w:r>
            <w:r>
              <w:rPr>
                <w:rFonts w:ascii="Arial" w:cs="Arial" w:eastAsia="Arial" w:hAnsi="Arial"/>
                <w:sz w:val="22"/>
                <w:szCs w:val="22"/>
                <w:color w:val="auto"/>
              </w:rPr>
              <w:t>.</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76"/>
        </w:trPr>
        <w:tc>
          <w:tcPr>
            <w:tcW w:w="1440" w:type="dxa"/>
            <w:vAlign w:val="bottom"/>
          </w:tcPr>
          <w:p>
            <w:pPr>
              <w:jc w:val="right"/>
              <w:ind w:right="12"/>
              <w:spacing w:after="0"/>
              <w:rPr>
                <w:sz w:val="20"/>
                <w:szCs w:val="20"/>
                <w:color w:val="auto"/>
              </w:rPr>
            </w:pPr>
            <w:r>
              <w:rPr>
                <w:rFonts w:ascii="Arial" w:cs="Arial" w:eastAsia="Arial" w:hAnsi="Arial"/>
                <w:sz w:val="22"/>
                <w:szCs w:val="22"/>
                <w:color w:val="auto"/>
              </w:rPr>
              <w:t>4.5.1</w:t>
            </w:r>
          </w:p>
        </w:tc>
        <w:tc>
          <w:tcPr>
            <w:tcW w:w="140" w:type="dxa"/>
            <w:vAlign w:val="bottom"/>
          </w:tcPr>
          <w:p>
            <w:pPr>
              <w:spacing w:after="0"/>
              <w:rPr>
                <w:sz w:val="24"/>
                <w:szCs w:val="24"/>
                <w:color w:val="auto"/>
              </w:rPr>
            </w:pPr>
          </w:p>
        </w:tc>
        <w:tc>
          <w:tcPr>
            <w:tcW w:w="8960" w:type="dxa"/>
            <w:vAlign w:val="bottom"/>
            <w:gridSpan w:val="2"/>
          </w:tcPr>
          <w:p>
            <w:pPr>
              <w:ind w:left="1680"/>
              <w:spacing w:after="0"/>
              <w:rPr>
                <w:sz w:val="20"/>
                <w:szCs w:val="20"/>
                <w:color w:val="auto"/>
              </w:rPr>
            </w:pPr>
            <w:r>
              <w:rPr>
                <w:rFonts w:ascii="Arial" w:cs="Arial" w:eastAsia="Arial" w:hAnsi="Arial"/>
                <w:sz w:val="22"/>
                <w:szCs w:val="22"/>
                <w:color w:val="auto"/>
                <w:w w:val="94"/>
              </w:rPr>
              <w:t>Tenant shall be liable for and shall pay ten (10) days before delinquency, taxes</w:t>
            </w:r>
          </w:p>
        </w:tc>
      </w:tr>
    </w:tbl>
    <w:p>
      <w:pPr>
        <w:jc w:val="both"/>
        <w:ind w:right="20"/>
        <w:spacing w:after="0" w:line="273" w:lineRule="auto"/>
        <w:rPr>
          <w:sz w:val="20"/>
          <w:szCs w:val="20"/>
          <w:color w:val="auto"/>
        </w:rPr>
      </w:pPr>
      <w:r>
        <w:rPr>
          <w:rFonts w:ascii="Arial" w:cs="Arial" w:eastAsia="Arial" w:hAnsi="Arial"/>
          <w:sz w:val="19"/>
          <w:szCs w:val="19"/>
          <w:color w:val="auto"/>
        </w:rPr>
        <w:t>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within thirty (30) days after written demand repay to Landlord the taxes so levied against Landlord or the proportion of such taxes resulting from such increase in the assessment, as the case may be.</w:t>
      </w:r>
    </w:p>
    <w:p>
      <w:pPr>
        <w:spacing w:after="0" w:line="160" w:lineRule="exact"/>
        <w:rPr>
          <w:sz w:val="20"/>
          <w:szCs w:val="20"/>
          <w:color w:val="auto"/>
        </w:rPr>
      </w:pPr>
    </w:p>
    <w:p>
      <w:pPr>
        <w:jc w:val="both"/>
        <w:ind w:right="20" w:firstLine="1755"/>
        <w:spacing w:after="0" w:line="235" w:lineRule="auto"/>
        <w:rPr>
          <w:sz w:val="20"/>
          <w:szCs w:val="20"/>
          <w:color w:val="auto"/>
        </w:rPr>
      </w:pPr>
      <w:r>
        <w:rPr>
          <w:rFonts w:ascii="Arial" w:cs="Arial" w:eastAsia="Arial" w:hAnsi="Arial"/>
          <w:sz w:val="22"/>
          <w:szCs w:val="22"/>
          <w:color w:val="auto"/>
        </w:rPr>
        <w:t xml:space="preserve">4.5.2 If the tenant improvements in the Premises, whether installed and/or paid for by Landlord or Tenant and 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22"/>
          <w:szCs w:val="22"/>
          <w:u w:val="single" w:color="auto"/>
          <w:color w:val="auto"/>
        </w:rPr>
        <w:t>Section 4.5.1</w:t>
      </w:r>
      <w:r>
        <w:rPr>
          <w:rFonts w:ascii="Arial" w:cs="Arial" w:eastAsia="Arial" w:hAnsi="Arial"/>
          <w:sz w:val="22"/>
          <w:szCs w:val="22"/>
          <w:color w:val="auto"/>
        </w:rPr>
        <w:t>, above.</w:t>
      </w:r>
    </w:p>
    <w:p>
      <w:pPr>
        <w:spacing w:after="0" w:line="188" w:lineRule="exact"/>
        <w:rPr>
          <w:sz w:val="20"/>
          <w:szCs w:val="20"/>
          <w:color w:val="auto"/>
        </w:rPr>
      </w:pPr>
    </w:p>
    <w:p>
      <w:pPr>
        <w:jc w:val="both"/>
        <w:ind w:right="20" w:firstLine="1755"/>
        <w:spacing w:after="0" w:line="235" w:lineRule="auto"/>
        <w:rPr>
          <w:sz w:val="20"/>
          <w:szCs w:val="20"/>
          <w:color w:val="auto"/>
        </w:rPr>
      </w:pPr>
      <w:r>
        <w:rPr>
          <w:rFonts w:ascii="Arial" w:cs="Arial" w:eastAsia="Arial" w:hAnsi="Arial"/>
          <w:sz w:val="22"/>
          <w:szCs w:val="22"/>
          <w:color w:val="auto"/>
        </w:rPr>
        <w:t>4.5.3 Notwithstanding any contrary provision herein, Tenant shall pay prior to delinquency any (i) rent tax or sales tax, service tax, transfer tax or value added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182" w:lineRule="exact"/>
        <w:rPr>
          <w:sz w:val="20"/>
          <w:szCs w:val="20"/>
          <w:color w:val="auto"/>
        </w:rPr>
      </w:pPr>
    </w:p>
    <w:p>
      <w:pPr>
        <w:jc w:val="both"/>
        <w:ind w:right="20" w:firstLine="877"/>
        <w:spacing w:after="0" w:line="270"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b w:val="1"/>
          <w:bCs w:val="1"/>
          <w:u w:val="single" w:color="auto"/>
          <w:color w:val="auto"/>
        </w:rPr>
        <w:t>Landlord's Books and Records</w:t>
      </w:r>
      <w:r>
        <w:rPr>
          <w:rFonts w:ascii="Arial" w:cs="Arial" w:eastAsia="Arial" w:hAnsi="Arial"/>
          <w:sz w:val="19"/>
          <w:szCs w:val="19"/>
          <w:color w:val="auto"/>
        </w:rPr>
        <w:t>. Upon Tenant's written request (an "</w:t>
      </w:r>
      <w:r>
        <w:rPr>
          <w:rFonts w:ascii="Arial" w:cs="Arial" w:eastAsia="Arial" w:hAnsi="Arial"/>
          <w:sz w:val="19"/>
          <w:szCs w:val="19"/>
          <w:b w:val="1"/>
          <w:bCs w:val="1"/>
          <w:color w:val="auto"/>
        </w:rPr>
        <w:t>Audit Request</w:t>
      </w:r>
      <w:r>
        <w:rPr>
          <w:rFonts w:ascii="Arial" w:cs="Arial" w:eastAsia="Arial" w:hAnsi="Arial"/>
          <w:sz w:val="19"/>
          <w:szCs w:val="19"/>
          <w:color w:val="auto"/>
        </w:rPr>
        <w:t>") given not more than ninety (90) days after Tenant's receipt of a Statement for the Base Year or a particular Expense Year, and provided that Tenant is not then in default under this Lease beyond any applicable notice and cure periods, Landlord shall furnish Tenant with such reasonable supporting documentation in connection with said Direct Expenses. Landlord shall provide said information to Tenant within sixty (60) days after Tenant's written request therefor. Within sixty (60) days after receipt of such information by Tenant (the "</w:t>
      </w:r>
      <w:r>
        <w:rPr>
          <w:rFonts w:ascii="Arial" w:cs="Arial" w:eastAsia="Arial" w:hAnsi="Arial"/>
          <w:sz w:val="19"/>
          <w:szCs w:val="19"/>
          <w:b w:val="1"/>
          <w:bCs w:val="1"/>
          <w:color w:val="auto"/>
        </w:rPr>
        <w:t>Review Period</w:t>
      </w:r>
      <w:r>
        <w:rPr>
          <w:rFonts w:ascii="Arial" w:cs="Arial" w:eastAsia="Arial" w:hAnsi="Arial"/>
          <w:sz w:val="19"/>
          <w:szCs w:val="19"/>
          <w:color w:val="auto"/>
        </w:rPr>
        <w:t>"), if Tenant disputes the amount of Direct Expenses set forth in the Statement, an independent certified public accountant (which accountant (A) is a certified public accountant, (B) is a member of a nationally recognized accounting firm, and</w:t>
      </w:r>
    </w:p>
    <w:p>
      <w:pPr>
        <w:spacing w:after="0" w:line="5" w:lineRule="exact"/>
        <w:rPr>
          <w:sz w:val="20"/>
          <w:szCs w:val="20"/>
          <w:color w:val="auto"/>
        </w:rPr>
      </w:pPr>
    </w:p>
    <w:p>
      <w:pPr>
        <w:ind w:right="40" w:firstLine="8"/>
        <w:spacing w:after="0" w:line="308" w:lineRule="auto"/>
        <w:tabs>
          <w:tab w:leader="none" w:pos="351" w:val="left"/>
        </w:tabs>
        <w:numPr>
          <w:ilvl w:val="0"/>
          <w:numId w:val="21"/>
        </w:numPr>
        <w:rPr>
          <w:rFonts w:ascii="Arial" w:cs="Arial" w:eastAsia="Arial" w:hAnsi="Arial"/>
          <w:sz w:val="19"/>
          <w:szCs w:val="19"/>
          <w:color w:val="auto"/>
        </w:rPr>
      </w:pPr>
      <w:r>
        <w:rPr>
          <w:rFonts w:ascii="Arial" w:cs="Arial" w:eastAsia="Arial" w:hAnsi="Arial"/>
          <w:sz w:val="19"/>
          <w:szCs w:val="19"/>
          <w:color w:val="auto"/>
        </w:rPr>
        <w:t>is not working on a contingency fee basis), designated and paid for by Tenant, may, after reasonable notice to Landlord and at reasonable times, inspect Landlord's records with respect to the Statement at Landlord's offices, provided that Tenant is not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-16-</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4" w:name="page55"/>
    <w:bookmarkEnd w:id="54"/>
    <w:p>
      <w:pPr>
        <w:jc w:val="both"/>
        <w:ind w:right="20"/>
        <w:spacing w:after="0" w:line="271" w:lineRule="auto"/>
        <w:rPr>
          <w:sz w:val="20"/>
          <w:szCs w:val="20"/>
          <w:color w:val="auto"/>
        </w:rPr>
      </w:pPr>
      <w:r>
        <w:rPr>
          <w:rFonts w:ascii="Arial" w:cs="Arial" w:eastAsia="Arial" w:hAnsi="Arial"/>
          <w:sz w:val="19"/>
          <w:szCs w:val="19"/>
          <w:color w:val="auto"/>
        </w:rPr>
        <w:t>then in default under this Lease beyond any applicable notice and cure periods and Tenant has paid all amounts due and owing, as provided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Direct Expenses set forth in any Statement within the Review Period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nationally recognized certified public accountant (the "</w:t>
      </w:r>
      <w:r>
        <w:rPr>
          <w:rFonts w:ascii="Arial" w:cs="Arial" w:eastAsia="Arial" w:hAnsi="Arial"/>
          <w:sz w:val="19"/>
          <w:szCs w:val="19"/>
          <w:b w:val="1"/>
          <w:bCs w:val="1"/>
          <w:color w:val="auto"/>
        </w:rPr>
        <w:t>Accountant</w:t>
      </w:r>
      <w:r>
        <w:rPr>
          <w:rFonts w:ascii="Arial" w:cs="Arial" w:eastAsia="Arial" w:hAnsi="Arial"/>
          <w:sz w:val="19"/>
          <w:szCs w:val="19"/>
          <w:color w:val="auto"/>
        </w:rPr>
        <w:t xml:space="preserve">") mutually reasonably agreed upon by Landlord and Tenant; provided that if such determination by the Accountant proves that Direct Expenses were overstated by more than four percent (4%), then the cost of the Accountant and the cost of such determination shall be paid for by Landlord. Tenant hereby acknowledges that Tenant's sole right to inspect Landlord's books and records and to contest the amount of Direct Expenses payable by Tenant shall be as set forth in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and in no event shall Tenant have the right to inspect Landlord's books and records and/or contest the amount of Direct Expenses payable by Tenant more than one (1) time for any Expense Year (unless Landlord thereafter delivers a revised Statement), and Tenant hereby waives any and all other rights pursuant to applicable law to inspect such books and records and/or to contest the amount of Direct Expenses payable by Tenant.</w:t>
      </w:r>
    </w:p>
    <w:p>
      <w:pPr>
        <w:spacing w:after="0" w:line="156"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b w:val="1"/>
          <w:bCs w:val="1"/>
          <w:u w:val="single" w:color="auto"/>
          <w:color w:val="auto"/>
        </w:rPr>
        <w:t>Tenant's Payment of Certain Tax Expenses</w:t>
      </w:r>
      <w:r>
        <w:rPr>
          <w:rFonts w:ascii="Arial" w:cs="Arial" w:eastAsia="Arial" w:hAnsi="Arial"/>
          <w:sz w:val="22"/>
          <w:szCs w:val="22"/>
          <w:color w:val="auto"/>
        </w:rPr>
        <w:t>. Notwithstanding anything to the contrary contained in this Lease, in the event that, at any time during the initial Lease Term only (specifically excluding any Option Term or any other renewal or extension of the Lease Term), any sale, refinancing, or change in ownership of the Project is consummated, and as a result thereof, and to the extent that in connection therewith, the Project is reassessed (the "</w:t>
      </w:r>
      <w:r>
        <w:rPr>
          <w:rFonts w:ascii="Arial" w:cs="Arial" w:eastAsia="Arial" w:hAnsi="Arial"/>
          <w:sz w:val="22"/>
          <w:szCs w:val="22"/>
          <w:b w:val="1"/>
          <w:bCs w:val="1"/>
          <w:color w:val="auto"/>
        </w:rPr>
        <w:t>Reassessment</w:t>
      </w:r>
      <w:r>
        <w:rPr>
          <w:rFonts w:ascii="Arial" w:cs="Arial" w:eastAsia="Arial" w:hAnsi="Arial"/>
          <w:sz w:val="22"/>
          <w:szCs w:val="22"/>
          <w:color w:val="auto"/>
        </w:rPr>
        <w:t xml:space="preserve">") for real estate tax purposes by the appropriate governmental authority pursuant to the terms of Proposition 13, then the terms of this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shall apply to such Reassessment of the Project.</w:t>
      </w:r>
    </w:p>
    <w:p>
      <w:pPr>
        <w:spacing w:after="0" w:line="182" w:lineRule="exact"/>
        <w:rPr>
          <w:sz w:val="20"/>
          <w:szCs w:val="20"/>
          <w:color w:val="auto"/>
        </w:rPr>
      </w:pPr>
    </w:p>
    <w:p>
      <w:pPr>
        <w:jc w:val="both"/>
        <w:ind w:right="20" w:firstLine="1755"/>
        <w:spacing w:after="0" w:line="246" w:lineRule="auto"/>
        <w:rPr>
          <w:sz w:val="20"/>
          <w:szCs w:val="20"/>
          <w:color w:val="auto"/>
        </w:rPr>
      </w:pPr>
      <w:r>
        <w:rPr>
          <w:rFonts w:ascii="Arial" w:cs="Arial" w:eastAsia="Arial" w:hAnsi="Arial"/>
          <w:sz w:val="21"/>
          <w:szCs w:val="21"/>
          <w:color w:val="auto"/>
        </w:rPr>
        <w:t xml:space="preserve">4.7.1 </w:t>
      </w:r>
      <w:r>
        <w:rPr>
          <w:rFonts w:ascii="Arial" w:cs="Arial" w:eastAsia="Arial" w:hAnsi="Arial"/>
          <w:sz w:val="21"/>
          <w:szCs w:val="21"/>
          <w:b w:val="1"/>
          <w:bCs w:val="1"/>
          <w:u w:val="single" w:color="auto"/>
          <w:color w:val="auto"/>
        </w:rPr>
        <w:t>The Tax Increase</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Article 4</w:t>
      </w:r>
      <w:r>
        <w:rPr>
          <w:rFonts w:ascii="Arial" w:cs="Arial" w:eastAsia="Arial" w:hAnsi="Arial"/>
          <w:sz w:val="21"/>
          <w:szCs w:val="21"/>
          <w:color w:val="auto"/>
        </w:rPr>
        <w:t>, the term "</w:t>
      </w:r>
      <w:r>
        <w:rPr>
          <w:rFonts w:ascii="Arial" w:cs="Arial" w:eastAsia="Arial" w:hAnsi="Arial"/>
          <w:sz w:val="21"/>
          <w:szCs w:val="21"/>
          <w:b w:val="1"/>
          <w:bCs w:val="1"/>
          <w:color w:val="auto"/>
        </w:rPr>
        <w:t>Tax Increase</w:t>
      </w:r>
      <w:r>
        <w:rPr>
          <w:rFonts w:ascii="Arial" w:cs="Arial" w:eastAsia="Arial" w:hAnsi="Arial"/>
          <w:sz w:val="21"/>
          <w:szCs w:val="21"/>
          <w:color w:val="auto"/>
        </w:rPr>
        <w:t>" shall mean that portion of the Tax Expenses, as calculated immediately following the Reassessment, which is attributable solely to the Reassessment. Accordingly, the term Tax Increase shall not include any portion of the Tax Expenses, as calculated immediately following the Reassessment, which (i) is attributable to the initial assessment of the value of the Project, the base, shell and core of the Building, or the tenant improvements located in the Building, (ii) is attributable to assessments which were pending immediately prior to the Reassessment, which assessments were conducted during, and included in, such Reassessment, or which assessments were otherwise rendered unnecessary following the Reassessment, (iii) is attributable to the annual inflationary increase of real estate taxes, but not in excess of two percent (2.0%) per annum, or (iv) is attributable to Tax Expenses incurred during the Base Year (calculated without regard to the effect of Proposition 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gridSpan w:val="3"/>
          </w:tcPr>
          <w:p>
            <w:pPr>
              <w:jc w:val="right"/>
              <w:ind w:right="1940"/>
              <w:spacing w:after="0"/>
              <w:rPr>
                <w:sz w:val="20"/>
                <w:szCs w:val="20"/>
                <w:color w:val="auto"/>
              </w:rPr>
            </w:pPr>
            <w:r>
              <w:rPr>
                <w:rFonts w:ascii="Arial" w:cs="Arial" w:eastAsia="Arial" w:hAnsi="Arial"/>
                <w:sz w:val="22"/>
                <w:szCs w:val="22"/>
                <w:color w:val="auto"/>
              </w:rPr>
              <w:t>4.7.2</w:t>
            </w:r>
          </w:p>
        </w:tc>
        <w:tc>
          <w:tcPr>
            <w:tcW w:w="7300" w:type="dxa"/>
            <w:vAlign w:val="bottom"/>
            <w:gridSpan w:val="5"/>
          </w:tcPr>
          <w:p>
            <w:pPr>
              <w:jc w:val="right"/>
              <w:spacing w:after="0"/>
              <w:rPr>
                <w:sz w:val="20"/>
                <w:szCs w:val="20"/>
                <w:color w:val="auto"/>
              </w:rPr>
            </w:pPr>
            <w:r>
              <w:rPr>
                <w:rFonts w:ascii="Arial" w:cs="Arial" w:eastAsia="Arial" w:hAnsi="Arial"/>
                <w:sz w:val="22"/>
                <w:szCs w:val="22"/>
                <w:b w:val="1"/>
                <w:bCs w:val="1"/>
                <w:color w:val="auto"/>
                <w:w w:val="90"/>
              </w:rPr>
              <w:t>Protection</w:t>
            </w:r>
            <w:r>
              <w:rPr>
                <w:rFonts w:ascii="Arial" w:cs="Arial" w:eastAsia="Arial" w:hAnsi="Arial"/>
                <w:sz w:val="22"/>
                <w:szCs w:val="22"/>
                <w:color w:val="auto"/>
                <w:w w:val="90"/>
              </w:rPr>
              <w:t>. During the initial Lease Term, Tenant shall not be obligated to pay the</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140" w:type="dxa"/>
            <w:vAlign w:val="bottom"/>
            <w:gridSpan w:val="7"/>
          </w:tcPr>
          <w:p>
            <w:pPr>
              <w:spacing w:after="0"/>
              <w:rPr>
                <w:sz w:val="20"/>
                <w:szCs w:val="20"/>
                <w:color w:val="auto"/>
              </w:rPr>
            </w:pPr>
            <w:r>
              <w:rPr>
                <w:rFonts w:ascii="Arial" w:cs="Arial" w:eastAsia="Arial" w:hAnsi="Arial"/>
                <w:sz w:val="22"/>
                <w:szCs w:val="22"/>
                <w:color w:val="auto"/>
              </w:rPr>
              <w:t>applicable "Percentage of Protection" as set forth below, of the Tax Increase.</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620" w:type="dxa"/>
            <w:vAlign w:val="bottom"/>
          </w:tcPr>
          <w:p>
            <w:pPr>
              <w:spacing w:after="0"/>
              <w:rPr>
                <w:sz w:val="24"/>
                <w:szCs w:val="24"/>
                <w:color w:val="auto"/>
              </w:rPr>
            </w:pPr>
          </w:p>
        </w:tc>
        <w:tc>
          <w:tcPr>
            <w:tcW w:w="3520" w:type="dxa"/>
            <w:vAlign w:val="bottom"/>
            <w:gridSpan w:val="2"/>
          </w:tcPr>
          <w:p>
            <w:pPr>
              <w:jc w:val="right"/>
              <w:ind w:right="2680"/>
              <w:spacing w:after="0"/>
              <w:rPr>
                <w:sz w:val="20"/>
                <w:szCs w:val="20"/>
                <w:color w:val="auto"/>
              </w:rPr>
            </w:pPr>
            <w:r>
              <w:rPr>
                <w:rFonts w:ascii="Arial" w:cs="Arial" w:eastAsia="Arial" w:hAnsi="Arial"/>
                <w:sz w:val="18"/>
                <w:szCs w:val="18"/>
                <w:b w:val="1"/>
                <w:bCs w:val="1"/>
                <w:color w:val="auto"/>
                <w:w w:val="86"/>
              </w:rPr>
              <w:t>Lease Year</w:t>
            </w:r>
          </w:p>
        </w:tc>
        <w:tc>
          <w:tcPr>
            <w:tcW w:w="52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Percentage of Protection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4140" w:type="dxa"/>
            <w:vAlign w:val="bottom"/>
            <w:gridSpan w:val="3"/>
          </w:tcPr>
          <w:p>
            <w:pPr>
              <w:spacing w:after="0"/>
              <w:rPr>
                <w:sz w:val="20"/>
                <w:szCs w:val="20"/>
                <w:color w:val="auto"/>
              </w:rPr>
            </w:pPr>
            <w:r>
              <w:rPr>
                <w:rFonts w:ascii="Arial" w:cs="Arial" w:eastAsia="Arial" w:hAnsi="Arial"/>
                <w:sz w:val="13"/>
                <w:szCs w:val="13"/>
                <w:color w:val="auto"/>
              </w:rPr>
              <w:t>795344.01/WLA</w:t>
            </w:r>
          </w:p>
        </w:tc>
        <w:tc>
          <w:tcPr>
            <w:tcW w:w="2420" w:type="dxa"/>
            <w:vAlign w:val="bottom"/>
            <w:gridSpan w:val="3"/>
            <w:vMerge w:val="restart"/>
          </w:tcPr>
          <w:p>
            <w:pPr>
              <w:jc w:val="right"/>
              <w:ind w:right="700"/>
              <w:spacing w:after="0"/>
              <w:rPr>
                <w:sz w:val="20"/>
                <w:szCs w:val="20"/>
                <w:color w:val="auto"/>
              </w:rPr>
            </w:pPr>
            <w:r>
              <w:rPr>
                <w:rFonts w:ascii="Arial" w:cs="Arial" w:eastAsia="Arial" w:hAnsi="Arial"/>
                <w:sz w:val="16"/>
                <w:szCs w:val="16"/>
                <w:color w:val="auto"/>
              </w:rPr>
              <w:t>-17-</w:t>
            </w:r>
          </w:p>
        </w:tc>
        <w:tc>
          <w:tcPr>
            <w:tcW w:w="1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40" w:type="dxa"/>
            <w:vAlign w:val="bottom"/>
            <w:gridSpan w:val="3"/>
          </w:tcPr>
          <w:p>
            <w:pPr>
              <w:spacing w:after="0"/>
              <w:rPr>
                <w:sz w:val="20"/>
                <w:szCs w:val="20"/>
                <w:color w:val="auto"/>
              </w:rPr>
            </w:pPr>
            <w:r>
              <w:rPr>
                <w:rFonts w:ascii="Arial" w:cs="Arial" w:eastAsia="Arial" w:hAnsi="Arial"/>
                <w:sz w:val="13"/>
                <w:szCs w:val="13"/>
                <w:color w:val="auto"/>
              </w:rPr>
              <w:t>377082-00004//ejs/ejs</w:t>
            </w:r>
          </w:p>
        </w:tc>
        <w:tc>
          <w:tcPr>
            <w:tcW w:w="2420" w:type="dxa"/>
            <w:vAlign w:val="bottom"/>
            <w:gridSpan w:val="3"/>
            <w:vMerge w:val="continue"/>
          </w:tcPr>
          <w:p>
            <w:pPr>
              <w:spacing w:after="0"/>
              <w:rPr>
                <w:sz w:val="13"/>
                <w:szCs w:val="13"/>
                <w:color w:val="auto"/>
              </w:rPr>
            </w:pPr>
          </w:p>
        </w:tc>
        <w:tc>
          <w:tcPr>
            <w:tcW w:w="1580" w:type="dxa"/>
            <w:vAlign w:val="bottom"/>
          </w:tcPr>
          <w:p>
            <w:pPr>
              <w:spacing w:after="0"/>
              <w:rPr>
                <w:sz w:val="13"/>
                <w:szCs w:val="13"/>
                <w:color w:val="auto"/>
              </w:rPr>
            </w:pPr>
          </w:p>
        </w:tc>
        <w:tc>
          <w:tcPr>
            <w:tcW w:w="33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5" w:name="page56"/>
    <w:bookmarkEnd w:id="55"/>
    <w:tbl>
      <w:tblPr>
        <w:tblLayout w:type="fixed"/>
        <w:tblInd w:w="88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1</w:t>
            </w:r>
          </w:p>
        </w:tc>
        <w:tc>
          <w:tcPr>
            <w:tcW w:w="2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w:t>
            </w:r>
          </w:p>
        </w:tc>
        <w:tc>
          <w:tcPr>
            <w:tcW w:w="2260" w:type="dxa"/>
            <w:vAlign w:val="bottom"/>
          </w:tcPr>
          <w:p>
            <w:pPr>
              <w:ind w:left="1880"/>
              <w:spacing w:after="0"/>
              <w:rPr>
                <w:sz w:val="20"/>
                <w:szCs w:val="20"/>
                <w:color w:val="auto"/>
              </w:rPr>
            </w:pPr>
            <w:r>
              <w:rPr>
                <w:rFonts w:ascii="Arial" w:cs="Arial" w:eastAsia="Arial" w:hAnsi="Arial"/>
                <w:sz w:val="18"/>
                <w:szCs w:val="18"/>
                <w:color w:val="auto"/>
                <w:w w:val="99"/>
              </w:rPr>
              <w:t>75%</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w:t>
            </w:r>
          </w:p>
        </w:tc>
        <w:tc>
          <w:tcPr>
            <w:tcW w:w="2260" w:type="dxa"/>
            <w:vAlign w:val="bottom"/>
          </w:tcPr>
          <w:p>
            <w:pPr>
              <w:ind w:left="1880"/>
              <w:spacing w:after="0"/>
              <w:rPr>
                <w:sz w:val="20"/>
                <w:szCs w:val="20"/>
                <w:color w:val="auto"/>
              </w:rPr>
            </w:pPr>
            <w:r>
              <w:rPr>
                <w:rFonts w:ascii="Arial" w:cs="Arial" w:eastAsia="Arial" w:hAnsi="Arial"/>
                <w:sz w:val="18"/>
                <w:szCs w:val="18"/>
                <w:color w:val="auto"/>
                <w:w w:val="99"/>
              </w:rPr>
              <w:t>50%</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4-8</w:t>
            </w:r>
          </w:p>
        </w:tc>
        <w:tc>
          <w:tcPr>
            <w:tcW w:w="2260" w:type="dxa"/>
            <w:vAlign w:val="bottom"/>
          </w:tcPr>
          <w:p>
            <w:pPr>
              <w:ind w:left="1880"/>
              <w:spacing w:after="0"/>
              <w:rPr>
                <w:sz w:val="20"/>
                <w:szCs w:val="20"/>
                <w:color w:val="auto"/>
              </w:rPr>
            </w:pPr>
            <w:r>
              <w:rPr>
                <w:rFonts w:ascii="Arial" w:cs="Arial" w:eastAsia="Arial" w:hAnsi="Arial"/>
                <w:sz w:val="18"/>
                <w:szCs w:val="18"/>
                <w:color w:val="auto"/>
              </w:rPr>
              <w:t>0%</w:t>
            </w:r>
          </w:p>
        </w:tc>
      </w:tr>
    </w:tbl>
    <w:p>
      <w:pPr>
        <w:spacing w:after="0" w:line="195" w:lineRule="exact"/>
        <w:rPr>
          <w:sz w:val="20"/>
          <w:szCs w:val="20"/>
          <w:color w:val="auto"/>
        </w:rPr>
      </w:pPr>
    </w:p>
    <w:p>
      <w:pPr>
        <w:ind w:right="180"/>
        <w:spacing w:after="0"/>
        <w:rPr>
          <w:sz w:val="20"/>
          <w:szCs w:val="20"/>
          <w:color w:val="auto"/>
        </w:rPr>
      </w:pPr>
      <w:r>
        <w:rPr>
          <w:rFonts w:ascii="Arial" w:cs="Arial" w:eastAsia="Arial" w:hAnsi="Arial"/>
          <w:sz w:val="22"/>
          <w:szCs w:val="22"/>
          <w:u w:val="single" w:color="auto"/>
          <w:color w:val="auto"/>
        </w:rPr>
        <w:t>As an example only</w:t>
      </w:r>
      <w:r>
        <w:rPr>
          <w:rFonts w:ascii="Arial" w:cs="Arial" w:eastAsia="Arial" w:hAnsi="Arial"/>
          <w:sz w:val="22"/>
          <w:szCs w:val="22"/>
          <w:color w:val="auto"/>
        </w:rPr>
        <w:t>, in the event of a Reassessment on the first day of the 2</w:t>
      </w:r>
      <w:r>
        <w:rPr>
          <w:rFonts w:ascii="Arial" w:cs="Arial" w:eastAsia="Arial" w:hAnsi="Arial"/>
          <w:sz w:val="18"/>
          <w:szCs w:val="18"/>
          <w:color w:val="auto"/>
        </w:rPr>
        <w:t>nd</w:t>
      </w:r>
      <w:r>
        <w:rPr>
          <w:rFonts w:ascii="Arial" w:cs="Arial" w:eastAsia="Arial" w:hAnsi="Arial"/>
          <w:sz w:val="22"/>
          <w:szCs w:val="22"/>
          <w:color w:val="auto"/>
        </w:rPr>
        <w:t xml:space="preserve"> Lease Year Tenant would be responsible for 25% of the resulting Tax Increase in Lease Year 2, 50% of the resulting Tax Increase during Lease Year 3, and 100% of the resulting Tax Increase in Lease Years 4 through 8.</w:t>
      </w:r>
    </w:p>
    <w:p>
      <w:pPr>
        <w:spacing w:after="0" w:line="180" w:lineRule="exact"/>
        <w:rPr>
          <w:sz w:val="20"/>
          <w:szCs w:val="20"/>
          <w:color w:val="auto"/>
        </w:rPr>
      </w:pPr>
    </w:p>
    <w:p>
      <w:pPr>
        <w:ind w:left="1760"/>
        <w:spacing w:after="0"/>
        <w:tabs>
          <w:tab w:leader="none" w:pos="4120" w:val="left"/>
          <w:tab w:leader="none" w:pos="5320" w:val="left"/>
          <w:tab w:leader="none" w:pos="6020" w:val="left"/>
          <w:tab w:leader="none" w:pos="6380" w:val="left"/>
          <w:tab w:leader="none" w:pos="7400" w:val="left"/>
          <w:tab w:leader="none" w:pos="7860" w:val="left"/>
          <w:tab w:leader="none" w:pos="9120" w:val="left"/>
          <w:tab w:leader="none" w:pos="9500" w:val="left"/>
          <w:tab w:leader="none" w:pos="10640" w:val="left"/>
        </w:tabs>
        <w:rPr>
          <w:sz w:val="20"/>
          <w:szCs w:val="20"/>
          <w:color w:val="auto"/>
        </w:rPr>
      </w:pPr>
      <w:r>
        <w:rPr>
          <w:rFonts w:ascii="Arial" w:cs="Arial" w:eastAsia="Arial" w:hAnsi="Arial"/>
          <w:sz w:val="22"/>
          <w:szCs w:val="22"/>
          <w:color w:val="auto"/>
        </w:rPr>
        <w:t>4.7.3</w:t>
      </w:r>
      <w:r>
        <w:rPr>
          <w:sz w:val="20"/>
          <w:szCs w:val="20"/>
          <w:color w:val="auto"/>
        </w:rPr>
        <w:tab/>
      </w:r>
      <w:r>
        <w:rPr>
          <w:rFonts w:ascii="Arial" w:cs="Arial" w:eastAsia="Arial" w:hAnsi="Arial"/>
          <w:sz w:val="22"/>
          <w:szCs w:val="22"/>
          <w:b w:val="1"/>
          <w:bCs w:val="1"/>
          <w:u w:val="single" w:color="auto"/>
          <w:color w:val="auto"/>
        </w:rPr>
        <w:t>Landlord's</w:t>
        <w:tab/>
        <w:t>Right</w:t>
        <w:tab/>
        <w:t>to</w:t>
        <w:tab/>
        <w:t>Purchase</w:t>
        <w:tab/>
        <w:t>the</w:t>
        <w:tab/>
        <w:t>Proposition</w:t>
        <w:tab/>
        <w:t>13</w:t>
        <w:tab/>
        <w:t>Protection</w:t>
      </w:r>
      <w:r>
        <w:rPr>
          <w:sz w:val="20"/>
          <w:szCs w:val="20"/>
          <w:color w:val="auto"/>
        </w:rPr>
        <w:tab/>
      </w:r>
      <w:r>
        <w:rPr>
          <w:rFonts w:ascii="Arial" w:cs="Arial" w:eastAsia="Arial" w:hAnsi="Arial"/>
          <w:sz w:val="19"/>
          <w:szCs w:val="19"/>
          <w:b w:val="1"/>
          <w:bCs w:val="1"/>
          <w:u w:val="single" w:color="auto"/>
          <w:color w:val="auto"/>
        </w:rPr>
        <w:t>Amount</w:t>
      </w:r>
    </w:p>
    <w:p>
      <w:pPr>
        <w:spacing w:after="0" w:line="14"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u w:val="single" w:color="auto"/>
          <w:color w:val="auto"/>
        </w:rPr>
        <w:t>Attributable to a Particular Reassessment</w:t>
      </w:r>
      <w:r>
        <w:rPr>
          <w:rFonts w:ascii="Arial" w:cs="Arial" w:eastAsia="Arial" w:hAnsi="Arial"/>
          <w:sz w:val="19"/>
          <w:szCs w:val="19"/>
          <w:color w:val="auto"/>
        </w:rPr>
        <w:t>. The amount of Tax Expenses which Tenant is not obligated to pay or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obligated to pay during the Lease Term in connection with a particular Reassessment pursuant to the terms of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shall be sometimes referred to hereafter as a "Proposition 13 Protection Amount". If the occurrence of a Reassessment is reasonably foreseeable by Landlord and the Proposition 13 Protection Amount attributable to such Reassessment can be reasonably quantified or estimated for each Lease Year commencing with the Lease Year in which the Reassessment will occur, the terms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4.7.3</w:t>
      </w:r>
      <w:r>
        <w:rPr>
          <w:rFonts w:ascii="Arial" w:cs="Arial" w:eastAsia="Arial" w:hAnsi="Arial"/>
          <w:sz w:val="19"/>
          <w:szCs w:val="19"/>
          <w:color w:val="auto"/>
        </w:rPr>
        <w:t xml:space="preserve"> shall apply to each such Reassessment. Upon notice to Tenant, Landlord shall have the right to purchase the Proposition 13 Protection Amount relating to the applicable Reassessment (the "</w:t>
      </w:r>
      <w:r>
        <w:rPr>
          <w:rFonts w:ascii="Arial" w:cs="Arial" w:eastAsia="Arial" w:hAnsi="Arial"/>
          <w:sz w:val="19"/>
          <w:szCs w:val="19"/>
          <w:b w:val="1"/>
          <w:bCs w:val="1"/>
          <w:color w:val="auto"/>
        </w:rPr>
        <w:t>Applicable Reassessment</w:t>
      </w:r>
      <w:r>
        <w:rPr>
          <w:rFonts w:ascii="Arial" w:cs="Arial" w:eastAsia="Arial" w:hAnsi="Arial"/>
          <w:sz w:val="19"/>
          <w:szCs w:val="19"/>
          <w:color w:val="auto"/>
        </w:rPr>
        <w:t>"), at any time during the Lease Term, by paying to Tenant an amount equal to the "Proposition 13 Purchase Price", as that term is defined below, provided that the right of any successor of Landlord to exercise its right of repurchase hereunder shall not apply to any Reassessment which results from the event pursuant to which such successor of Landlord became the Landlord under this Lease. As used herein, "</w:t>
      </w:r>
      <w:r>
        <w:rPr>
          <w:rFonts w:ascii="Arial" w:cs="Arial" w:eastAsia="Arial" w:hAnsi="Arial"/>
          <w:sz w:val="19"/>
          <w:szCs w:val="19"/>
          <w:b w:val="1"/>
          <w:bCs w:val="1"/>
          <w:color w:val="auto"/>
        </w:rPr>
        <w:t>Proposition 13</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 Price</w:t>
      </w:r>
      <w:r>
        <w:rPr>
          <w:rFonts w:ascii="Arial" w:cs="Arial" w:eastAsia="Arial" w:hAnsi="Arial"/>
          <w:sz w:val="19"/>
          <w:szCs w:val="19"/>
          <w:color w:val="auto"/>
        </w:rPr>
        <w:t>" shall mean the present value of the Proposition 13 Protection Amount remaining during the Lease Term,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of payment of the Proposition 13 Purchase Price by Landlord. Such present value shall be calculated (i) by using the portion of the Proposition 13 Protection Amount attributable to each remaining Lease Year (as though the portion of such Proposition 13 Protection Amount benefitted Tenant at the end of each Lease Year), as the amounts to be discounted, and (ii) by using discount rates for each amount to be discounted equal to (A) the average rates of yield for United States Treasury Obligations with maturity dates as close as reasonably possible to the end of each Lease Year during which the portions of the Proposition 13 Protection Amount would have benefitted Tenant, which rates shall be those in effect as of Landlord's exercise of its right to purchase, as set forth in this </w:t>
      </w:r>
      <w:r>
        <w:rPr>
          <w:rFonts w:ascii="Arial" w:cs="Arial" w:eastAsia="Arial" w:hAnsi="Arial"/>
          <w:sz w:val="19"/>
          <w:szCs w:val="19"/>
          <w:u w:val="single" w:color="auto"/>
          <w:color w:val="auto"/>
        </w:rPr>
        <w:t>Section 4.7.3</w:t>
      </w:r>
      <w:r>
        <w:rPr>
          <w:rFonts w:ascii="Arial" w:cs="Arial" w:eastAsia="Arial" w:hAnsi="Arial"/>
          <w:sz w:val="19"/>
          <w:szCs w:val="19"/>
          <w:color w:val="auto"/>
        </w:rPr>
        <w:t xml:space="preserve">, plus (B) two percent (2%) per annum. Upon such payment of the Proposition 13 Purchase Price, the provisions of </w:t>
      </w:r>
      <w:r>
        <w:rPr>
          <w:rFonts w:ascii="Arial" w:cs="Arial" w:eastAsia="Arial" w:hAnsi="Arial"/>
          <w:sz w:val="19"/>
          <w:szCs w:val="19"/>
          <w:u w:val="single" w:color="auto"/>
          <w:color w:val="auto"/>
        </w:rPr>
        <w:t>Section 4.7.2</w:t>
      </w:r>
      <w:r>
        <w:rPr>
          <w:rFonts w:ascii="Arial" w:cs="Arial" w:eastAsia="Arial" w:hAnsi="Arial"/>
          <w:sz w:val="19"/>
          <w:szCs w:val="19"/>
          <w:color w:val="auto"/>
        </w:rPr>
        <w:t>, above, shall not apply to any Tax Increase attributable to the Applicable Reassessment. Since Landlord is estimating the Proposition 13 Purchase Price because a Reassessment has not yet occurred, then when such Reassessment occurs, if Landlord has underestimated the Proposition 13 Purchase Price, then upon notice by Landlord to Tenant, Tenant's Rent next due shall be credited with the amount of such underestimation, and if Landlord overestimates the Proposition 13 Purchase Price, then upon notice by Landlord to Tenant, Rent next due shall be increased by the amount of the overestimation.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-18-</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6" w:name="page57"/>
    <w:bookmarkEnd w:id="56"/>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5</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u w:val="single" w:color="auto"/>
                <w:color w:val="auto"/>
                <w:w w:val="96"/>
              </w:rPr>
              <w:t>USE OF PREMISES</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color w:val="auto"/>
                <w:w w:val="84"/>
              </w:rPr>
              <w:t>5.1</w:t>
            </w:r>
          </w:p>
        </w:tc>
        <w:tc>
          <w:tcPr>
            <w:tcW w:w="9620" w:type="dxa"/>
            <w:vAlign w:val="bottom"/>
          </w:tcPr>
          <w:p>
            <w:pPr>
              <w:ind w:left="660"/>
              <w:spacing w:after="0"/>
              <w:rPr>
                <w:sz w:val="20"/>
                <w:szCs w:val="20"/>
                <w:color w:val="auto"/>
              </w:rPr>
            </w:pPr>
            <w:r>
              <w:rPr>
                <w:rFonts w:ascii="Arial" w:cs="Arial" w:eastAsia="Arial" w:hAnsi="Arial"/>
                <w:sz w:val="22"/>
                <w:szCs w:val="22"/>
                <w:b w:val="1"/>
                <w:bCs w:val="1"/>
                <w:u w:val="single" w:color="auto"/>
                <w:color w:val="auto"/>
                <w:w w:val="89"/>
              </w:rPr>
              <w:t>Permitted Use</w:t>
            </w:r>
            <w:r>
              <w:rPr>
                <w:rFonts w:ascii="Arial" w:cs="Arial" w:eastAsia="Arial" w:hAnsi="Arial"/>
                <w:sz w:val="22"/>
                <w:szCs w:val="22"/>
                <w:color w:val="auto"/>
                <w:w w:val="89"/>
              </w:rPr>
              <w:t>. Tenant shall use the Premises solely for the Permitted Use set forth in</w:t>
            </w:r>
            <w:r>
              <w:rPr>
                <w:rFonts w:ascii="Arial" w:cs="Arial" w:eastAsia="Arial" w:hAnsi="Arial"/>
                <w:sz w:val="22"/>
                <w:szCs w:val="22"/>
                <w:b w:val="1"/>
                <w:bCs w:val="1"/>
                <w:color w:val="auto"/>
                <w:w w:val="89"/>
              </w:rPr>
              <w:t xml:space="preserve"> </w:t>
            </w:r>
            <w:r>
              <w:rPr>
                <w:rFonts w:ascii="Arial" w:cs="Arial" w:eastAsia="Arial" w:hAnsi="Arial"/>
                <w:sz w:val="22"/>
                <w:szCs w:val="22"/>
                <w:u w:val="single" w:color="auto"/>
                <w:color w:val="auto"/>
                <w:w w:val="89"/>
              </w:rPr>
              <w:t>Section 7</w:t>
            </w:r>
            <w:r>
              <w:rPr>
                <w:rFonts w:ascii="Arial" w:cs="Arial" w:eastAsia="Arial" w:hAnsi="Arial"/>
                <w:sz w:val="22"/>
                <w:szCs w:val="22"/>
                <w:b w:val="1"/>
                <w:bCs w:val="1"/>
                <w:color w:val="auto"/>
                <w:w w:val="89"/>
              </w:rPr>
              <w:t xml:space="preserve"> </w:t>
            </w:r>
            <w:r>
              <w:rPr>
                <w:rFonts w:ascii="Arial" w:cs="Arial" w:eastAsia="Arial" w:hAnsi="Arial"/>
                <w:sz w:val="22"/>
                <w:szCs w:val="22"/>
                <w:color w:val="auto"/>
                <w:w w:val="89"/>
              </w:rPr>
              <w:t>of the</w:t>
            </w:r>
          </w:p>
        </w:tc>
      </w:tr>
    </w:tbl>
    <w:p>
      <w:pPr>
        <w:jc w:val="both"/>
        <w:ind w:right="20"/>
        <w:spacing w:after="0" w:line="256" w:lineRule="auto"/>
        <w:rPr>
          <w:sz w:val="20"/>
          <w:szCs w:val="20"/>
          <w:color w:val="auto"/>
        </w:rPr>
      </w:pPr>
      <w:r>
        <w:rPr>
          <w:rFonts w:ascii="Arial" w:cs="Arial" w:eastAsia="Arial" w:hAnsi="Arial"/>
          <w:sz w:val="21"/>
          <w:szCs w:val="21"/>
          <w:color w:val="auto"/>
        </w:rPr>
        <w:t>Summary and Tenant shall not use or permit the Premises or the Project to be used for any other purpose or purposes whatsoever without the prior written consent of Landlord, which may be withheld in Landlord's sole discretion.</w:t>
      </w:r>
    </w:p>
    <w:p>
      <w:pPr>
        <w:spacing w:after="0" w:line="163"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u w:val="single" w:color="auto"/>
          <w:color w:val="auto"/>
        </w:rPr>
        <w:t>Prohibited Uses</w:t>
      </w:r>
      <w:r>
        <w:rPr>
          <w:rFonts w:ascii="Arial" w:cs="Arial" w:eastAsia="Arial" w:hAnsi="Arial"/>
          <w:sz w:val="19"/>
          <w:szCs w:val="19"/>
          <w:color w:val="auto"/>
        </w:rPr>
        <w:t>. The uses prohibited under this Lease shall include, without limitation, use of the Premises or a portion thereof for the operation of a "Flexible Workplace Center," as that term is defined below, and Tenant shall not allow any Flexible Workplace Center to occupy all or any portion of the Premises. A "</w:t>
      </w:r>
      <w:r>
        <w:rPr>
          <w:rFonts w:ascii="Arial" w:cs="Arial" w:eastAsia="Arial" w:hAnsi="Arial"/>
          <w:sz w:val="19"/>
          <w:szCs w:val="19"/>
          <w:b w:val="1"/>
          <w:bCs w:val="1"/>
          <w:color w:val="auto"/>
        </w:rPr>
        <w:t>Flexible Workplace Center</w:t>
      </w:r>
      <w:r>
        <w:rPr>
          <w:rFonts w:ascii="Arial" w:cs="Arial" w:eastAsia="Arial" w:hAnsi="Arial"/>
          <w:sz w:val="19"/>
          <w:szCs w:val="19"/>
          <w:color w:val="auto"/>
        </w:rPr>
        <w:t xml:space="preserve">" means a flexible workplace environment where the primary business conducted is as a provider of coworking or executive/shared office suites or a flexible workplace center or virtual office space (e.g., WeWork).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or any Underlying Documents. Tenant shall not allow the use of the Premises in violation of any of the exclusive uses set forth on </w:t>
      </w:r>
      <w:r>
        <w:rPr>
          <w:rFonts w:ascii="Arial" w:cs="Arial" w:eastAsia="Arial" w:hAnsi="Arial"/>
          <w:sz w:val="19"/>
          <w:szCs w:val="19"/>
          <w:b w:val="1"/>
          <w:bCs w:val="1"/>
          <w:u w:val="single" w:color="auto"/>
          <w:color w:val="auto"/>
        </w:rPr>
        <w:t>Exhibit D-1</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Tenant shall not do or permit anything to be done in or about the Premises which would reasonably be</w:t>
      </w:r>
      <w:r>
        <w:rPr>
          <w:rFonts w:ascii="Arial" w:cs="Arial" w:eastAsia="Arial" w:hAnsi="Arial"/>
          <w:sz w:val="19"/>
          <w:szCs w:val="19"/>
          <w:b w:val="1"/>
          <w:bCs w:val="1"/>
          <w:color w:val="auto"/>
        </w:rPr>
        <w:t xml:space="preserve"> </w:t>
      </w:r>
      <w:r>
        <w:rPr>
          <w:rFonts w:ascii="Arial" w:cs="Arial" w:eastAsia="Arial" w:hAnsi="Arial"/>
          <w:sz w:val="19"/>
          <w:szCs w:val="19"/>
          <w:color w:val="auto"/>
        </w:rPr>
        <w:t>expected to materially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60" w:type="dxa"/>
            <w:vAlign w:val="bottom"/>
            <w:gridSpan w:val="2"/>
          </w:tcPr>
          <w:p>
            <w:pPr>
              <w:jc w:val="right"/>
              <w:ind w:right="5120"/>
              <w:spacing w:after="0"/>
              <w:rPr>
                <w:sz w:val="20"/>
                <w:szCs w:val="20"/>
                <w:color w:val="auto"/>
              </w:rPr>
            </w:pPr>
            <w:r>
              <w:rPr>
                <w:rFonts w:ascii="Arial" w:cs="Arial" w:eastAsia="Arial" w:hAnsi="Arial"/>
                <w:sz w:val="22"/>
                <w:szCs w:val="22"/>
                <w:b w:val="1"/>
                <w:bCs w:val="1"/>
                <w:color w:val="auto"/>
              </w:rPr>
              <w:t>ARTICLE 6</w:t>
            </w:r>
          </w:p>
        </w:tc>
      </w:tr>
      <w:tr>
        <w:trPr>
          <w:trHeight w:val="436"/>
        </w:trPr>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w w:val="99"/>
              </w:rPr>
              <w:t>SERVICES AND UTILITIES</w:t>
            </w:r>
          </w:p>
        </w:tc>
        <w:tc>
          <w:tcPr>
            <w:tcW w:w="4300" w:type="dxa"/>
            <w:vAlign w:val="bottom"/>
          </w:tcPr>
          <w:p>
            <w:pPr>
              <w:spacing w:after="0"/>
              <w:rPr>
                <w:sz w:val="24"/>
                <w:szCs w:val="24"/>
                <w:color w:val="auto"/>
              </w:rPr>
            </w:pPr>
          </w:p>
        </w:tc>
      </w:tr>
      <w:tr>
        <w:trPr>
          <w:trHeight w:val="439"/>
        </w:trPr>
        <w:tc>
          <w:tcPr>
            <w:tcW w:w="1460" w:type="dxa"/>
            <w:vAlign w:val="bottom"/>
          </w:tcPr>
          <w:p>
            <w:pPr>
              <w:jc w:val="right"/>
              <w:ind w:right="192"/>
              <w:spacing w:after="0"/>
              <w:rPr>
                <w:sz w:val="20"/>
                <w:szCs w:val="20"/>
                <w:color w:val="auto"/>
              </w:rPr>
            </w:pPr>
            <w:r>
              <w:rPr>
                <w:rFonts w:ascii="Arial" w:cs="Arial" w:eastAsia="Arial" w:hAnsi="Arial"/>
                <w:sz w:val="22"/>
                <w:szCs w:val="22"/>
                <w:color w:val="auto"/>
              </w:rPr>
              <w:t>6.1</w:t>
            </w:r>
          </w:p>
        </w:tc>
        <w:tc>
          <w:tcPr>
            <w:tcW w:w="100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22"/>
                <w:szCs w:val="22"/>
                <w:b w:val="1"/>
                <w:bCs w:val="1"/>
                <w:color w:val="auto"/>
                <w:w w:val="94"/>
              </w:rPr>
              <w:t>Standard Tenant</w:t>
            </w:r>
          </w:p>
        </w:tc>
        <w:tc>
          <w:tcPr>
            <w:tcW w:w="7280" w:type="dxa"/>
            <w:vAlign w:val="bottom"/>
            <w:gridSpan w:val="4"/>
          </w:tcPr>
          <w:p>
            <w:pPr>
              <w:jc w:val="right"/>
              <w:spacing w:after="0"/>
              <w:rPr>
                <w:sz w:val="20"/>
                <w:szCs w:val="20"/>
                <w:color w:val="auto"/>
              </w:rPr>
            </w:pPr>
            <w:r>
              <w:rPr>
                <w:rFonts w:ascii="Arial" w:cs="Arial" w:eastAsia="Arial" w:hAnsi="Arial"/>
                <w:sz w:val="22"/>
                <w:szCs w:val="22"/>
                <w:b w:val="1"/>
                <w:bCs w:val="1"/>
                <w:color w:val="auto"/>
                <w:w w:val="99"/>
              </w:rPr>
              <w:t>Services</w:t>
            </w:r>
            <w:r>
              <w:rPr>
                <w:rFonts w:ascii="Arial" w:cs="Arial" w:eastAsia="Arial" w:hAnsi="Arial"/>
                <w:sz w:val="22"/>
                <w:szCs w:val="22"/>
                <w:color w:val="auto"/>
                <w:w w:val="99"/>
              </w:rPr>
              <w:t>.  Landlord shall provide the following services on all days (unless</w:t>
            </w:r>
          </w:p>
        </w:tc>
      </w:tr>
      <w:tr>
        <w:trPr>
          <w:trHeight w:val="20"/>
        </w:trPr>
        <w:tc>
          <w:tcPr>
            <w:tcW w:w="2460" w:type="dxa"/>
            <w:vAlign w:val="bottom"/>
            <w:gridSpan w:val="2"/>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74"/>
        </w:trPr>
        <w:tc>
          <w:tcPr>
            <w:tcW w:w="4120" w:type="dxa"/>
            <w:vAlign w:val="bottom"/>
            <w:gridSpan w:val="3"/>
          </w:tcPr>
          <w:p>
            <w:pPr>
              <w:spacing w:after="0"/>
              <w:rPr>
                <w:sz w:val="20"/>
                <w:szCs w:val="20"/>
                <w:color w:val="auto"/>
              </w:rPr>
            </w:pPr>
            <w:r>
              <w:rPr>
                <w:rFonts w:ascii="Arial" w:cs="Arial" w:eastAsia="Arial" w:hAnsi="Arial"/>
                <w:sz w:val="22"/>
                <w:szCs w:val="22"/>
                <w:color w:val="auto"/>
                <w:w w:val="88"/>
              </w:rPr>
              <w:t>otherwise stated below) during the Lease Term.</w:t>
            </w: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446"/>
        </w:trPr>
        <w:tc>
          <w:tcPr>
            <w:tcW w:w="1460" w:type="dxa"/>
            <w:vAlign w:val="bottom"/>
          </w:tcPr>
          <w:p>
            <w:pPr>
              <w:spacing w:after="0"/>
              <w:rPr>
                <w:sz w:val="24"/>
                <w:szCs w:val="24"/>
                <w:color w:val="auto"/>
              </w:rPr>
            </w:pPr>
          </w:p>
        </w:tc>
        <w:tc>
          <w:tcPr>
            <w:tcW w:w="1000" w:type="dxa"/>
            <w:vAlign w:val="bottom"/>
          </w:tcPr>
          <w:p>
            <w:pPr>
              <w:jc w:val="right"/>
              <w:ind w:right="152"/>
              <w:spacing w:after="0"/>
              <w:rPr>
                <w:sz w:val="20"/>
                <w:szCs w:val="20"/>
                <w:color w:val="auto"/>
              </w:rPr>
            </w:pPr>
            <w:r>
              <w:rPr>
                <w:rFonts w:ascii="Arial" w:cs="Arial" w:eastAsia="Arial" w:hAnsi="Arial"/>
                <w:sz w:val="22"/>
                <w:szCs w:val="22"/>
                <w:color w:val="auto"/>
              </w:rPr>
              <w:t>6.1.1</w:t>
            </w:r>
          </w:p>
        </w:tc>
        <w:tc>
          <w:tcPr>
            <w:tcW w:w="1660" w:type="dxa"/>
            <w:vAlign w:val="bottom"/>
          </w:tcPr>
          <w:p>
            <w:pPr>
              <w:spacing w:after="0"/>
              <w:rPr>
                <w:sz w:val="24"/>
                <w:szCs w:val="24"/>
                <w:color w:val="auto"/>
              </w:rPr>
            </w:pPr>
          </w:p>
        </w:tc>
        <w:tc>
          <w:tcPr>
            <w:tcW w:w="7280" w:type="dxa"/>
            <w:vAlign w:val="bottom"/>
            <w:gridSpan w:val="4"/>
          </w:tcPr>
          <w:p>
            <w:pPr>
              <w:jc w:val="right"/>
              <w:spacing w:after="0"/>
              <w:rPr>
                <w:sz w:val="20"/>
                <w:szCs w:val="20"/>
                <w:color w:val="auto"/>
              </w:rPr>
            </w:pPr>
            <w:r>
              <w:rPr>
                <w:rFonts w:ascii="Arial" w:cs="Arial" w:eastAsia="Arial" w:hAnsi="Arial"/>
                <w:sz w:val="22"/>
                <w:szCs w:val="22"/>
                <w:color w:val="auto"/>
                <w:w w:val="89"/>
              </w:rPr>
              <w:t>Subject to limitations imposed by all governmental rules, regulations and guidelines</w:t>
            </w:r>
          </w:p>
        </w:tc>
      </w:tr>
    </w:tbl>
    <w:p>
      <w:pPr>
        <w:jc w:val="both"/>
        <w:ind w:right="20"/>
        <w:spacing w:after="0" w:line="233" w:lineRule="auto"/>
        <w:rPr>
          <w:sz w:val="20"/>
          <w:szCs w:val="20"/>
          <w:color w:val="auto"/>
        </w:rPr>
      </w:pPr>
      <w:r>
        <w:rPr>
          <w:rFonts w:ascii="Arial" w:cs="Arial" w:eastAsia="Arial" w:hAnsi="Arial"/>
          <w:sz w:val="22"/>
          <w:szCs w:val="22"/>
          <w:color w:val="auto"/>
        </w:rPr>
        <w:t>applicable thereto, Landlord shall provide heating and air conditioning ("</w:t>
      </w:r>
      <w:r>
        <w:rPr>
          <w:rFonts w:ascii="Arial" w:cs="Arial" w:eastAsia="Arial" w:hAnsi="Arial"/>
          <w:sz w:val="22"/>
          <w:szCs w:val="22"/>
          <w:b w:val="1"/>
          <w:bCs w:val="1"/>
          <w:color w:val="auto"/>
        </w:rPr>
        <w:t>HVAC</w:t>
      </w:r>
      <w:r>
        <w:rPr>
          <w:rFonts w:ascii="Arial" w:cs="Arial" w:eastAsia="Arial" w:hAnsi="Arial"/>
          <w:sz w:val="22"/>
          <w:szCs w:val="22"/>
          <w:color w:val="auto"/>
        </w:rPr>
        <w:t>") when necessary for normal comfort for normal office use in the Premises from 8:00 A.M. to 6:00 P.M. Monday through Friday, and 9:00 A.M. to 1:00 P.M. on Saturday (collectively, the "</w:t>
      </w:r>
      <w:r>
        <w:rPr>
          <w:rFonts w:ascii="Arial" w:cs="Arial" w:eastAsia="Arial" w:hAnsi="Arial"/>
          <w:sz w:val="22"/>
          <w:szCs w:val="22"/>
          <w:b w:val="1"/>
          <w:bCs w:val="1"/>
          <w:color w:val="auto"/>
        </w:rPr>
        <w:t>Building Hours</w:t>
      </w:r>
      <w:r>
        <w:rPr>
          <w:rFonts w:ascii="Arial" w:cs="Arial" w:eastAsia="Arial" w:hAnsi="Arial"/>
          <w:sz w:val="22"/>
          <w:szCs w:val="22"/>
          <w:color w:val="auto"/>
        </w:rPr>
        <w:t>"), except for the date of observation of New Year's Day, Martin Luther King Day, President's Day, Independence Day, Labor Day, Memorial Day, Thanksgiving Day and the day after Thanksgiving Day, Christmas Day and, at Landlord's reasonable discretion, other locally or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-19-</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57" w:name="page58"/>
    <w:bookmarkEnd w:id="57"/>
    <w:p>
      <w:pPr>
        <w:jc w:val="both"/>
        <w:ind w:right="20"/>
        <w:spacing w:after="0" w:line="245" w:lineRule="auto"/>
        <w:rPr>
          <w:sz w:val="20"/>
          <w:szCs w:val="20"/>
          <w:color w:val="auto"/>
        </w:rPr>
      </w:pPr>
      <w:r>
        <w:rPr>
          <w:rFonts w:ascii="Arial" w:cs="Arial" w:eastAsia="Arial" w:hAnsi="Arial"/>
          <w:sz w:val="21"/>
          <w:szCs w:val="21"/>
          <w:color w:val="auto"/>
        </w:rPr>
        <w:t>nationally recognized holidays which are observed by other buildings comparable to and in the vicinity of the Building (collectively, the "</w:t>
      </w:r>
      <w:r>
        <w:rPr>
          <w:rFonts w:ascii="Arial" w:cs="Arial" w:eastAsia="Arial" w:hAnsi="Arial"/>
          <w:sz w:val="21"/>
          <w:szCs w:val="21"/>
          <w:b w:val="1"/>
          <w:bCs w:val="1"/>
          <w:color w:val="auto"/>
        </w:rPr>
        <w:t>Holidays</w:t>
      </w:r>
      <w:r>
        <w:rPr>
          <w:rFonts w:ascii="Arial" w:cs="Arial" w:eastAsia="Arial" w:hAnsi="Arial"/>
          <w:sz w:val="21"/>
          <w:szCs w:val="21"/>
          <w:color w:val="auto"/>
        </w:rPr>
        <w:t>"). Provided that Tenant maintains a normal office density, and designs and constructs the Tenant Improvements in the Premises to provide for efficient HVAC balancing and efficiency, including installation of supplemental HVAC by Tenant as required based on Tenant’s design, the HVAC provided by Landlord to Tenant shall be sufficient to maintain an indoor temperature within the Premises of no less than 68 degrees Fahrenheit and no greater than 76 degrees Fahrenheit, with 50% relative humidity (but no humidity control), with outdoor winter and summer design conditions that are in accordance with ASHRAE guidelines. As of the date hereof, Landlord represents and warrants that the system will provide sufficient outdoor air ventilation to the Premises consistent with minimum values in Title 24 of the Energy Code and sufficient toilet exhaust air to core restrooms in accordance with the California Mechanical Code.</w:t>
      </w:r>
    </w:p>
    <w:p>
      <w:pPr>
        <w:spacing w:after="0" w:line="185" w:lineRule="exact"/>
        <w:rPr>
          <w:sz w:val="20"/>
          <w:szCs w:val="20"/>
          <w:color w:val="auto"/>
        </w:rPr>
      </w:pPr>
    </w:p>
    <w:p>
      <w:pPr>
        <w:jc w:val="both"/>
        <w:ind w:right="20" w:firstLine="1755"/>
        <w:spacing w:after="0" w:line="246" w:lineRule="auto"/>
        <w:rPr>
          <w:sz w:val="20"/>
          <w:szCs w:val="20"/>
          <w:color w:val="auto"/>
        </w:rPr>
      </w:pPr>
      <w:r>
        <w:rPr>
          <w:rFonts w:ascii="Arial" w:cs="Arial" w:eastAsia="Arial" w:hAnsi="Arial"/>
          <w:sz w:val="21"/>
          <w:szCs w:val="21"/>
          <w:color w:val="auto"/>
        </w:rPr>
        <w:t>6.1.2 Landlord shall provide adequate electrical wiring and facilities for connection to Tenant's lighting fixtures and incidental use equipment, provided that (i) the connected electrical load of the incidental use equipment does not exceed an average of five (5) watts per usable square foot of the Premises, calculated on a monthly basis, and the electricity so furnished for incidental use equipment will be at 120/208 volts, and (ii) the connected electrical load of Tenant's lighting fixtures does not exceed an average of one (1) watt per usable square foot of the Premises, calculated on a monthly basis, and the electricity so furnished for Tenant's lighting will be at 480/277 volts, which electrical usage shall be subject to applicable laws and regulations, including Title 24. Tenant shall bear the cost of replacement of lamps, starters and ballasts for non-Building standard lighting fixtures within the Premises.</w:t>
      </w:r>
    </w:p>
    <w:p>
      <w:pPr>
        <w:spacing w:after="0" w:line="181"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6.1.3 Landlord shall provide city water from the regular Building outlets for drinking, lavatory and toilet purposes in the Premises and Building Common Areas (but Landlord is not required to provide Common Area drinking fountains unless required by law).</w:t>
      </w:r>
    </w:p>
    <w:p>
      <w:pPr>
        <w:spacing w:after="0" w:line="186"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6.1.4 Landlord shall provide janitorial services to the Premises, except the date of observation of the Holidays, in and about the Premises and window washing services in a manner consistent with other comparable buildings in the vicinity of the Building.</w:t>
      </w:r>
    </w:p>
    <w:p>
      <w:pPr>
        <w:spacing w:after="0" w:line="186" w:lineRule="exact"/>
        <w:rPr>
          <w:sz w:val="20"/>
          <w:szCs w:val="20"/>
          <w:color w:val="auto"/>
        </w:rPr>
      </w:pPr>
    </w:p>
    <w:p>
      <w:pPr>
        <w:jc w:val="both"/>
        <w:ind w:right="20" w:firstLine="1755"/>
        <w:spacing w:after="0" w:line="274" w:lineRule="auto"/>
        <w:rPr>
          <w:sz w:val="20"/>
          <w:szCs w:val="20"/>
          <w:color w:val="auto"/>
        </w:rPr>
      </w:pPr>
      <w:r>
        <w:rPr>
          <w:rFonts w:ascii="Arial" w:cs="Arial" w:eastAsia="Arial" w:hAnsi="Arial"/>
          <w:sz w:val="21"/>
          <w:szCs w:val="21"/>
          <w:color w:val="auto"/>
        </w:rPr>
        <w:t>6.1.5 Landlord shall provide nonexclusive, non-attended automatic passenger elevator service during the Building Hours and shall have no less than one elevator available at all other times, including on the Holidays.</w:t>
      </w:r>
    </w:p>
    <w:p>
      <w:pPr>
        <w:spacing w:after="0" w:line="151"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6.1.6 Landlord shall provide nonexclusive freight elevator service subject to scheduling by Landlord which requires not less than two (2) business hours prior notice.</w:t>
      </w:r>
    </w:p>
    <w:p>
      <w:pPr>
        <w:spacing w:after="0" w:line="173" w:lineRule="exact"/>
        <w:rPr>
          <w:sz w:val="20"/>
          <w:szCs w:val="20"/>
          <w:color w:val="auto"/>
        </w:rPr>
      </w:pPr>
    </w:p>
    <w:p>
      <w:pPr>
        <w:ind w:right="120" w:firstLine="877"/>
        <w:spacing w:after="0" w:line="328" w:lineRule="auto"/>
        <w:rPr>
          <w:sz w:val="20"/>
          <w:szCs w:val="20"/>
          <w:color w:val="auto"/>
        </w:rPr>
      </w:pPr>
      <w:r>
        <w:rPr>
          <w:rFonts w:ascii="Arial" w:cs="Arial" w:eastAsia="Arial" w:hAnsi="Arial"/>
          <w:sz w:val="19"/>
          <w:szCs w:val="19"/>
          <w:color w:val="auto"/>
        </w:rPr>
        <w:t>Tenant shall reasonably cooperate with Landlord at all times and abide by all regulations and requirements that Landlord may reasonably prescribe for the proper functioning and protection of the HVAC, electrical, mechanical and plumbing systems.</w:t>
      </w:r>
    </w:p>
    <w:p>
      <w:pPr>
        <w:spacing w:after="0" w:line="99" w:lineRule="exact"/>
        <w:rPr>
          <w:sz w:val="20"/>
          <w:szCs w:val="20"/>
          <w:color w:val="auto"/>
        </w:rPr>
      </w:pPr>
    </w:p>
    <w:p>
      <w:pPr>
        <w:jc w:val="both"/>
        <w:ind w:right="20" w:firstLine="877"/>
        <w:spacing w:after="0" w:line="239"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u w:val="single" w:color="auto"/>
          <w:color w:val="auto"/>
        </w:rPr>
        <w:t>Overstandard Tenant Use</w:t>
      </w:r>
      <w:r>
        <w:rPr>
          <w:rFonts w:ascii="Arial" w:cs="Arial" w:eastAsia="Arial" w:hAnsi="Arial"/>
          <w:sz w:val="22"/>
          <w:szCs w:val="22"/>
          <w:color w:val="auto"/>
        </w:rPr>
        <w:t>. Tenant shall not, without Landlord's prior written consent, use heat-generating machines, machines other than normal fractional horsepower office machines, or equipment or lighting other than Building standard lights in the Premises, which may materially and unreasonably affect the temperature otherwise maintained by the air conditioning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-20-</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8" w:name="page59"/>
    <w:bookmarkEnd w:id="58"/>
    <w:p>
      <w:pPr>
        <w:jc w:val="both"/>
        <w:ind w:right="20"/>
        <w:spacing w:after="0" w:line="270" w:lineRule="auto"/>
        <w:rPr>
          <w:sz w:val="20"/>
          <w:szCs w:val="20"/>
          <w:color w:val="auto"/>
        </w:rPr>
      </w:pPr>
      <w:r>
        <w:rPr>
          <w:rFonts w:ascii="Arial" w:cs="Arial" w:eastAsia="Arial" w:hAnsi="Arial"/>
          <w:sz w:val="19"/>
          <w:szCs w:val="19"/>
          <w:color w:val="auto"/>
        </w:rPr>
        <w:t xml:space="preserve">system or increase the water normally furnished for the Premises by Landlord pursuant to the terms of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this Lease. If Tenant uses water, electricity, heat or air conditioning materially in excess of that supplied by Landlord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this Lease, Tenant shall pay to Landlord, upon billing, the actual cost of such excess consumption, the reasonable cost of the installation, operation, and maintenance of equipment which is installed in order to supply such excess consumption, and the cost of the increased wear and tear on existing equipment caused by such excess consumption; and Landlord may, in its reasonable discretion, install devices to separately meter any increased use and in such event Tenant shall pay the increased cost directly to Landlord, on demand, at the rates charged by the public utility company furnishing the same, including the reasonable cost of installing, testing and maintaining of such additional metering devices. Tenant's use of electricity shall never exceed the capacity of the feeders to the Project or the risers or wiring installation, and subject to the terms of </w:t>
      </w:r>
      <w:r>
        <w:rPr>
          <w:rFonts w:ascii="Arial" w:cs="Arial" w:eastAsia="Arial" w:hAnsi="Arial"/>
          <w:sz w:val="19"/>
          <w:szCs w:val="19"/>
          <w:u w:val="single" w:color="auto"/>
          <w:color w:val="auto"/>
        </w:rPr>
        <w:t>Section 29.31</w:t>
      </w:r>
      <w:r>
        <w:rPr>
          <w:rFonts w:ascii="Arial" w:cs="Arial" w:eastAsia="Arial" w:hAnsi="Arial"/>
          <w:sz w:val="19"/>
          <w:szCs w:val="19"/>
          <w:color w:val="auto"/>
        </w:rPr>
        <w:t xml:space="preserve">, below, Tenant shall not install or use or permit the installation or use of any computer or electronic data processing equipment in the Premises, without the prior written consent of Landlord except for such equipment as is typically installed by tenants of Class A office buildings. If Tenant desires to use heat, ventilation or air conditioning during hours other than those for which Landlord is obligated to supply such utilities pursuant to the terms of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this Lease, Tenant shall give Landlord such prior notice, if any, as Landlord shall from time to time reasonably establish as appropriate, of Tenant's desired use in order to supply such utilities, and Landlord shall supply such utilities to Tenant at such hourly cost per zone to Tenant (which shall be treated as Additional Rent) as Landlord shall from time to time reasonably establish. Notwithstanding any provision to the contrary contained in this Lease, Tenant shall promptly pay to Landlord, Landlord's standard charge for any services provided to Tenant at its request which Landlord is not specifically obligated to provide to Tenant pursuant to the terms of this Lease.</w:t>
      </w:r>
    </w:p>
    <w:p>
      <w:pPr>
        <w:spacing w:after="0" w:line="161" w:lineRule="exact"/>
        <w:rPr>
          <w:sz w:val="20"/>
          <w:szCs w:val="20"/>
          <w:color w:val="auto"/>
        </w:rPr>
      </w:pPr>
    </w:p>
    <w:p>
      <w:pPr>
        <w:jc w:val="both"/>
        <w:ind w:right="20" w:firstLine="877"/>
        <w:spacing w:after="0" w:line="273"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u w:val="single" w:color="auto"/>
          <w:color w:val="auto"/>
        </w:rPr>
        <w:t>Interruption of Use</w:t>
      </w:r>
      <w:r>
        <w:rPr>
          <w:rFonts w:ascii="Arial" w:cs="Arial" w:eastAsia="Arial" w:hAnsi="Arial"/>
          <w:sz w:val="19"/>
          <w:szCs w:val="19"/>
          <w:color w:val="auto"/>
        </w:rPr>
        <w:t xml:space="preserve">. Tenant agrees that Landlord shall not be liable for damages, by abatement of Rent (except as specifically set forth in </w:t>
      </w:r>
      <w:r>
        <w:rPr>
          <w:rFonts w:ascii="Arial" w:cs="Arial" w:eastAsia="Arial" w:hAnsi="Arial"/>
          <w:sz w:val="19"/>
          <w:szCs w:val="19"/>
          <w:u w:val="single" w:color="auto"/>
          <w:color w:val="auto"/>
        </w:rPr>
        <w:t>Section 19.5.2</w:t>
      </w:r>
      <w:r>
        <w:rPr>
          <w:rFonts w:ascii="Arial" w:cs="Arial" w:eastAsia="Arial" w:hAnsi="Arial"/>
          <w:sz w:val="19"/>
          <w:szCs w:val="19"/>
          <w:color w:val="auto"/>
        </w:rPr>
        <w:t xml:space="preserve"> of this Lease)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(except as specifically set forth in </w:t>
      </w:r>
      <w:r>
        <w:rPr>
          <w:rFonts w:ascii="Arial" w:cs="Arial" w:eastAsia="Arial" w:hAnsi="Arial"/>
          <w:sz w:val="19"/>
          <w:szCs w:val="19"/>
          <w:u w:val="single" w:color="auto"/>
          <w:color w:val="auto"/>
        </w:rPr>
        <w:t>Section 19.5.2</w:t>
      </w:r>
      <w:r>
        <w:rPr>
          <w:rFonts w:ascii="Arial" w:cs="Arial" w:eastAsia="Arial" w:hAnsi="Arial"/>
          <w:sz w:val="19"/>
          <w:szCs w:val="19"/>
          <w:color w:val="auto"/>
        </w:rPr>
        <w:t xml:space="preserve"> of this Lease)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9"/>
          <w:szCs w:val="19"/>
          <w:u w:val="single" w:color="auto"/>
          <w:color w:val="auto"/>
        </w:rPr>
        <w:t>Article 6</w:t>
      </w:r>
      <w:r>
        <w:rPr>
          <w:rFonts w:ascii="Arial" w:cs="Arial" w:eastAsia="Arial" w:hAnsi="Arial"/>
          <w:sz w:val="19"/>
          <w:szCs w:val="19"/>
          <w:color w:val="auto"/>
        </w:rPr>
        <w:t>.</w:t>
      </w:r>
    </w:p>
    <w:p>
      <w:pPr>
        <w:spacing w:after="0" w:line="151" w:lineRule="exact"/>
        <w:rPr>
          <w:sz w:val="20"/>
          <w:szCs w:val="20"/>
          <w:color w:val="auto"/>
        </w:rPr>
      </w:pPr>
    </w:p>
    <w:p>
      <w:pPr>
        <w:jc w:val="both"/>
        <w:ind w:right="20" w:firstLine="877"/>
        <w:spacing w:after="0" w:line="254"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b w:val="1"/>
          <w:bCs w:val="1"/>
          <w:u w:val="single" w:color="auto"/>
          <w:color w:val="auto"/>
        </w:rPr>
        <w:t>Roof Rights</w:t>
      </w:r>
      <w:r>
        <w:rPr>
          <w:rFonts w:ascii="Arial" w:cs="Arial" w:eastAsia="Arial" w:hAnsi="Arial"/>
          <w:sz w:val="21"/>
          <w:szCs w:val="21"/>
          <w:color w:val="auto"/>
        </w:rPr>
        <w:t>. Tenant shall have the right, at Tenant’s sole cost and expense, to install one (1) satellite dish or telecommunications antenna and related equipment and connection (collectively, the “</w:t>
      </w:r>
      <w:r>
        <w:rPr>
          <w:rFonts w:ascii="Arial" w:cs="Arial" w:eastAsia="Arial" w:hAnsi="Arial"/>
          <w:sz w:val="21"/>
          <w:szCs w:val="21"/>
          <w:b w:val="1"/>
          <w:bCs w:val="1"/>
          <w:color w:val="auto"/>
        </w:rPr>
        <w:t>Rooftop Equipment</w:t>
      </w:r>
      <w:r>
        <w:rPr>
          <w:rFonts w:ascii="Arial" w:cs="Arial" w:eastAsia="Arial" w:hAnsi="Arial"/>
          <w:sz w:val="21"/>
          <w:szCs w:val="21"/>
          <w:color w:val="auto"/>
        </w:rPr>
        <w:t>”) upon the roof of the Building. Tenant's right to utilize the roof of the Building pursuant to the terms hereof shall be non-exclusive. The physical appearance and all specifications of the Rooftop Equipment shall be subject to Landlord’s approval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-21-</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9" w:name="page60"/>
    <w:bookmarkEnd w:id="59"/>
    <w:p>
      <w:pPr>
        <w:jc w:val="both"/>
        <w:ind w:right="20"/>
        <w:spacing w:after="0" w:line="271" w:lineRule="auto"/>
        <w:rPr>
          <w:sz w:val="20"/>
          <w:szCs w:val="20"/>
          <w:color w:val="auto"/>
        </w:rPr>
      </w:pPr>
      <w:r>
        <w:rPr>
          <w:rFonts w:ascii="Arial" w:cs="Arial" w:eastAsia="Arial" w:hAnsi="Arial"/>
          <w:sz w:val="19"/>
          <w:szCs w:val="19"/>
          <w:color w:val="auto"/>
        </w:rPr>
        <w:t>(which shall not be unreasonably withheld, conditioned or delayed), the location of any such installation of the Rooftop Equipment shall be reasonably designated by Landlord (subject to Tenant's reasonable approval), and Landlord may require Tenant to install screening around such Rooftop Equipment, at Tenant’s sole cost and expense, as reasonably designated by Landlord. Tenant shall be responsible, at Tenant’s sole cost and expense, for (i) obtaining all permits or other governmental approvals required in connection with the Rooftop Equipment, (ii) repairing and maintaining and causing the Rooftop Equipment to comply with all Applicable Laws, (iii) any repairs to the roof of the Building beyond normal wear and tear resulting from Tenant's use of or access to the Rooftop Equipment, and (iv) prior to the expiration or earlier termination of the Lease, the removal of the Rooftop Equipment and all associated wiring and connections and the restoration of all affect areas to the condition existing prior to the installation thereof. In no event shall Tenant permit the Rooftop Equipment to interfere with any communications or other equipment at or servicing the Building or Project that exist as of the date of Tenant's installation (or reasonable substitutes or replacements therefor) or with any Building Systems. Notwithstanding anything to the contrary contained herein, in no event shall Tenant be required to pay rental or any other fee to Landlord for use of the roof space as provided herein. Tenant shall indemnify, defend, protect, and hold harmless the Landlord Parties from any and all loss, cost, damage, expense and liability (including, without limitation, court costs and reasonable attorneys' fees) incurred in connection with or arising from any cause related to Tenant's installation, use, repair or maintenance or any other matter relating to or in connection with the Rooftop Equipment, except to the extent caused by the negligence or willful misconduct of Landlord or any of its agents, employees or contractors.</w:t>
      </w:r>
    </w:p>
    <w:p>
      <w:pPr>
        <w:spacing w:after="0" w:line="152"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Supplemental HVAC</w:t>
      </w:r>
      <w:r>
        <w:rPr>
          <w:rFonts w:ascii="Arial" w:cs="Arial" w:eastAsia="Arial" w:hAnsi="Arial"/>
          <w:sz w:val="22"/>
          <w:szCs w:val="22"/>
          <w:color w:val="auto"/>
        </w:rPr>
        <w:t xml:space="preserve">. Tenant shall have the right, at its sole cost and expense, to install a supplemental HVAC system within the Premises. Such supplemental HVAC system will be deemed an “Alteration” and will be subject to the terms and conditions of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below. The electricity required to operate such supplemental HVAC system shall be separately metered, and Tenant shall pay all electrical charges in connection with the operation of such supplemental HVAC system. At Landlord’s option Tenant shall remove such supplemental HVAC on the expiration or earlier termination of this Lease and repair all damage associated therewith.</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REPAIRS</w:t>
      </w:r>
    </w:p>
    <w:p>
      <w:pPr>
        <w:spacing w:after="0" w:line="212"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19"/>
          <w:szCs w:val="19"/>
          <w:color w:val="auto"/>
        </w:rPr>
        <w:t xml:space="preserve">Tenant shall, at Tenant's own expense, keep the Premises, including all improvements, fixtures, furnishings, and systems and equipment therein (including, without limitation, plumbing fixtures and equipment such as dishwashers, garbage disposals, and insta-hot dispensers), in good order, repair and condition at all times during the Lease Term. Except as expressly set forth in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below, Tenant shall not be required to maintain or repair Building utility systems located in the core areas of the Building, or in other areas of the Building (including, without limitation, the Premises), to the extent such systems are a part of the general Building utility systems and not a part of the improvements in the Premises. In addition, Tenant shall, at Tenant's own expense, but under the supervision and subject to the prior approval of Landlord, and within any reasonable period of time specified in writing by Landlord, promptly and adequately repair all damage to the Premises and replace or repair all damaged, broken, or worn fixtures and appurtenances, except for damage caused by ordinary wear and tear or beyond the reasonable control of Tenant; provided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-22-</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0" w:name="page61"/>
    <w:bookmarkEnd w:id="60"/>
    <w:p>
      <w:pPr>
        <w:jc w:val="both"/>
        <w:ind w:right="20"/>
        <w:spacing w:after="0" w:line="270" w:lineRule="auto"/>
        <w:rPr>
          <w:sz w:val="20"/>
          <w:szCs w:val="20"/>
          <w:color w:val="auto"/>
        </w:rPr>
      </w:pPr>
      <w:r>
        <w:rPr>
          <w:rFonts w:ascii="Arial" w:cs="Arial" w:eastAsia="Arial" w:hAnsi="Arial"/>
          <w:sz w:val="19"/>
          <w:szCs w:val="19"/>
          <w:color w:val="auto"/>
        </w:rPr>
        <w:t>however, that if Tenant fails to make such repairs within a reasonable period of time following Landlord’s written notice that such repairs are required, Landlord may, but need not, make such repairs and replacements, and Tenant shall pay Landlord the reasonable and actual cost thereof, including a percentage of such cost (to be uniformly established for the Building and/or the Project and not to exceed five percent (5%)) sufficient to reimburse Landlord for all overhead, general conditions, fees and other costs or expenses arising from Landlord's involvement with such repairs and replacements within thirty (30) days following receipt of an itemized invoice for same. Notwithstanding the foregoing, Landlord shall be responsible for repairs to the exterior walls, foundation and roof of the Building, the structural portions of the floors of the Building, and the base building systems and equipment of the Building,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Landlord may, but shall not be required to, enter the Premises at all reasonable times upon reasonable prior written notice (except in the case of an emergency, to make such repairs, alterations, improvements or additions to the Premises or to the Project or to any equipment located in the Project as Landlord shall deem necessary or as Landlord may be required to do by governmental or quasi-governmental authority or court order or decree, and Landlord shall use all commercially reasonable efforts during any such entry to minimize any interference with Tenant’s operations in the Premises. Tenant hereby waives and releases any and all rights under and benefits of subsection 1 of Section 1932 and Sections 1941 and 1942 of the California Civil Code or under any similar law, statute, or ordinance now or hereafter in effect.</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8</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u w:val="single" w:color="auto"/>
                <w:color w:val="auto"/>
                <w:w w:val="98"/>
              </w:rPr>
              <w:t>ADDITIONS AND ALTERATIONS</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color w:val="auto"/>
                <w:w w:val="84"/>
              </w:rPr>
              <w:t>8.1</w:t>
            </w:r>
          </w:p>
        </w:tc>
        <w:tc>
          <w:tcPr>
            <w:tcW w:w="9620" w:type="dxa"/>
            <w:vAlign w:val="bottom"/>
          </w:tcPr>
          <w:p>
            <w:pPr>
              <w:ind w:left="660"/>
              <w:spacing w:after="0"/>
              <w:rPr>
                <w:sz w:val="20"/>
                <w:szCs w:val="20"/>
                <w:color w:val="auto"/>
              </w:rPr>
            </w:pPr>
            <w:r>
              <w:rPr>
                <w:rFonts w:ascii="Arial" w:cs="Arial" w:eastAsia="Arial" w:hAnsi="Arial"/>
                <w:sz w:val="22"/>
                <w:szCs w:val="22"/>
                <w:b w:val="1"/>
                <w:bCs w:val="1"/>
                <w:u w:val="single" w:color="auto"/>
                <w:color w:val="auto"/>
                <w:w w:val="90"/>
              </w:rPr>
              <w:t>Landlord's Consent to Alterations</w:t>
            </w:r>
            <w:r>
              <w:rPr>
                <w:rFonts w:ascii="Arial" w:cs="Arial" w:eastAsia="Arial" w:hAnsi="Arial"/>
                <w:sz w:val="22"/>
                <w:szCs w:val="22"/>
                <w:color w:val="auto"/>
                <w:w w:val="90"/>
              </w:rPr>
              <w:t>.  Tenant may not make any improvements, alterations, additions</w:t>
            </w:r>
          </w:p>
        </w:tc>
      </w:tr>
    </w:tbl>
    <w:p>
      <w:pPr>
        <w:jc w:val="both"/>
        <w:ind w:right="20"/>
        <w:spacing w:after="0" w:line="272" w:lineRule="auto"/>
        <w:rPr>
          <w:sz w:val="20"/>
          <w:szCs w:val="20"/>
          <w:color w:val="auto"/>
        </w:rPr>
      </w:pPr>
      <w:r>
        <w:rPr>
          <w:rFonts w:ascii="Arial" w:cs="Arial" w:eastAsia="Arial" w:hAnsi="Arial"/>
          <w:sz w:val="19"/>
          <w:szCs w:val="19"/>
          <w:color w:val="auto"/>
        </w:rPr>
        <w:t>or changes to the Premises or any mechanical, plumbing or HVAC facilities or systems pertaining to the Premises (collectively, the "</w:t>
      </w:r>
      <w:r>
        <w:rPr>
          <w:rFonts w:ascii="Arial" w:cs="Arial" w:eastAsia="Arial" w:hAnsi="Arial"/>
          <w:sz w:val="19"/>
          <w:szCs w:val="19"/>
          <w:b w:val="1"/>
          <w:bCs w:val="1"/>
          <w:color w:val="auto"/>
        </w:rPr>
        <w:t>Alterations</w:t>
      </w:r>
      <w:r>
        <w:rPr>
          <w:rFonts w:ascii="Arial" w:cs="Arial" w:eastAsia="Arial" w:hAnsi="Arial"/>
          <w:sz w:val="19"/>
          <w:szCs w:val="19"/>
          <w:color w:val="auto"/>
        </w:rPr>
        <w:t>") without first procuring the prior written consent of Landlord to such Alterations, which consent shall be requested by Tenant not less than thirty (30) days prior to the commencement thereof, and which consent shall not be unreasonably withheld, conditioned or delayed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but without Landlord's prior consent, to the extent that such Alterations are decorative only (</w:t>
      </w:r>
      <w:r>
        <w:rPr>
          <w:rFonts w:ascii="Arial" w:cs="Arial" w:eastAsia="Arial" w:hAnsi="Arial"/>
          <w:sz w:val="19"/>
          <w:szCs w:val="19"/>
          <w:i w:val="1"/>
          <w:iCs w:val="1"/>
          <w:color w:val="auto"/>
        </w:rPr>
        <w:t>i.e.</w:t>
      </w:r>
      <w:r>
        <w:rPr>
          <w:rFonts w:ascii="Arial" w:cs="Arial" w:eastAsia="Arial" w:hAnsi="Arial"/>
          <w:sz w:val="19"/>
          <w:szCs w:val="19"/>
          <w:color w:val="auto"/>
        </w:rPr>
        <w:t xml:space="preserve">, installation of carpeting or painting of the Premises). The construction of the initial improvements to the Premises shall be governed by the terms of the Tenant Work Letter and not the terms of this </w:t>
      </w:r>
      <w:r>
        <w:rPr>
          <w:rFonts w:ascii="Arial" w:cs="Arial" w:eastAsia="Arial" w:hAnsi="Arial"/>
          <w:sz w:val="19"/>
          <w:szCs w:val="19"/>
          <w:u w:val="single" w:color="auto"/>
          <w:color w:val="auto"/>
        </w:rPr>
        <w:t>Article 8</w:t>
      </w:r>
      <w:r>
        <w:rPr>
          <w:rFonts w:ascii="Arial" w:cs="Arial" w:eastAsia="Arial" w:hAnsi="Arial"/>
          <w:sz w:val="19"/>
          <w:szCs w:val="19"/>
          <w:color w:val="auto"/>
        </w:rPr>
        <w:t>.</w:t>
      </w:r>
    </w:p>
    <w:p>
      <w:pPr>
        <w:spacing w:after="0" w:line="151" w:lineRule="exact"/>
        <w:rPr>
          <w:sz w:val="20"/>
          <w:szCs w:val="20"/>
          <w:color w:val="auto"/>
        </w:rPr>
      </w:pPr>
    </w:p>
    <w:p>
      <w:pPr>
        <w:jc w:val="both"/>
        <w:ind w:right="20" w:firstLine="877"/>
        <w:spacing w:after="0" w:line="239"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u w:val="single" w:color="auto"/>
          <w:color w:val="auto"/>
        </w:rPr>
        <w:t>Manner of Construction</w:t>
      </w:r>
      <w:r>
        <w:rPr>
          <w:rFonts w:ascii="Arial" w:cs="Arial" w:eastAsia="Arial" w:hAnsi="Arial"/>
          <w:sz w:val="22"/>
          <w:szCs w:val="22"/>
          <w:color w:val="auto"/>
        </w:rPr>
        <w:t>. Landlord may impose, as a condition of its consent to any and all Alterations or repairs of the Premises or about the Premises, such requirements as Landlord in its reasonable discretion may deem desirable, including, but not limited to, the requirement that Tenant utilize for Alterations that are reasonably expected to affect the “Base Building” (as defined below) only contractors, subcontractors, materials, mechanics and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-23-</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1" w:name="page62"/>
    <w:bookmarkEnd w:id="61"/>
    <w:p>
      <w:pPr>
        <w:jc w:val="both"/>
        <w:ind w:right="20"/>
        <w:spacing w:after="0" w:line="269" w:lineRule="auto"/>
        <w:rPr>
          <w:sz w:val="20"/>
          <w:szCs w:val="20"/>
          <w:color w:val="auto"/>
        </w:rPr>
      </w:pPr>
      <w:r>
        <w:rPr>
          <w:rFonts w:ascii="Arial" w:cs="Arial" w:eastAsia="Arial" w:hAnsi="Arial"/>
          <w:sz w:val="19"/>
          <w:szCs w:val="19"/>
          <w:color w:val="auto"/>
        </w:rPr>
        <w:t>materialmen selected by Tenant from a list provided and approved by Landlord, and the requirement that upon Landlord's request made at the time such Alteration(s) are approved by Landlord,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if the same is required, pursuant to a valid building permit, issued by the city in which the Building is located (or other applicable governmental authority), all in conformance with Landlord's reasonable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 Building," as that term is defined below, then Landlord shall notify Tenant when approving such Alterations and, if Tenant still wishes to construct same, Landlord shall, at Tenant's expense, make such changes to the Base Building. The "</w:t>
      </w:r>
      <w:r>
        <w:rPr>
          <w:rFonts w:ascii="Arial" w:cs="Arial" w:eastAsia="Arial" w:hAnsi="Arial"/>
          <w:sz w:val="19"/>
          <w:szCs w:val="19"/>
          <w:b w:val="1"/>
          <w:bCs w:val="1"/>
          <w:color w:val="auto"/>
        </w:rPr>
        <w:t>Base Building</w:t>
      </w:r>
      <w:r>
        <w:rPr>
          <w:rFonts w:ascii="Arial" w:cs="Arial" w:eastAsia="Arial" w:hAnsi="Arial"/>
          <w:sz w:val="19"/>
          <w:szCs w:val="19"/>
          <w:color w:val="auto"/>
        </w:rPr>
        <w:t xml:space="preserve">" shall include the structural portions of the Building, and the public restrooms, elevators, exit stairwells and the systems and equipment located in the internal core of the Building on the floor or floors on which the Premises are located. In performing the work of any such Alterations, Tenant shall have the work performed in such manner so as not to materially obstruct access to the Project or any portion thereof, by any other tenant of the Project, and so as not to materially obstruct the business of Landlord or other tenants in the Project.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of this Lease, upon completion of any Alterations, Tenant agrees to cause a Notice of Completion to be recorded in the office of the Recorder of the County in which the Building is located in accordance with Section 8182 of the Civil Code of the State of California or any successor statute, and Tenant shall deliver to the Project construction manager a reproducible copy of the "as built" drawings of the Alterations as well as all permits, approvals and other documents issued by any governmental agency in connection with the Alterations.</w:t>
      </w:r>
    </w:p>
    <w:p>
      <w:pPr>
        <w:spacing w:after="0" w:line="171" w:lineRule="exact"/>
        <w:rPr>
          <w:sz w:val="20"/>
          <w:szCs w:val="20"/>
          <w:color w:val="auto"/>
        </w:rPr>
      </w:pPr>
    </w:p>
    <w:p>
      <w:pPr>
        <w:jc w:val="both"/>
        <w:ind w:right="20" w:firstLine="877"/>
        <w:spacing w:after="0" w:line="23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u w:val="single" w:color="auto"/>
          <w:color w:val="auto"/>
        </w:rPr>
        <w:t>Payment for Improvements</w:t>
      </w:r>
      <w:r>
        <w:rPr>
          <w:rFonts w:ascii="Arial" w:cs="Arial" w:eastAsia="Arial" w:hAnsi="Arial"/>
          <w:sz w:val="22"/>
          <w:szCs w:val="22"/>
          <w:color w:val="auto"/>
        </w:rPr>
        <w:t>. If payment is made by Tenant directly to contractors, Tenant shall (i) comply with Landlord's requirements for final lien releases and waivers in connection with Tenant's payment for work to contractors, and (ii) sign Landlord's standard contractor's rules and regulations. Tenant shall pay to Landlord an amount equal to one percent (1%) of the hard cost of such Alteration to compensate Landlord for Landlord's review and involvement with such work, which amount shall be for services relating to the coordination of the construction of the Alteration(s), and Tenant shall not be obligated to pay any other fee to Landlord in connection therewith, nor any charge for utilities, HVAC or elevator service during the construction of such Alteration(s). In addition, Tenant shall reimburse Landlord for Landlord's reasonable, actual, third-party out-of-pocket costs and expenses actually incurred in connection with Landlord's review of such work. At Landlord's option, prior to the commencement of construction of any Alteration, Tenant shall provide Landlord with the reasonably anticipated cost thereof, which Landlord shall disburse during construction pursuant to Landlord's standard, commercially reasonable disbursement procedure.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-24-</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2" w:name="page63"/>
    <w:bookmarkEnd w:id="62"/>
    <w:p>
      <w:pPr>
        <w:jc w:val="both"/>
        <w:ind w:right="20" w:firstLine="877"/>
        <w:spacing w:after="0" w:line="248"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b w:val="1"/>
          <w:bCs w:val="1"/>
          <w:u w:val="single" w:color="auto"/>
          <w:color w:val="auto"/>
        </w:rPr>
        <w:t>Construction Insurance</w:t>
      </w:r>
      <w:r>
        <w:rPr>
          <w:rFonts w:ascii="Arial" w:cs="Arial" w:eastAsia="Arial" w:hAnsi="Arial"/>
          <w:sz w:val="21"/>
          <w:szCs w:val="21"/>
          <w:color w:val="auto"/>
        </w:rPr>
        <w:t xml:space="preserve">. In addition to the requirements of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of this Lease, in the event that Tenant makes any Alterations, prior to the commencement of such Alterations, Tenant shall provide Landlord with evidence that Tenant carries "Builder's All Risk" insurance in an amount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of this Lease immediately upon completion thereof. In addition, Tenant's contractors and subcontractors shall be required to carry Commercial General Liability insurance in an amount approved by Landlord and otherwise in accordance with the requirements of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of this Lease.</w:t>
      </w:r>
    </w:p>
    <w:p>
      <w:pPr>
        <w:spacing w:after="0" w:line="171" w:lineRule="exact"/>
        <w:rPr>
          <w:sz w:val="20"/>
          <w:szCs w:val="20"/>
          <w:color w:val="auto"/>
        </w:rPr>
      </w:pPr>
    </w:p>
    <w:p>
      <w:pPr>
        <w:jc w:val="both"/>
        <w:ind w:right="20" w:firstLine="877"/>
        <w:spacing w:after="0" w:line="272"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u w:val="single" w:color="auto"/>
          <w:color w:val="auto"/>
        </w:rPr>
        <w:t>Landlord's Property</w:t>
      </w:r>
      <w:r>
        <w:rPr>
          <w:rFonts w:ascii="Arial" w:cs="Arial" w:eastAsia="Arial" w:hAnsi="Arial"/>
          <w:sz w:val="19"/>
          <w:szCs w:val="19"/>
          <w:color w:val="auto"/>
        </w:rPr>
        <w:t xml:space="preserve">. All Alterations, improvements, fixtures, equipment and/or appurtenances which may be installed or placed in or about the Premises, from time to time, shall be at the sole cost of Tenant and shall be and become the property of Landlord, except that Tenant may remove any Alterations, improvements, fixtures and/or equipment which are not permanently affixed to the Premises, provided Tenant repairs any damage to the Premises and Building caused by such removal. Furthermore, Landlord may, by written notice to Tenant given at the time Landlord approves such Alteration(s), require Tenant, at Tenant's expense, to remove any such Alterations within the Premises upon the expiration or earlier termination of the Lease and to repair any damage to the Premises and Building caused by such removal; provided, however, that Landlord shall not require the removal of any initial Tenant Improvements installed pursuant to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(except any alterations or components relating to supplemental HVAC). If Tenant fails to complete such removal and/or to repair any damage caused by the removal of any Alterations and/or improvements and/or systems and equipment in the Premises, Landlord may do so and may charge the reasonable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(except to the extent caused by the negligence or willful misconduct of Landlord or its agents, employees or contractors), which obligations of Tenant shall survive the expiration or earlier termination of this Lease.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COVENANT AGAINST LIENS</w:t>
      </w:r>
    </w:p>
    <w:p>
      <w:pPr>
        <w:spacing w:after="0" w:line="212" w:lineRule="exact"/>
        <w:rPr>
          <w:sz w:val="20"/>
          <w:szCs w:val="20"/>
          <w:color w:val="auto"/>
        </w:rPr>
      </w:pPr>
    </w:p>
    <w:p>
      <w:pPr>
        <w:jc w:val="both"/>
        <w:ind w:right="20" w:firstLine="877"/>
        <w:spacing w:after="0" w:line="273" w:lineRule="auto"/>
        <w:rPr>
          <w:sz w:val="20"/>
          <w:szCs w:val="20"/>
          <w:color w:val="auto"/>
        </w:rPr>
      </w:pPr>
      <w:r>
        <w:rPr>
          <w:rFonts w:ascii="Arial" w:cs="Arial" w:eastAsia="Arial" w:hAnsi="Arial"/>
          <w:sz w:val="19"/>
          <w:szCs w:val="19"/>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ten (10) business days after receipt of notice from Landlord (unless the Property or any part thereof is in danger of being sold, forfeited, foreclosed upon, or lost as a result of a lien or encumbrance on the Property resulting from the acts or omissions of Tenant, in which event Tenant shall remove any such lien or encumbrance by bond or otherwise within five (5) business days after receipt of notice from Landlord, and if Tenant shall fail to do so, Landlord may pay the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-25-</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63" w:name="page64"/>
    <w:bookmarkEnd w:id="63"/>
    <w:p>
      <w:pPr>
        <w:jc w:val="both"/>
        <w:ind w:right="20"/>
        <w:spacing w:after="0" w:line="234" w:lineRule="auto"/>
        <w:rPr>
          <w:sz w:val="20"/>
          <w:szCs w:val="20"/>
          <w:color w:val="auto"/>
        </w:rPr>
      </w:pPr>
      <w:r>
        <w:rPr>
          <w:rFonts w:ascii="Arial" w:cs="Arial" w:eastAsia="Arial" w:hAnsi="Arial"/>
          <w:sz w:val="22"/>
          <w:szCs w:val="22"/>
          <w:color w:val="auto"/>
        </w:rPr>
        <w:t>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9500" w:type="dxa"/>
            <w:vAlign w:val="bottom"/>
          </w:tcPr>
          <w:p>
            <w:pPr>
              <w:ind w:left="3180"/>
              <w:spacing w:after="0"/>
              <w:rPr>
                <w:sz w:val="20"/>
                <w:szCs w:val="20"/>
                <w:color w:val="auto"/>
              </w:rPr>
            </w:pPr>
            <w:r>
              <w:rPr>
                <w:rFonts w:ascii="Arial" w:cs="Arial" w:eastAsia="Arial" w:hAnsi="Arial"/>
                <w:sz w:val="22"/>
                <w:szCs w:val="22"/>
                <w:b w:val="1"/>
                <w:bCs w:val="1"/>
                <w:color w:val="auto"/>
              </w:rPr>
              <w:t>ARTICLE 10</w:t>
            </w:r>
          </w:p>
        </w:tc>
      </w:tr>
      <w:tr>
        <w:trPr>
          <w:trHeight w:val="486"/>
        </w:trPr>
        <w:tc>
          <w:tcPr>
            <w:tcW w:w="1040" w:type="dxa"/>
            <w:vAlign w:val="bottom"/>
          </w:tcPr>
          <w:p>
            <w:pPr>
              <w:spacing w:after="0"/>
              <w:rPr>
                <w:sz w:val="24"/>
                <w:szCs w:val="24"/>
                <w:color w:val="auto"/>
              </w:rPr>
            </w:pPr>
          </w:p>
        </w:tc>
        <w:tc>
          <w:tcPr>
            <w:tcW w:w="9500" w:type="dxa"/>
            <w:vAlign w:val="bottom"/>
          </w:tcPr>
          <w:p>
            <w:pPr>
              <w:ind w:left="3160"/>
              <w:spacing w:after="0"/>
              <w:rPr>
                <w:sz w:val="20"/>
                <w:szCs w:val="20"/>
                <w:color w:val="auto"/>
              </w:rPr>
            </w:pPr>
            <w:r>
              <w:rPr>
                <w:rFonts w:ascii="Arial" w:cs="Arial" w:eastAsia="Arial" w:hAnsi="Arial"/>
                <w:sz w:val="22"/>
                <w:szCs w:val="22"/>
                <w:b w:val="1"/>
                <w:bCs w:val="1"/>
                <w:u w:val="single" w:color="auto"/>
                <w:color w:val="auto"/>
              </w:rPr>
              <w:t>INSURANCE</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color w:val="auto"/>
                <w:w w:val="83"/>
              </w:rPr>
              <w:t>10.1</w:t>
            </w:r>
          </w:p>
        </w:tc>
        <w:tc>
          <w:tcPr>
            <w:tcW w:w="9500" w:type="dxa"/>
            <w:vAlign w:val="bottom"/>
          </w:tcPr>
          <w:p>
            <w:pPr>
              <w:ind w:left="640"/>
              <w:spacing w:after="0"/>
              <w:rPr>
                <w:sz w:val="20"/>
                <w:szCs w:val="20"/>
                <w:color w:val="auto"/>
              </w:rPr>
            </w:pPr>
            <w:r>
              <w:rPr>
                <w:rFonts w:ascii="Arial" w:cs="Arial" w:eastAsia="Arial" w:hAnsi="Arial"/>
                <w:sz w:val="22"/>
                <w:szCs w:val="22"/>
                <w:b w:val="1"/>
                <w:bCs w:val="1"/>
                <w:u w:val="single" w:color="auto"/>
                <w:color w:val="auto"/>
                <w:w w:val="91"/>
              </w:rPr>
              <w:t>Indemnification and Waiver</w:t>
            </w:r>
            <w:r>
              <w:rPr>
                <w:rFonts w:ascii="Arial" w:cs="Arial" w:eastAsia="Arial" w:hAnsi="Arial"/>
                <w:sz w:val="22"/>
                <w:szCs w:val="22"/>
                <w:color w:val="auto"/>
                <w:w w:val="91"/>
              </w:rPr>
              <w:t>.  Except as provided herein and in</w:t>
            </w:r>
            <w:r>
              <w:rPr>
                <w:rFonts w:ascii="Arial" w:cs="Arial" w:eastAsia="Arial" w:hAnsi="Arial"/>
                <w:sz w:val="22"/>
                <w:szCs w:val="22"/>
                <w:b w:val="1"/>
                <w:bCs w:val="1"/>
                <w:color w:val="auto"/>
                <w:w w:val="91"/>
              </w:rPr>
              <w:t xml:space="preserve"> </w:t>
            </w:r>
            <w:r>
              <w:rPr>
                <w:rFonts w:ascii="Arial" w:cs="Arial" w:eastAsia="Arial" w:hAnsi="Arial"/>
                <w:sz w:val="22"/>
                <w:szCs w:val="22"/>
                <w:u w:val="single" w:color="auto"/>
                <w:color w:val="auto"/>
                <w:w w:val="91"/>
              </w:rPr>
              <w:t>Section 10.5</w:t>
            </w:r>
            <w:r>
              <w:rPr>
                <w:rFonts w:ascii="Arial" w:cs="Arial" w:eastAsia="Arial" w:hAnsi="Arial"/>
                <w:sz w:val="22"/>
                <w:szCs w:val="22"/>
                <w:b w:val="1"/>
                <w:bCs w:val="1"/>
                <w:color w:val="auto"/>
                <w:w w:val="91"/>
              </w:rPr>
              <w:t xml:space="preserve"> </w:t>
            </w:r>
            <w:r>
              <w:rPr>
                <w:rFonts w:ascii="Arial" w:cs="Arial" w:eastAsia="Arial" w:hAnsi="Arial"/>
                <w:sz w:val="22"/>
                <w:szCs w:val="22"/>
                <w:color w:val="auto"/>
                <w:w w:val="91"/>
              </w:rPr>
              <w:t>below, Tenant hereby</w:t>
            </w:r>
          </w:p>
        </w:tc>
      </w:tr>
    </w:tbl>
    <w:p>
      <w:pPr>
        <w:jc w:val="both"/>
        <w:ind w:right="20"/>
        <w:spacing w:after="0" w:line="268" w:lineRule="auto"/>
        <w:rPr>
          <w:sz w:val="20"/>
          <w:szCs w:val="20"/>
          <w:color w:val="auto"/>
        </w:rPr>
      </w:pPr>
      <w:r>
        <w:rPr>
          <w:rFonts w:ascii="Arial" w:cs="Arial" w:eastAsia="Arial" w:hAnsi="Arial"/>
          <w:sz w:val="19"/>
          <w:szCs w:val="19"/>
          <w:color w:val="auto"/>
        </w:rPr>
        <w:t>assumes all risk of damage to property or injury to persons in, upon or about the Premises from any cause whatsoever (including, but not limited to, any personal injuries resulting from a slip and fall in, upon or about the Premises) and agrees that Landlord, Landlord’s managing agent and their respective partners, subpartners, members, directors, trustees officers, agents, servants, employees, independent contractors of Landlord and any mortgagee of Landlord (collectively, "</w:t>
      </w:r>
      <w:r>
        <w:rPr>
          <w:rFonts w:ascii="Arial" w:cs="Arial" w:eastAsia="Arial" w:hAnsi="Arial"/>
          <w:sz w:val="19"/>
          <w:szCs w:val="19"/>
          <w:b w:val="1"/>
          <w:bCs w:val="1"/>
          <w:color w:val="auto"/>
        </w:rPr>
        <w:t>Landlord Parties</w:t>
      </w:r>
      <w:r>
        <w:rPr>
          <w:rFonts w:ascii="Arial" w:cs="Arial" w:eastAsia="Arial" w:hAnsi="Arial"/>
          <w:sz w:val="19"/>
          <w:szCs w:val="19"/>
          <w:color w:val="auto"/>
        </w:rPr>
        <w:t xml:space="preserve">") shall not be liable for, and are hereby released from any responsibility for, such damage either to person or property or resulting from the loss of use thereof, which damage is sustained by Tenant or by other persons claiming through Tenant, except to the extent caused by the negligence or willful misconduct of Landlord or any of the Landlord Parties. Subject to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below, to the fullest extent allowed by law, Tenant shall indemnify, defend, protect, and hold harmless the Landlord Parties from any and all loss, cost, damage, expense and liability (including without limitation court costs and reasonable attorneys' fees) incurred in connection with or arising from any cause in, on or about the Premises (including, but not limited to, a slip and fall), as a result of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except to the extent caused by the negligence or willful misconduct of Landlord or any of the Landlord Parties. Should Landlord be named as a defendant in any suit brought against Tenant in connection with or arising out of Tenant's occupancy of the Premises, with respect to which Tenant shall be required to indemnify Landlord as provided above, Tenant shall pay to Landlord its costs and expenses incurred in such suit, including without limitation, its actual professional fees such as reasonable appraisers', accountants' and attorneys' fees. Notwithstanding anything to the contrary contained herein, but subject to the provisions of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below, Landlord shall defend, protect, indemnify and hold harmless Tenant and its partners, subpartners, members, directors, trustees, officers, agents, servants, employees, and contractors (collectively, "</w:t>
      </w:r>
      <w:r>
        <w:rPr>
          <w:rFonts w:ascii="Arial" w:cs="Arial" w:eastAsia="Arial" w:hAnsi="Arial"/>
          <w:sz w:val="19"/>
          <w:szCs w:val="19"/>
          <w:b w:val="1"/>
          <w:bCs w:val="1"/>
          <w:color w:val="auto"/>
        </w:rPr>
        <w:t>Tenant Parties</w:t>
      </w:r>
      <w:r>
        <w:rPr>
          <w:rFonts w:ascii="Arial" w:cs="Arial" w:eastAsia="Arial" w:hAnsi="Arial"/>
          <w:sz w:val="19"/>
          <w:szCs w:val="19"/>
          <w:color w:val="auto"/>
        </w:rPr>
        <w:t xml:space="preserve">") for any damage either to person or property or for third party damages resulting from the loss of use of property sustained by any of the Tenant Parties to the extent resulting from the negligence or willful misconduct of Landlord or any Landlord Parties in connection with the Common Areas (not including the Premises) or the performance of Landlord’s express obligations under this Lease. The provisions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shall survive the expiration or sooner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-26-</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4" w:name="page65"/>
    <w:bookmarkEnd w:id="64"/>
    <w:p>
      <w:pPr>
        <w:jc w:val="both"/>
        <w:ind w:right="40"/>
        <w:spacing w:after="0" w:line="251" w:lineRule="auto"/>
        <w:rPr>
          <w:sz w:val="20"/>
          <w:szCs w:val="20"/>
          <w:color w:val="auto"/>
        </w:rPr>
      </w:pPr>
      <w:r>
        <w:rPr>
          <w:rFonts w:ascii="Arial" w:cs="Arial" w:eastAsia="Arial" w:hAnsi="Arial"/>
          <w:sz w:val="22"/>
          <w:szCs w:val="22"/>
          <w:color w:val="auto"/>
        </w:rPr>
        <w:t>termination of this Lease with respect to any claims or liability arising in connection with any event occurring prior to such expiration or termination.</w:t>
      </w:r>
    </w:p>
    <w:p>
      <w:pPr>
        <w:spacing w:after="0" w:line="167" w:lineRule="exact"/>
        <w:rPr>
          <w:sz w:val="20"/>
          <w:szCs w:val="20"/>
          <w:color w:val="auto"/>
        </w:rPr>
      </w:pPr>
    </w:p>
    <w:p>
      <w:pPr>
        <w:jc w:val="both"/>
        <w:ind w:right="20" w:firstLine="877"/>
        <w:spacing w:after="0" w:line="27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u w:val="single" w:color="auto"/>
          <w:color w:val="auto"/>
        </w:rPr>
        <w:t>Landlord's Insurance</w:t>
      </w:r>
      <w:r>
        <w:rPr>
          <w:rFonts w:ascii="Arial" w:cs="Arial" w:eastAsia="Arial" w:hAnsi="Arial"/>
          <w:sz w:val="19"/>
          <w:szCs w:val="19"/>
          <w:color w:val="auto"/>
        </w:rPr>
        <w:t>. Landlord shall carry commercial general liability insurance with respect to the Building during the Lease Term, and shall further insure the Building and the Project during the Lease Term against loss or damage due to fire and other casualties covered within the classification of fire and extended coverage, vandalism coverage and malicious mischief, sprinkler leakage, water damage and special extended coverage. Such coverage shall be in such amounts, from such companies, and on such other terms and conditions, as Landlord may from time to time reasonably determine. Additionally, at the option of Landlord, such insurance coverage may include the risks of earthquakes and/or flood damage, terrorist acts and additional hazards, a rental loss endorsement and one or more loss payee endorsements in favor of the holders of any mortgages or deeds of trust encumbering the interest of Landlord Notwithstanding the foregoing, Landlord’s insurance shall at a minimum be comparable to insurance coverage as generally maintained by institutional owners of Comparable Buildings. Tenant shall, at Tenant's expense, comply with all insurance company requirements pertaining to the use of the Premises. If Tenant's conduct or use of the Premises (other than general office use)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134"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80" w:type="dxa"/>
            <w:vAlign w:val="bottom"/>
          </w:tcPr>
          <w:p>
            <w:pPr>
              <w:jc w:val="right"/>
              <w:ind w:right="1192"/>
              <w:spacing w:after="0"/>
              <w:rPr>
                <w:sz w:val="20"/>
                <w:szCs w:val="20"/>
                <w:color w:val="auto"/>
              </w:rPr>
            </w:pPr>
            <w:r>
              <w:rPr>
                <w:rFonts w:ascii="Arial" w:cs="Arial" w:eastAsia="Arial" w:hAnsi="Arial"/>
                <w:sz w:val="22"/>
                <w:szCs w:val="22"/>
                <w:color w:val="auto"/>
                <w:w w:val="83"/>
              </w:rPr>
              <w:t>10.3</w:t>
            </w:r>
          </w:p>
        </w:tc>
        <w:tc>
          <w:tcPr>
            <w:tcW w:w="8840" w:type="dxa"/>
            <w:vAlign w:val="bottom"/>
            <w:gridSpan w:val="2"/>
          </w:tcPr>
          <w:p>
            <w:pPr>
              <w:spacing w:after="0"/>
              <w:rPr>
                <w:sz w:val="20"/>
                <w:szCs w:val="20"/>
                <w:color w:val="auto"/>
              </w:rPr>
            </w:pPr>
            <w:r>
              <w:rPr>
                <w:rFonts w:ascii="Arial" w:cs="Arial" w:eastAsia="Arial" w:hAnsi="Arial"/>
                <w:sz w:val="22"/>
                <w:szCs w:val="22"/>
                <w:b w:val="1"/>
                <w:bCs w:val="1"/>
                <w:color w:val="auto"/>
                <w:w w:val="97"/>
              </w:rPr>
              <w:t>Tenant's Insurance</w:t>
            </w:r>
            <w:r>
              <w:rPr>
                <w:rFonts w:ascii="Arial" w:cs="Arial" w:eastAsia="Arial" w:hAnsi="Arial"/>
                <w:sz w:val="22"/>
                <w:szCs w:val="22"/>
                <w:color w:val="auto"/>
                <w:w w:val="97"/>
              </w:rPr>
              <w:t>. Tenant shall maintain the following coverages in the following amounts.</w:t>
            </w:r>
          </w:p>
        </w:tc>
      </w:tr>
      <w:tr>
        <w:trPr>
          <w:trHeight w:val="20"/>
        </w:trPr>
        <w:tc>
          <w:tcPr>
            <w:tcW w:w="16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76"/>
        </w:trPr>
        <w:tc>
          <w:tcPr>
            <w:tcW w:w="1680" w:type="dxa"/>
            <w:vAlign w:val="bottom"/>
          </w:tcPr>
          <w:p>
            <w:pPr>
              <w:jc w:val="right"/>
              <w:ind w:right="152"/>
              <w:spacing w:after="0"/>
              <w:rPr>
                <w:sz w:val="20"/>
                <w:szCs w:val="20"/>
                <w:color w:val="auto"/>
              </w:rPr>
            </w:pPr>
            <w:r>
              <w:rPr>
                <w:rFonts w:ascii="Arial" w:cs="Arial" w:eastAsia="Arial" w:hAnsi="Arial"/>
                <w:sz w:val="22"/>
                <w:szCs w:val="22"/>
                <w:color w:val="auto"/>
              </w:rPr>
              <w:t>10.3.1</w:t>
            </w:r>
          </w:p>
        </w:tc>
        <w:tc>
          <w:tcPr>
            <w:tcW w:w="8840" w:type="dxa"/>
            <w:vAlign w:val="bottom"/>
            <w:gridSpan w:val="2"/>
          </w:tcPr>
          <w:p>
            <w:pPr>
              <w:ind w:left="1680"/>
              <w:spacing w:after="0"/>
              <w:rPr>
                <w:sz w:val="20"/>
                <w:szCs w:val="20"/>
                <w:color w:val="auto"/>
              </w:rPr>
            </w:pPr>
            <w:r>
              <w:rPr>
                <w:rFonts w:ascii="Arial" w:cs="Arial" w:eastAsia="Arial" w:hAnsi="Arial"/>
                <w:sz w:val="22"/>
                <w:szCs w:val="22"/>
                <w:color w:val="auto"/>
                <w:w w:val="92"/>
              </w:rPr>
              <w:t>Commercial General Liability Insurance on an occurrence form covering claims</w:t>
            </w:r>
          </w:p>
        </w:tc>
      </w:tr>
    </w:tbl>
    <w:p>
      <w:pPr>
        <w:jc w:val="both"/>
        <w:ind w:right="20"/>
        <w:spacing w:after="0" w:line="234" w:lineRule="auto"/>
        <w:rPr>
          <w:sz w:val="20"/>
          <w:szCs w:val="20"/>
          <w:color w:val="auto"/>
        </w:rPr>
      </w:pPr>
      <w:r>
        <w:rPr>
          <w:rFonts w:ascii="Arial" w:cs="Arial" w:eastAsia="Arial" w:hAnsi="Arial"/>
          <w:sz w:val="22"/>
          <w:szCs w:val="22"/>
          <w:color w:val="auto"/>
        </w:rPr>
        <w:t>arising out of Tenant's operations, including (i) premises/operations liability; (ii) host liquor liability, (iii) products/completed operations liability; (iv) personal and advertising injury liability; (v) independent contractors liability; and (vi) broad form contractual liability, for limits of liability on a per location basis of not less than:</w:t>
      </w:r>
    </w:p>
    <w:p>
      <w:pPr>
        <w:sectPr>
          <w:pgSz w:w="11900" w:h="16838" w:orient="portrait"/>
          <w:cols w:equalWidth="0" w:num="1">
            <w:col w:w="11440"/>
          </w:cols>
          <w:pgMar w:left="240" w:top="550" w:right="219" w:bottom="1440" w:gutter="0" w:footer="0" w:header="0"/>
        </w:sectPr>
      </w:pPr>
    </w:p>
    <w:p>
      <w:pPr>
        <w:spacing w:after="0" w:line="18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Bodily Injury and</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Property Damage Liability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$1,000,000 each occurrence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$2,000,000 annual aggregate</w:t>
      </w:r>
    </w:p>
    <w:p>
      <w:pPr>
        <w:spacing w:after="0" w:line="200" w:lineRule="exact"/>
        <w:rPr>
          <w:sz w:val="20"/>
          <w:szCs w:val="20"/>
          <w:color w:val="auto"/>
        </w:rPr>
      </w:pPr>
    </w:p>
    <w:p>
      <w:pPr>
        <w:sectPr>
          <w:pgSz w:w="11900" w:h="16838" w:orient="portrait"/>
          <w:cols w:equalWidth="0" w:num="2">
            <w:col w:w="5260" w:space="720"/>
            <w:col w:w="5460"/>
          </w:cols>
          <w:pgMar w:left="240" w:top="550" w:right="219" w:bottom="1440" w:gutter="0" w:footer="0" w:header="0"/>
          <w:type w:val="continuous"/>
        </w:sectPr>
      </w:pPr>
    </w:p>
    <w:p>
      <w:pPr>
        <w:spacing w:after="0" w:line="2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Personal Injury Liability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$1,000,000 each occurrence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$1,000,000 annual aggregate</w:t>
      </w:r>
    </w:p>
    <w:p>
      <w:pPr>
        <w:spacing w:after="0" w:line="200" w:lineRule="exact"/>
        <w:rPr>
          <w:sz w:val="20"/>
          <w:szCs w:val="20"/>
          <w:color w:val="auto"/>
        </w:rPr>
      </w:pPr>
    </w:p>
    <w:p>
      <w:pPr>
        <w:sectPr>
          <w:pgSz w:w="11900" w:h="16838" w:orient="portrait"/>
          <w:cols w:equalWidth="0" w:num="2">
            <w:col w:w="5260" w:space="720"/>
            <w:col w:w="5460"/>
          </w:cols>
          <w:pgMar w:left="240" w:top="550" w:right="219" w:bottom="1440" w:gutter="0" w:footer="0" w:header="0"/>
          <w:type w:val="continuous"/>
        </w:sectPr>
      </w:pPr>
    </w:p>
    <w:p>
      <w:pPr>
        <w:spacing w:after="0" w:line="2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Products &amp; Completed Operations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$8,000,000 annual aggregate</w:t>
      </w:r>
    </w:p>
    <w:p>
      <w:pPr>
        <w:spacing w:after="0" w:line="200" w:lineRule="exact"/>
        <w:rPr>
          <w:sz w:val="20"/>
          <w:szCs w:val="20"/>
          <w:color w:val="auto"/>
        </w:rPr>
      </w:pPr>
    </w:p>
    <w:p>
      <w:pPr>
        <w:sectPr>
          <w:pgSz w:w="11900" w:h="16838" w:orient="portrait"/>
          <w:cols w:equalWidth="0" w:num="2">
            <w:col w:w="5260" w:space="720"/>
            <w:col w:w="5460"/>
          </w:cols>
          <w:pgMar w:left="240" w:top="550" w:right="219" w:bottom="1440" w:gutter="0" w:footer="0" w:header="0"/>
          <w:type w:val="continuous"/>
        </w:sectPr>
      </w:pPr>
    </w:p>
    <w:p>
      <w:pPr>
        <w:spacing w:after="0" w:line="41" w:lineRule="exact"/>
        <w:rPr>
          <w:sz w:val="20"/>
          <w:szCs w:val="20"/>
          <w:color w:val="auto"/>
        </w:rPr>
      </w:pPr>
    </w:p>
    <w:p>
      <w:pPr>
        <w:ind w:left="1760"/>
        <w:spacing w:after="0"/>
        <w:tabs>
          <w:tab w:leader="none" w:pos="4220" w:val="left"/>
        </w:tabs>
        <w:rPr>
          <w:sz w:val="20"/>
          <w:szCs w:val="20"/>
          <w:color w:val="auto"/>
        </w:rPr>
      </w:pPr>
      <w:r>
        <w:rPr>
          <w:rFonts w:ascii="Arial" w:cs="Arial" w:eastAsia="Arial" w:hAnsi="Arial"/>
          <w:sz w:val="22"/>
          <w:szCs w:val="22"/>
          <w:color w:val="auto"/>
        </w:rPr>
        <w:t>10.3.2</w:t>
      </w:r>
      <w:r>
        <w:rPr>
          <w:sz w:val="20"/>
          <w:szCs w:val="20"/>
          <w:color w:val="auto"/>
        </w:rPr>
        <w:tab/>
      </w:r>
      <w:r>
        <w:rPr>
          <w:rFonts w:ascii="Arial" w:cs="Arial" w:eastAsia="Arial" w:hAnsi="Arial"/>
          <w:sz w:val="19"/>
          <w:szCs w:val="19"/>
          <w:color w:val="auto"/>
        </w:rPr>
        <w:t>Physical Damage Insurance covering the following property that is owned by, held</w:t>
      </w:r>
    </w:p>
    <w:p>
      <w:pPr>
        <w:sectPr>
          <w:pgSz w:w="11900" w:h="16838" w:orient="portrait"/>
          <w:cols w:equalWidth="0" w:num="1">
            <w:col w:w="11440"/>
          </w:cols>
          <w:pgMar w:left="240" w:top="550" w:right="219" w:bottom="1440" w:gutter="0" w:footer="0" w:header="0"/>
          <w:type w:val="continuous"/>
        </w:sectPr>
      </w:pPr>
    </w:p>
    <w:p>
      <w:pPr>
        <w:spacing w:after="0" w:line="22" w:lineRule="exact"/>
        <w:rPr>
          <w:sz w:val="20"/>
          <w:szCs w:val="20"/>
          <w:color w:val="auto"/>
        </w:rPr>
      </w:pPr>
    </w:p>
    <w:p>
      <w:pPr>
        <w:jc w:val="both"/>
        <w:ind w:right="20"/>
        <w:spacing w:after="0" w:line="230" w:lineRule="auto"/>
        <w:rPr>
          <w:sz w:val="20"/>
          <w:szCs w:val="20"/>
          <w:color w:val="auto"/>
        </w:rPr>
      </w:pPr>
      <w:r>
        <w:rPr>
          <w:rFonts w:ascii="Arial" w:cs="Arial" w:eastAsia="Arial" w:hAnsi="Arial"/>
          <w:sz w:val="22"/>
          <w:szCs w:val="22"/>
          <w:color w:val="auto"/>
        </w:rPr>
        <w:t>by, or the legal responsibility of Tenant including but not necessarily limited to: (i) all office furniture, business and trade fixtures, office equipment, free-standing cabinet work, movable partitions, merchandise and all other moveable items of Tenant's property on the Premises installed by, for, or at the expense of Tenant, (ii) the "Tenant Improvements," as that term is defined in the Tenant Work Letter, and any other improvements which exist in the Premises as of the Lease Commencement Date (excluding the Base Building and Landlord's Work) (the "</w:t>
      </w:r>
      <w:r>
        <w:rPr>
          <w:rFonts w:ascii="Arial" w:cs="Arial" w:eastAsia="Arial" w:hAnsi="Arial"/>
          <w:sz w:val="22"/>
          <w:szCs w:val="22"/>
          <w:b w:val="1"/>
          <w:bCs w:val="1"/>
          <w:color w:val="auto"/>
        </w:rPr>
        <w:t>Original Improvements</w:t>
      </w:r>
      <w:r>
        <w:rPr>
          <w:rFonts w:ascii="Arial" w:cs="Arial" w:eastAsia="Arial" w:hAnsi="Arial"/>
          <w:sz w:val="22"/>
          <w:szCs w:val="22"/>
          <w:color w:val="auto"/>
        </w:rPr>
        <w:t>"), (iii) all other improvements, alterations and additions to the Premises; and (iv)</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-27-</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type w:val="continuous"/>
        </w:sectPr>
      </w:pPr>
    </w:p>
    <w:bookmarkStart w:id="65" w:name="page66"/>
    <w:bookmarkEnd w:id="65"/>
    <w:p>
      <w:pPr>
        <w:jc w:val="both"/>
        <w:ind w:right="20"/>
        <w:spacing w:after="0" w:line="273" w:lineRule="auto"/>
        <w:rPr>
          <w:sz w:val="20"/>
          <w:szCs w:val="20"/>
          <w:color w:val="auto"/>
        </w:rPr>
      </w:pPr>
      <w:r>
        <w:rPr>
          <w:rFonts w:ascii="Arial" w:cs="Arial" w:eastAsia="Arial" w:hAnsi="Arial"/>
          <w:sz w:val="19"/>
          <w:szCs w:val="19"/>
          <w:color w:val="auto"/>
        </w:rPr>
        <w:t>any other property in which the Tenant retains the risk of loss including but not limited to electronic data processing equipment and employee personal property. Such insurance shall be written on an "all risks" of physical loss or damage basis, with no exclusions or coverage limitations for wind and hail, for the full replacement cost value (subject to reasonable deductible amounts) new without deduction for depreciation of the covered items, and shall include coverage for damage or other loss caused by fire or other peril including, but not limited to, vandalism and malicious mischief, theft, water damage (including sprinkler leakage), bursting or stoppage of pipes, and explosion, and providing business interruption coverage for a period of one year. Coverage for the perils of earthquake and flood shall be added by endorsement at Landlord’s request. Policies shall also include (a) an “agreed amount” endorsement waiving any coinsurance requirement; (b) time element insurance covering business interruption and extra expense resulting from loss or damage from the hazards specified above, to owned or non-owned property, which prevents normal operations from continuing; and (c) a loss payable endorsement providing that Tenant and Landlord are loss payees as their interests may appear.</w:t>
      </w:r>
    </w:p>
    <w:p>
      <w:pPr>
        <w:spacing w:after="0" w:line="200" w:lineRule="exact"/>
        <w:rPr>
          <w:sz w:val="20"/>
          <w:szCs w:val="20"/>
          <w:color w:val="auto"/>
        </w:rPr>
      </w:pPr>
    </w:p>
    <w:p>
      <w:pPr>
        <w:spacing w:after="0" w:line="205"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10.3.3 Statutory Worker's Compensation and Employer's Liability limits of One Million Dollars ($1,000,000) each accident for bodily injury by accident and One Million Dollars ($1,000,000) each employee and policy limit for bodily injury by disease.</w:t>
      </w:r>
    </w:p>
    <w:p>
      <w:pPr>
        <w:spacing w:after="0" w:line="186" w:lineRule="exact"/>
        <w:rPr>
          <w:sz w:val="20"/>
          <w:szCs w:val="20"/>
          <w:color w:val="auto"/>
        </w:rPr>
      </w:pPr>
    </w:p>
    <w:p>
      <w:pPr>
        <w:jc w:val="both"/>
        <w:ind w:right="20" w:firstLine="1755"/>
        <w:spacing w:after="0" w:line="234" w:lineRule="auto"/>
        <w:rPr>
          <w:sz w:val="20"/>
          <w:szCs w:val="20"/>
          <w:color w:val="auto"/>
        </w:rPr>
      </w:pPr>
      <w:r>
        <w:rPr>
          <w:rFonts w:ascii="Arial" w:cs="Arial" w:eastAsia="Arial" w:hAnsi="Arial"/>
          <w:sz w:val="22"/>
          <w:szCs w:val="22"/>
          <w:color w:val="auto"/>
        </w:rPr>
        <w:t xml:space="preserve">10.3.4 </w:t>
      </w:r>
      <w:r>
        <w:rPr>
          <w:rFonts w:ascii="Arial" w:cs="Arial" w:eastAsia="Arial" w:hAnsi="Arial"/>
          <w:sz w:val="22"/>
          <w:szCs w:val="22"/>
          <w:u w:val="single" w:color="auto"/>
          <w:color w:val="auto"/>
        </w:rPr>
        <w:t>Automobile Liability Insurance</w:t>
      </w:r>
      <w:r>
        <w:rPr>
          <w:rFonts w:ascii="Arial" w:cs="Arial" w:eastAsia="Arial" w:hAnsi="Arial"/>
          <w:sz w:val="22"/>
          <w:szCs w:val="22"/>
          <w:color w:val="auto"/>
        </w:rPr>
        <w:t xml:space="preserve"> covering the ownership, maintenance, and operations of any automobile or automotive equipment, whether such auto is owned, hired, and non-owned. Tenant shall maintain insurance with a combined single limit for bodily injury and property damage of not less than the equivalent of One Million Dollars ($1,000,000.00) each accident. Such insurance shall insure Tenant and its agents against any and all claims for bodily injury, including death resulting there from, and damage to the property of others caused by accident and arising from Tenant’s operations at the Project whether such operations are performed by Tenant, Tenant’s agents, or by any one directly or indirectly employed by any of them.</w:t>
      </w:r>
    </w:p>
    <w:p>
      <w:pPr>
        <w:spacing w:after="0" w:line="191" w:lineRule="exact"/>
        <w:rPr>
          <w:sz w:val="20"/>
          <w:szCs w:val="20"/>
          <w:color w:val="auto"/>
        </w:rPr>
      </w:pPr>
    </w:p>
    <w:p>
      <w:pPr>
        <w:jc w:val="both"/>
        <w:ind w:right="20" w:firstLine="1755"/>
        <w:spacing w:after="0" w:line="252" w:lineRule="auto"/>
        <w:rPr>
          <w:sz w:val="20"/>
          <w:szCs w:val="20"/>
          <w:color w:val="auto"/>
        </w:rPr>
      </w:pPr>
      <w:r>
        <w:rPr>
          <w:rFonts w:ascii="Arial" w:cs="Arial" w:eastAsia="Arial" w:hAnsi="Arial"/>
          <w:sz w:val="21"/>
          <w:szCs w:val="21"/>
          <w:color w:val="auto"/>
        </w:rPr>
        <w:t>10.3.5 Umbrella Liability Insurance providing excess liability coverage with respect to the commercial general liability, automobile liability and employers liability policies described above with limits of at least Five Million Dollars ($5,000,000) per occurrence and Five Million Dollars ($5,000,000) general aggregate. Such insurance shall be written as follow form or with a form that provides coverage that is at least as broad as the primary insurance policies.</w:t>
      </w:r>
    </w:p>
    <w:p>
      <w:pPr>
        <w:spacing w:after="0" w:line="168"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b w:val="1"/>
          <w:bCs w:val="1"/>
          <w:u w:val="single" w:color="auto"/>
          <w:color w:val="auto"/>
        </w:rPr>
        <w:t>Form of Policies</w:t>
      </w:r>
      <w:r>
        <w:rPr>
          <w:rFonts w:ascii="Arial" w:cs="Arial" w:eastAsia="Arial" w:hAnsi="Arial"/>
          <w:sz w:val="19"/>
          <w:szCs w:val="19"/>
          <w:color w:val="auto"/>
        </w:rPr>
        <w:t xml:space="preserve">. Except as otherwise expressly provided in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or elsewhere in this Lease, the minimum limits of policies of insurance required of Tenant under this Lease shall in no event limit the liability of Tenant under this Lease. Such insurance, except that in </w:t>
      </w:r>
      <w:r>
        <w:rPr>
          <w:rFonts w:ascii="Arial" w:cs="Arial" w:eastAsia="Arial" w:hAnsi="Arial"/>
          <w:sz w:val="19"/>
          <w:szCs w:val="19"/>
          <w:u w:val="single" w:color="auto"/>
          <w:color w:val="auto"/>
        </w:rPr>
        <w:t>Section 10.3.3</w:t>
      </w:r>
      <w:r>
        <w:rPr>
          <w:rFonts w:ascii="Arial" w:cs="Arial" w:eastAsia="Arial" w:hAnsi="Arial"/>
          <w:sz w:val="19"/>
          <w:szCs w:val="19"/>
          <w:color w:val="auto"/>
        </w:rPr>
        <w:t xml:space="preserve"> above, shall (i) name Landlord, and, upon Landlord's written request, Landlord Parties as additional insureds, including Landlord's managing agent, if any; (ii) include a waiver of subrogation in favor of Landlord and additional insured entities; (iii) be issued by an insurance company having a rating of not less than “A-“ “VIII” in Best's Insurance Guide or which is otherwise acceptable to Landlord and permitted to do business in the State of California; (iv) be primary and noncontributory insurance as to all claims thereunder and provide that any insurance carried by Landlord or Landlord Parties is excess and is non-contributing with any insurance requirement of Tenant; and (v) be in form and content reasonably acceptable to Landlord. Tenant shall notify Landlord promptly of any cancellation of such policies. Tenant shall deliver said certificates of insurance on a form reasonably acceptable to Landlord and copies of additional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-28-</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6" w:name="page67"/>
    <w:bookmarkEnd w:id="66"/>
    <w:p>
      <w:pPr>
        <w:jc w:val="both"/>
        <w:ind w:right="20"/>
        <w:spacing w:after="0" w:line="282" w:lineRule="auto"/>
        <w:rPr>
          <w:sz w:val="20"/>
          <w:szCs w:val="20"/>
          <w:color w:val="auto"/>
        </w:rPr>
      </w:pPr>
      <w:r>
        <w:rPr>
          <w:rFonts w:ascii="Arial" w:cs="Arial" w:eastAsia="Arial" w:hAnsi="Arial"/>
          <w:sz w:val="19"/>
          <w:szCs w:val="19"/>
          <w:color w:val="auto"/>
        </w:rPr>
        <w:t>insured and waiver of subrogation endorsements thereof to Landlord on or before the earlier to occur of (A) the Lease Commencement Date, and (B) the date upon which Tenant is first provided access to the Premises, and at least five (5) days before the expiration dates thereof. In the event Tenant shall fail to procure such insurance, or to deliver such policies or certificate, within five (5) days after written notice from Landlord, Landlord may, at its option, procure such policies for the account of Tenant, and the cost thereof shall be paid to Landlord within thirty (30) days after delivery to Tenant of bills therefor.</w:t>
      </w:r>
    </w:p>
    <w:p>
      <w:pPr>
        <w:spacing w:after="0" w:line="142" w:lineRule="exact"/>
        <w:rPr>
          <w:sz w:val="20"/>
          <w:szCs w:val="20"/>
          <w:color w:val="auto"/>
        </w:rPr>
      </w:pPr>
    </w:p>
    <w:p>
      <w:pPr>
        <w:jc w:val="both"/>
        <w:ind w:right="20" w:firstLine="877"/>
        <w:spacing w:after="0" w:line="235"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u w:val="single" w:color="auto"/>
          <w:color w:val="auto"/>
        </w:rPr>
        <w:t>Subrogation</w:t>
      </w:r>
      <w:r>
        <w:rPr>
          <w:rFonts w:ascii="Arial" w:cs="Arial" w:eastAsia="Arial" w:hAnsi="Arial"/>
          <w:sz w:val="22"/>
          <w:szCs w:val="22"/>
          <w:color w:val="auto"/>
        </w:rPr>
        <w:t>.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are now, or shall be, endorsed such that the waiver of subrogation shall not affect the right of the insured to recover thereunder, so long as no material additional premium is charged therefor.</w:t>
      </w:r>
    </w:p>
    <w:p>
      <w:pPr>
        <w:spacing w:after="0" w:line="179"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b w:val="1"/>
          <w:bCs w:val="1"/>
          <w:u w:val="single" w:color="auto"/>
          <w:color w:val="auto"/>
        </w:rPr>
        <w:t>Additional Insurance Obligations</w:t>
      </w:r>
      <w:r>
        <w:rPr>
          <w:rFonts w:ascii="Arial" w:cs="Arial" w:eastAsia="Arial" w:hAnsi="Arial"/>
          <w:sz w:val="21"/>
          <w:szCs w:val="21"/>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and such other reasonable types of insurance coverage and in such reasonable amounts covering the Premises and Tenant's operations therein, as may be reasonably requested by Landlord, but in no event in excess of the amounts and types of insurance then being required by landlords of buildings comparable to and in the vicinity of the Building.</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9520" w:type="dxa"/>
            <w:vAlign w:val="bottom"/>
          </w:tcPr>
          <w:p>
            <w:pPr>
              <w:jc w:val="center"/>
              <w:ind w:right="1772"/>
              <w:spacing w:after="0"/>
              <w:rPr>
                <w:sz w:val="20"/>
                <w:szCs w:val="20"/>
                <w:color w:val="auto"/>
              </w:rPr>
            </w:pPr>
            <w:r>
              <w:rPr>
                <w:rFonts w:ascii="Arial" w:cs="Arial" w:eastAsia="Arial" w:hAnsi="Arial"/>
                <w:sz w:val="22"/>
                <w:szCs w:val="22"/>
                <w:b w:val="1"/>
                <w:bCs w:val="1"/>
                <w:color w:val="auto"/>
                <w:w w:val="98"/>
              </w:rPr>
              <w:t>ARTICLE 11</w:t>
            </w:r>
          </w:p>
        </w:tc>
      </w:tr>
      <w:tr>
        <w:trPr>
          <w:trHeight w:val="486"/>
        </w:trPr>
        <w:tc>
          <w:tcPr>
            <w:tcW w:w="1020" w:type="dxa"/>
            <w:vAlign w:val="bottom"/>
          </w:tcPr>
          <w:p>
            <w:pPr>
              <w:spacing w:after="0"/>
              <w:rPr>
                <w:sz w:val="24"/>
                <w:szCs w:val="24"/>
                <w:color w:val="auto"/>
              </w:rPr>
            </w:pPr>
          </w:p>
        </w:tc>
        <w:tc>
          <w:tcPr>
            <w:tcW w:w="9520" w:type="dxa"/>
            <w:vAlign w:val="bottom"/>
          </w:tcPr>
          <w:p>
            <w:pPr>
              <w:jc w:val="center"/>
              <w:ind w:right="1792"/>
              <w:spacing w:after="0"/>
              <w:rPr>
                <w:sz w:val="20"/>
                <w:szCs w:val="20"/>
                <w:color w:val="auto"/>
              </w:rPr>
            </w:pPr>
            <w:r>
              <w:rPr>
                <w:rFonts w:ascii="Arial" w:cs="Arial" w:eastAsia="Arial" w:hAnsi="Arial"/>
                <w:sz w:val="22"/>
                <w:szCs w:val="22"/>
                <w:b w:val="1"/>
                <w:bCs w:val="1"/>
                <w:u w:val="single" w:color="auto"/>
                <w:color w:val="auto"/>
                <w:w w:val="99"/>
              </w:rPr>
              <w:t>DAMAGE AND DESTRUCTION</w:t>
            </w:r>
          </w:p>
        </w:tc>
      </w:tr>
      <w:tr>
        <w:trPr>
          <w:trHeight w:val="446"/>
        </w:trPr>
        <w:tc>
          <w:tcPr>
            <w:tcW w:w="1020" w:type="dxa"/>
            <w:vAlign w:val="bottom"/>
          </w:tcPr>
          <w:p>
            <w:pPr>
              <w:jc w:val="right"/>
              <w:ind w:right="532"/>
              <w:spacing w:after="0"/>
              <w:rPr>
                <w:sz w:val="20"/>
                <w:szCs w:val="20"/>
                <w:color w:val="auto"/>
              </w:rPr>
            </w:pPr>
            <w:r>
              <w:rPr>
                <w:rFonts w:ascii="Arial" w:cs="Arial" w:eastAsia="Arial" w:hAnsi="Arial"/>
                <w:sz w:val="22"/>
                <w:szCs w:val="22"/>
                <w:color w:val="auto"/>
                <w:w w:val="83"/>
              </w:rPr>
              <w:t>11.1</w:t>
            </w:r>
          </w:p>
        </w:tc>
        <w:tc>
          <w:tcPr>
            <w:tcW w:w="9520" w:type="dxa"/>
            <w:vAlign w:val="bottom"/>
          </w:tcPr>
          <w:p>
            <w:pPr>
              <w:ind w:left="660"/>
              <w:spacing w:after="0"/>
              <w:rPr>
                <w:sz w:val="20"/>
                <w:szCs w:val="20"/>
                <w:color w:val="auto"/>
              </w:rPr>
            </w:pPr>
            <w:r>
              <w:rPr>
                <w:rFonts w:ascii="Arial" w:cs="Arial" w:eastAsia="Arial" w:hAnsi="Arial"/>
                <w:sz w:val="22"/>
                <w:szCs w:val="22"/>
                <w:b w:val="1"/>
                <w:bCs w:val="1"/>
                <w:u w:val="single" w:color="auto"/>
                <w:color w:val="auto"/>
                <w:w w:val="90"/>
              </w:rPr>
              <w:t>Repair of Damage to Premises by Landlord</w:t>
            </w:r>
            <w:r>
              <w:rPr>
                <w:rFonts w:ascii="Arial" w:cs="Arial" w:eastAsia="Arial" w:hAnsi="Arial"/>
                <w:sz w:val="22"/>
                <w:szCs w:val="22"/>
                <w:color w:val="auto"/>
                <w:w w:val="90"/>
              </w:rPr>
              <w:t>. Tenant shall promptly notify Landlord of any damage</w:t>
            </w:r>
          </w:p>
        </w:tc>
      </w:tr>
    </w:tbl>
    <w:p>
      <w:pPr>
        <w:jc w:val="both"/>
        <w:ind w:right="20"/>
        <w:spacing w:after="0" w:line="271" w:lineRule="auto"/>
        <w:rPr>
          <w:sz w:val="20"/>
          <w:szCs w:val="20"/>
          <w:color w:val="auto"/>
        </w:rPr>
      </w:pPr>
      <w:r>
        <w:rPr>
          <w:rFonts w:ascii="Arial" w:cs="Arial" w:eastAsia="Arial" w:hAnsi="Arial"/>
          <w:sz w:val="19"/>
          <w:szCs w:val="19"/>
          <w:color w:val="auto"/>
        </w:rPr>
        <w:t xml:space="preserve">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and any common restrooms serving the Premises shall not be materially impaired. Upon the occurrence of any damage to the Premises, upon notice (the "</w:t>
      </w:r>
      <w:r>
        <w:rPr>
          <w:rFonts w:ascii="Arial" w:cs="Arial" w:eastAsia="Arial" w:hAnsi="Arial"/>
          <w:sz w:val="19"/>
          <w:szCs w:val="19"/>
          <w:b w:val="1"/>
          <w:bCs w:val="1"/>
          <w:color w:val="auto"/>
        </w:rPr>
        <w:t>Landlord</w:t>
      </w:r>
      <w:r>
        <w:rPr>
          <w:rFonts w:ascii="Arial" w:cs="Arial" w:eastAsia="Arial" w:hAnsi="Arial"/>
          <w:sz w:val="19"/>
          <w:szCs w:val="19"/>
          <w:color w:val="auto"/>
        </w:rPr>
        <w:t xml:space="preserve"> </w:t>
      </w:r>
      <w:r>
        <w:rPr>
          <w:rFonts w:ascii="Arial" w:cs="Arial" w:eastAsia="Arial" w:hAnsi="Arial"/>
          <w:sz w:val="19"/>
          <w:szCs w:val="19"/>
          <w:b w:val="1"/>
          <w:bCs w:val="1"/>
          <w:color w:val="auto"/>
        </w:rPr>
        <w:t>Repair Notice</w:t>
      </w:r>
      <w:r>
        <w:rPr>
          <w:rFonts w:ascii="Arial" w:cs="Arial" w:eastAsia="Arial" w:hAnsi="Arial"/>
          <w:sz w:val="19"/>
          <w:szCs w:val="19"/>
          <w:color w:val="auto"/>
        </w:rPr>
        <w:t>") to Tenant from Landlord, Tenant shall assign to Landlord (or to any party designated by Landlord) all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proceeds payable to Tenant under Tenant's insurance required under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of this Lease, and Landlord shall repair any injury or damage to the Tenant Improvements and the Original Improvements installed in the Premises and shall return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-29-</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7" w:name="page68"/>
    <w:bookmarkEnd w:id="67"/>
    <w:p>
      <w:pPr>
        <w:jc w:val="both"/>
        <w:ind w:right="20"/>
        <w:spacing w:after="0" w:line="270" w:lineRule="auto"/>
        <w:rPr>
          <w:sz w:val="20"/>
          <w:szCs w:val="20"/>
          <w:color w:val="auto"/>
        </w:rPr>
      </w:pPr>
      <w:r>
        <w:rPr>
          <w:rFonts w:ascii="Arial" w:cs="Arial" w:eastAsia="Arial" w:hAnsi="Arial"/>
          <w:sz w:val="19"/>
          <w:szCs w:val="19"/>
          <w:color w:val="auto"/>
        </w:rPr>
        <w:t xml:space="preserve">such Tenant Improvements and Original Improvements to their original condition; provided that if the cost of such repair by Landlord exceeds the amount of insurance proceeds received by Landlord from Tenant's insurance carrier, as assigned by Tenant, the reasonable cost of such repairs shall be paid by Tenant to Landlord prior to Landlord's commencement of repair of the damage (provided Landlord does not terminate this Lease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below). In the event that Landlord does not deliver the Landlord Repair Notice within sixty (60) days following the date the casualty becomes known to Landlord, and provided Landlord does not elect to terminate this Lease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below, Tenant shall, at its sole cost and expense, repair any injury or damage to the Tenant Improvements and the Original Improvements installed in the Premises and shall return such Tenant Improvements and Original Improvements to their original condition. Whether or not Landlord delivers a Landlord Repair Notice, prior to the commencement of construction, Tenant shall submit to Landlord, for Landlord's review and approval, all plans, specifications and working drawings relating thereto, and the contractors to perform such improvement work shall be selected as provided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above with respect to Alterations.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(or such portions thereof) are not occupied by Tenant as a result thereof, then during the time and to the extent the Premises (or such portions thereof) are unfit for occupancy, the Rent shall be abated in proportion to the ratio that the amount of rentable square feet of the Premises (or portions thereof)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Tenant would have completed repairs to the Premises but for Tenant’s failure to use reasonable due diligence in connection therewith.</w:t>
      </w:r>
    </w:p>
    <w:p>
      <w:pPr>
        <w:spacing w:after="0" w:line="159"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b w:val="1"/>
          <w:bCs w:val="1"/>
          <w:u w:val="single" w:color="auto"/>
          <w:color w:val="auto"/>
        </w:rPr>
        <w:t>Landlord's Option to Repair</w:t>
      </w:r>
      <w:r>
        <w:rPr>
          <w:rFonts w:ascii="Arial" w:cs="Arial" w:eastAsia="Arial" w:hAnsi="Arial"/>
          <w:sz w:val="19"/>
          <w:szCs w:val="19"/>
          <w:color w:val="auto"/>
        </w:rPr>
        <w:t xml:space="preserve">. Notwithstanding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two hundred seventy (270)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(v) the damage occurs during the last twelve (12) months of the Lease Term; or (iv)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two hundred seventy (270) days after being commenced, Tenant may elect, no earlier than sixty (60) days after the date of discovery of the damage and not later than ninety (90) days after the date of discovery of such damage, to terminate this Lease by written notice to</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-30-</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8" w:name="page69"/>
    <w:bookmarkEnd w:id="68"/>
    <w:p>
      <w:pPr>
        <w:jc w:val="both"/>
        <w:ind w:right="20"/>
        <w:spacing w:after="0" w:line="246" w:lineRule="auto"/>
        <w:rPr>
          <w:sz w:val="20"/>
          <w:szCs w:val="20"/>
          <w:color w:val="auto"/>
        </w:rPr>
      </w:pPr>
      <w:r>
        <w:rPr>
          <w:rFonts w:ascii="Arial" w:cs="Arial" w:eastAsia="Arial" w:hAnsi="Arial"/>
          <w:sz w:val="21"/>
          <w:szCs w:val="21"/>
          <w:color w:val="auto"/>
        </w:rPr>
        <w:t xml:space="preserve">Landlord, such termination being effective as of the date specified in the notice, which date shall not be less than thirty (30) days nor more than sixty (60) days after the date such notice is given by Tenant (provided, however, that in such event all Rent shall be deemed to have been abated from and after the date of the casualty). Notwithstanding the provisions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Tenant shall have the right to terminate this Lease under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only if each of the following conditions are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beyond all applicable notice and cure periods; and (c) as a result of the damage, Tenant cannot reasonably conduct business from the Premises.</w:t>
      </w:r>
    </w:p>
    <w:p>
      <w:pPr>
        <w:spacing w:after="0" w:line="175" w:lineRule="exact"/>
        <w:rPr>
          <w:sz w:val="20"/>
          <w:szCs w:val="20"/>
          <w:color w:val="auto"/>
        </w:rPr>
      </w:pPr>
    </w:p>
    <w:p>
      <w:pPr>
        <w:jc w:val="both"/>
        <w:ind w:right="20" w:firstLine="877"/>
        <w:spacing w:after="0" w:line="280"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u w:val="single" w:color="auto"/>
          <w:color w:val="auto"/>
        </w:rPr>
        <w:t>Waiver of Statutory Provisions</w:t>
      </w:r>
      <w:r>
        <w:rPr>
          <w:rFonts w:ascii="Arial" w:cs="Arial" w:eastAsia="Arial" w:hAnsi="Arial"/>
          <w:sz w:val="19"/>
          <w:szCs w:val="19"/>
          <w:color w:val="auto"/>
        </w:rPr>
        <w:t xml:space="preserve">. The provisions of this Lease, including this </w:t>
      </w:r>
      <w:r>
        <w:rPr>
          <w:rFonts w:ascii="Arial" w:cs="Arial" w:eastAsia="Arial" w:hAnsi="Arial"/>
          <w:sz w:val="19"/>
          <w:szCs w:val="19"/>
          <w:u w:val="single" w:color="auto"/>
          <w:color w:val="auto"/>
        </w:rPr>
        <w:t>Article 11</w:t>
      </w:r>
      <w:r>
        <w:rPr>
          <w:rFonts w:ascii="Arial" w:cs="Arial" w:eastAsia="Arial" w:hAnsi="Arial"/>
          <w:sz w:val="19"/>
          <w:szCs w:val="19"/>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NONWAIVER</w:t>
      </w:r>
    </w:p>
    <w:p>
      <w:pPr>
        <w:spacing w:after="0" w:line="212"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9"/>
          <w:szCs w:val="19"/>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-31-</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22"/>
          <w:szCs w:val="22"/>
          <w:b w:val="1"/>
          <w:bCs w:val="1"/>
          <w:color w:val="auto"/>
        </w:rPr>
        <w:t>ARTICLE 13</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CONDEMNATION</w:t>
      </w:r>
    </w:p>
    <w:p>
      <w:pPr>
        <w:spacing w:after="0" w:line="212" w:lineRule="exact"/>
        <w:rPr>
          <w:sz w:val="20"/>
          <w:szCs w:val="20"/>
          <w:color w:val="auto"/>
        </w:rPr>
      </w:pPr>
    </w:p>
    <w:p>
      <w:pPr>
        <w:jc w:val="both"/>
        <w:ind w:right="20" w:firstLine="877"/>
        <w:spacing w:after="0" w:line="270" w:lineRule="auto"/>
        <w:rPr>
          <w:sz w:val="20"/>
          <w:szCs w:val="20"/>
          <w:color w:val="auto"/>
        </w:rPr>
      </w:pPr>
      <w:r>
        <w:rPr>
          <w:rFonts w:ascii="Arial" w:cs="Arial" w:eastAsia="Arial" w:hAnsi="Arial"/>
          <w:sz w:val="19"/>
          <w:szCs w:val="19"/>
          <w:color w:val="auto"/>
        </w:rPr>
        <w:t xml:space="preserve">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material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(or otherwise rendered untenantable as a result of the taking) bears to the total rentable square feet of the Premises and otherwise in accordance with </w:t>
      </w:r>
      <w:r>
        <w:rPr>
          <w:rFonts w:ascii="Arial" w:cs="Arial" w:eastAsia="Arial" w:hAnsi="Arial"/>
          <w:sz w:val="19"/>
          <w:szCs w:val="19"/>
          <w:u w:val="single" w:color="auto"/>
          <w:color w:val="auto"/>
        </w:rPr>
        <w:t>Section 19.5.2</w:t>
      </w:r>
      <w:r>
        <w:rPr>
          <w:rFonts w:ascii="Arial" w:cs="Arial" w:eastAsia="Arial" w:hAnsi="Arial"/>
          <w:sz w:val="19"/>
          <w:szCs w:val="19"/>
          <w:color w:val="auto"/>
        </w:rPr>
        <w:t>. Landlord shall be entitled to receive the entire award made in connection with any such temporary taking.</w:t>
      </w:r>
    </w:p>
    <w:p>
      <w:pPr>
        <w:spacing w:after="0" w:line="396"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94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8"/>
              </w:rPr>
              <w:t>ARTICLE 14</w:t>
            </w:r>
          </w:p>
        </w:tc>
      </w:tr>
      <w:tr>
        <w:trPr>
          <w:trHeight w:val="486"/>
        </w:trPr>
        <w:tc>
          <w:tcPr>
            <w:tcW w:w="1040" w:type="dxa"/>
            <w:vAlign w:val="bottom"/>
          </w:tcPr>
          <w:p>
            <w:pPr>
              <w:spacing w:after="0"/>
              <w:rPr>
                <w:sz w:val="24"/>
                <w:szCs w:val="24"/>
                <w:color w:val="auto"/>
              </w:rPr>
            </w:pPr>
          </w:p>
        </w:tc>
        <w:tc>
          <w:tcPr>
            <w:tcW w:w="9480" w:type="dxa"/>
            <w:vAlign w:val="bottom"/>
          </w:tcPr>
          <w:p>
            <w:pPr>
              <w:jc w:val="center"/>
              <w:ind w:right="1772"/>
              <w:spacing w:after="0"/>
              <w:rPr>
                <w:sz w:val="20"/>
                <w:szCs w:val="20"/>
                <w:color w:val="auto"/>
              </w:rPr>
            </w:pPr>
            <w:r>
              <w:rPr>
                <w:rFonts w:ascii="Arial" w:cs="Arial" w:eastAsia="Arial" w:hAnsi="Arial"/>
                <w:sz w:val="22"/>
                <w:szCs w:val="22"/>
                <w:b w:val="1"/>
                <w:bCs w:val="1"/>
                <w:u w:val="single" w:color="auto"/>
                <w:color w:val="auto"/>
                <w:w w:val="99"/>
              </w:rPr>
              <w:t>ASSIGNMENT AND SUBLETTING</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color w:val="auto"/>
                <w:w w:val="83"/>
              </w:rPr>
              <w:t>14.1</w:t>
            </w:r>
          </w:p>
        </w:tc>
        <w:tc>
          <w:tcPr>
            <w:tcW w:w="9480" w:type="dxa"/>
            <w:vAlign w:val="bottom"/>
          </w:tcPr>
          <w:p>
            <w:pPr>
              <w:ind w:left="640"/>
              <w:spacing w:after="0"/>
              <w:rPr>
                <w:sz w:val="20"/>
                <w:szCs w:val="20"/>
                <w:color w:val="auto"/>
              </w:rPr>
            </w:pPr>
            <w:r>
              <w:rPr>
                <w:rFonts w:ascii="Arial" w:cs="Arial" w:eastAsia="Arial" w:hAnsi="Arial"/>
                <w:sz w:val="22"/>
                <w:szCs w:val="22"/>
                <w:b w:val="1"/>
                <w:bCs w:val="1"/>
                <w:u w:val="single" w:color="auto"/>
                <w:color w:val="auto"/>
                <w:w w:val="90"/>
              </w:rPr>
              <w:t>Transfers</w:t>
            </w:r>
            <w:r>
              <w:rPr>
                <w:rFonts w:ascii="Arial" w:cs="Arial" w:eastAsia="Arial" w:hAnsi="Arial"/>
                <w:sz w:val="22"/>
                <w:szCs w:val="22"/>
                <w:color w:val="auto"/>
                <w:w w:val="90"/>
              </w:rPr>
              <w:t>. Except as otherwise provided in this</w:t>
            </w:r>
            <w:r>
              <w:rPr>
                <w:rFonts w:ascii="Arial" w:cs="Arial" w:eastAsia="Arial" w:hAnsi="Arial"/>
                <w:sz w:val="22"/>
                <w:szCs w:val="22"/>
                <w:b w:val="1"/>
                <w:bCs w:val="1"/>
                <w:color w:val="auto"/>
                <w:w w:val="90"/>
              </w:rPr>
              <w:t xml:space="preserve"> </w:t>
            </w:r>
            <w:r>
              <w:rPr>
                <w:rFonts w:ascii="Arial" w:cs="Arial" w:eastAsia="Arial" w:hAnsi="Arial"/>
                <w:sz w:val="22"/>
                <w:szCs w:val="22"/>
                <w:u w:val="single" w:color="auto"/>
                <w:color w:val="auto"/>
                <w:w w:val="90"/>
              </w:rPr>
              <w:t>Article 14</w:t>
            </w:r>
            <w:r>
              <w:rPr>
                <w:rFonts w:ascii="Arial" w:cs="Arial" w:eastAsia="Arial" w:hAnsi="Arial"/>
                <w:sz w:val="22"/>
                <w:szCs w:val="22"/>
                <w:color w:val="auto"/>
                <w:w w:val="90"/>
              </w:rPr>
              <w:t>, Tenant shall not, without the prior written</w:t>
            </w:r>
          </w:p>
        </w:tc>
      </w:tr>
    </w:tbl>
    <w:p>
      <w:pPr>
        <w:jc w:val="both"/>
        <w:ind w:right="20"/>
        <w:spacing w:after="0" w:line="275" w:lineRule="auto"/>
        <w:rPr>
          <w:sz w:val="20"/>
          <w:szCs w:val="20"/>
          <w:color w:val="auto"/>
        </w:rPr>
      </w:pPr>
      <w:r>
        <w:rPr>
          <w:rFonts w:ascii="Arial" w:cs="Arial" w:eastAsia="Arial" w:hAnsi="Arial"/>
          <w:sz w:val="19"/>
          <w:szCs w:val="19"/>
          <w:color w:val="auto"/>
        </w:rPr>
        <w:t>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9"/>
          <w:szCs w:val="19"/>
          <w:b w:val="1"/>
          <w:bCs w:val="1"/>
          <w:color w:val="auto"/>
        </w:rPr>
        <w:t>Transfers</w:t>
      </w:r>
      <w:r>
        <w:rPr>
          <w:rFonts w:ascii="Arial" w:cs="Arial" w:eastAsia="Arial" w:hAnsi="Arial"/>
          <w:sz w:val="19"/>
          <w:szCs w:val="19"/>
          <w:color w:val="auto"/>
        </w:rPr>
        <w:t>" and any person to whom any Transfer is made or sought to be made is hereinafter sometimes referred to as a "</w:t>
      </w:r>
      <w:r>
        <w:rPr>
          <w:rFonts w:ascii="Arial" w:cs="Arial" w:eastAsia="Arial" w:hAnsi="Arial"/>
          <w:sz w:val="19"/>
          <w:szCs w:val="19"/>
          <w:b w:val="1"/>
          <w:bCs w:val="1"/>
          <w:color w:val="auto"/>
        </w:rPr>
        <w:t>Transferee</w:t>
      </w:r>
      <w:r>
        <w:rPr>
          <w:rFonts w:ascii="Arial" w:cs="Arial" w:eastAsia="Arial" w:hAnsi="Arial"/>
          <w:sz w:val="19"/>
          <w:szCs w:val="19"/>
          <w:color w:val="auto"/>
        </w:rPr>
        <w:t>"). If Tenant desires Landlord's consent to 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-32-</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70" w:name="page71"/>
    <w:bookmarkEnd w:id="70"/>
    <w:p>
      <w:pPr>
        <w:jc w:val="both"/>
        <w:ind w:right="20"/>
        <w:spacing w:after="0" w:line="271" w:lineRule="auto"/>
        <w:rPr>
          <w:sz w:val="20"/>
          <w:szCs w:val="20"/>
          <w:color w:val="auto"/>
        </w:rPr>
      </w:pPr>
      <w:r>
        <w:rPr>
          <w:rFonts w:ascii="Arial" w:cs="Arial" w:eastAsia="Arial" w:hAnsi="Arial"/>
          <w:sz w:val="19"/>
          <w:szCs w:val="19"/>
          <w:color w:val="auto"/>
        </w:rPr>
        <w:t>Transfer, Tenant shall notify Landlord in writing, which notice (the "</w:t>
      </w:r>
      <w:r>
        <w:rPr>
          <w:rFonts w:ascii="Arial" w:cs="Arial" w:eastAsia="Arial" w:hAnsi="Arial"/>
          <w:sz w:val="19"/>
          <w:szCs w:val="19"/>
          <w:b w:val="1"/>
          <w:bCs w:val="1"/>
          <w:color w:val="auto"/>
        </w:rPr>
        <w:t>Transfer Notice</w:t>
      </w:r>
      <w:r>
        <w:rPr>
          <w:rFonts w:ascii="Arial" w:cs="Arial" w:eastAsia="Arial" w:hAnsi="Arial"/>
          <w:sz w:val="19"/>
          <w:szCs w:val="19"/>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Arial" w:cs="Arial" w:eastAsia="Arial" w:hAnsi="Arial"/>
          <w:sz w:val="19"/>
          <w:szCs w:val="19"/>
          <w:b w:val="1"/>
          <w:bCs w:val="1"/>
          <w:color w:val="auto"/>
        </w:rPr>
        <w:t>Subject Space</w:t>
      </w:r>
      <w:r>
        <w:rPr>
          <w:rFonts w:ascii="Arial" w:cs="Arial" w:eastAsia="Arial" w:hAnsi="Arial"/>
          <w:sz w:val="19"/>
          <w:szCs w:val="19"/>
          <w:color w:val="auto"/>
        </w:rPr>
        <w:t xml:space="preserve">"), (iii) all of the material economic terms of the proposed Transfer and the consideration therefor, including calculation of the "Transfer Premium", as that term is defined in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below, in connection with such Transfer, the name and address of the proposed Transferee, and a copy of all documentation pertaining to the proposed Transfer (which documentation must by fully executed by the parties thereto), including all operative documents executed to evidence such Transfer or the agreements incidental or related to such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Except as otherwise provided in </w:t>
      </w:r>
      <w:r>
        <w:rPr>
          <w:rFonts w:ascii="Arial" w:cs="Arial" w:eastAsia="Arial" w:hAnsi="Arial"/>
          <w:sz w:val="19"/>
          <w:szCs w:val="19"/>
          <w:u w:val="single" w:color="auto"/>
          <w:color w:val="auto"/>
        </w:rPr>
        <w:t>Section 14.8</w:t>
      </w:r>
      <w:r>
        <w:rPr>
          <w:rFonts w:ascii="Arial" w:cs="Arial" w:eastAsia="Arial" w:hAnsi="Arial"/>
          <w:sz w:val="19"/>
          <w:szCs w:val="19"/>
          <w:color w:val="auto"/>
        </w:rPr>
        <w:t>,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within thirty (30) days after written request by Landlord.</w:t>
      </w:r>
    </w:p>
    <w:p>
      <w:pPr>
        <w:spacing w:after="0" w:line="200" w:lineRule="exact"/>
        <w:rPr>
          <w:sz w:val="20"/>
          <w:szCs w:val="20"/>
          <w:color w:val="auto"/>
        </w:rPr>
      </w:pPr>
    </w:p>
    <w:p>
      <w:pPr>
        <w:spacing w:after="0" w:line="205" w:lineRule="exact"/>
        <w:rPr>
          <w:sz w:val="20"/>
          <w:szCs w:val="20"/>
          <w:color w:val="auto"/>
        </w:rPr>
      </w:pPr>
    </w:p>
    <w:p>
      <w:pPr>
        <w:jc w:val="both"/>
        <w:ind w:right="20" w:firstLine="877"/>
        <w:spacing w:after="0" w:line="289"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b w:val="1"/>
          <w:bCs w:val="1"/>
          <w:u w:val="single" w:color="auto"/>
          <w:color w:val="auto"/>
        </w:rPr>
        <w:t>Landlord's Consent</w:t>
      </w:r>
      <w:r>
        <w:rPr>
          <w:rFonts w:ascii="Arial" w:cs="Arial" w:eastAsia="Arial" w:hAnsi="Arial"/>
          <w:sz w:val="19"/>
          <w:szCs w:val="19"/>
          <w:color w:val="auto"/>
        </w:rPr>
        <w:t>. Landlord shall not unreasonably withhold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jc w:val="right"/>
              <w:ind w:right="898"/>
              <w:spacing w:after="0"/>
              <w:rPr>
                <w:sz w:val="20"/>
                <w:szCs w:val="20"/>
                <w:color w:val="auto"/>
              </w:rPr>
            </w:pPr>
            <w:r>
              <w:rPr>
                <w:rFonts w:ascii="Arial" w:cs="Arial" w:eastAsia="Arial" w:hAnsi="Arial"/>
                <w:sz w:val="22"/>
                <w:szCs w:val="22"/>
                <w:color w:val="auto"/>
              </w:rPr>
              <w:t>14.2.1</w:t>
            </w:r>
          </w:p>
        </w:tc>
        <w:tc>
          <w:tcPr>
            <w:tcW w:w="8140" w:type="dxa"/>
            <w:vAlign w:val="bottom"/>
            <w:gridSpan w:val="2"/>
          </w:tcPr>
          <w:p>
            <w:pPr>
              <w:ind w:left="940"/>
              <w:spacing w:after="0"/>
              <w:rPr>
                <w:sz w:val="20"/>
                <w:szCs w:val="20"/>
                <w:color w:val="auto"/>
              </w:rPr>
            </w:pPr>
            <w:r>
              <w:rPr>
                <w:rFonts w:ascii="Arial" w:cs="Arial" w:eastAsia="Arial" w:hAnsi="Arial"/>
                <w:sz w:val="22"/>
                <w:szCs w:val="22"/>
                <w:color w:val="auto"/>
                <w:w w:val="92"/>
              </w:rPr>
              <w:t>The Transferee is of a character or reputation or engaged in a business which is</w:t>
            </w:r>
          </w:p>
        </w:tc>
        <w:tc>
          <w:tcPr>
            <w:tcW w:w="0" w:type="dxa"/>
            <w:vAlign w:val="bottom"/>
          </w:tcPr>
          <w:p>
            <w:pPr>
              <w:spacing w:after="0"/>
              <w:rPr>
                <w:sz w:val="1"/>
                <w:szCs w:val="1"/>
                <w:color w:val="auto"/>
              </w:rPr>
            </w:pPr>
          </w:p>
        </w:tc>
      </w:tr>
      <w:tr>
        <w:trPr>
          <w:trHeight w:val="275"/>
        </w:trPr>
        <w:tc>
          <w:tcPr>
            <w:tcW w:w="8840" w:type="dxa"/>
            <w:vAlign w:val="bottom"/>
            <w:gridSpan w:val="2"/>
          </w:tcPr>
          <w:p>
            <w:pPr>
              <w:spacing w:after="0"/>
              <w:rPr>
                <w:sz w:val="20"/>
                <w:szCs w:val="20"/>
                <w:color w:val="auto"/>
              </w:rPr>
            </w:pPr>
            <w:r>
              <w:rPr>
                <w:rFonts w:ascii="Arial" w:cs="Arial" w:eastAsia="Arial" w:hAnsi="Arial"/>
                <w:sz w:val="22"/>
                <w:szCs w:val="22"/>
                <w:color w:val="auto"/>
              </w:rPr>
              <w:t>not consistent with the quality of the Building or the Project;</w:t>
            </w: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300" w:type="dxa"/>
            <w:vAlign w:val="bottom"/>
          </w:tcPr>
          <w:p>
            <w:pPr>
              <w:jc w:val="right"/>
              <w:ind w:right="898"/>
              <w:spacing w:after="0"/>
              <w:rPr>
                <w:sz w:val="20"/>
                <w:szCs w:val="20"/>
                <w:color w:val="auto"/>
              </w:rPr>
            </w:pPr>
            <w:r>
              <w:rPr>
                <w:rFonts w:ascii="Arial" w:cs="Arial" w:eastAsia="Arial" w:hAnsi="Arial"/>
                <w:sz w:val="22"/>
                <w:szCs w:val="22"/>
                <w:color w:val="auto"/>
              </w:rPr>
              <w:t>14.2.2</w:t>
            </w:r>
          </w:p>
        </w:tc>
        <w:tc>
          <w:tcPr>
            <w:tcW w:w="5540" w:type="dxa"/>
            <w:vAlign w:val="bottom"/>
          </w:tcPr>
          <w:p>
            <w:pPr>
              <w:ind w:left="940"/>
              <w:spacing w:after="0"/>
              <w:rPr>
                <w:sz w:val="20"/>
                <w:szCs w:val="20"/>
                <w:color w:val="auto"/>
              </w:rPr>
            </w:pPr>
            <w:r>
              <w:rPr>
                <w:rFonts w:ascii="Arial" w:cs="Arial" w:eastAsia="Arial" w:hAnsi="Arial"/>
                <w:sz w:val="22"/>
                <w:szCs w:val="22"/>
                <w:color w:val="auto"/>
                <w:w w:val="95"/>
              </w:rPr>
              <w:t>The Transferee intends to use the Subject Space</w:t>
            </w:r>
          </w:p>
        </w:tc>
        <w:tc>
          <w:tcPr>
            <w:tcW w:w="2600" w:type="dxa"/>
            <w:vAlign w:val="bottom"/>
          </w:tcPr>
          <w:p>
            <w:pPr>
              <w:jc w:val="right"/>
              <w:spacing w:after="0"/>
              <w:rPr>
                <w:sz w:val="20"/>
                <w:szCs w:val="20"/>
                <w:color w:val="auto"/>
              </w:rPr>
            </w:pPr>
            <w:r>
              <w:rPr>
                <w:rFonts w:ascii="Arial" w:cs="Arial" w:eastAsia="Arial" w:hAnsi="Arial"/>
                <w:sz w:val="22"/>
                <w:szCs w:val="22"/>
                <w:color w:val="auto"/>
                <w:w w:val="98"/>
              </w:rPr>
              <w:t>for purposes which are not</w:t>
            </w:r>
          </w:p>
        </w:tc>
        <w:tc>
          <w:tcPr>
            <w:tcW w:w="0" w:type="dxa"/>
            <w:vAlign w:val="bottom"/>
          </w:tcPr>
          <w:p>
            <w:pPr>
              <w:spacing w:after="0"/>
              <w:rPr>
                <w:sz w:val="1"/>
                <w:szCs w:val="1"/>
                <w:color w:val="auto"/>
              </w:rPr>
            </w:pPr>
          </w:p>
        </w:tc>
      </w:t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permitted under this Lease;</w:t>
            </w:r>
          </w:p>
        </w:tc>
        <w:tc>
          <w:tcPr>
            <w:tcW w:w="55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300" w:type="dxa"/>
            <w:vAlign w:val="bottom"/>
          </w:tcPr>
          <w:p>
            <w:pPr>
              <w:jc w:val="right"/>
              <w:ind w:right="898"/>
              <w:spacing w:after="0"/>
              <w:rPr>
                <w:sz w:val="20"/>
                <w:szCs w:val="20"/>
                <w:color w:val="auto"/>
              </w:rPr>
            </w:pPr>
            <w:r>
              <w:rPr>
                <w:rFonts w:ascii="Arial" w:cs="Arial" w:eastAsia="Arial" w:hAnsi="Arial"/>
                <w:sz w:val="22"/>
                <w:szCs w:val="22"/>
                <w:color w:val="auto"/>
              </w:rPr>
              <w:t>14.2.3</w:t>
            </w:r>
          </w:p>
        </w:tc>
        <w:tc>
          <w:tcPr>
            <w:tcW w:w="8140" w:type="dxa"/>
            <w:vAlign w:val="bottom"/>
            <w:gridSpan w:val="2"/>
          </w:tcPr>
          <w:p>
            <w:pPr>
              <w:ind w:left="940"/>
              <w:spacing w:after="0"/>
              <w:rPr>
                <w:sz w:val="20"/>
                <w:szCs w:val="20"/>
                <w:color w:val="auto"/>
              </w:rPr>
            </w:pPr>
            <w:r>
              <w:rPr>
                <w:rFonts w:ascii="Arial" w:cs="Arial" w:eastAsia="Arial" w:hAnsi="Arial"/>
                <w:sz w:val="22"/>
                <w:szCs w:val="22"/>
                <w:color w:val="auto"/>
                <w:w w:val="99"/>
              </w:rPr>
              <w:t>The Transferee is either a governmental agency or instrumentality thereof;</w:t>
            </w:r>
          </w:p>
        </w:tc>
        <w:tc>
          <w:tcPr>
            <w:tcW w:w="0" w:type="dxa"/>
            <w:vAlign w:val="bottom"/>
          </w:tcPr>
          <w:p>
            <w:pPr>
              <w:spacing w:after="0"/>
              <w:rPr>
                <w:sz w:val="1"/>
                <w:szCs w:val="1"/>
                <w:color w:val="auto"/>
              </w:rPr>
            </w:pPr>
          </w:p>
        </w:tc>
      </w:tr>
      <w:tr>
        <w:trPr>
          <w:trHeight w:val="459"/>
        </w:trPr>
        <w:tc>
          <w:tcPr>
            <w:tcW w:w="3300" w:type="dxa"/>
            <w:vAlign w:val="bottom"/>
          </w:tcPr>
          <w:p>
            <w:pPr>
              <w:jc w:val="right"/>
              <w:ind w:right="898"/>
              <w:spacing w:after="0"/>
              <w:rPr>
                <w:sz w:val="20"/>
                <w:szCs w:val="20"/>
                <w:color w:val="auto"/>
              </w:rPr>
            </w:pPr>
            <w:r>
              <w:rPr>
                <w:rFonts w:ascii="Arial" w:cs="Arial" w:eastAsia="Arial" w:hAnsi="Arial"/>
                <w:sz w:val="22"/>
                <w:szCs w:val="22"/>
                <w:color w:val="auto"/>
              </w:rPr>
              <w:t>14.2.4</w:t>
            </w:r>
          </w:p>
        </w:tc>
        <w:tc>
          <w:tcPr>
            <w:tcW w:w="5540" w:type="dxa"/>
            <w:vAlign w:val="bottom"/>
          </w:tcPr>
          <w:p>
            <w:pPr>
              <w:ind w:left="940"/>
              <w:spacing w:after="0"/>
              <w:rPr>
                <w:sz w:val="20"/>
                <w:szCs w:val="20"/>
                <w:color w:val="auto"/>
              </w:rPr>
            </w:pPr>
            <w:r>
              <w:rPr>
                <w:rFonts w:ascii="Arial" w:cs="Arial" w:eastAsia="Arial" w:hAnsi="Arial"/>
                <w:sz w:val="22"/>
                <w:szCs w:val="22"/>
                <w:color w:val="auto"/>
              </w:rPr>
              <w:t>Intentionally omitted;</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300" w:type="dxa"/>
            <w:vAlign w:val="bottom"/>
          </w:tcPr>
          <w:p>
            <w:pPr>
              <w:jc w:val="right"/>
              <w:ind w:right="898"/>
              <w:spacing w:after="0"/>
              <w:rPr>
                <w:sz w:val="20"/>
                <w:szCs w:val="20"/>
                <w:color w:val="auto"/>
              </w:rPr>
            </w:pPr>
            <w:r>
              <w:rPr>
                <w:rFonts w:ascii="Arial" w:cs="Arial" w:eastAsia="Arial" w:hAnsi="Arial"/>
                <w:sz w:val="22"/>
                <w:szCs w:val="22"/>
                <w:color w:val="auto"/>
              </w:rPr>
              <w:t>14.2.5</w:t>
            </w:r>
          </w:p>
        </w:tc>
        <w:tc>
          <w:tcPr>
            <w:tcW w:w="8140" w:type="dxa"/>
            <w:vAlign w:val="bottom"/>
            <w:gridSpan w:val="2"/>
          </w:tcPr>
          <w:p>
            <w:pPr>
              <w:ind w:left="940"/>
              <w:spacing w:after="0"/>
              <w:rPr>
                <w:sz w:val="20"/>
                <w:szCs w:val="20"/>
                <w:color w:val="auto"/>
              </w:rPr>
            </w:pPr>
            <w:r>
              <w:rPr>
                <w:rFonts w:ascii="Arial" w:cs="Arial" w:eastAsia="Arial" w:hAnsi="Arial"/>
                <w:sz w:val="22"/>
                <w:szCs w:val="22"/>
                <w:color w:val="auto"/>
                <w:w w:val="99"/>
              </w:rPr>
              <w:t>The Transferee is not a party of reasonable financial worth and/or financial</w:t>
            </w:r>
          </w:p>
        </w:tc>
        <w:tc>
          <w:tcPr>
            <w:tcW w:w="0" w:type="dxa"/>
            <w:vAlign w:val="bottom"/>
          </w:tcPr>
          <w:p>
            <w:pPr>
              <w:spacing w:after="0"/>
              <w:rPr>
                <w:sz w:val="1"/>
                <w:szCs w:val="1"/>
                <w:color w:val="auto"/>
              </w:rPr>
            </w:pPr>
          </w:p>
        </w:tc>
      </w:tr>
      <w:tr>
        <w:trPr>
          <w:trHeight w:val="275"/>
        </w:trPr>
        <w:tc>
          <w:tcPr>
            <w:tcW w:w="11440" w:type="dxa"/>
            <w:vAlign w:val="bottom"/>
            <w:gridSpan w:val="3"/>
          </w:tcPr>
          <w:p>
            <w:pPr>
              <w:spacing w:after="0"/>
              <w:rPr>
                <w:sz w:val="20"/>
                <w:szCs w:val="20"/>
                <w:color w:val="auto"/>
              </w:rPr>
            </w:pPr>
            <w:r>
              <w:rPr>
                <w:rFonts w:ascii="Arial" w:cs="Arial" w:eastAsia="Arial" w:hAnsi="Arial"/>
                <w:sz w:val="22"/>
                <w:szCs w:val="22"/>
                <w:color w:val="auto"/>
                <w:w w:val="98"/>
              </w:rPr>
              <w:t>stability in light of the responsibilities to be undertaken in connection with the Transfer on the date consent is requested;</w:t>
            </w:r>
          </w:p>
        </w:tc>
        <w:tc>
          <w:tcPr>
            <w:tcW w:w="0" w:type="dxa"/>
            <w:vAlign w:val="bottom"/>
          </w:tcPr>
          <w:p>
            <w:pPr>
              <w:spacing w:after="0"/>
              <w:rPr>
                <w:sz w:val="1"/>
                <w:szCs w:val="1"/>
                <w:color w:val="auto"/>
              </w:rPr>
            </w:pPr>
          </w:p>
        </w:tc>
      </w:tr>
      <w:tr>
        <w:trPr>
          <w:trHeight w:val="428"/>
        </w:trPr>
        <w:tc>
          <w:tcPr>
            <w:tcW w:w="3300" w:type="dxa"/>
            <w:vAlign w:val="bottom"/>
          </w:tcPr>
          <w:p>
            <w:pPr>
              <w:jc w:val="right"/>
              <w:ind w:right="898"/>
              <w:spacing w:after="0"/>
              <w:rPr>
                <w:sz w:val="20"/>
                <w:szCs w:val="20"/>
                <w:color w:val="auto"/>
              </w:rPr>
            </w:pPr>
            <w:r>
              <w:rPr>
                <w:rFonts w:ascii="Arial" w:cs="Arial" w:eastAsia="Arial" w:hAnsi="Arial"/>
                <w:sz w:val="22"/>
                <w:szCs w:val="22"/>
                <w:color w:val="auto"/>
              </w:rPr>
              <w:t>14.2.6</w:t>
            </w:r>
          </w:p>
        </w:tc>
        <w:tc>
          <w:tcPr>
            <w:tcW w:w="8140" w:type="dxa"/>
            <w:vAlign w:val="bottom"/>
            <w:gridSpan w:val="2"/>
          </w:tcPr>
          <w:p>
            <w:pPr>
              <w:ind w:left="940"/>
              <w:spacing w:after="0"/>
              <w:rPr>
                <w:sz w:val="20"/>
                <w:szCs w:val="20"/>
                <w:color w:val="auto"/>
              </w:rPr>
            </w:pPr>
            <w:r>
              <w:rPr>
                <w:rFonts w:ascii="Arial" w:cs="Arial" w:eastAsia="Arial" w:hAnsi="Arial"/>
                <w:sz w:val="22"/>
                <w:szCs w:val="22"/>
                <w:color w:val="auto"/>
                <w:w w:val="92"/>
              </w:rPr>
              <w:t>The proposed Transfer would cause a violation of another lease for space in the</w:t>
            </w:r>
          </w:p>
        </w:tc>
        <w:tc>
          <w:tcPr>
            <w:tcW w:w="0" w:type="dxa"/>
            <w:vAlign w:val="bottom"/>
          </w:tcPr>
          <w:p>
            <w:pPr>
              <w:spacing w:after="0"/>
              <w:rPr>
                <w:sz w:val="1"/>
                <w:szCs w:val="1"/>
                <w:color w:val="auto"/>
              </w:rPr>
            </w:pPr>
          </w:p>
        </w:tc>
      </w:tr>
      <w:tr>
        <w:trPr>
          <w:trHeight w:val="275"/>
        </w:trPr>
        <w:tc>
          <w:tcPr>
            <w:tcW w:w="8840" w:type="dxa"/>
            <w:vAlign w:val="bottom"/>
            <w:gridSpan w:val="2"/>
          </w:tcPr>
          <w:p>
            <w:pPr>
              <w:spacing w:after="0"/>
              <w:rPr>
                <w:sz w:val="20"/>
                <w:szCs w:val="20"/>
                <w:color w:val="auto"/>
              </w:rPr>
            </w:pPr>
            <w:r>
              <w:rPr>
                <w:rFonts w:ascii="Arial" w:cs="Arial" w:eastAsia="Arial" w:hAnsi="Arial"/>
                <w:sz w:val="22"/>
                <w:szCs w:val="22"/>
                <w:color w:val="auto"/>
              </w:rPr>
              <w:t>Project, or would give an occupant of the Project a right to cancel its lease; or</w:t>
            </w: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300" w:type="dxa"/>
            <w:vAlign w:val="bottom"/>
          </w:tcPr>
          <w:p>
            <w:pPr>
              <w:jc w:val="right"/>
              <w:ind w:right="898"/>
              <w:spacing w:after="0"/>
              <w:rPr>
                <w:sz w:val="20"/>
                <w:szCs w:val="20"/>
                <w:color w:val="auto"/>
              </w:rPr>
            </w:pPr>
            <w:r>
              <w:rPr>
                <w:rFonts w:ascii="Arial" w:cs="Arial" w:eastAsia="Arial" w:hAnsi="Arial"/>
                <w:sz w:val="22"/>
                <w:szCs w:val="22"/>
                <w:color w:val="auto"/>
              </w:rPr>
              <w:t>14.2.7</w:t>
            </w:r>
          </w:p>
        </w:tc>
        <w:tc>
          <w:tcPr>
            <w:tcW w:w="8140" w:type="dxa"/>
            <w:vAlign w:val="bottom"/>
            <w:gridSpan w:val="2"/>
          </w:tcPr>
          <w:p>
            <w:pPr>
              <w:ind w:left="940"/>
              <w:spacing w:after="0"/>
              <w:rPr>
                <w:sz w:val="20"/>
                <w:szCs w:val="20"/>
                <w:color w:val="auto"/>
              </w:rPr>
            </w:pPr>
            <w:r>
              <w:rPr>
                <w:rFonts w:ascii="Arial" w:cs="Arial" w:eastAsia="Arial" w:hAnsi="Arial"/>
                <w:sz w:val="22"/>
                <w:szCs w:val="22"/>
                <w:color w:val="auto"/>
              </w:rPr>
              <w:t>Either the proposed Transferee, or any person or entity which directly or</w:t>
            </w:r>
          </w:p>
        </w:tc>
        <w:tc>
          <w:tcPr>
            <w:tcW w:w="0" w:type="dxa"/>
            <w:vAlign w:val="bottom"/>
          </w:tcPr>
          <w:p>
            <w:pPr>
              <w:spacing w:after="0"/>
              <w:rPr>
                <w:sz w:val="1"/>
                <w:szCs w:val="1"/>
                <w:color w:val="auto"/>
              </w:rPr>
            </w:pPr>
          </w:p>
        </w:tc>
      </w:tr>
      <w:tr>
        <w:trPr>
          <w:trHeight w:val="275"/>
        </w:trPr>
        <w:tc>
          <w:tcPr>
            <w:tcW w:w="8840" w:type="dxa"/>
            <w:vAlign w:val="bottom"/>
            <w:gridSpan w:val="2"/>
          </w:tcPr>
          <w:p>
            <w:pPr>
              <w:spacing w:after="0"/>
              <w:rPr>
                <w:sz w:val="20"/>
                <w:szCs w:val="20"/>
                <w:color w:val="auto"/>
              </w:rPr>
            </w:pPr>
            <w:r>
              <w:rPr>
                <w:rFonts w:ascii="Arial" w:cs="Arial" w:eastAsia="Arial" w:hAnsi="Arial"/>
                <w:sz w:val="22"/>
                <w:szCs w:val="22"/>
                <w:color w:val="auto"/>
                <w:w w:val="96"/>
              </w:rPr>
              <w:t>indirectly, controls, is controlled by, or is under common control with, the proposed Transferee,</w:t>
            </w: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33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3"/>
                <w:szCs w:val="13"/>
                <w:color w:val="auto"/>
              </w:rPr>
              <w:t>795344.01/WLA</w:t>
            </w:r>
          </w:p>
        </w:tc>
        <w:tc>
          <w:tcPr>
            <w:tcW w:w="5540" w:type="dxa"/>
            <w:vAlign w:val="bottom"/>
            <w:vMerge w:val="restart"/>
          </w:tcPr>
          <w:p>
            <w:pPr>
              <w:ind w:left="2280"/>
              <w:spacing w:after="0"/>
              <w:rPr>
                <w:sz w:val="20"/>
                <w:szCs w:val="20"/>
                <w:color w:val="auto"/>
              </w:rPr>
            </w:pPr>
            <w:r>
              <w:rPr>
                <w:rFonts w:ascii="Arial" w:cs="Arial" w:eastAsia="Arial" w:hAnsi="Arial"/>
                <w:sz w:val="16"/>
                <w:szCs w:val="16"/>
                <w:color w:val="auto"/>
              </w:rPr>
              <w:t>-33-</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3"/>
                <w:szCs w:val="13"/>
                <w:color w:val="auto"/>
              </w:rPr>
              <w:t>377082-00004//ejs/ejs</w:t>
            </w:r>
          </w:p>
        </w:tc>
        <w:tc>
          <w:tcPr>
            <w:tcW w:w="5540" w:type="dxa"/>
            <w:vAlign w:val="bottom"/>
            <w:vMerge w:val="continue"/>
          </w:tcPr>
          <w:p>
            <w:pPr>
              <w:spacing w:after="0"/>
              <w:rPr>
                <w:sz w:val="13"/>
                <w:szCs w:val="13"/>
                <w:color w:val="auto"/>
              </w:rPr>
            </w:pPr>
          </w:p>
        </w:tc>
        <w:tc>
          <w:tcPr>
            <w:tcW w:w="260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71" w:name="page72"/>
    <w:bookmarkEnd w:id="71"/>
    <w:p>
      <w:pPr>
        <w:jc w:val="both"/>
        <w:ind w:right="20" w:firstLine="8"/>
        <w:spacing w:after="0"/>
        <w:tabs>
          <w:tab w:leader="none" w:pos="273" w:val="left"/>
        </w:tabs>
        <w:numPr>
          <w:ilvl w:val="0"/>
          <w:numId w:val="22"/>
        </w:numPr>
        <w:rPr>
          <w:rFonts w:ascii="Arial" w:cs="Arial" w:eastAsia="Arial" w:hAnsi="Arial"/>
          <w:sz w:val="22"/>
          <w:szCs w:val="22"/>
          <w:color w:val="auto"/>
        </w:rPr>
      </w:pPr>
      <w:r>
        <w:rPr>
          <w:rFonts w:ascii="Arial" w:cs="Arial" w:eastAsia="Arial" w:hAnsi="Arial"/>
          <w:sz w:val="22"/>
          <w:szCs w:val="22"/>
          <w:color w:val="auto"/>
        </w:rPr>
        <w:t>occupies space in the Project at the time of the request for consent, or (ii) is negotiating with Landlord or has negotiated with Landlord during the six (6) month period immediately preceding the date Landlord receives the Transfer Notice, to lease space in the Project.</w:t>
      </w:r>
    </w:p>
    <w:p>
      <w:pPr>
        <w:spacing w:after="0" w:line="186"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9"/>
          <w:szCs w:val="19"/>
          <w:color w:val="auto"/>
        </w:rPr>
        <w:t xml:space="preserve">If Landlord consents to any Transfer pursuant to the terms of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(and does not exercise any recapture rights Landlord may have under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or (ii) which would cause the proposed Transfer to be materially more favorable to the Transferee than the terms set forth in Tenant's original Transfer Notice, Tenant shall again submit the Transfer to Landlord for its approval and other action under this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(including Landlord's right of recapture, if any, under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or otherwise has breached or acted unreasonably under this </w:t>
      </w:r>
      <w:r>
        <w:rPr>
          <w:rFonts w:ascii="Arial" w:cs="Arial" w:eastAsia="Arial" w:hAnsi="Arial"/>
          <w:sz w:val="19"/>
          <w:szCs w:val="19"/>
          <w:u w:val="single" w:color="auto"/>
          <w:color w:val="auto"/>
        </w:rPr>
        <w:t>Article 14</w:t>
      </w:r>
      <w:r>
        <w:rPr>
          <w:rFonts w:ascii="Arial" w:cs="Arial" w:eastAsia="Arial" w:hAnsi="Arial"/>
          <w:sz w:val="19"/>
          <w:szCs w:val="19"/>
          <w:color w:val="auto"/>
        </w:rPr>
        <w:t>, their sole remedies shall be a suit for declaratory judgment and an injunction for the relief sought, and Tenant hereby waives the provisions of Section 1995.310 of the California Civil Code, or any successor statute, and all other remedies, including, without limitation, any right at law or equity to terminate this Lease, on its own behalf and, to the extent permitted under all applicable laws, on behalf of the proposed Transferee.</w:t>
      </w:r>
    </w:p>
    <w:p>
      <w:pPr>
        <w:spacing w:after="0" w:line="159" w:lineRule="exact"/>
        <w:rPr>
          <w:sz w:val="20"/>
          <w:szCs w:val="20"/>
          <w:color w:val="auto"/>
        </w:rPr>
      </w:pPr>
    </w:p>
    <w:p>
      <w:pPr>
        <w:jc w:val="both"/>
        <w:ind w:right="20" w:firstLine="877"/>
        <w:spacing w:after="0" w:line="273"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b w:val="1"/>
          <w:bCs w:val="1"/>
          <w:u w:val="single" w:color="auto"/>
          <w:color w:val="auto"/>
        </w:rPr>
        <w:t>Transfer Premium</w:t>
      </w:r>
      <w:r>
        <w:rPr>
          <w:rFonts w:ascii="Arial" w:cs="Arial" w:eastAsia="Arial" w:hAnsi="Arial"/>
          <w:sz w:val="19"/>
          <w:szCs w:val="19"/>
          <w:color w:val="auto"/>
        </w:rPr>
        <w:t xml:space="preserve">. If Landlord consents to a Transfer, as a condition thereto which the parties hereby agree is reasonable, Tenant shall pay to Landlord fifty percent (50%) of any "Transfer Premium," as that term is defined in this </w:t>
      </w:r>
      <w:r>
        <w:rPr>
          <w:rFonts w:ascii="Arial" w:cs="Arial" w:eastAsia="Arial" w:hAnsi="Arial"/>
          <w:sz w:val="19"/>
          <w:szCs w:val="19"/>
          <w:u w:val="single" w:color="auto"/>
          <w:color w:val="auto"/>
        </w:rPr>
        <w:t>Section 14.3</w:t>
      </w:r>
      <w:r>
        <w:rPr>
          <w:rFonts w:ascii="Arial" w:cs="Arial" w:eastAsia="Arial" w:hAnsi="Arial"/>
          <w:sz w:val="19"/>
          <w:szCs w:val="19"/>
          <w:color w:val="auto"/>
        </w:rPr>
        <w:t>, received by Tenant from such Transferee, less any allowances, credits, free rent or other concessions payable to the Transferee, and any leasing commissions, legal fees or other transaction costs incurred or payable in connection with the Transfer. "</w:t>
      </w:r>
      <w:r>
        <w:rPr>
          <w:rFonts w:ascii="Arial" w:cs="Arial" w:eastAsia="Arial" w:hAnsi="Arial"/>
          <w:sz w:val="19"/>
          <w:szCs w:val="19"/>
          <w:b w:val="1"/>
          <w:bCs w:val="1"/>
          <w:color w:val="auto"/>
        </w:rPr>
        <w:t>Transfer Premium</w:t>
      </w:r>
      <w:r>
        <w:rPr>
          <w:rFonts w:ascii="Arial" w:cs="Arial" w:eastAsia="Arial" w:hAnsi="Arial"/>
          <w:sz w:val="19"/>
          <w:szCs w:val="19"/>
          <w:color w:val="auto"/>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w:t>
      </w:r>
      <w:r>
        <w:rPr>
          <w:rFonts w:ascii="Arial" w:cs="Arial" w:eastAsia="Arial" w:hAnsi="Arial"/>
          <w:sz w:val="19"/>
          <w:szCs w:val="19"/>
          <w:b w:val="1"/>
          <w:bCs w:val="1"/>
          <w:color w:val="auto"/>
        </w:rPr>
        <w:t>Transfer Premium</w:t>
      </w:r>
      <w:r>
        <w:rPr>
          <w:rFonts w:ascii="Arial" w:cs="Arial" w:eastAsia="Arial" w:hAnsi="Arial"/>
          <w:sz w:val="19"/>
          <w:szCs w:val="19"/>
          <w:color w:val="auto"/>
        </w:rPr>
        <w:t>"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spacing w:after="0" w:line="399"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b w:val="1"/>
          <w:bCs w:val="1"/>
          <w:u w:val="single" w:color="auto"/>
          <w:color w:val="auto"/>
        </w:rPr>
        <w:t>Landlord's Options as to Subject Space</w:t>
      </w:r>
      <w:r>
        <w:rPr>
          <w:rFonts w:ascii="Arial" w:cs="Arial" w:eastAsia="Arial" w:hAnsi="Arial"/>
          <w:sz w:val="22"/>
          <w:szCs w:val="22"/>
          <w:color w:val="auto"/>
        </w:rPr>
        <w:t xml:space="preserve">. Notwithstanding anything to the contrary contained in this </w:t>
      </w:r>
      <w:r>
        <w:rPr>
          <w:rFonts w:ascii="Arial" w:cs="Arial" w:eastAsia="Arial" w:hAnsi="Arial"/>
          <w:sz w:val="22"/>
          <w:szCs w:val="22"/>
          <w:u w:val="single" w:color="auto"/>
          <w:color w:val="auto"/>
        </w:rPr>
        <w:t>Article 14</w:t>
      </w:r>
      <w:r>
        <w:rPr>
          <w:rFonts w:ascii="Arial" w:cs="Arial" w:eastAsia="Arial" w:hAnsi="Arial"/>
          <w:sz w:val="22"/>
          <w:szCs w:val="22"/>
          <w:color w:val="auto"/>
        </w:rPr>
        <w:t xml:space="preserve">, but subject to </w:t>
      </w:r>
      <w:r>
        <w:rPr>
          <w:rFonts w:ascii="Arial" w:cs="Arial" w:eastAsia="Arial" w:hAnsi="Arial"/>
          <w:sz w:val="22"/>
          <w:szCs w:val="22"/>
          <w:u w:val="single" w:color="auto"/>
          <w:color w:val="auto"/>
        </w:rPr>
        <w:t>Section 14.8</w:t>
      </w:r>
      <w:r>
        <w:rPr>
          <w:rFonts w:ascii="Arial" w:cs="Arial" w:eastAsia="Arial" w:hAnsi="Arial"/>
          <w:sz w:val="22"/>
          <w:szCs w:val="22"/>
          <w:color w:val="auto"/>
        </w:rPr>
        <w:t xml:space="preserve"> below, Landlord shall have the option, by giving written notice to Tenant within thirty (30) days after receipt of any Transfer Notice with respect to an assignment of this Lease or a sublease for substantially all of the remainder of the Term of at least fifty one percent (51%) of the Premises, to (i) recapture the Subject Space, or (ii) take an assignment or sublease of the Subject Space from Tenant. Such recapture or sublease or assignment notice, shall cancel and terminate this Lease, or create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-34-</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2" w:name="page73"/>
    <w:bookmarkEnd w:id="72"/>
    <w:p>
      <w:pPr>
        <w:jc w:val="both"/>
        <w:ind w:right="20"/>
        <w:spacing w:after="0" w:line="269" w:lineRule="auto"/>
        <w:rPr>
          <w:sz w:val="20"/>
          <w:szCs w:val="20"/>
          <w:color w:val="auto"/>
        </w:rPr>
      </w:pPr>
      <w:r>
        <w:rPr>
          <w:rFonts w:ascii="Arial" w:cs="Arial" w:eastAsia="Arial" w:hAnsi="Arial"/>
          <w:sz w:val="19"/>
          <w:szCs w:val="19"/>
          <w:color w:val="auto"/>
        </w:rPr>
        <w:t>sublease or assignment, as the case may be, with respect to the Subject Space as of the date stated in the Transfer Notice as the effective date of the proposed Transfer. In the event of a recapture by Landlord, if this Lease shall be canceled with respect to less than the entire Premises, then (A) the Rent reserved herein shall be prorated on the basis of the number of rentable square feet retained by Tenant in proportion to the number of rentable square feet contained in the Premises; (B) this Lease as so amended shall continue thereafter in full force and effect, and upon request of either party, the parties shall execute written confirmation of the same; and (C) Landlord shall, at its sole cost and expense, construct or cause to be constructed a demising wall separating that portion of the Premises recaptured by Landlord from that portion of the Premises retained by Tenant; provided that, Tenant hereby agrees that, notwithstanding Tenant's occupancy of its retained portion of the Premises during the construction of such demising wall by Landlord, Landlord shall be permitted to construct such demising wall during normal business hours, without any obligation to pay overtime or other premiums, and the construction of such demising wall by Landlord shall in no way constitute a constructive eviction of Tenant nor entitle Tenant to any abatement of Rent, and Landlord shall have no responsibility or for any reason be liable to Tenant for any direct or indirect injury to or interference with Tenant's business arising from the construction of such demising wall, nor shall Tenant be entitled to any compensation or damages from Landlord for loss of the use of the whole or any part of its retained portion of the Premises or of Tenant's personal property or improvements resulting from the construction of such demising wall, or for any inconvenience or annoyance occasioned by the construction of such demising wall, except to the extent caused by the negligence or willful misconduct of Landlord or any Landlord Party. In the event Landlord elects to take an assignment or sublease of the Subject Space from Tenant, (1) such assignment or sublet shall be at a rental rate that shall be the lesser of (x) the proposed rent to be paid by Transferee upon such Transfer, or (y) the Rent then payable to Landlord pursuant to this Lease as of the effective date of such Transfer (including any scheduled escalations thereof during the term of such Transfer), prorated for the number of rentable square feet in such Subject Space, and (2) Landlord may, at Landlord's sole cost, construct improvements in the Subject Space on the condition that, upon the termination of the term of such Transfer, Landlord shall return the Subject Space to Tenant in substantially the same condition as received by Landlord (</w:t>
      </w:r>
      <w:r>
        <w:rPr>
          <w:rFonts w:ascii="Arial" w:cs="Arial" w:eastAsia="Arial" w:hAnsi="Arial"/>
          <w:sz w:val="19"/>
          <w:szCs w:val="19"/>
          <w:i w:val="1"/>
          <w:iCs w:val="1"/>
          <w:color w:val="auto"/>
        </w:rPr>
        <w:t>i.e.</w:t>
      </w:r>
      <w:r>
        <w:rPr>
          <w:rFonts w:ascii="Arial" w:cs="Arial" w:eastAsia="Arial" w:hAnsi="Arial"/>
          <w:sz w:val="19"/>
          <w:szCs w:val="19"/>
          <w:color w:val="auto"/>
        </w:rPr>
        <w:t xml:space="preserve">, prior to the making of such improvements by Landlord), ordinary wear and tear excepted. If Landlord declines, or fails to elect in a timely manner, to recapture, sublease or take an assignment of the Subject Space under this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then, provided Landlord has consented to the proposed Transfer, Tenant shall be entitled to proceed to transfer the Subject Space to the proposed Transferee, subject to provisions of this </w:t>
      </w:r>
      <w:r>
        <w:rPr>
          <w:rFonts w:ascii="Arial" w:cs="Arial" w:eastAsia="Arial" w:hAnsi="Arial"/>
          <w:sz w:val="19"/>
          <w:szCs w:val="19"/>
          <w:u w:val="single" w:color="auto"/>
          <w:color w:val="auto"/>
        </w:rPr>
        <w:t>Article 14</w:t>
      </w:r>
      <w:r>
        <w:rPr>
          <w:rFonts w:ascii="Arial" w:cs="Arial" w:eastAsia="Arial" w:hAnsi="Arial"/>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jc w:val="both"/>
        <w:ind w:right="20" w:firstLine="877"/>
        <w:spacing w:after="0" w:line="275"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b w:val="1"/>
          <w:bCs w:val="1"/>
          <w:u w:val="single" w:color="auto"/>
          <w:color w:val="auto"/>
        </w:rPr>
        <w:t>Effect of Transfer</w:t>
      </w:r>
      <w:r>
        <w:rPr>
          <w:rFonts w:ascii="Arial" w:cs="Arial" w:eastAsia="Arial" w:hAnsi="Arial"/>
          <w:sz w:val="19"/>
          <w:szCs w:val="19"/>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-35-</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3" w:name="page74"/>
    <w:bookmarkEnd w:id="73"/>
    <w:p>
      <w:pPr>
        <w:jc w:val="both"/>
        <w:ind w:right="20"/>
        <w:spacing w:after="0"/>
        <w:rPr>
          <w:sz w:val="20"/>
          <w:szCs w:val="20"/>
          <w:color w:val="auto"/>
        </w:rPr>
      </w:pPr>
      <w:r>
        <w:rPr>
          <w:rFonts w:ascii="Arial" w:cs="Arial" w:eastAsia="Arial" w:hAnsi="Arial"/>
          <w:sz w:val="22"/>
          <w:szCs w:val="22"/>
          <w:color w:val="auto"/>
        </w:rPr>
        <w:t>and papers of Tenant relating to any Transfer, and shall have the right to make copies thereof. If the Transfer Premium respecting any Transfer shall be found understated, Tenant shall, within thirty (30) days after demand, pay the deficiency, and if understated by more than four percent (4%), Tenant shall pay Landlord's costs of such audit.</w:t>
      </w:r>
    </w:p>
    <w:p>
      <w:pPr>
        <w:spacing w:after="0" w:line="180" w:lineRule="exact"/>
        <w:rPr>
          <w:sz w:val="20"/>
          <w:szCs w:val="20"/>
          <w:color w:val="auto"/>
        </w:rPr>
      </w:pPr>
    </w:p>
    <w:p>
      <w:pPr>
        <w:jc w:val="both"/>
        <w:ind w:right="20" w:firstLine="877"/>
        <w:spacing w:after="0" w:line="245"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21"/>
          <w:szCs w:val="21"/>
          <w:b w:val="1"/>
          <w:bCs w:val="1"/>
          <w:u w:val="single" w:color="auto"/>
          <w:color w:val="auto"/>
        </w:rPr>
        <w:t>Additional Transfers</w:t>
      </w:r>
      <w:r>
        <w:rPr>
          <w:rFonts w:ascii="Arial" w:cs="Arial" w:eastAsia="Arial" w:hAnsi="Arial"/>
          <w:sz w:val="21"/>
          <w:szCs w:val="21"/>
          <w:color w:val="auto"/>
        </w:rPr>
        <w:t xml:space="preserve">. For purposes of this Lease, but subject to </w:t>
      </w:r>
      <w:r>
        <w:rPr>
          <w:rFonts w:ascii="Arial" w:cs="Arial" w:eastAsia="Arial" w:hAnsi="Arial"/>
          <w:sz w:val="21"/>
          <w:szCs w:val="21"/>
          <w:u w:val="single" w:color="auto"/>
          <w:color w:val="auto"/>
        </w:rPr>
        <w:t>Section 14.8</w:t>
      </w:r>
      <w:r>
        <w:rPr>
          <w:rFonts w:ascii="Arial" w:cs="Arial" w:eastAsia="Arial" w:hAnsi="Arial"/>
          <w:sz w:val="21"/>
          <w:szCs w:val="21"/>
          <w:color w:val="auto"/>
        </w:rPr>
        <w:t xml:space="preserve"> below, the term "</w:t>
      </w:r>
      <w:r>
        <w:rPr>
          <w:rFonts w:ascii="Arial" w:cs="Arial" w:eastAsia="Arial" w:hAnsi="Arial"/>
          <w:sz w:val="21"/>
          <w:szCs w:val="21"/>
          <w:b w:val="1"/>
          <w:bCs w:val="1"/>
          <w:color w:val="auto"/>
        </w:rPr>
        <w:t>Transfer</w:t>
      </w:r>
      <w:r>
        <w:rPr>
          <w:rFonts w:ascii="Arial" w:cs="Arial" w:eastAsia="Arial" w:hAnsi="Arial"/>
          <w:sz w:val="21"/>
          <w:szCs w:val="21"/>
          <w:color w:val="auto"/>
        </w:rPr>
        <w:t>" shall also include (i) if Tenant is a partnership or limited liability company, the withdrawal or change, voluntary, involuntary or by operation of law, of more than fifty percent (50%) of the partners or members, or transfer of more than fifty percent (50%) of partnership or membership interests, within a twelve (12)-month period, or the dissolution of the partnership or membership without immediate reconstitution thereof, and (ii) if Tenant is a closely held corporation (</w:t>
      </w:r>
      <w:r>
        <w:rPr>
          <w:rFonts w:ascii="Arial" w:cs="Arial" w:eastAsia="Arial" w:hAnsi="Arial"/>
          <w:sz w:val="21"/>
          <w:szCs w:val="21"/>
          <w:i w:val="1"/>
          <w:iCs w:val="1"/>
          <w:color w:val="auto"/>
        </w:rPr>
        <w:t>i.e.</w:t>
      </w:r>
      <w:r>
        <w:rPr>
          <w:rFonts w:ascii="Arial" w:cs="Arial" w:eastAsia="Arial" w:hAnsi="Arial"/>
          <w:sz w:val="21"/>
          <w:szCs w:val="21"/>
          <w:color w:val="auto"/>
        </w:rPr>
        <w:t>, whose stock is not publicly held and not traded through an exchange or over the counter), (A) the dissolution, merger, consolidation or other reorganization of Tenant or (B) the sale or other transfer of an aggregate of more than fifty percent (50%) of the voting shares of Tenant (other than to immediate family members by reason of gift or death), within a twelve (12)-month period, or (C) the sale, mortgage, hypothecation or pledge of an aggregate of more than fifty percent (50%) of the value of the unencumbered assets of Tenant within a twelve (12)-month period.</w:t>
      </w:r>
    </w:p>
    <w:p>
      <w:pPr>
        <w:spacing w:after="0" w:line="182" w:lineRule="exact"/>
        <w:rPr>
          <w:sz w:val="20"/>
          <w:szCs w:val="20"/>
          <w:color w:val="auto"/>
        </w:rPr>
      </w:pPr>
    </w:p>
    <w:p>
      <w:pPr>
        <w:jc w:val="both"/>
        <w:ind w:right="20" w:firstLine="877"/>
        <w:spacing w:after="0" w:line="272"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b w:val="1"/>
          <w:bCs w:val="1"/>
          <w:u w:val="single" w:color="auto"/>
          <w:color w:val="auto"/>
        </w:rPr>
        <w:t>Occurrence of Default</w:t>
      </w:r>
      <w:r>
        <w:rPr>
          <w:rFonts w:ascii="Arial" w:cs="Arial" w:eastAsia="Arial" w:hAnsi="Arial"/>
          <w:sz w:val="19"/>
          <w:szCs w:val="19"/>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all applicable notice and cure periods,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53" w:lineRule="exact"/>
        <w:rPr>
          <w:sz w:val="20"/>
          <w:szCs w:val="20"/>
          <w:color w:val="auto"/>
        </w:rPr>
      </w:pPr>
    </w:p>
    <w:p>
      <w:pPr>
        <w:jc w:val="both"/>
        <w:ind w:right="20" w:firstLine="877"/>
        <w:spacing w:after="0" w:line="280"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b w:val="1"/>
          <w:bCs w:val="1"/>
          <w:u w:val="single" w:color="auto"/>
          <w:color w:val="auto"/>
        </w:rPr>
        <w:t>Non-Transfers</w:t>
      </w:r>
      <w:r>
        <w:rPr>
          <w:rFonts w:ascii="Arial" w:cs="Arial" w:eastAsia="Arial" w:hAnsi="Arial"/>
          <w:sz w:val="19"/>
          <w:szCs w:val="19"/>
          <w:color w:val="auto"/>
        </w:rPr>
        <w:t xml:space="preserve">. Notwithstanding anything to the contrary contained in this </w:t>
      </w:r>
      <w:r>
        <w:rPr>
          <w:rFonts w:ascii="Arial" w:cs="Arial" w:eastAsia="Arial" w:hAnsi="Arial"/>
          <w:sz w:val="19"/>
          <w:szCs w:val="19"/>
          <w:u w:val="single" w:color="auto"/>
          <w:color w:val="auto"/>
        </w:rPr>
        <w:t>Article 14</w:t>
      </w:r>
      <w:r>
        <w:rPr>
          <w:rFonts w:ascii="Arial" w:cs="Arial" w:eastAsia="Arial" w:hAnsi="Arial"/>
          <w:sz w:val="19"/>
          <w:szCs w:val="19"/>
          <w:color w:val="auto"/>
        </w:rPr>
        <w:t>, an assignment or subletting of all or a portion of the Premises to an (i) affiliate of Tenant (an entity which is controlled by, controls, or is under common control with, Tenant) or (ii) any successor entity resulting from a dissolution, merger, acquisition, consolidation or other business reorganization of Tenant (any such entity, a “</w:t>
      </w:r>
      <w:r>
        <w:rPr>
          <w:rFonts w:ascii="Arial" w:cs="Arial" w:eastAsia="Arial" w:hAnsi="Arial"/>
          <w:sz w:val="19"/>
          <w:szCs w:val="19"/>
          <w:b w:val="1"/>
          <w:bCs w:val="1"/>
          <w:color w:val="auto"/>
        </w:rPr>
        <w:t>Permitted Transferee</w:t>
      </w:r>
      <w:r>
        <w:rPr>
          <w:rFonts w:ascii="Arial" w:cs="Arial" w:eastAsia="Arial" w:hAnsi="Arial"/>
          <w:sz w:val="19"/>
          <w:szCs w:val="19"/>
          <w:color w:val="auto"/>
        </w:rPr>
        <w:t xml:space="preserve">”), shall not require Landlord's prior written consent and shall not be subject to the foregoing provisions of this </w:t>
      </w:r>
      <w:r>
        <w:rPr>
          <w:rFonts w:ascii="Arial" w:cs="Arial" w:eastAsia="Arial" w:hAnsi="Arial"/>
          <w:sz w:val="19"/>
          <w:szCs w:val="19"/>
          <w:u w:val="single" w:color="auto"/>
          <w:color w:val="auto"/>
        </w:rPr>
        <w:t>Article 14</w:t>
      </w:r>
      <w:r>
        <w:rPr>
          <w:rFonts w:ascii="Arial" w:cs="Arial" w:eastAsia="Arial" w:hAnsi="Arial"/>
          <w:sz w:val="19"/>
          <w:szCs w:val="19"/>
          <w:color w:val="auto"/>
        </w:rPr>
        <w:t>, provided that (i) Tenant notifies Landlord of any such assignment or sublease and promptly supplies Landlord with any documents or information requested by Landlord regarding such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-36-</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4" w:name="page75"/>
    <w:bookmarkEnd w:id="74"/>
    <w:p>
      <w:pPr>
        <w:jc w:val="both"/>
        <w:ind w:right="20"/>
        <w:spacing w:after="0" w:line="275" w:lineRule="auto"/>
        <w:rPr>
          <w:sz w:val="20"/>
          <w:szCs w:val="20"/>
          <w:color w:val="auto"/>
        </w:rPr>
      </w:pPr>
      <w:r>
        <w:rPr>
          <w:rFonts w:ascii="Arial" w:cs="Arial" w:eastAsia="Arial" w:hAnsi="Arial"/>
          <w:sz w:val="19"/>
          <w:szCs w:val="19"/>
          <w:color w:val="auto"/>
        </w:rPr>
        <w:t>assignment or sublease or such affiliate, (ii) such Permitted Transferee has a tangible net worth computed in accordance with generally accepted accounting principles consistently applied (and excluding goodwill, organization costs and other intangible assets) that is at least equal to the greater of (a) the net worth of Tenant immediately prior to such transfer, and (b) the net worth of Tenant on the date of this Lease, and Tenant provides reasonable evidence of the same to Landlord, and further provided that such assignment or sublease is not a subterfuge by Tenant to avoid its obligations under this Lease. A Permitted Transferee that assumes all of Tenant’s interest in the Lease is referred to herein as a “</w:t>
      </w:r>
      <w:r>
        <w:rPr>
          <w:rFonts w:ascii="Arial" w:cs="Arial" w:eastAsia="Arial" w:hAnsi="Arial"/>
          <w:sz w:val="19"/>
          <w:szCs w:val="19"/>
          <w:b w:val="1"/>
          <w:bCs w:val="1"/>
          <w:color w:val="auto"/>
        </w:rPr>
        <w:t>Permitted Assignee</w:t>
      </w:r>
      <w:r>
        <w:rPr>
          <w:rFonts w:ascii="Arial" w:cs="Arial" w:eastAsia="Arial" w:hAnsi="Arial"/>
          <w:sz w:val="19"/>
          <w:szCs w:val="19"/>
          <w:color w:val="auto"/>
        </w:rPr>
        <w:t>”. "</w:t>
      </w:r>
      <w:r>
        <w:rPr>
          <w:rFonts w:ascii="Arial" w:cs="Arial" w:eastAsia="Arial" w:hAnsi="Arial"/>
          <w:sz w:val="19"/>
          <w:szCs w:val="19"/>
          <w:b w:val="1"/>
          <w:bCs w:val="1"/>
          <w:color w:val="auto"/>
        </w:rPr>
        <w:t>Control</w:t>
      </w:r>
      <w:r>
        <w:rPr>
          <w:rFonts w:ascii="Arial" w:cs="Arial" w:eastAsia="Arial" w:hAnsi="Arial"/>
          <w:sz w:val="19"/>
          <w:szCs w:val="19"/>
          <w:color w:val="auto"/>
        </w:rPr>
        <w:t xml:space="preserve">," as used in this </w:t>
      </w:r>
      <w:r>
        <w:rPr>
          <w:rFonts w:ascii="Arial" w:cs="Arial" w:eastAsia="Arial" w:hAnsi="Arial"/>
          <w:sz w:val="19"/>
          <w:szCs w:val="19"/>
          <w:u w:val="single" w:color="auto"/>
          <w:color w:val="auto"/>
        </w:rPr>
        <w:t>Section 14.8</w:t>
      </w:r>
      <w:r>
        <w:rPr>
          <w:rFonts w:ascii="Arial" w:cs="Arial" w:eastAsia="Arial" w:hAnsi="Arial"/>
          <w:sz w:val="19"/>
          <w:szCs w:val="19"/>
          <w:color w:val="auto"/>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spacing w:after="0" w:line="152"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60" w:type="dxa"/>
            <w:vAlign w:val="bottom"/>
            <w:gridSpan w:val="3"/>
          </w:tcPr>
          <w:p>
            <w:pPr>
              <w:jc w:val="center"/>
              <w:ind w:right="4640"/>
              <w:spacing w:after="0"/>
              <w:rPr>
                <w:sz w:val="20"/>
                <w:szCs w:val="20"/>
                <w:color w:val="auto"/>
              </w:rPr>
            </w:pPr>
            <w:r>
              <w:rPr>
                <w:rFonts w:ascii="Arial" w:cs="Arial" w:eastAsia="Arial" w:hAnsi="Arial"/>
                <w:sz w:val="22"/>
                <w:szCs w:val="22"/>
                <w:b w:val="1"/>
                <w:bCs w:val="1"/>
                <w:color w:val="auto"/>
                <w:w w:val="98"/>
              </w:rPr>
              <w:t>ARTICLE 15</w:t>
            </w:r>
          </w:p>
        </w:tc>
      </w:tr>
      <w:tr>
        <w:trPr>
          <w:trHeight w:val="436"/>
        </w:trPr>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40" w:type="dxa"/>
            <w:vAlign w:val="bottom"/>
            <w:gridSpan w:val="5"/>
          </w:tcPr>
          <w:p>
            <w:pPr>
              <w:jc w:val="center"/>
              <w:ind w:right="3280"/>
              <w:spacing w:after="0"/>
              <w:rPr>
                <w:sz w:val="20"/>
                <w:szCs w:val="20"/>
                <w:color w:val="auto"/>
              </w:rPr>
            </w:pPr>
            <w:r>
              <w:rPr>
                <w:rFonts w:ascii="Arial" w:cs="Arial" w:eastAsia="Arial" w:hAnsi="Arial"/>
                <w:sz w:val="22"/>
                <w:szCs w:val="22"/>
                <w:b w:val="1"/>
                <w:bCs w:val="1"/>
                <w:color w:val="auto"/>
                <w:w w:val="97"/>
              </w:rPr>
              <w:t>SURRENDER OF PREMISES; OWNERSHIP AND</w:t>
            </w:r>
          </w:p>
        </w:tc>
      </w:tr>
      <w:tr>
        <w:trPr>
          <w:trHeight w:val="223"/>
        </w:trPr>
        <w:tc>
          <w:tcPr>
            <w:tcW w:w="1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20" w:type="dxa"/>
            <w:vAlign w:val="bottom"/>
            <w:tcBorders>
              <w:top w:val="single" w:sz="8" w:color="auto"/>
              <w:bottom w:val="single" w:sz="8" w:color="auto"/>
            </w:tcBorders>
            <w:gridSpan w:val="2"/>
          </w:tcPr>
          <w:p>
            <w:pPr>
              <w:jc w:val="center"/>
              <w:spacing w:after="0" w:line="223" w:lineRule="exact"/>
              <w:rPr>
                <w:sz w:val="20"/>
                <w:szCs w:val="20"/>
                <w:color w:val="auto"/>
              </w:rPr>
            </w:pPr>
            <w:r>
              <w:rPr>
                <w:rFonts w:ascii="Arial" w:cs="Arial" w:eastAsia="Arial" w:hAnsi="Arial"/>
                <w:sz w:val="22"/>
                <w:szCs w:val="22"/>
                <w:b w:val="1"/>
                <w:bCs w:val="1"/>
                <w:color w:val="auto"/>
                <w:w w:val="99"/>
              </w:rPr>
              <w:t>REMOVAL OF TRADE FIXTURES</w:t>
            </w:r>
          </w:p>
        </w:tc>
        <w:tc>
          <w:tcPr>
            <w:tcW w:w="720" w:type="dxa"/>
            <w:vAlign w:val="bottom"/>
            <w:tcBorders>
              <w:top w:val="single" w:sz="8" w:color="auto"/>
            </w:tcBorders>
          </w:tcPr>
          <w:p>
            <w:pPr>
              <w:spacing w:after="0"/>
              <w:rPr>
                <w:sz w:val="19"/>
                <w:szCs w:val="19"/>
                <w:color w:val="auto"/>
              </w:rPr>
            </w:pPr>
          </w:p>
        </w:tc>
        <w:tc>
          <w:tcPr>
            <w:tcW w:w="3280" w:type="dxa"/>
            <w:vAlign w:val="bottom"/>
          </w:tcPr>
          <w:p>
            <w:pPr>
              <w:spacing w:after="0"/>
              <w:rPr>
                <w:sz w:val="19"/>
                <w:szCs w:val="19"/>
                <w:color w:val="auto"/>
              </w:rPr>
            </w:pPr>
          </w:p>
        </w:tc>
      </w:tr>
      <w:tr>
        <w:trPr>
          <w:trHeight w:val="439"/>
        </w:trPr>
        <w:tc>
          <w:tcPr>
            <w:tcW w:w="1680" w:type="dxa"/>
            <w:vAlign w:val="bottom"/>
          </w:tcPr>
          <w:p>
            <w:pPr>
              <w:jc w:val="right"/>
              <w:ind w:right="1192"/>
              <w:spacing w:after="0"/>
              <w:rPr>
                <w:sz w:val="20"/>
                <w:szCs w:val="20"/>
                <w:color w:val="auto"/>
              </w:rPr>
            </w:pPr>
            <w:r>
              <w:rPr>
                <w:rFonts w:ascii="Arial" w:cs="Arial" w:eastAsia="Arial" w:hAnsi="Arial"/>
                <w:sz w:val="22"/>
                <w:szCs w:val="22"/>
                <w:color w:val="auto"/>
                <w:w w:val="83"/>
              </w:rPr>
              <w:t>15.1</w:t>
            </w:r>
          </w:p>
        </w:tc>
        <w:tc>
          <w:tcPr>
            <w:tcW w:w="8860" w:type="dxa"/>
            <w:vAlign w:val="bottom"/>
            <w:gridSpan w:val="6"/>
          </w:tcPr>
          <w:p>
            <w:pPr>
              <w:spacing w:after="0"/>
              <w:rPr>
                <w:sz w:val="20"/>
                <w:szCs w:val="20"/>
                <w:color w:val="auto"/>
              </w:rPr>
            </w:pPr>
            <w:r>
              <w:rPr>
                <w:rFonts w:ascii="Arial" w:cs="Arial" w:eastAsia="Arial" w:hAnsi="Arial"/>
                <w:sz w:val="22"/>
                <w:szCs w:val="22"/>
                <w:b w:val="1"/>
                <w:bCs w:val="1"/>
                <w:color w:val="auto"/>
                <w:w w:val="93"/>
              </w:rPr>
              <w:t>Surrender of Premises</w:t>
            </w:r>
            <w:r>
              <w:rPr>
                <w:rFonts w:ascii="Arial" w:cs="Arial" w:eastAsia="Arial" w:hAnsi="Arial"/>
                <w:sz w:val="22"/>
                <w:szCs w:val="22"/>
                <w:color w:val="auto"/>
                <w:w w:val="93"/>
              </w:rPr>
              <w:t>.  No act or thing done by Landlord or any agent or employee of Landlord</w:t>
            </w:r>
          </w:p>
        </w:tc>
      </w:tr>
      <w:tr>
        <w:trPr>
          <w:trHeight w:val="20"/>
        </w:trPr>
        <w:tc>
          <w:tcPr>
            <w:tcW w:w="1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46" w:lineRule="auto"/>
        <w:rPr>
          <w:sz w:val="20"/>
          <w:szCs w:val="20"/>
          <w:color w:val="auto"/>
        </w:rPr>
      </w:pPr>
      <w:r>
        <w:rPr>
          <w:rFonts w:ascii="Arial" w:cs="Arial" w:eastAsia="Arial" w:hAnsi="Arial"/>
          <w:sz w:val="21"/>
          <w:szCs w:val="21"/>
          <w:color w:val="auto"/>
        </w:rPr>
        <w:t>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75" w:lineRule="exact"/>
        <w:rPr>
          <w:sz w:val="20"/>
          <w:szCs w:val="20"/>
          <w:color w:val="auto"/>
        </w:rPr>
      </w:pPr>
    </w:p>
    <w:p>
      <w:pPr>
        <w:jc w:val="both"/>
        <w:ind w:right="20" w:firstLine="877"/>
        <w:spacing w:after="0" w:line="245"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b w:val="1"/>
          <w:bCs w:val="1"/>
          <w:u w:val="single" w:color="auto"/>
          <w:color w:val="auto"/>
        </w:rPr>
        <w:t>Removal of Tenant Property by Tenant</w:t>
      </w:r>
      <w:r>
        <w:rPr>
          <w:rFonts w:ascii="Arial" w:cs="Arial" w:eastAsia="Arial" w:hAnsi="Arial"/>
          <w:sz w:val="21"/>
          <w:szCs w:val="21"/>
          <w:color w:val="auto"/>
        </w:rPr>
        <w:t xml:space="preserve">. Upon the expiration of the Lease Term, or upon any earlier termination of this Lease, Tenant shall, subject to the provisions of this </w:t>
      </w:r>
      <w:r>
        <w:rPr>
          <w:rFonts w:ascii="Arial" w:cs="Arial" w:eastAsia="Arial" w:hAnsi="Arial"/>
          <w:sz w:val="21"/>
          <w:szCs w:val="21"/>
          <w:u w:val="single" w:color="auto"/>
          <w:color w:val="auto"/>
        </w:rPr>
        <w:t>Article 15</w:t>
      </w:r>
      <w:r>
        <w:rPr>
          <w:rFonts w:ascii="Arial" w:cs="Arial" w:eastAsia="Arial" w:hAnsi="Arial"/>
          <w:sz w:val="21"/>
          <w:szCs w:val="21"/>
          <w:color w:val="auto"/>
        </w:rPr>
        <w:t xml:space="preserve">,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(subject to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above), and Tenant shall repair at its own expense all damage to the Premises and Building resulting from such removal.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-37-</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22"/>
          <w:szCs w:val="22"/>
          <w:b w:val="1"/>
          <w:bCs w:val="1"/>
          <w:color w:val="auto"/>
        </w:rPr>
        <w:t>ARTICLE 16</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HOLDING OVER</w:t>
      </w:r>
    </w:p>
    <w:p>
      <w:pPr>
        <w:spacing w:after="0" w:line="212" w:lineRule="exact"/>
        <w:rPr>
          <w:sz w:val="20"/>
          <w:szCs w:val="20"/>
          <w:color w:val="auto"/>
        </w:rPr>
      </w:pPr>
    </w:p>
    <w:p>
      <w:pPr>
        <w:jc w:val="both"/>
        <w:ind w:right="20" w:firstLine="877"/>
        <w:spacing w:after="0" w:line="244" w:lineRule="auto"/>
        <w:rPr>
          <w:sz w:val="20"/>
          <w:szCs w:val="20"/>
          <w:color w:val="auto"/>
        </w:rPr>
      </w:pPr>
      <w:r>
        <w:rPr>
          <w:rFonts w:ascii="Arial" w:cs="Arial" w:eastAsia="Arial" w:hAnsi="Arial"/>
          <w:sz w:val="21"/>
          <w:szCs w:val="21"/>
          <w:color w:val="auto"/>
        </w:rPr>
        <w:t xml:space="preserve">If Tenant holds over after the expiration of the Lease Term or earlier termination thereof, without the express or implied consent of Landlord, such tenancy shall be from month-to-month only, and shall not constitute a renewal hereof or an extension for any further term, and in such case Rent shall be payable at a monthly rate equal to the product of (i) the rent applicable to the last Lease Year of the Lease Term, and (ii) a percentage equal to 150% for the first three (3) months of any such holdover, and 200% thereafter. Such tenancy shall be subject to every other applicable term, covenant and agreement contained herein. Nothing contained in this </w:t>
      </w:r>
      <w:r>
        <w:rPr>
          <w:rFonts w:ascii="Arial" w:cs="Arial" w:eastAsia="Arial" w:hAnsi="Arial"/>
          <w:sz w:val="21"/>
          <w:szCs w:val="21"/>
          <w:u w:val="single" w:color="auto"/>
          <w:color w:val="auto"/>
        </w:rPr>
        <w:t>Article 16</w:t>
      </w:r>
      <w:r>
        <w:rPr>
          <w:rFonts w:ascii="Arial" w:cs="Arial" w:eastAsia="Arial" w:hAnsi="Arial"/>
          <w:sz w:val="21"/>
          <w:szCs w:val="21"/>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21"/>
          <w:szCs w:val="21"/>
          <w:u w:val="single" w:color="auto"/>
          <w:color w:val="auto"/>
        </w:rPr>
        <w:t>Article 16</w:t>
      </w:r>
      <w:r>
        <w:rPr>
          <w:rFonts w:ascii="Arial" w:cs="Arial" w:eastAsia="Arial" w:hAnsi="Arial"/>
          <w:sz w:val="21"/>
          <w:szCs w:val="21"/>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17</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ESTOPPEL CERTIFICATES</w:t>
      </w:r>
    </w:p>
    <w:p>
      <w:pPr>
        <w:spacing w:after="0" w:line="212" w:lineRule="exact"/>
        <w:rPr>
          <w:sz w:val="20"/>
          <w:szCs w:val="20"/>
          <w:color w:val="auto"/>
        </w:rPr>
      </w:pPr>
    </w:p>
    <w:p>
      <w:pPr>
        <w:jc w:val="both"/>
        <w:ind w:right="20" w:firstLine="877"/>
        <w:spacing w:after="0" w:line="272" w:lineRule="auto"/>
        <w:rPr>
          <w:sz w:val="20"/>
          <w:szCs w:val="20"/>
          <w:color w:val="auto"/>
        </w:rPr>
      </w:pPr>
      <w:r>
        <w:rPr>
          <w:rFonts w:ascii="Arial" w:cs="Arial" w:eastAsia="Arial" w:hAnsi="Arial"/>
          <w:sz w:val="19"/>
          <w:szCs w:val="19"/>
          <w:color w:val="auto"/>
        </w:rPr>
        <w:t xml:space="preserve">Within ten (10) business days following a request in writing by Landlord (made no more than one (1) time per year except in connection with a sale or financing of the Building), Tenant shall execute, acknowledge and deliver to Landlord an estoppel certificate, which, as submitted by Landlord, shall be substantially in the form of </w:t>
      </w:r>
      <w:r>
        <w:rPr>
          <w:rFonts w:ascii="Arial" w:cs="Arial" w:eastAsia="Arial" w:hAnsi="Arial"/>
          <w:sz w:val="19"/>
          <w:szCs w:val="19"/>
          <w:b w:val="1"/>
          <w:bCs w:val="1"/>
          <w:u w:val="single" w:color="auto"/>
          <w:color w:val="auto"/>
        </w:rPr>
        <w:t>Exhibit E</w:t>
      </w:r>
      <w:r>
        <w:rPr>
          <w:rFonts w:ascii="Arial" w:cs="Arial" w:eastAsia="Arial" w:hAnsi="Arial"/>
          <w:sz w:val="19"/>
          <w:szCs w:val="19"/>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-38-</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22"/>
          <w:szCs w:val="22"/>
          <w:b w:val="1"/>
          <w:bCs w:val="1"/>
          <w:color w:val="auto"/>
        </w:rPr>
        <w:t>ARTICLE 18</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SUBORDINATION</w:t>
      </w:r>
    </w:p>
    <w:p>
      <w:pPr>
        <w:spacing w:after="0" w:line="212" w:lineRule="exact"/>
        <w:rPr>
          <w:sz w:val="20"/>
          <w:szCs w:val="20"/>
          <w:color w:val="auto"/>
        </w:rPr>
      </w:pPr>
    </w:p>
    <w:p>
      <w:pPr>
        <w:jc w:val="both"/>
        <w:ind w:right="20" w:firstLine="877"/>
        <w:spacing w:after="0" w:line="270" w:lineRule="auto"/>
        <w:rPr>
          <w:sz w:val="20"/>
          <w:szCs w:val="20"/>
          <w:color w:val="auto"/>
        </w:rPr>
      </w:pPr>
      <w:r>
        <w:rPr>
          <w:rFonts w:ascii="Arial" w:cs="Arial" w:eastAsia="Arial" w:hAnsi="Arial"/>
          <w:sz w:val="19"/>
          <w:szCs w:val="19"/>
          <w:color w:val="auto"/>
        </w:rPr>
        <w:t>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Landlord shall use commercially reasonable efforts to cause its existing lender , and any future lender, mortgagee or ground lessor, to provide Tenant with a subordination, non-disturbance and attornment agreement in favor of Tenant, on such lender's, mortgagee’s or ground lessor’s standard form, within 90 days after the full execution and delivery of this Lease or within thirty (30) days after such future lender, mortgagee or ground lessor obtains its interest, as the case may be.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gridSpan w:val="2"/>
          </w:tcPr>
          <w:p>
            <w:pPr>
              <w:jc w:val="center"/>
              <w:ind w:right="4500"/>
              <w:spacing w:after="0"/>
              <w:rPr>
                <w:sz w:val="20"/>
                <w:szCs w:val="20"/>
                <w:color w:val="auto"/>
              </w:rPr>
            </w:pPr>
            <w:r>
              <w:rPr>
                <w:rFonts w:ascii="Arial" w:cs="Arial" w:eastAsia="Arial" w:hAnsi="Arial"/>
                <w:sz w:val="22"/>
                <w:szCs w:val="22"/>
                <w:b w:val="1"/>
                <w:bCs w:val="1"/>
                <w:color w:val="auto"/>
                <w:w w:val="98"/>
              </w:rPr>
              <w:t>ARTICLE 19</w:t>
            </w:r>
          </w:p>
        </w:tc>
      </w:tr>
      <w:tr>
        <w:trPr>
          <w:trHeight w:val="436"/>
        </w:trPr>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DEFAULTS; REMEDIES</w:t>
            </w:r>
          </w:p>
        </w:tc>
        <w:tc>
          <w:tcPr>
            <w:tcW w:w="4500" w:type="dxa"/>
            <w:vAlign w:val="bottom"/>
          </w:tcPr>
          <w:p>
            <w:pPr>
              <w:spacing w:after="0"/>
              <w:rPr>
                <w:sz w:val="24"/>
                <w:szCs w:val="24"/>
                <w:color w:val="auto"/>
              </w:rPr>
            </w:pPr>
          </w:p>
        </w:tc>
      </w:tr>
      <w:tr>
        <w:trPr>
          <w:trHeight w:val="439"/>
        </w:trPr>
        <w:tc>
          <w:tcPr>
            <w:tcW w:w="2560" w:type="dxa"/>
            <w:vAlign w:val="bottom"/>
          </w:tcPr>
          <w:p>
            <w:pPr>
              <w:jc w:val="right"/>
              <w:ind w:right="1192"/>
              <w:spacing w:after="0"/>
              <w:rPr>
                <w:sz w:val="20"/>
                <w:szCs w:val="20"/>
                <w:color w:val="auto"/>
              </w:rPr>
            </w:pPr>
            <w:r>
              <w:rPr>
                <w:rFonts w:ascii="Arial" w:cs="Arial" w:eastAsia="Arial" w:hAnsi="Arial"/>
                <w:sz w:val="22"/>
                <w:szCs w:val="22"/>
                <w:color w:val="auto"/>
              </w:rPr>
              <w:t>19.1</w:t>
            </w:r>
          </w:p>
        </w:tc>
        <w:tc>
          <w:tcPr>
            <w:tcW w:w="8860" w:type="dxa"/>
            <w:vAlign w:val="bottom"/>
            <w:gridSpan w:val="4"/>
          </w:tcPr>
          <w:p>
            <w:pPr>
              <w:jc w:val="right"/>
              <w:ind w:right="20"/>
              <w:spacing w:after="0"/>
              <w:rPr>
                <w:sz w:val="20"/>
                <w:szCs w:val="20"/>
                <w:color w:val="auto"/>
              </w:rPr>
            </w:pPr>
            <w:r>
              <w:rPr>
                <w:rFonts w:ascii="Arial" w:cs="Arial" w:eastAsia="Arial" w:hAnsi="Arial"/>
                <w:sz w:val="22"/>
                <w:szCs w:val="22"/>
                <w:b w:val="1"/>
                <w:bCs w:val="1"/>
                <w:color w:val="auto"/>
                <w:w w:val="91"/>
              </w:rPr>
              <w:t>Events of Default</w:t>
            </w:r>
            <w:r>
              <w:rPr>
                <w:rFonts w:ascii="Arial" w:cs="Arial" w:eastAsia="Arial" w:hAnsi="Arial"/>
                <w:sz w:val="22"/>
                <w:szCs w:val="22"/>
                <w:color w:val="auto"/>
                <w:w w:val="91"/>
              </w:rPr>
              <w:t>. The occurrence of any of the following shall constitute a default of this Lease by</w:t>
            </w:r>
          </w:p>
        </w:tc>
      </w:tr>
      <w:tr>
        <w:trPr>
          <w:trHeight w:val="274"/>
        </w:trPr>
        <w:tc>
          <w:tcPr>
            <w:tcW w:w="2560" w:type="dxa"/>
            <w:vAlign w:val="bottom"/>
          </w:tcPr>
          <w:p>
            <w:pPr>
              <w:jc w:val="right"/>
              <w:ind w:right="1792"/>
              <w:spacing w:after="0"/>
              <w:rPr>
                <w:sz w:val="20"/>
                <w:szCs w:val="20"/>
                <w:color w:val="auto"/>
              </w:rPr>
            </w:pPr>
            <w:r>
              <w:rPr>
                <w:rFonts w:ascii="Arial" w:cs="Arial" w:eastAsia="Arial" w:hAnsi="Arial"/>
                <w:sz w:val="22"/>
                <w:szCs w:val="22"/>
                <w:color w:val="auto"/>
                <w:w w:val="85"/>
              </w:rPr>
              <w:t>Tenant:</w:t>
            </w:r>
          </w:p>
        </w:tc>
        <w:tc>
          <w:tcPr>
            <w:tcW w:w="160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500" w:type="dxa"/>
            <w:vAlign w:val="bottom"/>
          </w:tcPr>
          <w:p>
            <w:pPr>
              <w:spacing w:after="0"/>
              <w:rPr>
                <w:sz w:val="23"/>
                <w:szCs w:val="23"/>
                <w:color w:val="auto"/>
              </w:rPr>
            </w:pPr>
          </w:p>
        </w:tc>
      </w:tr>
      <w:tr>
        <w:trPr>
          <w:trHeight w:val="446"/>
        </w:trPr>
        <w:tc>
          <w:tcPr>
            <w:tcW w:w="2560" w:type="dxa"/>
            <w:vAlign w:val="bottom"/>
          </w:tcPr>
          <w:p>
            <w:pPr>
              <w:jc w:val="right"/>
              <w:ind w:right="152"/>
              <w:spacing w:after="0"/>
              <w:rPr>
                <w:sz w:val="20"/>
                <w:szCs w:val="20"/>
                <w:color w:val="auto"/>
              </w:rPr>
            </w:pPr>
            <w:r>
              <w:rPr>
                <w:rFonts w:ascii="Arial" w:cs="Arial" w:eastAsia="Arial" w:hAnsi="Arial"/>
                <w:sz w:val="22"/>
                <w:szCs w:val="22"/>
                <w:color w:val="auto"/>
              </w:rPr>
              <w:t>19.1.1</w:t>
            </w:r>
          </w:p>
        </w:tc>
        <w:tc>
          <w:tcPr>
            <w:tcW w:w="1600" w:type="dxa"/>
            <w:vAlign w:val="bottom"/>
          </w:tcPr>
          <w:p>
            <w:pPr>
              <w:spacing w:after="0"/>
              <w:rPr>
                <w:sz w:val="24"/>
                <w:szCs w:val="24"/>
                <w:color w:val="auto"/>
              </w:rPr>
            </w:pPr>
          </w:p>
        </w:tc>
        <w:tc>
          <w:tcPr>
            <w:tcW w:w="7260" w:type="dxa"/>
            <w:vAlign w:val="bottom"/>
            <w:gridSpan w:val="3"/>
          </w:tcPr>
          <w:p>
            <w:pPr>
              <w:jc w:val="right"/>
              <w:spacing w:after="0"/>
              <w:rPr>
                <w:sz w:val="20"/>
                <w:szCs w:val="20"/>
                <w:color w:val="auto"/>
              </w:rPr>
            </w:pPr>
            <w:r>
              <w:rPr>
                <w:rFonts w:ascii="Arial" w:cs="Arial" w:eastAsia="Arial" w:hAnsi="Arial"/>
                <w:sz w:val="22"/>
                <w:szCs w:val="22"/>
                <w:color w:val="auto"/>
                <w:w w:val="95"/>
              </w:rPr>
              <w:t>Any failure by Tenant to pay any Rent or any other charge required to be paid</w:t>
            </w:r>
          </w:p>
        </w:tc>
      </w:tr>
    </w:tbl>
    <w:p>
      <w:pPr>
        <w:jc w:val="both"/>
        <w:ind w:right="20"/>
        <w:spacing w:after="0" w:line="237" w:lineRule="auto"/>
        <w:rPr>
          <w:sz w:val="20"/>
          <w:szCs w:val="20"/>
          <w:color w:val="auto"/>
        </w:rPr>
      </w:pPr>
      <w:r>
        <w:rPr>
          <w:rFonts w:ascii="Arial" w:cs="Arial" w:eastAsia="Arial" w:hAnsi="Arial"/>
          <w:sz w:val="22"/>
          <w:szCs w:val="22"/>
          <w:color w:val="auto"/>
        </w:rPr>
        <w:t>under this Lease, or any part thereof, when due, which failure continues for five (5) business days after written notice from Landlord that such amount is due and owing; or</w:t>
      </w:r>
    </w:p>
    <w:p>
      <w:pPr>
        <w:spacing w:after="0" w:line="185" w:lineRule="exact"/>
        <w:rPr>
          <w:sz w:val="20"/>
          <w:szCs w:val="20"/>
          <w:color w:val="auto"/>
        </w:rPr>
      </w:pPr>
    </w:p>
    <w:p>
      <w:pPr>
        <w:jc w:val="both"/>
        <w:ind w:right="20" w:firstLine="1755"/>
        <w:spacing w:after="0" w:line="238" w:lineRule="auto"/>
        <w:rPr>
          <w:sz w:val="20"/>
          <w:szCs w:val="20"/>
          <w:color w:val="auto"/>
        </w:rPr>
      </w:pPr>
      <w:r>
        <w:rPr>
          <w:rFonts w:ascii="Arial" w:cs="Arial" w:eastAsia="Arial" w:hAnsi="Arial"/>
          <w:sz w:val="22"/>
          <w:szCs w:val="22"/>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22"/>
          <w:szCs w:val="22"/>
          <w:u w:val="single" w:color="auto"/>
          <w:color w:val="auto"/>
        </w:rPr>
        <w:t>Section 19.1.2</w:t>
      </w:r>
      <w:r>
        <w:rPr>
          <w:rFonts w:ascii="Arial" w:cs="Arial" w:eastAsia="Arial" w:hAnsi="Arial"/>
          <w:sz w:val="22"/>
          <w:szCs w:val="22"/>
          <w:color w:val="auto"/>
        </w:rPr>
        <w:t>, any failure by Tenant to observe or perform any other provision, covenant or condition of this Lease to be observed or performed by Tenant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-39-</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77" w:name="page78"/>
    <w:bookmarkEnd w:id="77"/>
    <w:p>
      <w:pPr>
        <w:jc w:val="both"/>
        <w:ind w:right="20"/>
        <w:spacing w:after="0" w:line="238" w:lineRule="auto"/>
        <w:rPr>
          <w:sz w:val="20"/>
          <w:szCs w:val="20"/>
          <w:color w:val="auto"/>
        </w:rPr>
      </w:pPr>
      <w:r>
        <w:rPr>
          <w:rFonts w:ascii="Arial" w:cs="Arial" w:eastAsia="Arial" w:hAnsi="Arial"/>
          <w:sz w:val="22"/>
          <w:szCs w:val="22"/>
          <w:color w:val="auto"/>
        </w:rPr>
        <w:t>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85"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 xml:space="preserve">19.1.3 The failure by Tenant to observe or perform according to the provisions of </w:t>
      </w:r>
      <w:r>
        <w:rPr>
          <w:rFonts w:ascii="Arial" w:cs="Arial" w:eastAsia="Arial" w:hAnsi="Arial"/>
          <w:sz w:val="22"/>
          <w:szCs w:val="22"/>
          <w:u w:val="single" w:color="auto"/>
          <w:color w:val="auto"/>
        </w:rPr>
        <w:t>Articles</w:t>
      </w:r>
      <w:r>
        <w:rPr>
          <w:rFonts w:ascii="Arial" w:cs="Arial" w:eastAsia="Arial" w:hAnsi="Arial"/>
          <w:sz w:val="22"/>
          <w:szCs w:val="22"/>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 xml:space="preserve">, </w:t>
      </w:r>
      <w:r>
        <w:rPr>
          <w:rFonts w:ascii="Arial" w:cs="Arial" w:eastAsia="Arial" w:hAnsi="Arial"/>
          <w:sz w:val="22"/>
          <w:szCs w:val="22"/>
          <w:u w:val="single" w:color="auto"/>
          <w:color w:val="auto"/>
        </w:rPr>
        <w:t>14</w:t>
      </w:r>
      <w:r>
        <w:rPr>
          <w:rFonts w:ascii="Arial" w:cs="Arial" w:eastAsia="Arial" w:hAnsi="Arial"/>
          <w:sz w:val="22"/>
          <w:szCs w:val="22"/>
          <w:color w:val="auto"/>
        </w:rPr>
        <w:t xml:space="preserve">, </w:t>
      </w:r>
      <w:r>
        <w:rPr>
          <w:rFonts w:ascii="Arial" w:cs="Arial" w:eastAsia="Arial" w:hAnsi="Arial"/>
          <w:sz w:val="22"/>
          <w:szCs w:val="22"/>
          <w:u w:val="single" w:color="auto"/>
          <w:color w:val="auto"/>
        </w:rPr>
        <w:t>17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18</w:t>
      </w:r>
      <w:r>
        <w:rPr>
          <w:rFonts w:ascii="Arial" w:cs="Arial" w:eastAsia="Arial" w:hAnsi="Arial"/>
          <w:sz w:val="22"/>
          <w:szCs w:val="22"/>
          <w:color w:val="auto"/>
        </w:rPr>
        <w:t xml:space="preserve"> of this Lease where such failure continues for more than five (5) business days after written notice from Landlord; or</w:t>
      </w:r>
    </w:p>
    <w:p>
      <w:pPr>
        <w:spacing w:after="0" w:line="186" w:lineRule="exact"/>
        <w:rPr>
          <w:sz w:val="20"/>
          <w:szCs w:val="20"/>
          <w:color w:val="auto"/>
        </w:rPr>
      </w:pPr>
    </w:p>
    <w:p>
      <w:pPr>
        <w:jc w:val="both"/>
        <w:ind w:right="40" w:firstLine="1755"/>
        <w:spacing w:after="0" w:line="251" w:lineRule="auto"/>
        <w:rPr>
          <w:sz w:val="20"/>
          <w:szCs w:val="20"/>
          <w:color w:val="auto"/>
        </w:rPr>
      </w:pPr>
      <w:r>
        <w:rPr>
          <w:rFonts w:ascii="Arial" w:cs="Arial" w:eastAsia="Arial" w:hAnsi="Arial"/>
          <w:sz w:val="22"/>
          <w:szCs w:val="22"/>
          <w:color w:val="auto"/>
        </w:rPr>
        <w:t xml:space="preserve">19.1.4 Tenant’s failure to maintain or provide Landlord with evidence of insurance as required under </w:t>
      </w:r>
      <w:r>
        <w:rPr>
          <w:rFonts w:ascii="Arial" w:cs="Arial" w:eastAsia="Arial" w:hAnsi="Arial"/>
          <w:sz w:val="22"/>
          <w:szCs w:val="22"/>
          <w:u w:val="single" w:color="auto"/>
          <w:color w:val="auto"/>
        </w:rPr>
        <w:t>Article 10</w:t>
      </w:r>
      <w:r>
        <w:rPr>
          <w:rFonts w:ascii="Arial" w:cs="Arial" w:eastAsia="Arial" w:hAnsi="Arial"/>
          <w:sz w:val="22"/>
          <w:szCs w:val="22"/>
          <w:color w:val="auto"/>
        </w:rPr>
        <w:t>, which failure continues for ten (10) business days after written notice from Landlord.</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notice periods provided herein are in lieu of, and not in addition to, any notice periods provided by law.</w:t>
      </w:r>
    </w:p>
    <w:p>
      <w:pPr>
        <w:spacing w:after="0" w:line="200" w:lineRule="exact"/>
        <w:rPr>
          <w:sz w:val="20"/>
          <w:szCs w:val="20"/>
          <w:color w:val="auto"/>
        </w:rPr>
      </w:pPr>
    </w:p>
    <w:p>
      <w:pPr>
        <w:jc w:val="both"/>
        <w:ind w:right="20" w:firstLine="877"/>
        <w:spacing w:after="0" w:line="239" w:lineRule="auto"/>
        <w:rPr>
          <w:sz w:val="20"/>
          <w:szCs w:val="20"/>
          <w:color w:val="auto"/>
        </w:rPr>
      </w:pPr>
      <w:r>
        <w:rPr>
          <w:rFonts w:ascii="Arial" w:cs="Arial" w:eastAsia="Arial" w:hAnsi="Arial"/>
          <w:sz w:val="22"/>
          <w:szCs w:val="22"/>
          <w:color w:val="auto"/>
        </w:rPr>
        <w:t xml:space="preserve">19.2 </w:t>
      </w:r>
      <w:r>
        <w:rPr>
          <w:rFonts w:ascii="Arial" w:cs="Arial" w:eastAsia="Arial" w:hAnsi="Arial"/>
          <w:sz w:val="22"/>
          <w:szCs w:val="22"/>
          <w:b w:val="1"/>
          <w:bCs w:val="1"/>
          <w:u w:val="single" w:color="auto"/>
          <w:color w:val="auto"/>
        </w:rPr>
        <w:t>Remedies Upon Default</w:t>
      </w:r>
      <w:r>
        <w:rPr>
          <w:rFonts w:ascii="Arial" w:cs="Arial" w:eastAsia="Arial" w:hAnsi="Arial"/>
          <w:sz w:val="22"/>
          <w:szCs w:val="22"/>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87" w:lineRule="exact"/>
        <w:rPr>
          <w:sz w:val="20"/>
          <w:szCs w:val="20"/>
          <w:color w:val="auto"/>
        </w:rPr>
      </w:pPr>
    </w:p>
    <w:p>
      <w:pPr>
        <w:jc w:val="both"/>
        <w:ind w:right="20" w:firstLine="1755"/>
        <w:spacing w:after="0" w:line="236" w:lineRule="auto"/>
        <w:rPr>
          <w:sz w:val="20"/>
          <w:szCs w:val="20"/>
          <w:color w:val="auto"/>
        </w:rPr>
      </w:pPr>
      <w:r>
        <w:rPr>
          <w:rFonts w:ascii="Arial" w:cs="Arial" w:eastAsia="Arial" w:hAnsi="Arial"/>
          <w:sz w:val="22"/>
          <w:szCs w:val="22"/>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60" w:type="dxa"/>
            <w:vAlign w:val="bottom"/>
          </w:tcPr>
          <w:p>
            <w:pPr>
              <w:jc w:val="right"/>
              <w:ind w:right="1712"/>
              <w:spacing w:after="0"/>
              <w:rPr>
                <w:sz w:val="20"/>
                <w:szCs w:val="20"/>
                <w:color w:val="auto"/>
              </w:rPr>
            </w:pPr>
            <w:r>
              <w:rPr>
                <w:rFonts w:ascii="Arial" w:cs="Arial" w:eastAsia="Arial" w:hAnsi="Arial"/>
                <w:sz w:val="22"/>
                <w:szCs w:val="22"/>
                <w:color w:val="auto"/>
              </w:rPr>
              <w:t>19.2.1.1</w:t>
            </w:r>
          </w:p>
        </w:tc>
        <w:tc>
          <w:tcPr>
            <w:tcW w:w="6260" w:type="dxa"/>
            <w:vAlign w:val="bottom"/>
          </w:tcPr>
          <w:p>
            <w:pPr>
              <w:ind w:left="940"/>
              <w:spacing w:after="0"/>
              <w:rPr>
                <w:sz w:val="20"/>
                <w:szCs w:val="20"/>
                <w:color w:val="auto"/>
              </w:rPr>
            </w:pPr>
            <w:r>
              <w:rPr>
                <w:rFonts w:ascii="Arial" w:cs="Arial" w:eastAsia="Arial" w:hAnsi="Arial"/>
                <w:sz w:val="22"/>
                <w:szCs w:val="22"/>
                <w:color w:val="auto"/>
                <w:w w:val="91"/>
              </w:rPr>
              <w:t>The worth at the time of award of the unpaid rent which has</w:t>
            </w:r>
          </w:p>
        </w:tc>
      </w:tr>
      <w:tr>
        <w:trPr>
          <w:trHeight w:val="275"/>
        </w:trPr>
        <w:tc>
          <w:tcPr>
            <w:tcW w:w="5160" w:type="dxa"/>
            <w:vAlign w:val="bottom"/>
          </w:tcPr>
          <w:p>
            <w:pPr>
              <w:jc w:val="right"/>
              <w:ind w:right="832"/>
              <w:spacing w:after="0"/>
              <w:rPr>
                <w:sz w:val="20"/>
                <w:szCs w:val="20"/>
                <w:color w:val="auto"/>
              </w:rPr>
            </w:pPr>
            <w:r>
              <w:rPr>
                <w:rFonts w:ascii="Arial" w:cs="Arial" w:eastAsia="Arial" w:hAnsi="Arial"/>
                <w:sz w:val="22"/>
                <w:szCs w:val="22"/>
                <w:color w:val="auto"/>
                <w:w w:val="88"/>
              </w:rPr>
              <w:t>been earned at the time of such termination; plus</w:t>
            </w:r>
          </w:p>
        </w:tc>
        <w:tc>
          <w:tcPr>
            <w:tcW w:w="6260" w:type="dxa"/>
            <w:vAlign w:val="bottom"/>
          </w:tcPr>
          <w:p>
            <w:pPr>
              <w:spacing w:after="0"/>
              <w:rPr>
                <w:sz w:val="23"/>
                <w:szCs w:val="23"/>
                <w:color w:val="auto"/>
              </w:rPr>
            </w:pPr>
          </w:p>
        </w:tc>
      </w:tr>
      <w:tr>
        <w:trPr>
          <w:trHeight w:val="446"/>
        </w:trPr>
        <w:tc>
          <w:tcPr>
            <w:tcW w:w="5160" w:type="dxa"/>
            <w:vAlign w:val="bottom"/>
          </w:tcPr>
          <w:p>
            <w:pPr>
              <w:jc w:val="right"/>
              <w:ind w:right="1712"/>
              <w:spacing w:after="0"/>
              <w:rPr>
                <w:sz w:val="20"/>
                <w:szCs w:val="20"/>
                <w:color w:val="auto"/>
              </w:rPr>
            </w:pPr>
            <w:r>
              <w:rPr>
                <w:rFonts w:ascii="Arial" w:cs="Arial" w:eastAsia="Arial" w:hAnsi="Arial"/>
                <w:sz w:val="22"/>
                <w:szCs w:val="22"/>
                <w:color w:val="auto"/>
              </w:rPr>
              <w:t>19.2.1.2</w:t>
            </w:r>
          </w:p>
        </w:tc>
        <w:tc>
          <w:tcPr>
            <w:tcW w:w="6260" w:type="dxa"/>
            <w:vAlign w:val="bottom"/>
          </w:tcPr>
          <w:p>
            <w:pPr>
              <w:ind w:left="940"/>
              <w:spacing w:after="0"/>
              <w:rPr>
                <w:sz w:val="20"/>
                <w:szCs w:val="20"/>
                <w:color w:val="auto"/>
              </w:rPr>
            </w:pPr>
            <w:r>
              <w:rPr>
                <w:rFonts w:ascii="Arial" w:cs="Arial" w:eastAsia="Arial" w:hAnsi="Arial"/>
                <w:sz w:val="22"/>
                <w:szCs w:val="22"/>
                <w:color w:val="auto"/>
                <w:w w:val="93"/>
              </w:rPr>
              <w:t>The worth at the time of award of the amount by which the</w:t>
            </w:r>
          </w:p>
        </w:tc>
      </w:tr>
    </w:tbl>
    <w:p>
      <w:pPr>
        <w:jc w:val="both"/>
        <w:ind w:right="20"/>
        <w:spacing w:after="0" w:line="237" w:lineRule="auto"/>
        <w:rPr>
          <w:sz w:val="20"/>
          <w:szCs w:val="20"/>
          <w:color w:val="auto"/>
        </w:rPr>
      </w:pPr>
      <w:r>
        <w:rPr>
          <w:rFonts w:ascii="Arial" w:cs="Arial" w:eastAsia="Arial" w:hAnsi="Arial"/>
          <w:sz w:val="22"/>
          <w:szCs w:val="22"/>
          <w:color w:val="auto"/>
        </w:rPr>
        <w:t>unpaid rent which would have been earned after termination until the time of award exceeds the amount of such rental loss that Tenant proves could have been reasonably avoided; plus</w:t>
      </w:r>
    </w:p>
    <w:p>
      <w:pPr>
        <w:spacing w:after="0" w:line="185" w:lineRule="exact"/>
        <w:rPr>
          <w:sz w:val="20"/>
          <w:szCs w:val="20"/>
          <w:color w:val="auto"/>
        </w:rPr>
      </w:pPr>
    </w:p>
    <w:p>
      <w:pPr>
        <w:jc w:val="both"/>
        <w:ind w:right="20" w:firstLine="2634"/>
        <w:spacing w:after="0"/>
        <w:rPr>
          <w:sz w:val="20"/>
          <w:szCs w:val="20"/>
          <w:color w:val="auto"/>
        </w:rPr>
      </w:pPr>
      <w:r>
        <w:rPr>
          <w:rFonts w:ascii="Arial" w:cs="Arial" w:eastAsia="Arial" w:hAnsi="Arial"/>
          <w:sz w:val="22"/>
          <w:szCs w:val="22"/>
          <w:color w:val="auto"/>
        </w:rPr>
        <w:t>19.2.1.3 The worth at the time of award of the amount by which the unpaid rent for the balance of the Lease Term after the time of award exceeds the amount of such rental loss that Tenant proves could have been reasonably avoided; plus</w:t>
      </w:r>
    </w:p>
    <w:p>
      <w:pPr>
        <w:spacing w:after="0" w:line="186" w:lineRule="exact"/>
        <w:rPr>
          <w:sz w:val="20"/>
          <w:szCs w:val="20"/>
          <w:color w:val="auto"/>
        </w:rPr>
      </w:pPr>
    </w:p>
    <w:p>
      <w:pPr>
        <w:jc w:val="both"/>
        <w:ind w:right="20" w:firstLine="2634"/>
        <w:spacing w:after="0" w:line="236" w:lineRule="auto"/>
        <w:rPr>
          <w:sz w:val="20"/>
          <w:szCs w:val="20"/>
          <w:color w:val="auto"/>
        </w:rPr>
      </w:pPr>
      <w:r>
        <w:rPr>
          <w:rFonts w:ascii="Arial" w:cs="Arial" w:eastAsia="Arial" w:hAnsi="Arial"/>
          <w:sz w:val="22"/>
          <w:szCs w:val="22"/>
          <w:color w:val="auto"/>
        </w:rPr>
        <w:t>19.2.1.4 Any other amount reasonably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-40-</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8" w:name="page79"/>
    <w:bookmarkEnd w:id="78"/>
    <w:p>
      <w:pPr>
        <w:jc w:val="both"/>
        <w:ind w:right="20" w:firstLine="2634"/>
        <w:spacing w:after="0" w:line="251" w:lineRule="auto"/>
        <w:rPr>
          <w:sz w:val="20"/>
          <w:szCs w:val="20"/>
          <w:color w:val="auto"/>
        </w:rPr>
      </w:pPr>
      <w:r>
        <w:rPr>
          <w:rFonts w:ascii="Arial" w:cs="Arial" w:eastAsia="Arial" w:hAnsi="Arial"/>
          <w:sz w:val="22"/>
          <w:szCs w:val="22"/>
          <w:color w:val="auto"/>
        </w:rPr>
        <w:t>19.2.1.5 At Landlord's election, such other amounts in addition to or in lieu of the foregoing as may be permitted from time to time by applicable law.</w:t>
      </w:r>
    </w:p>
    <w:p>
      <w:pPr>
        <w:spacing w:after="0" w:line="167" w:lineRule="exact"/>
        <w:rPr>
          <w:sz w:val="20"/>
          <w:szCs w:val="20"/>
          <w:color w:val="auto"/>
        </w:rPr>
      </w:pPr>
    </w:p>
    <w:p>
      <w:pPr>
        <w:jc w:val="both"/>
        <w:ind w:right="20" w:firstLine="877"/>
        <w:spacing w:after="0" w:line="249"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b w:val="1"/>
          <w:bCs w:val="1"/>
          <w:color w:val="auto"/>
        </w:rPr>
        <w:t>rent</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Section 19.2</w:t>
      </w:r>
      <w:r>
        <w:rPr>
          <w:rFonts w:ascii="Arial" w:cs="Arial" w:eastAsia="Arial" w:hAnsi="Arial"/>
          <w:sz w:val="21"/>
          <w:szCs w:val="21"/>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21"/>
          <w:szCs w:val="21"/>
          <w:u w:val="single" w:color="auto"/>
          <w:color w:val="auto"/>
        </w:rPr>
        <w:t>Sections 19.2.1.1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19.2.1.2</w:t>
      </w:r>
      <w:r>
        <w:rPr>
          <w:rFonts w:ascii="Arial" w:cs="Arial" w:eastAsia="Arial" w:hAnsi="Arial"/>
          <w:sz w:val="21"/>
          <w:szCs w:val="21"/>
          <w:color w:val="auto"/>
        </w:rPr>
        <w:t xml:space="preserve">, above, the "worth at the time of award" shall be computed by allowing interest at the rate set forth in </w:t>
      </w:r>
      <w:r>
        <w:rPr>
          <w:rFonts w:ascii="Arial" w:cs="Arial" w:eastAsia="Arial" w:hAnsi="Arial"/>
          <w:sz w:val="21"/>
          <w:szCs w:val="21"/>
          <w:u w:val="single" w:color="auto"/>
          <w:color w:val="auto"/>
        </w:rPr>
        <w:t>Article 25</w:t>
      </w:r>
      <w:r>
        <w:rPr>
          <w:rFonts w:ascii="Arial" w:cs="Arial" w:eastAsia="Arial" w:hAnsi="Arial"/>
          <w:sz w:val="21"/>
          <w:szCs w:val="21"/>
          <w:color w:val="auto"/>
        </w:rPr>
        <w:t xml:space="preserve"> of this Lease, but in no case greater than the maximum amount of such interest permitted by law. As used in </w:t>
      </w:r>
      <w:r>
        <w:rPr>
          <w:rFonts w:ascii="Arial" w:cs="Arial" w:eastAsia="Arial" w:hAnsi="Arial"/>
          <w:sz w:val="21"/>
          <w:szCs w:val="21"/>
          <w:u w:val="single" w:color="auto"/>
          <w:color w:val="auto"/>
        </w:rPr>
        <w:t>Section 19.2.1.3</w:t>
      </w:r>
      <w:r>
        <w:rPr>
          <w:rFonts w:ascii="Arial" w:cs="Arial" w:eastAsia="Arial" w:hAnsi="Arial"/>
          <w:sz w:val="21"/>
          <w:szCs w:val="21"/>
          <w:color w:val="auto"/>
        </w:rPr>
        <w:t xml:space="preserve"> above, the "worth at the time of award" shall be computed by discounting such amount at the discount rate of the Federal Reserve Bank of San Francisco at the time of award plus one percent (1%).</w:t>
      </w:r>
    </w:p>
    <w:p>
      <w:pPr>
        <w:spacing w:after="0" w:line="177" w:lineRule="exact"/>
        <w:rPr>
          <w:sz w:val="20"/>
          <w:szCs w:val="20"/>
          <w:color w:val="auto"/>
        </w:rPr>
      </w:pPr>
    </w:p>
    <w:p>
      <w:pPr>
        <w:jc w:val="both"/>
        <w:ind w:right="20" w:firstLine="1755"/>
        <w:spacing w:after="0" w:line="249" w:lineRule="auto"/>
        <w:rPr>
          <w:sz w:val="20"/>
          <w:szCs w:val="20"/>
          <w:color w:val="auto"/>
        </w:rPr>
      </w:pPr>
      <w:r>
        <w:rPr>
          <w:rFonts w:ascii="Arial" w:cs="Arial" w:eastAsia="Arial" w:hAnsi="Arial"/>
          <w:sz w:val="21"/>
          <w:szCs w:val="21"/>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79" w:lineRule="exact"/>
        <w:rPr>
          <w:sz w:val="20"/>
          <w:szCs w:val="20"/>
          <w:color w:val="auto"/>
        </w:rPr>
      </w:pPr>
    </w:p>
    <w:p>
      <w:pPr>
        <w:jc w:val="both"/>
        <w:ind w:right="20" w:firstLine="1755"/>
        <w:spacing w:after="0" w:line="236" w:lineRule="auto"/>
        <w:rPr>
          <w:sz w:val="20"/>
          <w:szCs w:val="20"/>
          <w:color w:val="auto"/>
        </w:rPr>
      </w:pPr>
      <w:r>
        <w:rPr>
          <w:rFonts w:ascii="Arial" w:cs="Arial" w:eastAsia="Arial" w:hAnsi="Arial"/>
          <w:sz w:val="22"/>
          <w:szCs w:val="22"/>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22"/>
          <w:szCs w:val="22"/>
          <w:u w:val="single" w:color="auto"/>
          <w:color w:val="auto"/>
        </w:rPr>
        <w:t>Sections 19.2.1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19.2.2</w:t>
      </w:r>
      <w:r>
        <w:rPr>
          <w:rFonts w:ascii="Arial" w:cs="Arial" w:eastAsia="Arial" w:hAnsi="Arial"/>
          <w:sz w:val="22"/>
          <w:szCs w:val="22"/>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82" w:lineRule="exact"/>
        <w:rPr>
          <w:sz w:val="20"/>
          <w:szCs w:val="20"/>
          <w:color w:val="auto"/>
        </w:rPr>
      </w:pPr>
    </w:p>
    <w:p>
      <w:pPr>
        <w:jc w:val="both"/>
        <w:ind w:right="20" w:firstLine="877"/>
        <w:spacing w:after="0" w:line="248" w:lineRule="auto"/>
        <w:rPr>
          <w:sz w:val="20"/>
          <w:szCs w:val="20"/>
          <w:color w:val="auto"/>
        </w:rPr>
      </w:pPr>
      <w:r>
        <w:rPr>
          <w:rFonts w:ascii="Arial" w:cs="Arial" w:eastAsia="Arial" w:hAnsi="Arial"/>
          <w:sz w:val="21"/>
          <w:szCs w:val="21"/>
          <w:color w:val="auto"/>
        </w:rPr>
        <w:t xml:space="preserve">19.3 </w:t>
      </w:r>
      <w:r>
        <w:rPr>
          <w:rFonts w:ascii="Arial" w:cs="Arial" w:eastAsia="Arial" w:hAnsi="Arial"/>
          <w:sz w:val="21"/>
          <w:szCs w:val="21"/>
          <w:b w:val="1"/>
          <w:bCs w:val="1"/>
          <w:u w:val="single" w:color="auto"/>
          <w:color w:val="auto"/>
        </w:rPr>
        <w:t>Subleases of Tenant</w:t>
      </w:r>
      <w:r>
        <w:rPr>
          <w:rFonts w:ascii="Arial" w:cs="Arial" w:eastAsia="Arial" w:hAnsi="Arial"/>
          <w:sz w:val="21"/>
          <w:szCs w:val="21"/>
          <w:color w:val="auto"/>
        </w:rPr>
        <w:t xml:space="preserve">. Whether or not Landlord elects to terminate this Lease on account of any default by Tenant, as set forth in this </w:t>
      </w:r>
      <w:r>
        <w:rPr>
          <w:rFonts w:ascii="Arial" w:cs="Arial" w:eastAsia="Arial" w:hAnsi="Arial"/>
          <w:sz w:val="21"/>
          <w:szCs w:val="21"/>
          <w:u w:val="single" w:color="auto"/>
          <w:color w:val="auto"/>
        </w:rPr>
        <w:t>Article 19</w:t>
      </w:r>
      <w:r>
        <w:rPr>
          <w:rFonts w:ascii="Arial" w:cs="Arial" w:eastAsia="Arial" w:hAnsi="Arial"/>
          <w:sz w:val="21"/>
          <w:szCs w:val="21"/>
          <w:color w:val="auto"/>
        </w:rPr>
        <w:t>, in the event such default continues beyond all applicable notice and cure periods,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1" w:lineRule="exact"/>
        <w:rPr>
          <w:sz w:val="20"/>
          <w:szCs w:val="20"/>
          <w:color w:val="auto"/>
        </w:rPr>
      </w:pPr>
    </w:p>
    <w:p>
      <w:pPr>
        <w:jc w:val="both"/>
        <w:ind w:right="20" w:firstLine="877"/>
        <w:spacing w:after="0" w:line="249" w:lineRule="auto"/>
        <w:rPr>
          <w:sz w:val="20"/>
          <w:szCs w:val="20"/>
          <w:color w:val="auto"/>
        </w:rPr>
      </w:pPr>
      <w:r>
        <w:rPr>
          <w:rFonts w:ascii="Arial" w:cs="Arial" w:eastAsia="Arial" w:hAnsi="Arial"/>
          <w:sz w:val="21"/>
          <w:szCs w:val="21"/>
          <w:color w:val="auto"/>
        </w:rPr>
        <w:t xml:space="preserve">19.4 </w:t>
      </w:r>
      <w:r>
        <w:rPr>
          <w:rFonts w:ascii="Arial" w:cs="Arial" w:eastAsia="Arial" w:hAnsi="Arial"/>
          <w:sz w:val="21"/>
          <w:szCs w:val="21"/>
          <w:b w:val="1"/>
          <w:bCs w:val="1"/>
          <w:u w:val="single" w:color="auto"/>
          <w:color w:val="auto"/>
        </w:rPr>
        <w:t>Efforts to Relet</w:t>
      </w:r>
      <w:r>
        <w:rPr>
          <w:rFonts w:ascii="Arial" w:cs="Arial" w:eastAsia="Arial" w:hAnsi="Arial"/>
          <w:sz w:val="21"/>
          <w:szCs w:val="21"/>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-41-</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9" w:name="page80"/>
    <w:bookmarkEnd w:id="79"/>
    <w:tbl>
      <w:tblPr>
        <w:tblLayout w:type="fixed"/>
        <w:tblInd w:w="880" w:type="dxa"/>
        <w:tblCellMar>
          <w:top w:w="0" w:type="dxa"/>
          <w:left w:w="0" w:type="dxa"/>
          <w:bottom w:w="0" w:type="dxa"/>
          <w:right w:w="0" w:type="dxa"/>
        </w:tblCellMar>
      </w:tblPr>
      <w:tr>
        <w:trPr>
          <w:trHeight w:val="253"/>
        </w:trPr>
        <w:tc>
          <w:tcPr>
            <w:tcW w:w="1680" w:type="dxa"/>
            <w:vAlign w:val="bottom"/>
          </w:tcPr>
          <w:p>
            <w:pPr>
              <w:jc w:val="right"/>
              <w:ind w:right="1192"/>
              <w:spacing w:after="0"/>
              <w:rPr>
                <w:sz w:val="20"/>
                <w:szCs w:val="20"/>
                <w:color w:val="auto"/>
              </w:rPr>
            </w:pPr>
            <w:r>
              <w:rPr>
                <w:rFonts w:ascii="Arial" w:cs="Arial" w:eastAsia="Arial" w:hAnsi="Arial"/>
                <w:sz w:val="22"/>
                <w:szCs w:val="22"/>
                <w:color w:val="auto"/>
                <w:w w:val="83"/>
              </w:rPr>
              <w:t>19.5</w:t>
            </w:r>
          </w:p>
        </w:tc>
        <w:tc>
          <w:tcPr>
            <w:tcW w:w="8860" w:type="dxa"/>
            <w:vAlign w:val="bottom"/>
            <w:gridSpan w:val="4"/>
          </w:tcPr>
          <w:p>
            <w:pPr>
              <w:spacing w:after="0"/>
              <w:rPr>
                <w:sz w:val="20"/>
                <w:szCs w:val="20"/>
                <w:color w:val="auto"/>
              </w:rPr>
            </w:pPr>
            <w:r>
              <w:rPr>
                <w:rFonts w:ascii="Arial" w:cs="Arial" w:eastAsia="Arial" w:hAnsi="Arial"/>
                <w:sz w:val="22"/>
                <w:szCs w:val="22"/>
                <w:b w:val="1"/>
                <w:bCs w:val="1"/>
                <w:color w:val="auto"/>
              </w:rPr>
              <w:t>Landlord Default</w:t>
            </w:r>
            <w:r>
              <w:rPr>
                <w:rFonts w:ascii="Arial" w:cs="Arial" w:eastAsia="Arial" w:hAnsi="Arial"/>
                <w:sz w:val="22"/>
                <w:szCs w:val="22"/>
                <w:color w:val="auto"/>
              </w:rPr>
              <w:t>.</w:t>
            </w:r>
          </w:p>
        </w:tc>
      </w:tr>
      <w:tr>
        <w:trPr>
          <w:trHeight w:val="439"/>
        </w:trPr>
        <w:tc>
          <w:tcPr>
            <w:tcW w:w="1680" w:type="dxa"/>
            <w:vAlign w:val="bottom"/>
          </w:tcPr>
          <w:p>
            <w:pPr>
              <w:jc w:val="right"/>
              <w:ind w:right="152"/>
              <w:spacing w:after="0"/>
              <w:rPr>
                <w:sz w:val="20"/>
                <w:szCs w:val="20"/>
                <w:color w:val="auto"/>
              </w:rPr>
            </w:pPr>
            <w:r>
              <w:rPr>
                <w:rFonts w:ascii="Arial" w:cs="Arial" w:eastAsia="Arial" w:hAnsi="Arial"/>
                <w:sz w:val="22"/>
                <w:szCs w:val="22"/>
                <w:color w:val="auto"/>
              </w:rPr>
              <w:t>19.5.1</w:t>
            </w:r>
          </w:p>
        </w:tc>
        <w:tc>
          <w:tcPr>
            <w:tcW w:w="1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Notwithstanding anything to the contrary set forth in this Lease,</w:t>
            </w:r>
          </w:p>
        </w:tc>
      </w:tr>
      <w:tr>
        <w:trPr>
          <w:trHeight w:val="20"/>
        </w:trPr>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Landlord shall not be in default in the performance of any obligation required to be performed by Landlord pursuant to this Lease unless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w:t>
      </w:r>
    </w:p>
    <w:p>
      <w:pPr>
        <w:spacing w:after="0" w:line="185" w:lineRule="exact"/>
        <w:rPr>
          <w:sz w:val="20"/>
          <w:szCs w:val="20"/>
          <w:color w:val="auto"/>
        </w:rPr>
      </w:pPr>
    </w:p>
    <w:p>
      <w:pPr>
        <w:jc w:val="both"/>
        <w:ind w:right="20" w:firstLine="1755"/>
        <w:spacing w:after="0" w:line="269" w:lineRule="auto"/>
        <w:rPr>
          <w:sz w:val="20"/>
          <w:szCs w:val="20"/>
          <w:color w:val="auto"/>
        </w:rPr>
      </w:pPr>
      <w:r>
        <w:rPr>
          <w:rFonts w:ascii="Arial" w:cs="Arial" w:eastAsia="Arial" w:hAnsi="Arial"/>
          <w:sz w:val="19"/>
          <w:szCs w:val="19"/>
          <w:color w:val="auto"/>
        </w:rPr>
        <w:t xml:space="preserve">19.5.2 </w:t>
      </w:r>
      <w:r>
        <w:rPr>
          <w:rFonts w:ascii="Arial" w:cs="Arial" w:eastAsia="Arial" w:hAnsi="Arial"/>
          <w:sz w:val="19"/>
          <w:szCs w:val="19"/>
          <w:b w:val="1"/>
          <w:bCs w:val="1"/>
          <w:u w:val="single" w:color="auto"/>
          <w:color w:val="auto"/>
        </w:rPr>
        <w:t>Abatement of Rent</w:t>
      </w:r>
      <w:r>
        <w:rPr>
          <w:rFonts w:ascii="Arial" w:cs="Arial" w:eastAsia="Arial" w:hAnsi="Arial"/>
          <w:sz w:val="19"/>
          <w:szCs w:val="19"/>
          <w:color w:val="auto"/>
        </w:rPr>
        <w:t>. In the event that Tenant is prevented from using, and does not use, the Premises or any portion thereof, as a result of (i) any repair, maintenance or alteration performed by Landlord, or which Landlord failed to perform, after the Lease Commencement Date and required by this Lease, which substantially interferes with Tenant's use of the Premises, or (ii) any failure to provide services, utilities or access to the Premises as required by this Lease (either such set of circumstances as set forth in items (i) or (ii), above, to be known as an "</w:t>
      </w:r>
      <w:r>
        <w:rPr>
          <w:rFonts w:ascii="Arial" w:cs="Arial" w:eastAsia="Arial" w:hAnsi="Arial"/>
          <w:sz w:val="19"/>
          <w:szCs w:val="19"/>
          <w:b w:val="1"/>
          <w:bCs w:val="1"/>
          <w:color w:val="auto"/>
        </w:rPr>
        <w:t>Abatement Event</w:t>
      </w:r>
      <w:r>
        <w:rPr>
          <w:rFonts w:ascii="Arial" w:cs="Arial" w:eastAsia="Arial" w:hAnsi="Arial"/>
          <w:sz w:val="19"/>
          <w:szCs w:val="19"/>
          <w:color w:val="auto"/>
        </w:rPr>
        <w:t>"), then Tenant shall give Landlord notice of such Abatement Event, and if such Abatement Event continues for five (5) consecutive business days after Landlord's receipt of any such notice (the "</w:t>
      </w:r>
      <w:r>
        <w:rPr>
          <w:rFonts w:ascii="Arial" w:cs="Arial" w:eastAsia="Arial" w:hAnsi="Arial"/>
          <w:sz w:val="19"/>
          <w:szCs w:val="19"/>
          <w:b w:val="1"/>
          <w:bCs w:val="1"/>
          <w:color w:val="auto"/>
        </w:rPr>
        <w:t>Eligibility Period</w:t>
      </w:r>
      <w:r>
        <w:rPr>
          <w:rFonts w:ascii="Arial" w:cs="Arial" w:eastAsia="Arial" w:hAnsi="Arial"/>
          <w:sz w:val="19"/>
          <w:szCs w:val="19"/>
          <w:color w:val="auto"/>
        </w:rPr>
        <w:t xml:space="preserve">"), then the Base Rent, Tenant's Share of Direct Expenses, and Tenant's obligation to pay for parking (to the extent not utilized by Tenant) shall be abated or reduced, as the case may be, after expiration of the Eligibility Period for such time that Tenant continues to be so prevented from using, and does not use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 entire Premises and Tenant's obligation to pay for parking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 by </w:t>
      </w:r>
      <w:r>
        <w:rPr>
          <w:rFonts w:ascii="Arial" w:cs="Arial" w:eastAsia="Arial" w:hAnsi="Arial"/>
          <w:sz w:val="19"/>
          <w:szCs w:val="19"/>
          <w:u w:val="single" w:color="auto"/>
          <w:color w:val="auto"/>
        </w:rPr>
        <w:t>Articles 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of this Lease, then Tenant's right to abate rent shall be governed by the terms of such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as applicable, and the Eligibility Period shall not be applicable thereto. Such right to abate Base Rent and Tenant's Share of Direct Expenses shall be Tenant's sole and exclusive remedy for rent abatement at law or in equity for an Abatement Event. Except as provided in this </w:t>
      </w:r>
      <w:r>
        <w:rPr>
          <w:rFonts w:ascii="Arial" w:cs="Arial" w:eastAsia="Arial" w:hAnsi="Arial"/>
          <w:sz w:val="19"/>
          <w:szCs w:val="19"/>
          <w:u w:val="single" w:color="auto"/>
          <w:color w:val="auto"/>
        </w:rPr>
        <w:t>Section 19.5.2</w:t>
      </w:r>
      <w:r>
        <w:rPr>
          <w:rFonts w:ascii="Arial" w:cs="Arial" w:eastAsia="Arial" w:hAnsi="Arial"/>
          <w:sz w:val="19"/>
          <w:szCs w:val="19"/>
          <w:color w:val="auto"/>
        </w:rPr>
        <w:t>, nothing contained herein shall be interpreted to mean that Tenant is excused from paying Rent due hereunder.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-42-</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22"/>
          <w:szCs w:val="22"/>
          <w:b w:val="1"/>
          <w:bCs w:val="1"/>
          <w:color w:val="auto"/>
        </w:rPr>
        <w:t>ARTICLE 20</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COVENANT OF QUIET ENJOYMENT</w:t>
      </w:r>
    </w:p>
    <w:p>
      <w:pPr>
        <w:spacing w:after="0" w:line="212" w:lineRule="exact"/>
        <w:rPr>
          <w:sz w:val="20"/>
          <w:szCs w:val="20"/>
          <w:color w:val="auto"/>
        </w:rPr>
      </w:pPr>
    </w:p>
    <w:p>
      <w:pPr>
        <w:jc w:val="both"/>
        <w:ind w:right="20" w:firstLine="877"/>
        <w:spacing w:after="0" w:line="282" w:lineRule="auto"/>
        <w:rPr>
          <w:sz w:val="20"/>
          <w:szCs w:val="20"/>
          <w:color w:val="auto"/>
        </w:rPr>
      </w:pPr>
      <w:r>
        <w:rPr>
          <w:rFonts w:ascii="Arial" w:cs="Arial" w:eastAsia="Arial" w:hAnsi="Arial"/>
          <w:sz w:val="19"/>
          <w:szCs w:val="19"/>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42"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9500" w:type="dxa"/>
            <w:vAlign w:val="bottom"/>
          </w:tcPr>
          <w:p>
            <w:pPr>
              <w:jc w:val="center"/>
              <w:ind w:right="1792"/>
              <w:spacing w:after="0"/>
              <w:rPr>
                <w:sz w:val="20"/>
                <w:szCs w:val="20"/>
                <w:color w:val="auto"/>
              </w:rPr>
            </w:pPr>
            <w:r>
              <w:rPr>
                <w:rFonts w:ascii="Arial" w:cs="Arial" w:eastAsia="Arial" w:hAnsi="Arial"/>
                <w:sz w:val="22"/>
                <w:szCs w:val="22"/>
                <w:b w:val="1"/>
                <w:bCs w:val="1"/>
                <w:color w:val="auto"/>
                <w:w w:val="98"/>
              </w:rPr>
              <w:t>ARTICLE 21</w:t>
            </w:r>
          </w:p>
        </w:tc>
      </w:tr>
      <w:tr>
        <w:trPr>
          <w:trHeight w:val="486"/>
        </w:trPr>
        <w:tc>
          <w:tcPr>
            <w:tcW w:w="1040" w:type="dxa"/>
            <w:vAlign w:val="bottom"/>
          </w:tcPr>
          <w:p>
            <w:pPr>
              <w:spacing w:after="0"/>
              <w:rPr>
                <w:sz w:val="24"/>
                <w:szCs w:val="24"/>
                <w:color w:val="auto"/>
              </w:rPr>
            </w:pPr>
          </w:p>
        </w:tc>
        <w:tc>
          <w:tcPr>
            <w:tcW w:w="9500" w:type="dxa"/>
            <w:vAlign w:val="bottom"/>
          </w:tcPr>
          <w:p>
            <w:pPr>
              <w:jc w:val="center"/>
              <w:ind w:right="1792"/>
              <w:spacing w:after="0"/>
              <w:rPr>
                <w:sz w:val="20"/>
                <w:szCs w:val="20"/>
                <w:color w:val="auto"/>
              </w:rPr>
            </w:pPr>
            <w:r>
              <w:rPr>
                <w:rFonts w:ascii="Arial" w:cs="Arial" w:eastAsia="Arial" w:hAnsi="Arial"/>
                <w:sz w:val="22"/>
                <w:szCs w:val="22"/>
                <w:b w:val="1"/>
                <w:bCs w:val="1"/>
                <w:u w:val="single" w:color="auto"/>
                <w:color w:val="auto"/>
              </w:rPr>
              <w:t>LETTER OF CREDIT</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color w:val="auto"/>
                <w:w w:val="83"/>
              </w:rPr>
              <w:t>21.1</w:t>
            </w:r>
          </w:p>
        </w:tc>
        <w:tc>
          <w:tcPr>
            <w:tcW w:w="9500" w:type="dxa"/>
            <w:vAlign w:val="bottom"/>
          </w:tcPr>
          <w:p>
            <w:pPr>
              <w:ind w:left="640"/>
              <w:spacing w:after="0"/>
              <w:rPr>
                <w:sz w:val="20"/>
                <w:szCs w:val="20"/>
                <w:color w:val="auto"/>
              </w:rPr>
            </w:pPr>
            <w:r>
              <w:rPr>
                <w:rFonts w:ascii="Arial" w:cs="Arial" w:eastAsia="Arial" w:hAnsi="Arial"/>
                <w:sz w:val="22"/>
                <w:szCs w:val="22"/>
                <w:b w:val="1"/>
                <w:bCs w:val="1"/>
                <w:u w:val="single" w:color="auto"/>
                <w:color w:val="auto"/>
                <w:w w:val="91"/>
              </w:rPr>
              <w:t>Delivery of Letter of Credit</w:t>
            </w:r>
            <w:r>
              <w:rPr>
                <w:rFonts w:ascii="Arial" w:cs="Arial" w:eastAsia="Arial" w:hAnsi="Arial"/>
                <w:sz w:val="22"/>
                <w:szCs w:val="22"/>
                <w:color w:val="auto"/>
                <w:w w:val="91"/>
              </w:rPr>
              <w:t>. Tenant shall deliver to Landlord, concurrently with Tenant's execution</w:t>
            </w:r>
          </w:p>
        </w:tc>
      </w:tr>
    </w:tbl>
    <w:p>
      <w:pPr>
        <w:jc w:val="both"/>
        <w:ind w:right="20"/>
        <w:spacing w:after="0" w:line="244" w:lineRule="exact"/>
        <w:rPr>
          <w:sz w:val="20"/>
          <w:szCs w:val="20"/>
          <w:color w:val="auto"/>
        </w:rPr>
      </w:pPr>
      <w:r>
        <w:rPr>
          <w:rFonts w:ascii="Arial" w:cs="Arial" w:eastAsia="Arial" w:hAnsi="Arial"/>
          <w:sz w:val="19"/>
          <w:szCs w:val="19"/>
          <w:color w:val="auto"/>
        </w:rPr>
        <w:t>of this Lease, an unconditional, clean, irrevocable letter of credit (the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w:t>
      </w:r>
      <w:r>
        <w:rPr>
          <w:rFonts w:ascii="Arial" w:cs="Arial" w:eastAsia="Arial" w:hAnsi="Arial"/>
          <w:sz w:val="19"/>
          <w:szCs w:val="19"/>
          <w:color w:val="auto"/>
        </w:rPr>
        <w:t xml:space="preserve">") in the amount set forth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below (the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 Amount</w:t>
      </w:r>
      <w:r>
        <w:rPr>
          <w:rFonts w:ascii="Arial" w:cs="Arial" w:eastAsia="Arial" w:hAnsi="Arial"/>
          <w:sz w:val="19"/>
          <w:szCs w:val="19"/>
          <w:color w:val="auto"/>
        </w:rPr>
        <w:t>"), which L</w:t>
      </w:r>
      <w:r>
        <w:rPr>
          <w:rFonts w:ascii="MS PGothic" w:cs="MS PGothic" w:eastAsia="MS PGothic" w:hAnsi="MS PGothic"/>
          <w:sz w:val="19"/>
          <w:szCs w:val="19"/>
          <w:color w:val="auto"/>
        </w:rPr>
        <w:t>‑</w:t>
      </w:r>
      <w:r>
        <w:rPr>
          <w:rFonts w:ascii="Arial" w:cs="Arial" w:eastAsia="Arial" w:hAnsi="Arial"/>
          <w:sz w:val="19"/>
          <w:szCs w:val="19"/>
          <w:color w:val="auto"/>
        </w:rPr>
        <w:t>C shall be issued by a money-center, solvent and nationally or regionally recognized bank (a bank which accepts deposits, maintains accounts, has a local Los Angeles county office which will negotiate a letter of credit, and whose deposits are insured by the FDIC) reasonably acceptable to Landlord (such approved, issuing bank being referred to herein as the "</w:t>
      </w:r>
      <w:r>
        <w:rPr>
          <w:rFonts w:ascii="Arial" w:cs="Arial" w:eastAsia="Arial" w:hAnsi="Arial"/>
          <w:sz w:val="19"/>
          <w:szCs w:val="19"/>
          <w:b w:val="1"/>
          <w:bCs w:val="1"/>
          <w:color w:val="auto"/>
        </w:rPr>
        <w:t>Bank</w:t>
      </w:r>
      <w:r>
        <w:rPr>
          <w:rFonts w:ascii="Arial" w:cs="Arial" w:eastAsia="Arial" w:hAnsi="Arial"/>
          <w:sz w:val="19"/>
          <w:szCs w:val="19"/>
          <w:color w:val="auto"/>
        </w:rPr>
        <w:t>"), which Bank must have a short term Fitch Rating which is not less than "F1", and a long term Fitch Rating which is not less than "A" (or in the event such Fitch Ratings are no longer available, a comparable rating from Standard and Poor’s Professional Rating Service or Moody’s Professional Rating Service) (collectively, the “</w:t>
      </w:r>
      <w:r>
        <w:rPr>
          <w:rFonts w:ascii="Arial" w:cs="Arial" w:eastAsia="Arial" w:hAnsi="Arial"/>
          <w:sz w:val="19"/>
          <w:szCs w:val="19"/>
          <w:b w:val="1"/>
          <w:bCs w:val="1"/>
          <w:color w:val="auto"/>
        </w:rPr>
        <w:t>Bank’s Credit Rating Threshold</w:t>
      </w:r>
      <w:r>
        <w:rPr>
          <w:rFonts w:ascii="Arial" w:cs="Arial" w:eastAsia="Arial" w:hAnsi="Arial"/>
          <w:sz w:val="19"/>
          <w:szCs w:val="19"/>
          <w:color w:val="auto"/>
        </w:rPr>
        <w:t>”), and which L</w:t>
      </w:r>
      <w:r>
        <w:rPr>
          <w:rFonts w:ascii="MS PGothic" w:cs="MS PGothic" w:eastAsia="MS PGothic" w:hAnsi="MS PGothic"/>
          <w:sz w:val="19"/>
          <w:szCs w:val="19"/>
          <w:color w:val="auto"/>
        </w:rPr>
        <w:t>‑</w:t>
      </w:r>
      <w:r>
        <w:rPr>
          <w:rFonts w:ascii="Arial" w:cs="Arial" w:eastAsia="Arial" w:hAnsi="Arial"/>
          <w:sz w:val="19"/>
          <w:szCs w:val="19"/>
          <w:color w:val="auto"/>
        </w:rPr>
        <w:t xml:space="preserve">C shall be substantially in the form of </w:t>
      </w:r>
      <w:r>
        <w:rPr>
          <w:rFonts w:ascii="Arial" w:cs="Arial" w:eastAsia="Arial" w:hAnsi="Arial"/>
          <w:sz w:val="19"/>
          <w:szCs w:val="19"/>
          <w:b w:val="1"/>
          <w:bCs w:val="1"/>
          <w:u w:val="single" w:color="auto"/>
          <w:color w:val="auto"/>
        </w:rPr>
        <w:t>Exhibit G</w:t>
      </w:r>
      <w:r>
        <w:rPr>
          <w:rFonts w:ascii="Arial" w:cs="Arial" w:eastAsia="Arial" w:hAnsi="Arial"/>
          <w:sz w:val="19"/>
          <w:szCs w:val="19"/>
          <w:color w:val="auto"/>
        </w:rPr>
        <w:t>, attached hereto. Tenant shall pay all expenses, points and/or fees incurred by Tenant in obtaining the L</w:t>
      </w:r>
      <w:r>
        <w:rPr>
          <w:rFonts w:ascii="MS PGothic" w:cs="MS PGothic" w:eastAsia="MS PGothic" w:hAnsi="MS PGothic"/>
          <w:sz w:val="19"/>
          <w:szCs w:val="19"/>
          <w:color w:val="auto"/>
        </w:rPr>
        <w:t>‑</w:t>
      </w:r>
      <w:r>
        <w:rPr>
          <w:rFonts w:ascii="Arial" w:cs="Arial" w:eastAsia="Arial" w:hAnsi="Arial"/>
          <w:sz w:val="19"/>
          <w:szCs w:val="19"/>
          <w:color w:val="auto"/>
        </w:rPr>
        <w:t>C. The L</w:t>
      </w:r>
      <w:r>
        <w:rPr>
          <w:rFonts w:ascii="MS PGothic" w:cs="MS PGothic" w:eastAsia="MS PGothic" w:hAnsi="MS PGothic"/>
          <w:sz w:val="19"/>
          <w:szCs w:val="19"/>
          <w:color w:val="auto"/>
        </w:rPr>
        <w:t>‑</w:t>
      </w:r>
      <w:r>
        <w:rPr>
          <w:rFonts w:ascii="Arial" w:cs="Arial" w:eastAsia="Arial" w:hAnsi="Arial"/>
          <w:sz w:val="19"/>
          <w:szCs w:val="19"/>
          <w:color w:val="auto"/>
        </w:rPr>
        <w:t xml:space="preserve">C shall (i) be "callable" at sight, irrevocable and unconditional, (ii) except as otherwise provided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below, be maintained in effect, whether through renewal or extension, for the period commencing on the date of this Lease and continuing until the date (the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 Expiration Date</w:t>
      </w:r>
      <w:r>
        <w:rPr>
          <w:rFonts w:ascii="Arial" w:cs="Arial" w:eastAsia="Arial" w:hAnsi="Arial"/>
          <w:sz w:val="19"/>
          <w:szCs w:val="19"/>
          <w:color w:val="auto"/>
        </w:rPr>
        <w:t>") that is no less than sixty (60) days after the expiration of the Lease Term as the same may be extended, and Tenant shall deliver a new L</w:t>
      </w:r>
      <w:r>
        <w:rPr>
          <w:rFonts w:ascii="MS PGothic" w:cs="MS PGothic" w:eastAsia="MS PGothic" w:hAnsi="MS PGothic"/>
          <w:sz w:val="19"/>
          <w:szCs w:val="19"/>
          <w:color w:val="auto"/>
        </w:rPr>
        <w:t>‑</w:t>
      </w:r>
      <w:r>
        <w:rPr>
          <w:rFonts w:ascii="Arial" w:cs="Arial" w:eastAsia="Arial" w:hAnsi="Arial"/>
          <w:sz w:val="19"/>
          <w:szCs w:val="19"/>
          <w:color w:val="auto"/>
        </w:rPr>
        <w:t>C or certificate of renewal or extension to Landlord at least sixty (60) days prior to the expiration of the L</w:t>
      </w:r>
      <w:r>
        <w:rPr>
          <w:rFonts w:ascii="MS PGothic" w:cs="MS PGothic" w:eastAsia="MS PGothic" w:hAnsi="MS PGothic"/>
          <w:sz w:val="19"/>
          <w:szCs w:val="19"/>
          <w:color w:val="auto"/>
        </w:rPr>
        <w:t>‑</w:t>
      </w:r>
      <w:r>
        <w:rPr>
          <w:rFonts w:ascii="Arial" w:cs="Arial" w:eastAsia="Arial" w:hAnsi="Arial"/>
          <w:sz w:val="19"/>
          <w:szCs w:val="19"/>
          <w:color w:val="auto"/>
        </w:rPr>
        <w:t>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Practices-ISP 98, International Chamber of Commerce Publication #590. Landlord, or its then managing agent, shall have the right to draw down an amount up to the face amount of the L</w:t>
      </w:r>
      <w:r>
        <w:rPr>
          <w:rFonts w:ascii="MS PGothic" w:cs="MS PGothic" w:eastAsia="MS PGothic" w:hAnsi="MS PGothic"/>
          <w:sz w:val="19"/>
          <w:szCs w:val="19"/>
          <w:color w:val="auto"/>
        </w:rPr>
        <w:t>‑</w:t>
      </w:r>
      <w:r>
        <w:rPr>
          <w:rFonts w:ascii="Arial" w:cs="Arial" w:eastAsia="Arial" w:hAnsi="Arial"/>
          <w:sz w:val="19"/>
          <w:szCs w:val="19"/>
          <w:color w:val="auto"/>
        </w:rPr>
        <w:t>C if any of the following shall have occurred or be applicable: (A) such amount is due and owing to Landlord under the terms and conditions of this Lease, or (B) Tenant has filed a voluntary petition under the U. S. Bankruptcy Code or any state bankruptcy code (collectively, "</w:t>
      </w:r>
      <w:r>
        <w:rPr>
          <w:rFonts w:ascii="Arial" w:cs="Arial" w:eastAsia="Arial" w:hAnsi="Arial"/>
          <w:sz w:val="19"/>
          <w:szCs w:val="19"/>
          <w:b w:val="1"/>
          <w:bCs w:val="1"/>
          <w:color w:val="auto"/>
        </w:rPr>
        <w:t>Bankruptcy Code</w:t>
      </w:r>
      <w:r>
        <w:rPr>
          <w:rFonts w:ascii="Arial" w:cs="Arial" w:eastAsia="Arial" w:hAnsi="Arial"/>
          <w:sz w:val="19"/>
          <w:szCs w:val="19"/>
          <w:color w:val="auto"/>
        </w:rPr>
        <w:t>"), or (C) an involuntary petition has been filed against Tenant under the Bankruptcy Code,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-43-</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81" w:name="page82"/>
    <w:bookmarkEnd w:id="81"/>
    <w:p>
      <w:pPr>
        <w:jc w:val="both"/>
        <w:ind w:right="20"/>
        <w:spacing w:after="0" w:line="244" w:lineRule="exact"/>
        <w:rPr>
          <w:sz w:val="20"/>
          <w:szCs w:val="20"/>
          <w:color w:val="auto"/>
        </w:rPr>
      </w:pPr>
      <w:r>
        <w:rPr>
          <w:rFonts w:ascii="Arial" w:cs="Arial" w:eastAsia="Arial" w:hAnsi="Arial"/>
          <w:sz w:val="19"/>
          <w:szCs w:val="19"/>
          <w:color w:val="auto"/>
        </w:rPr>
        <w:t>notified Landlord that the L</w:t>
      </w:r>
      <w:r>
        <w:rPr>
          <w:rFonts w:ascii="MS PGothic" w:cs="MS PGothic" w:eastAsia="MS PGothic" w:hAnsi="MS PGothic"/>
          <w:sz w:val="19"/>
          <w:szCs w:val="19"/>
          <w:color w:val="auto"/>
        </w:rPr>
        <w:t>‑</w:t>
      </w:r>
      <w:r>
        <w:rPr>
          <w:rFonts w:ascii="Arial" w:cs="Arial" w:eastAsia="Arial" w:hAnsi="Arial"/>
          <w:sz w:val="19"/>
          <w:szCs w:val="19"/>
          <w:color w:val="auto"/>
        </w:rPr>
        <w:t>C will not be renewed or extended through the L</w:t>
      </w:r>
      <w:r>
        <w:rPr>
          <w:rFonts w:ascii="MS PGothic" w:cs="MS PGothic" w:eastAsia="MS PGothic" w:hAnsi="MS PGothic"/>
          <w:sz w:val="19"/>
          <w:szCs w:val="19"/>
          <w:color w:val="auto"/>
        </w:rPr>
        <w:t>‑</w:t>
      </w:r>
      <w:r>
        <w:rPr>
          <w:rFonts w:ascii="Arial" w:cs="Arial" w:eastAsia="Arial" w:hAnsi="Arial"/>
          <w:sz w:val="19"/>
          <w:szCs w:val="19"/>
          <w:color w:val="auto"/>
        </w:rPr>
        <w:t xml:space="preserve">C Expiration Date, or (F) Tenant is placed into receivership or conservatorship, or becomes subject to similar proceedings under Federal or State law,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(including, but not limited to, the requirements placed on the issuing Bank more particularly set forth in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above), in the amount of the applicable L</w:t>
      </w:r>
      <w:r>
        <w:rPr>
          <w:rFonts w:ascii="MS PGothic" w:cs="MS PGothic" w:eastAsia="MS PGothic" w:hAnsi="MS PGothic"/>
          <w:sz w:val="19"/>
          <w:szCs w:val="19"/>
          <w:color w:val="auto"/>
        </w:rPr>
        <w:t>‑</w:t>
      </w:r>
      <w:r>
        <w:rPr>
          <w:rFonts w:ascii="Arial" w:cs="Arial" w:eastAsia="Arial" w:hAnsi="Arial"/>
          <w:sz w:val="19"/>
          <w:szCs w:val="19"/>
          <w:color w:val="auto"/>
        </w:rPr>
        <w:t>C Amount, within ten (10) business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 Draw Event</w:t>
      </w:r>
      <w:r>
        <w:rPr>
          <w:rFonts w:ascii="Arial" w:cs="Arial" w:eastAsia="Arial" w:hAnsi="Arial"/>
          <w:sz w:val="19"/>
          <w:szCs w:val="19"/>
          <w:color w:val="auto"/>
        </w:rPr>
        <w:t>"). The L</w:t>
      </w:r>
      <w:r>
        <w:rPr>
          <w:rFonts w:ascii="MS PGothic" w:cs="MS PGothic" w:eastAsia="MS PGothic" w:hAnsi="MS PGothic"/>
          <w:sz w:val="19"/>
          <w:szCs w:val="19"/>
          <w:color w:val="auto"/>
        </w:rPr>
        <w:t>‑</w:t>
      </w:r>
      <w:r>
        <w:rPr>
          <w:rFonts w:ascii="Arial" w:cs="Arial" w:eastAsia="Arial" w:hAnsi="Arial"/>
          <w:sz w:val="19"/>
          <w:szCs w:val="19"/>
          <w:color w:val="auto"/>
        </w:rPr>
        <w:t>C shall be honored by the Bank regardless of whether Tenant disputes Landlord's right to draw upon the L</w:t>
      </w:r>
      <w:r>
        <w:rPr>
          <w:rFonts w:ascii="MS PGothic" w:cs="MS PGothic" w:eastAsia="MS PGothic" w:hAnsi="MS PGothic"/>
          <w:sz w:val="19"/>
          <w:szCs w:val="19"/>
          <w:color w:val="auto"/>
        </w:rPr>
        <w:t>‑</w:t>
      </w:r>
      <w:r>
        <w:rPr>
          <w:rFonts w:ascii="Arial" w:cs="Arial" w:eastAsia="Arial" w:hAnsi="Arial"/>
          <w:sz w:val="19"/>
          <w:szCs w:val="19"/>
          <w:color w:val="auto"/>
        </w:rPr>
        <w:t>C. In addition, in the event the Bank is placed into receivership or conservatorship by the Federal Deposit Insurance Corporation or any successor or similar entity, then, effective as of the date such receivership or conservatorship occurs, said L</w:t>
      </w:r>
      <w:r>
        <w:rPr>
          <w:rFonts w:ascii="MS PGothic" w:cs="MS PGothic" w:eastAsia="MS PGothic" w:hAnsi="MS PGothic"/>
          <w:sz w:val="19"/>
          <w:szCs w:val="19"/>
          <w:color w:val="auto"/>
        </w:rPr>
        <w:t>‑</w:t>
      </w:r>
      <w:r>
        <w:rPr>
          <w:rFonts w:ascii="Arial" w:cs="Arial" w:eastAsia="Arial" w:hAnsi="Arial"/>
          <w:sz w:val="19"/>
          <w:szCs w:val="19"/>
          <w:color w:val="auto"/>
        </w:rPr>
        <w:t xml:space="preserve">C shall be deemed to fail to meet the requirements of this </w:t>
      </w:r>
      <w:r>
        <w:rPr>
          <w:rFonts w:ascii="Arial" w:cs="Arial" w:eastAsia="Arial" w:hAnsi="Arial"/>
          <w:sz w:val="19"/>
          <w:szCs w:val="19"/>
          <w:u w:val="single" w:color="auto"/>
          <w:color w:val="auto"/>
        </w:rPr>
        <w:t>Article 21</w:t>
      </w:r>
      <w:r>
        <w:rPr>
          <w:rFonts w:ascii="Arial" w:cs="Arial" w:eastAsia="Arial" w:hAnsi="Arial"/>
          <w:sz w:val="19"/>
          <w:szCs w:val="19"/>
          <w:color w:val="auto"/>
        </w:rPr>
        <w:t>, and, within ten (10) business days following Landlord's notice to Tenant of such receivership or conservatorship (the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 FDIC Replacement Notice</w:t>
      </w:r>
      <w:r>
        <w:rPr>
          <w:rFonts w:ascii="Arial" w:cs="Arial" w:eastAsia="Arial" w:hAnsi="Arial"/>
          <w:sz w:val="19"/>
          <w:szCs w:val="19"/>
          <w:color w:val="auto"/>
        </w:rPr>
        <w:t>"), Tenant shall replace such L</w:t>
      </w:r>
      <w:r>
        <w:rPr>
          <w:rFonts w:ascii="MS PGothic" w:cs="MS PGothic" w:eastAsia="MS PGothic" w:hAnsi="MS PGothic"/>
          <w:sz w:val="19"/>
          <w:szCs w:val="19"/>
          <w:color w:val="auto"/>
        </w:rPr>
        <w:t>‑</w:t>
      </w:r>
      <w:r>
        <w:rPr>
          <w:rFonts w:ascii="Arial" w:cs="Arial" w:eastAsia="Arial" w:hAnsi="Arial"/>
          <w:sz w:val="19"/>
          <w:szCs w:val="19"/>
          <w:color w:val="auto"/>
        </w:rPr>
        <w:t xml:space="preserve">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9"/>
          <w:szCs w:val="19"/>
          <w:u w:val="single" w:color="auto"/>
          <w:color w:val="auto"/>
        </w:rPr>
        <w:t>Article 21</w:t>
      </w:r>
      <w:r>
        <w:rPr>
          <w:rFonts w:ascii="Arial" w:cs="Arial" w:eastAsia="Arial" w:hAnsi="Arial"/>
          <w:sz w:val="19"/>
          <w:szCs w:val="19"/>
          <w:color w:val="auto"/>
        </w:rPr>
        <w:t>. If Tenant fails to replace such L</w:t>
      </w:r>
      <w:r>
        <w:rPr>
          <w:rFonts w:ascii="MS PGothic" w:cs="MS PGothic" w:eastAsia="MS PGothic" w:hAnsi="MS PGothic"/>
          <w:sz w:val="19"/>
          <w:szCs w:val="19"/>
          <w:color w:val="auto"/>
        </w:rPr>
        <w:t>‑</w:t>
      </w:r>
      <w:r>
        <w:rPr>
          <w:rFonts w:ascii="Arial" w:cs="Arial" w:eastAsia="Arial" w:hAnsi="Arial"/>
          <w:sz w:val="19"/>
          <w:szCs w:val="19"/>
          <w:color w:val="auto"/>
        </w:rPr>
        <w:t xml:space="preserve">C with such conforming, substitute letter of credit pursuant to the terms and conditions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then, notwithstanding anything in this Lease to the contrary, Landlord shall have the right to declare Tenant in default of this Lease for which there shall be no notice or grace or cure periods being applicable thereto (other than the aforesaid ten (10) business day period). Tenant shall be responsible for the payment of any and all costs incurred with the review of any replacement L</w:t>
      </w:r>
      <w:r>
        <w:rPr>
          <w:rFonts w:ascii="MS PGothic" w:cs="MS PGothic" w:eastAsia="MS PGothic" w:hAnsi="MS PGothic"/>
          <w:sz w:val="19"/>
          <w:szCs w:val="19"/>
          <w:color w:val="auto"/>
        </w:rPr>
        <w:t>‑</w:t>
      </w:r>
      <w:r>
        <w:rPr>
          <w:rFonts w:ascii="Arial" w:cs="Arial" w:eastAsia="Arial" w:hAnsi="Arial"/>
          <w:sz w:val="19"/>
          <w:szCs w:val="19"/>
          <w:color w:val="auto"/>
        </w:rPr>
        <w:t>C (including without limitation Landlord’s reasonable attorneys’ fees), which replacement is required pursuant to this Section or is otherwise requested by Tenant.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sole and absolute discretion, and the attorney's fees incurred by Landlord in connection with such determination shall be payable by Tenant to Landlord within thirty (30) days of billing.</w:t>
      </w:r>
    </w:p>
    <w:p>
      <w:pPr>
        <w:spacing w:after="0" w:line="188" w:lineRule="exact"/>
        <w:rPr>
          <w:sz w:val="20"/>
          <w:szCs w:val="20"/>
          <w:color w:val="auto"/>
        </w:rPr>
      </w:pPr>
    </w:p>
    <w:p>
      <w:pPr>
        <w:jc w:val="both"/>
        <w:ind w:right="20" w:firstLine="877"/>
        <w:spacing w:after="0" w:line="247" w:lineRule="exact"/>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u w:val="single" w:color="auto"/>
          <w:color w:val="auto"/>
        </w:rPr>
        <w:t>Application of L</w:t>
      </w:r>
      <w:r>
        <w:rPr>
          <w:rFonts w:ascii="MS PGothic" w:cs="MS PGothic" w:eastAsia="MS PGothic" w:hAnsi="MS PGothic"/>
          <w:sz w:val="22"/>
          <w:szCs w:val="22"/>
          <w:u w:val="single" w:color="auto"/>
          <w:color w:val="auto"/>
        </w:rPr>
        <w:t>‑</w:t>
      </w:r>
      <w:r>
        <w:rPr>
          <w:rFonts w:ascii="Arial" w:cs="Arial" w:eastAsia="Arial" w:hAnsi="Arial"/>
          <w:sz w:val="22"/>
          <w:szCs w:val="22"/>
          <w:b w:val="1"/>
          <w:bCs w:val="1"/>
          <w:u w:val="single" w:color="auto"/>
          <w:color w:val="auto"/>
        </w:rPr>
        <w:t>C</w:t>
      </w:r>
      <w:r>
        <w:rPr>
          <w:rFonts w:ascii="Arial" w:cs="Arial" w:eastAsia="Arial" w:hAnsi="Arial"/>
          <w:sz w:val="22"/>
          <w:szCs w:val="22"/>
          <w:color w:val="auto"/>
        </w:rPr>
        <w:t>. Tenant hereby acknowledges and agrees that Landlord is entering into this Lease in material reliance upon the ability of Landlord to draw upon the L</w:t>
      </w:r>
      <w:r>
        <w:rPr>
          <w:rFonts w:ascii="MS PGothic" w:cs="MS PGothic" w:eastAsia="MS PGothic" w:hAnsi="MS PGothic"/>
          <w:sz w:val="22"/>
          <w:szCs w:val="22"/>
          <w:color w:val="auto"/>
        </w:rPr>
        <w:t>‑</w:t>
      </w:r>
      <w:r>
        <w:rPr>
          <w:rFonts w:ascii="Arial" w:cs="Arial" w:eastAsia="Arial" w:hAnsi="Arial"/>
          <w:sz w:val="22"/>
          <w:szCs w:val="22"/>
          <w:color w:val="auto"/>
        </w:rPr>
        <w:t>C upon the occurrence of any L</w:t>
      </w:r>
      <w:r>
        <w:rPr>
          <w:rFonts w:ascii="MS PGothic" w:cs="MS PGothic" w:eastAsia="MS PGothic" w:hAnsi="MS PGothic"/>
          <w:sz w:val="22"/>
          <w:szCs w:val="22"/>
          <w:color w:val="auto"/>
        </w:rPr>
        <w:t>‑</w:t>
      </w:r>
      <w:r>
        <w:rPr>
          <w:rFonts w:ascii="Arial" w:cs="Arial" w:eastAsia="Arial" w:hAnsi="Arial"/>
          <w:sz w:val="22"/>
          <w:szCs w:val="22"/>
          <w:color w:val="auto"/>
        </w:rPr>
        <w:t>C Draw Event. In the event of any L</w:t>
      </w:r>
      <w:r>
        <w:rPr>
          <w:rFonts w:ascii="MS PGothic" w:cs="MS PGothic" w:eastAsia="MS PGothic" w:hAnsi="MS PGothic"/>
          <w:sz w:val="22"/>
          <w:szCs w:val="22"/>
          <w:color w:val="auto"/>
        </w:rPr>
        <w:t>‑</w:t>
      </w:r>
      <w:r>
        <w:rPr>
          <w:rFonts w:ascii="Arial" w:cs="Arial" w:eastAsia="Arial" w:hAnsi="Arial"/>
          <w:sz w:val="22"/>
          <w:szCs w:val="22"/>
          <w:color w:val="auto"/>
        </w:rPr>
        <w:t xml:space="preserve">C Draw Event, Landlord may, but without obligation to do so, and without notice to Tenant (except in connection with an L-C Draw Event under </w:t>
      </w:r>
      <w:r>
        <w:rPr>
          <w:rFonts w:ascii="Arial" w:cs="Arial" w:eastAsia="Arial" w:hAnsi="Arial"/>
          <w:sz w:val="22"/>
          <w:szCs w:val="22"/>
          <w:u w:val="single" w:color="auto"/>
          <w:color w:val="auto"/>
        </w:rPr>
        <w:t>Section 21.1(H)</w:t>
      </w:r>
      <w:r>
        <w:rPr>
          <w:rFonts w:ascii="Arial" w:cs="Arial" w:eastAsia="Arial" w:hAnsi="Arial"/>
          <w:sz w:val="22"/>
          <w:szCs w:val="22"/>
          <w:color w:val="auto"/>
        </w:rPr>
        <w:t xml:space="preserve"> above), draw upon the L</w:t>
      </w:r>
      <w:r>
        <w:rPr>
          <w:rFonts w:ascii="MS PGothic" w:cs="MS PGothic" w:eastAsia="MS PGothic" w:hAnsi="MS PGothic"/>
          <w:sz w:val="22"/>
          <w:szCs w:val="22"/>
          <w:color w:val="auto"/>
        </w:rPr>
        <w:t>‑</w:t>
      </w:r>
      <w:r>
        <w:rPr>
          <w:rFonts w:ascii="Arial" w:cs="Arial" w:eastAsia="Arial" w:hAnsi="Arial"/>
          <w:sz w:val="22"/>
          <w:szCs w:val="22"/>
          <w:color w:val="auto"/>
        </w:rPr>
        <w:t>C, in part or in whole,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r>
      <w:r>
        <w:rPr>
          <w:rFonts w:ascii="MS PGothic" w:cs="MS PGothic" w:eastAsia="MS PGothic" w:hAnsi="MS PGothic"/>
          <w:sz w:val="22"/>
          <w:szCs w:val="22"/>
          <w:color w:val="auto"/>
        </w:rPr>
        <w:t>‑</w:t>
      </w:r>
      <w:r>
        <w:rPr>
          <w:rFonts w:ascii="Arial" w:cs="Arial" w:eastAsia="Arial" w:hAnsi="Arial"/>
          <w:sz w:val="22"/>
          <w:szCs w:val="22"/>
          <w:color w:val="auto"/>
        </w:rPr>
        <w:t>C, or any portion thereof, by Landlord shall not prevent Landlord from exercising any other right or remedy provided by this Lease or by any applicable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-44-</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82" w:name="page83"/>
    <w:bookmarkEnd w:id="82"/>
    <w:p>
      <w:pPr>
        <w:jc w:val="both"/>
        <w:ind w:right="20"/>
        <w:spacing w:after="0" w:line="247" w:lineRule="exact"/>
        <w:rPr>
          <w:sz w:val="20"/>
          <w:szCs w:val="20"/>
          <w:color w:val="auto"/>
        </w:rPr>
      </w:pPr>
      <w:r>
        <w:rPr>
          <w:rFonts w:ascii="Arial" w:cs="Arial" w:eastAsia="Arial" w:hAnsi="Arial"/>
          <w:sz w:val="19"/>
          <w:szCs w:val="19"/>
          <w:color w:val="auto"/>
        </w:rPr>
        <w:t>law, it being intended that Landlord shall not first be required to proceed against the L</w:t>
      </w:r>
      <w:r>
        <w:rPr>
          <w:rFonts w:ascii="MS PGothic" w:cs="MS PGothic" w:eastAsia="MS PGothic" w:hAnsi="MS PGothic"/>
          <w:sz w:val="19"/>
          <w:szCs w:val="19"/>
          <w:color w:val="auto"/>
        </w:rPr>
        <w:t>‑</w:t>
      </w:r>
      <w:r>
        <w:rPr>
          <w:rFonts w:ascii="Arial" w:cs="Arial" w:eastAsia="Arial" w:hAnsi="Arial"/>
          <w:sz w:val="19"/>
          <w:szCs w:val="19"/>
          <w:color w:val="auto"/>
        </w:rPr>
        <w:t>C, and such L</w:t>
      </w:r>
      <w:r>
        <w:rPr>
          <w:rFonts w:ascii="MS PGothic" w:cs="MS PGothic" w:eastAsia="MS PGothic" w:hAnsi="MS PGothic"/>
          <w:sz w:val="19"/>
          <w:szCs w:val="19"/>
          <w:color w:val="auto"/>
        </w:rPr>
        <w:t>‑</w:t>
      </w:r>
      <w:r>
        <w:rPr>
          <w:rFonts w:ascii="Arial" w:cs="Arial" w:eastAsia="Arial" w:hAnsi="Arial"/>
          <w:sz w:val="19"/>
          <w:szCs w:val="19"/>
          <w:color w:val="auto"/>
        </w:rPr>
        <w:t>C shall not operate as a limitation on any recovery to which Landlord may otherwise be entitled. Tenant agrees and acknowledges that (i) the L</w:t>
      </w:r>
      <w:r>
        <w:rPr>
          <w:rFonts w:ascii="MS PGothic" w:cs="MS PGothic" w:eastAsia="MS PGothic" w:hAnsi="MS PGothic"/>
          <w:sz w:val="19"/>
          <w:szCs w:val="19"/>
          <w:color w:val="auto"/>
        </w:rPr>
        <w:t>‑</w:t>
      </w:r>
      <w:r>
        <w:rPr>
          <w:rFonts w:ascii="Arial" w:cs="Arial" w:eastAsia="Arial" w:hAnsi="Arial"/>
          <w:sz w:val="19"/>
          <w:szCs w:val="19"/>
          <w:color w:val="auto"/>
        </w:rPr>
        <w:t>C constitutes a separate and independent contract between Landlord and the Bank, (ii) Tenant is not a third party beneficiary of such contract, (iii) Tenant has no property interest whatsoever in the L</w:t>
      </w:r>
      <w:r>
        <w:rPr>
          <w:rFonts w:ascii="MS PGothic" w:cs="MS PGothic" w:eastAsia="MS PGothic" w:hAnsi="MS PGothic"/>
          <w:sz w:val="19"/>
          <w:szCs w:val="19"/>
          <w:color w:val="auto"/>
        </w:rPr>
        <w:t>‑</w:t>
      </w:r>
      <w:r>
        <w:rPr>
          <w:rFonts w:ascii="Arial" w:cs="Arial" w:eastAsia="Arial" w:hAnsi="Arial"/>
          <w:sz w:val="19"/>
          <w:szCs w:val="19"/>
          <w:color w:val="auto"/>
        </w:rPr>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r>
      <w:r>
        <w:rPr>
          <w:rFonts w:ascii="MS PGothic" w:cs="MS PGothic" w:eastAsia="MS PGothic" w:hAnsi="MS PGothic"/>
          <w:sz w:val="19"/>
          <w:szCs w:val="19"/>
          <w:color w:val="auto"/>
        </w:rPr>
        <w:t>‑</w:t>
      </w:r>
      <w:r>
        <w:rPr>
          <w:rFonts w:ascii="Arial" w:cs="Arial" w:eastAsia="Arial" w:hAnsi="Arial"/>
          <w:sz w:val="19"/>
          <w:szCs w:val="19"/>
          <w:color w:val="auto"/>
        </w:rPr>
        <w:t>C and/or the proceeds thereof by application of Section 502(b)(6) of the U. S. Bankruptcy Code or otherwise.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60" w:type="dxa"/>
            <w:vAlign w:val="bottom"/>
            <w:gridSpan w:val="2"/>
          </w:tcPr>
          <w:p>
            <w:pPr>
              <w:jc w:val="right"/>
              <w:ind w:right="1192"/>
              <w:spacing w:after="0"/>
              <w:rPr>
                <w:sz w:val="20"/>
                <w:szCs w:val="20"/>
                <w:color w:val="auto"/>
              </w:rPr>
            </w:pPr>
            <w:r>
              <w:rPr>
                <w:rFonts w:ascii="Arial" w:cs="Arial" w:eastAsia="Arial" w:hAnsi="Arial"/>
                <w:sz w:val="22"/>
                <w:szCs w:val="22"/>
                <w:color w:val="auto"/>
              </w:rPr>
              <w:t>21.3</w:t>
            </w:r>
          </w:p>
        </w:tc>
        <w:tc>
          <w:tcPr>
            <w:tcW w:w="8860" w:type="dxa"/>
            <w:vAlign w:val="bottom"/>
            <w:gridSpan w:val="4"/>
          </w:tcPr>
          <w:p>
            <w:pPr>
              <w:spacing w:after="0"/>
              <w:rPr>
                <w:sz w:val="20"/>
                <w:szCs w:val="20"/>
                <w:color w:val="auto"/>
              </w:rPr>
            </w:pPr>
            <w:r>
              <w:rPr>
                <w:rFonts w:ascii="Arial" w:cs="Arial" w:eastAsia="Arial" w:hAnsi="Arial"/>
                <w:sz w:val="22"/>
                <w:szCs w:val="22"/>
                <w:b w:val="1"/>
                <w:bCs w:val="1"/>
                <w:color w:val="auto"/>
              </w:rPr>
              <w:t>L-C Amount; Maintenance of L-C by Tenant</w:t>
            </w:r>
            <w:r>
              <w:rPr>
                <w:rFonts w:ascii="Arial" w:cs="Arial" w:eastAsia="Arial" w:hAnsi="Arial"/>
                <w:sz w:val="22"/>
                <w:szCs w:val="22"/>
                <w:color w:val="auto"/>
              </w:rPr>
              <w:t>.</w:t>
            </w:r>
          </w:p>
        </w:tc>
      </w:tr>
      <w:tr>
        <w:trPr>
          <w:trHeight w:val="20"/>
        </w:trPr>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39"/>
        </w:trPr>
        <w:tc>
          <w:tcPr>
            <w:tcW w:w="2560" w:type="dxa"/>
            <w:vAlign w:val="bottom"/>
            <w:gridSpan w:val="2"/>
          </w:tcPr>
          <w:p>
            <w:pPr>
              <w:jc w:val="right"/>
              <w:ind w:right="152"/>
              <w:spacing w:after="0"/>
              <w:rPr>
                <w:sz w:val="20"/>
                <w:szCs w:val="20"/>
                <w:color w:val="auto"/>
              </w:rPr>
            </w:pPr>
            <w:r>
              <w:rPr>
                <w:rFonts w:ascii="Arial" w:cs="Arial" w:eastAsia="Arial" w:hAnsi="Arial"/>
                <w:sz w:val="22"/>
                <w:szCs w:val="22"/>
                <w:color w:val="auto"/>
              </w:rPr>
              <w:t>21.3.1</w:t>
            </w:r>
          </w:p>
        </w:tc>
        <w:tc>
          <w:tcPr>
            <w:tcW w:w="168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Arial" w:cs="Arial" w:eastAsia="Arial" w:hAnsi="Arial"/>
                <w:sz w:val="22"/>
                <w:szCs w:val="22"/>
                <w:b w:val="1"/>
                <w:bCs w:val="1"/>
                <w:color w:val="auto"/>
                <w:w w:val="95"/>
              </w:rPr>
              <w:t>L-C Amount</w:t>
            </w:r>
            <w:r>
              <w:rPr>
                <w:rFonts w:ascii="Arial" w:cs="Arial" w:eastAsia="Arial" w:hAnsi="Arial"/>
                <w:sz w:val="22"/>
                <w:szCs w:val="22"/>
                <w:color w:val="auto"/>
                <w:w w:val="95"/>
              </w:rPr>
              <w:t>.  The initial L-C Amount shall be equal to the amount set forth in</w:t>
            </w:r>
          </w:p>
        </w:tc>
      </w:tr>
      <w:tr>
        <w:trPr>
          <w:trHeight w:val="223"/>
        </w:trPr>
        <w:tc>
          <w:tcPr>
            <w:tcW w:w="2560" w:type="dxa"/>
            <w:vAlign w:val="bottom"/>
            <w:gridSpan w:val="2"/>
          </w:tcPr>
          <w:p>
            <w:pPr>
              <w:jc w:val="right"/>
              <w:ind w:right="152"/>
              <w:spacing w:after="0" w:line="223" w:lineRule="exact"/>
              <w:rPr>
                <w:sz w:val="20"/>
                <w:szCs w:val="20"/>
                <w:color w:val="auto"/>
              </w:rPr>
            </w:pPr>
            <w:r>
              <w:rPr>
                <w:rFonts w:ascii="Arial" w:cs="Arial" w:eastAsia="Arial" w:hAnsi="Arial"/>
                <w:sz w:val="22"/>
                <w:szCs w:val="22"/>
                <w:color w:val="auto"/>
                <w:w w:val="87"/>
              </w:rPr>
              <w:t>Section 8 of the Summary.</w:t>
            </w:r>
          </w:p>
        </w:tc>
        <w:tc>
          <w:tcPr>
            <w:tcW w:w="16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39"/>
        </w:trPr>
        <w:tc>
          <w:tcPr>
            <w:tcW w:w="820" w:type="dxa"/>
            <w:vAlign w:val="bottom"/>
            <w:tcBorders>
              <w:top w:val="single" w:sz="8" w:color="auto"/>
            </w:tcBorders>
          </w:tcPr>
          <w:p>
            <w:pPr>
              <w:spacing w:after="0"/>
              <w:rPr>
                <w:sz w:val="24"/>
                <w:szCs w:val="24"/>
                <w:color w:val="auto"/>
              </w:rPr>
            </w:pPr>
          </w:p>
        </w:tc>
        <w:tc>
          <w:tcPr>
            <w:tcW w:w="1740" w:type="dxa"/>
            <w:vAlign w:val="bottom"/>
          </w:tcPr>
          <w:p>
            <w:pPr>
              <w:jc w:val="right"/>
              <w:ind w:right="152"/>
              <w:spacing w:after="0"/>
              <w:rPr>
                <w:sz w:val="20"/>
                <w:szCs w:val="20"/>
                <w:color w:val="auto"/>
              </w:rPr>
            </w:pPr>
            <w:r>
              <w:rPr>
                <w:rFonts w:ascii="Arial" w:cs="Arial" w:eastAsia="Arial" w:hAnsi="Arial"/>
                <w:sz w:val="22"/>
                <w:szCs w:val="22"/>
                <w:color w:val="auto"/>
              </w:rPr>
              <w:t>21.3.2</w:t>
            </w:r>
          </w:p>
        </w:tc>
        <w:tc>
          <w:tcPr>
            <w:tcW w:w="1680" w:type="dxa"/>
            <w:vAlign w:val="bottom"/>
          </w:tcPr>
          <w:p>
            <w:pPr>
              <w:spacing w:after="0"/>
              <w:rPr>
                <w:sz w:val="24"/>
                <w:szCs w:val="24"/>
                <w:color w:val="auto"/>
              </w:rPr>
            </w:pPr>
          </w:p>
        </w:tc>
        <w:tc>
          <w:tcPr>
            <w:tcW w:w="7180" w:type="dxa"/>
            <w:vAlign w:val="bottom"/>
            <w:gridSpan w:val="3"/>
          </w:tcPr>
          <w:p>
            <w:pPr>
              <w:spacing w:after="0" w:line="253" w:lineRule="exact"/>
              <w:rPr>
                <w:sz w:val="20"/>
                <w:szCs w:val="20"/>
                <w:color w:val="auto"/>
              </w:rPr>
            </w:pPr>
            <w:r>
              <w:rPr>
                <w:rFonts w:ascii="Arial" w:cs="Arial" w:eastAsia="Arial" w:hAnsi="Arial"/>
                <w:sz w:val="22"/>
                <w:szCs w:val="22"/>
                <w:b w:val="1"/>
                <w:bCs w:val="1"/>
                <w:color w:val="auto"/>
                <w:w w:val="92"/>
              </w:rPr>
              <w:t>Reduction of L</w:t>
            </w:r>
            <w:r>
              <w:rPr>
                <w:rFonts w:ascii="MS PGothic" w:cs="MS PGothic" w:eastAsia="MS PGothic" w:hAnsi="MS PGothic"/>
                <w:sz w:val="22"/>
                <w:szCs w:val="22"/>
                <w:b w:val="1"/>
                <w:bCs w:val="1"/>
                <w:color w:val="auto"/>
                <w:w w:val="92"/>
              </w:rPr>
              <w:t>‑</w:t>
            </w:r>
            <w:r>
              <w:rPr>
                <w:rFonts w:ascii="Arial" w:cs="Arial" w:eastAsia="Arial" w:hAnsi="Arial"/>
                <w:sz w:val="22"/>
                <w:szCs w:val="22"/>
                <w:b w:val="1"/>
                <w:bCs w:val="1"/>
                <w:color w:val="auto"/>
                <w:w w:val="92"/>
              </w:rPr>
              <w:t>C Amount</w:t>
            </w:r>
            <w:r>
              <w:rPr>
                <w:rFonts w:ascii="Arial" w:cs="Arial" w:eastAsia="Arial" w:hAnsi="Arial"/>
                <w:sz w:val="22"/>
                <w:szCs w:val="22"/>
                <w:color w:val="auto"/>
                <w:w w:val="92"/>
              </w:rPr>
              <w:t>. If Tenant is not in default under this Lease (beyond</w:t>
            </w:r>
          </w:p>
        </w:tc>
      </w:tr>
      <w:tr>
        <w:trPr>
          <w:trHeight w:val="20"/>
        </w:trPr>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the applicable notice and cure period set forth in this Lease) as of any “Date of Reduction” as shown in the following table, the L-C Amount shall be reduced as follows:</w:t>
      </w:r>
    </w:p>
    <w:tbl>
      <w:tblPr>
        <w:tblLayout w:type="fixed"/>
        <w:tblInd w:w="930" w:type="dxa"/>
        <w:tblCellMar>
          <w:top w:w="0" w:type="dxa"/>
          <w:left w:w="0" w:type="dxa"/>
          <w:bottom w:w="0" w:type="dxa"/>
          <w:right w:w="0" w:type="dxa"/>
        </w:tblCellMar>
      </w:tblPr>
      <w:tr>
        <w:trPr>
          <w:trHeight w:val="452"/>
        </w:trPr>
        <w:tc>
          <w:tcPr>
            <w:tcW w:w="334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22"/>
                <w:szCs w:val="22"/>
                <w:color w:val="auto"/>
                <w:w w:val="89"/>
              </w:rPr>
              <w:t>Date of Reduction</w:t>
            </w:r>
          </w:p>
        </w:tc>
        <w:tc>
          <w:tcPr>
            <w:tcW w:w="2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color w:val="auto"/>
                <w:w w:val="91"/>
              </w:rPr>
              <w:t>Amount of Reduction</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Remaining L-C Amount</w:t>
            </w:r>
          </w:p>
        </w:tc>
      </w:tr>
      <w:tr>
        <w:trPr>
          <w:trHeight w:val="431"/>
        </w:trPr>
        <w:tc>
          <w:tcPr>
            <w:tcW w:w="3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The day after the twentieth (20th) full</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$200,000.00</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$800,000.00</w:t>
            </w:r>
          </w:p>
        </w:tc>
      </w:tr>
      <w:tr>
        <w:trPr>
          <w:trHeight w:val="265"/>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calendar month of the Lease Term</w:t>
            </w:r>
          </w:p>
        </w:tc>
        <w:tc>
          <w:tcPr>
            <w:tcW w:w="2800" w:type="dxa"/>
            <w:vAlign w:val="bottom"/>
            <w:tcBorders>
              <w:bottom w:val="single" w:sz="8" w:color="auto"/>
              <w:right w:val="single" w:sz="8" w:color="auto"/>
            </w:tcBorders>
          </w:tcPr>
          <w:p>
            <w:pPr>
              <w:spacing w:after="0"/>
              <w:rPr>
                <w:sz w:val="23"/>
                <w:szCs w:val="23"/>
                <w:color w:val="auto"/>
              </w:rPr>
            </w:pPr>
          </w:p>
        </w:tc>
        <w:tc>
          <w:tcPr>
            <w:tcW w:w="4360" w:type="dxa"/>
            <w:vAlign w:val="bottom"/>
            <w:tcBorders>
              <w:bottom w:val="single" w:sz="8" w:color="auto"/>
              <w:right w:val="single" w:sz="8" w:color="auto"/>
            </w:tcBorders>
          </w:tcPr>
          <w:p>
            <w:pPr>
              <w:spacing w:after="0"/>
              <w:rPr>
                <w:sz w:val="23"/>
                <w:szCs w:val="23"/>
                <w:color w:val="auto"/>
              </w:rPr>
            </w:pPr>
          </w:p>
        </w:tc>
      </w:tr>
      <w:tr>
        <w:trPr>
          <w:trHeight w:val="431"/>
        </w:trPr>
        <w:tc>
          <w:tcPr>
            <w:tcW w:w="3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The day after the end of the thirty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$200,000.00</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$600,000.00</w:t>
            </w:r>
          </w:p>
        </w:tc>
      </w:tr>
      <w:tr>
        <w:trPr>
          <w:trHeight w:val="243"/>
        </w:trPr>
        <w:tc>
          <w:tcPr>
            <w:tcW w:w="334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second (32nd) full calendar month of</w:t>
            </w:r>
          </w:p>
        </w:tc>
        <w:tc>
          <w:tcPr>
            <w:tcW w:w="2800" w:type="dxa"/>
            <w:vAlign w:val="bottom"/>
            <w:tcBorders>
              <w:right w:val="single" w:sz="8" w:color="auto"/>
            </w:tcBorders>
          </w:tcPr>
          <w:p>
            <w:pPr>
              <w:spacing w:after="0"/>
              <w:rPr>
                <w:sz w:val="21"/>
                <w:szCs w:val="21"/>
                <w:color w:val="auto"/>
              </w:rPr>
            </w:pPr>
          </w:p>
        </w:tc>
        <w:tc>
          <w:tcPr>
            <w:tcW w:w="4360" w:type="dxa"/>
            <w:vAlign w:val="bottom"/>
            <w:tcBorders>
              <w:right w:val="single" w:sz="8" w:color="auto"/>
            </w:tcBorders>
          </w:tcPr>
          <w:p>
            <w:pPr>
              <w:spacing w:after="0"/>
              <w:rPr>
                <w:sz w:val="21"/>
                <w:szCs w:val="21"/>
                <w:color w:val="auto"/>
              </w:rPr>
            </w:pPr>
          </w:p>
        </w:tc>
      </w:tr>
      <w:tr>
        <w:trPr>
          <w:trHeight w:val="265"/>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the Lease Term</w:t>
            </w:r>
          </w:p>
        </w:tc>
        <w:tc>
          <w:tcPr>
            <w:tcW w:w="2800" w:type="dxa"/>
            <w:vAlign w:val="bottom"/>
            <w:tcBorders>
              <w:bottom w:val="single" w:sz="8" w:color="auto"/>
              <w:right w:val="single" w:sz="8" w:color="auto"/>
            </w:tcBorders>
          </w:tcPr>
          <w:p>
            <w:pPr>
              <w:spacing w:after="0"/>
              <w:rPr>
                <w:sz w:val="23"/>
                <w:szCs w:val="23"/>
                <w:color w:val="auto"/>
              </w:rPr>
            </w:pPr>
          </w:p>
        </w:tc>
        <w:tc>
          <w:tcPr>
            <w:tcW w:w="4360" w:type="dxa"/>
            <w:vAlign w:val="bottom"/>
            <w:tcBorders>
              <w:bottom w:val="single" w:sz="8" w:color="auto"/>
              <w:right w:val="single" w:sz="8" w:color="auto"/>
            </w:tcBorders>
          </w:tcPr>
          <w:p>
            <w:pPr>
              <w:spacing w:after="0"/>
              <w:rPr>
                <w:sz w:val="23"/>
                <w:szCs w:val="23"/>
                <w:color w:val="auto"/>
              </w:rPr>
            </w:pPr>
          </w:p>
        </w:tc>
      </w:tr>
      <w:tr>
        <w:trPr>
          <w:trHeight w:val="431"/>
        </w:trPr>
        <w:tc>
          <w:tcPr>
            <w:tcW w:w="3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The day after the forty fourth (44th)</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$300,000.00</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$300,000.00</w:t>
            </w:r>
          </w:p>
        </w:tc>
      </w:tr>
      <w:tr>
        <w:trPr>
          <w:trHeight w:val="265"/>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full calendar month of the Lease Term</w:t>
            </w:r>
          </w:p>
        </w:tc>
        <w:tc>
          <w:tcPr>
            <w:tcW w:w="2800" w:type="dxa"/>
            <w:vAlign w:val="bottom"/>
            <w:tcBorders>
              <w:bottom w:val="single" w:sz="8" w:color="auto"/>
              <w:right w:val="single" w:sz="8" w:color="auto"/>
            </w:tcBorders>
          </w:tcPr>
          <w:p>
            <w:pPr>
              <w:spacing w:after="0"/>
              <w:rPr>
                <w:sz w:val="23"/>
                <w:szCs w:val="23"/>
                <w:color w:val="auto"/>
              </w:rPr>
            </w:pPr>
          </w:p>
        </w:tc>
        <w:tc>
          <w:tcPr>
            <w:tcW w:w="4360" w:type="dxa"/>
            <w:vAlign w:val="bottom"/>
            <w:tcBorders>
              <w:bottom w:val="single" w:sz="8" w:color="auto"/>
              <w:right w:val="single" w:sz="8" w:color="auto"/>
            </w:tcBorders>
          </w:tcPr>
          <w:p>
            <w:pPr>
              <w:spacing w:after="0"/>
              <w:rPr>
                <w:sz w:val="23"/>
                <w:szCs w:val="23"/>
                <w:color w:val="auto"/>
              </w:rPr>
            </w:pPr>
          </w:p>
        </w:tc>
      </w:tr>
    </w:tbl>
    <w:p>
      <w:pPr>
        <w:spacing w:after="0" w:line="195" w:lineRule="exact"/>
        <w:rPr>
          <w:sz w:val="20"/>
          <w:szCs w:val="20"/>
          <w:color w:val="auto"/>
        </w:rPr>
      </w:pPr>
    </w:p>
    <w:p>
      <w:pPr>
        <w:jc w:val="both"/>
        <w:ind w:right="20" w:firstLine="2634"/>
        <w:spacing w:after="0" w:line="248" w:lineRule="exact"/>
        <w:rPr>
          <w:sz w:val="20"/>
          <w:szCs w:val="20"/>
          <w:color w:val="auto"/>
        </w:rPr>
      </w:pPr>
      <w:r>
        <w:rPr>
          <w:rFonts w:ascii="Arial" w:cs="Arial" w:eastAsia="Arial" w:hAnsi="Arial"/>
          <w:sz w:val="22"/>
          <w:szCs w:val="22"/>
          <w:color w:val="auto"/>
        </w:rPr>
        <w:t>To the extent that Tenant is not in default under this Lease (beyond the applicable notice and cure period set forth in this Lease) as of any of the foregoing Dates of Reduction and has not previously been in default (beyond any applicable notice and cure period) more than once, Tenant shall have the right to reduce the L</w:t>
      </w:r>
      <w:r>
        <w:rPr>
          <w:rFonts w:ascii="MS PGothic" w:cs="MS PGothic" w:eastAsia="MS PGothic" w:hAnsi="MS PGothic"/>
          <w:sz w:val="22"/>
          <w:szCs w:val="22"/>
          <w:color w:val="auto"/>
        </w:rPr>
        <w:t>‑</w:t>
      </w:r>
      <w:r>
        <w:rPr>
          <w:rFonts w:ascii="Arial" w:cs="Arial" w:eastAsia="Arial" w:hAnsi="Arial"/>
          <w:sz w:val="22"/>
          <w:szCs w:val="22"/>
          <w:color w:val="auto"/>
        </w:rPr>
        <w:t xml:space="preserve">C Amount as set forth above via the delivery to Landlord of either (x) an amendment to the existing L-C (in form and content reasonably acceptable to Landlord) modifying the L-C Amount to the amount then required under this </w:t>
      </w:r>
      <w:r>
        <w:rPr>
          <w:rFonts w:ascii="Arial" w:cs="Arial" w:eastAsia="Arial" w:hAnsi="Arial"/>
          <w:sz w:val="22"/>
          <w:szCs w:val="22"/>
          <w:u w:val="single" w:color="auto"/>
          <w:color w:val="auto"/>
        </w:rPr>
        <w:t>Article 21</w:t>
      </w:r>
      <w:r>
        <w:rPr>
          <w:rFonts w:ascii="Arial" w:cs="Arial" w:eastAsia="Arial" w:hAnsi="Arial"/>
          <w:sz w:val="22"/>
          <w:szCs w:val="22"/>
          <w:color w:val="auto"/>
        </w:rPr>
        <w:t>, or (y) an entirely new L-C (in the form and content otherwise required in this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-45-</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83" w:name="page84"/>
    <w:bookmarkEnd w:id="83"/>
    <w:p>
      <w:pPr>
        <w:jc w:val="both"/>
        <w:ind w:right="40"/>
        <w:spacing w:after="0" w:line="251" w:lineRule="auto"/>
        <w:rPr>
          <w:sz w:val="20"/>
          <w:szCs w:val="20"/>
          <w:color w:val="auto"/>
        </w:rPr>
      </w:pPr>
      <w:r>
        <w:rPr>
          <w:rFonts w:ascii="Arial" w:cs="Arial" w:eastAsia="Arial" w:hAnsi="Arial"/>
          <w:sz w:val="22"/>
          <w:szCs w:val="22"/>
          <w:u w:val="single" w:color="auto"/>
          <w:color w:val="auto"/>
        </w:rPr>
        <w:t>Article 21</w:t>
      </w:r>
      <w:r>
        <w:rPr>
          <w:rFonts w:ascii="Arial" w:cs="Arial" w:eastAsia="Arial" w:hAnsi="Arial"/>
          <w:sz w:val="22"/>
          <w:szCs w:val="22"/>
          <w:color w:val="auto"/>
        </w:rPr>
        <w:t xml:space="preserve">) in the total L-C Amount then required under this </w:t>
      </w:r>
      <w:r>
        <w:rPr>
          <w:rFonts w:ascii="Arial" w:cs="Arial" w:eastAsia="Arial" w:hAnsi="Arial"/>
          <w:sz w:val="22"/>
          <w:szCs w:val="22"/>
          <w:u w:val="single" w:color="auto"/>
          <w:color w:val="auto"/>
        </w:rPr>
        <w:t>Article 21</w:t>
      </w:r>
      <w:r>
        <w:rPr>
          <w:rFonts w:ascii="Arial" w:cs="Arial" w:eastAsia="Arial" w:hAnsi="Arial"/>
          <w:sz w:val="22"/>
          <w:szCs w:val="22"/>
          <w:color w:val="auto"/>
        </w:rPr>
        <w:t xml:space="preserve"> (in which case the existing L-C shall thereafter be terminated).</w:t>
      </w:r>
    </w:p>
    <w:p>
      <w:pPr>
        <w:spacing w:after="0" w:line="167" w:lineRule="exact"/>
        <w:rPr>
          <w:sz w:val="20"/>
          <w:szCs w:val="20"/>
          <w:color w:val="auto"/>
        </w:rPr>
      </w:pPr>
    </w:p>
    <w:p>
      <w:pPr>
        <w:jc w:val="both"/>
        <w:ind w:right="20" w:firstLine="1755"/>
        <w:spacing w:after="0" w:line="245" w:lineRule="exact"/>
        <w:rPr>
          <w:sz w:val="20"/>
          <w:szCs w:val="20"/>
          <w:color w:val="auto"/>
        </w:rPr>
      </w:pPr>
      <w:r>
        <w:rPr>
          <w:rFonts w:ascii="Arial" w:cs="Arial" w:eastAsia="Arial" w:hAnsi="Arial"/>
          <w:sz w:val="19"/>
          <w:szCs w:val="19"/>
          <w:color w:val="auto"/>
        </w:rPr>
        <w:t xml:space="preserve">21.3.3 </w:t>
      </w:r>
      <w:r>
        <w:rPr>
          <w:rFonts w:ascii="Arial" w:cs="Arial" w:eastAsia="Arial" w:hAnsi="Arial"/>
          <w:sz w:val="19"/>
          <w:szCs w:val="19"/>
          <w:b w:val="1"/>
          <w:bCs w:val="1"/>
          <w:u w:val="single" w:color="auto"/>
          <w:color w:val="auto"/>
        </w:rPr>
        <w:t>In General</w:t>
      </w:r>
      <w:r>
        <w:rPr>
          <w:rFonts w:ascii="Arial" w:cs="Arial" w:eastAsia="Arial" w:hAnsi="Arial"/>
          <w:sz w:val="19"/>
          <w:szCs w:val="19"/>
          <w:color w:val="auto"/>
        </w:rPr>
        <w:t xml:space="preserve">. If, as a result of any drawing by Landlord of all or any portion of the L-C, the amount of the L-C shall be less than the L-C Amount, Tenant shall, within five (5) business days thereafter, provide Landlord with additional letter(s) of credit in an amount equal to the deficiency, and any such additional letter(s) of credit shall comply with all of the provisions of this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and if Tenant fails to comply with the foregoing, the same shall be subject to the terms of this </w:t>
      </w:r>
      <w:r>
        <w:rPr>
          <w:rFonts w:ascii="Arial" w:cs="Arial" w:eastAsia="Arial" w:hAnsi="Arial"/>
          <w:sz w:val="19"/>
          <w:szCs w:val="19"/>
          <w:u w:val="single" w:color="auto"/>
          <w:color w:val="auto"/>
        </w:rPr>
        <w:t>Section 21.3.3</w:t>
      </w:r>
      <w:r>
        <w:rPr>
          <w:rFonts w:ascii="Arial" w:cs="Arial" w:eastAsia="Arial" w:hAnsi="Arial"/>
          <w:sz w:val="19"/>
          <w:szCs w:val="19"/>
          <w:color w:val="auto"/>
        </w:rPr>
        <w:t xml:space="preserve">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w:t>
      </w:r>
      <w:r>
        <w:rPr>
          <w:rFonts w:ascii="MS PGothic" w:cs="MS PGothic" w:eastAsia="MS PGothic" w:hAnsi="MS PGothic"/>
          <w:sz w:val="19"/>
          <w:szCs w:val="19"/>
          <w:color w:val="auto"/>
        </w:rPr>
        <w:t>‑</w:t>
      </w:r>
      <w:r>
        <w:rPr>
          <w:rFonts w:ascii="Arial" w:cs="Arial" w:eastAsia="Arial" w:hAnsi="Arial"/>
          <w:sz w:val="19"/>
          <w:szCs w:val="19"/>
          <w:color w:val="auto"/>
        </w:rPr>
        <w:t>C Expiration Date, Landlord will accept a renewal thereof (such renewal letter of credit to be in effect and delivered to Landlord, as applicable, not later than sixty (60) days prior to the expiration date of the L-C), which shall be irrevocable and automatically renewable as above provided through the L</w:t>
      </w:r>
      <w:r>
        <w:rPr>
          <w:rFonts w:ascii="MS PGothic" w:cs="MS PGothic" w:eastAsia="MS PGothic" w:hAnsi="MS PGothic"/>
          <w:sz w:val="19"/>
          <w:szCs w:val="19"/>
          <w:color w:val="auto"/>
        </w:rPr>
        <w:t>‑</w:t>
      </w:r>
      <w:r>
        <w:rPr>
          <w:rFonts w:ascii="Arial" w:cs="Arial" w:eastAsia="Arial" w:hAnsi="Arial"/>
          <w:sz w:val="19"/>
          <w:szCs w:val="19"/>
          <w:color w:val="auto"/>
        </w:rPr>
        <w:t>C Expiration Date upon the same terms as the expiring L</w:t>
      </w:r>
      <w:r>
        <w:rPr>
          <w:rFonts w:ascii="MS PGothic" w:cs="MS PGothic" w:eastAsia="MS PGothic" w:hAnsi="MS PGothic"/>
          <w:sz w:val="19"/>
          <w:szCs w:val="19"/>
          <w:color w:val="auto"/>
        </w:rPr>
        <w:t>‑</w:t>
      </w:r>
      <w:r>
        <w:rPr>
          <w:rFonts w:ascii="Arial" w:cs="Arial" w:eastAsia="Arial" w:hAnsi="Arial"/>
          <w:sz w:val="19"/>
          <w:szCs w:val="19"/>
          <w:color w:val="auto"/>
        </w:rPr>
        <w:t xml:space="preserve">C or such other terms as may be acceptable to Landlord in its sole discretion. If Tenant exercises its option to extend the Lease Term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of this Lease then, not later than sixty (60) days prior to the commencement of the Option Term, Tenant shall deliver to Landlord a new L C or certificate of renewal or extension evidencing the L-C Expiration Date as sixty (60) days after the expiration of the Option Term. However, if the L</w:t>
      </w:r>
      <w:r>
        <w:rPr>
          <w:rFonts w:ascii="MS PGothic" w:cs="MS PGothic" w:eastAsia="MS PGothic" w:hAnsi="MS PGothic"/>
          <w:sz w:val="19"/>
          <w:szCs w:val="19"/>
          <w:color w:val="auto"/>
        </w:rPr>
        <w:t>‑</w:t>
      </w:r>
      <w:r>
        <w:rPr>
          <w:rFonts w:ascii="Arial" w:cs="Arial" w:eastAsia="Arial" w:hAnsi="Arial"/>
          <w:sz w:val="19"/>
          <w:szCs w:val="19"/>
          <w:color w:val="auto"/>
        </w:rPr>
        <w:t>C is not timely renewed, or if Tenant fails to maintain the L</w:t>
      </w:r>
      <w:r>
        <w:rPr>
          <w:rFonts w:ascii="MS PGothic" w:cs="MS PGothic" w:eastAsia="MS PGothic" w:hAnsi="MS PGothic"/>
          <w:sz w:val="19"/>
          <w:szCs w:val="19"/>
          <w:color w:val="auto"/>
        </w:rPr>
        <w:t>‑</w:t>
      </w:r>
      <w:r>
        <w:rPr>
          <w:rFonts w:ascii="Arial" w:cs="Arial" w:eastAsia="Arial" w:hAnsi="Arial"/>
          <w:sz w:val="19"/>
          <w:szCs w:val="19"/>
          <w:color w:val="auto"/>
        </w:rPr>
        <w:t xml:space="preserve">C in the amount and in accordance with the terms set forth in this </w:t>
      </w:r>
      <w:r>
        <w:rPr>
          <w:rFonts w:ascii="Arial" w:cs="Arial" w:eastAsia="Arial" w:hAnsi="Arial"/>
          <w:sz w:val="19"/>
          <w:szCs w:val="19"/>
          <w:u w:val="single" w:color="auto"/>
          <w:color w:val="auto"/>
        </w:rPr>
        <w:t>Article 21</w:t>
      </w:r>
      <w:r>
        <w:rPr>
          <w:rFonts w:ascii="Arial" w:cs="Arial" w:eastAsia="Arial" w:hAnsi="Arial"/>
          <w:sz w:val="19"/>
          <w:szCs w:val="19"/>
          <w:color w:val="auto"/>
        </w:rPr>
        <w:t>, Landlord shall have the right to present the L</w:t>
      </w:r>
      <w:r>
        <w:rPr>
          <w:rFonts w:ascii="MS PGothic" w:cs="MS PGothic" w:eastAsia="MS PGothic" w:hAnsi="MS PGothic"/>
          <w:sz w:val="19"/>
          <w:szCs w:val="19"/>
          <w:color w:val="auto"/>
        </w:rPr>
        <w:t>‑</w:t>
      </w:r>
      <w:r>
        <w:rPr>
          <w:rFonts w:ascii="Arial" w:cs="Arial" w:eastAsia="Arial" w:hAnsi="Arial"/>
          <w:sz w:val="19"/>
          <w:szCs w:val="19"/>
          <w:color w:val="auto"/>
        </w:rPr>
        <w:t xml:space="preserve">C to the Bank in accordance with the terms of this </w:t>
      </w:r>
      <w:r>
        <w:rPr>
          <w:rFonts w:ascii="Arial" w:cs="Arial" w:eastAsia="Arial" w:hAnsi="Arial"/>
          <w:sz w:val="19"/>
          <w:szCs w:val="19"/>
          <w:u w:val="single" w:color="auto"/>
          <w:color w:val="auto"/>
        </w:rPr>
        <w:t>Article 21</w:t>
      </w:r>
      <w:r>
        <w:rPr>
          <w:rFonts w:ascii="Arial" w:cs="Arial" w:eastAsia="Arial" w:hAnsi="Arial"/>
          <w:sz w:val="19"/>
          <w:szCs w:val="19"/>
          <w:color w:val="auto"/>
        </w:rPr>
        <w:t>, and the proceeds of the L-C may be applied by Landlord against any Rent payable by Tenant under this Lease that is not paid when due and/or to pay for all losses and damages that Landlord has suffered as a result of any breach or default by Tenant under this Lease. In such event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w:t>
      </w:r>
    </w:p>
    <w:p>
      <w:pPr>
        <w:spacing w:after="0" w:line="233" w:lineRule="exact"/>
        <w:rPr>
          <w:sz w:val="20"/>
          <w:szCs w:val="20"/>
          <w:color w:val="auto"/>
        </w:rPr>
      </w:pPr>
    </w:p>
    <w:p>
      <w:pPr>
        <w:jc w:val="both"/>
        <w:ind w:right="20" w:firstLine="8"/>
        <w:spacing w:after="0" w:line="245" w:lineRule="exact"/>
        <w:tabs>
          <w:tab w:leader="none" w:pos="352" w:val="left"/>
        </w:tabs>
        <w:numPr>
          <w:ilvl w:val="0"/>
          <w:numId w:val="23"/>
        </w:numPr>
        <w:rPr>
          <w:rFonts w:ascii="Arial" w:cs="Arial" w:eastAsia="Arial" w:hAnsi="Arial"/>
          <w:sz w:val="21"/>
          <w:szCs w:val="21"/>
          <w:color w:val="auto"/>
        </w:rPr>
      </w:pPr>
      <w:r>
        <w:rPr>
          <w:rFonts w:ascii="Arial" w:cs="Arial" w:eastAsia="Arial" w:hAnsi="Arial"/>
          <w:sz w:val="21"/>
          <w:szCs w:val="21"/>
          <w:color w:val="auto"/>
        </w:rPr>
        <w:t>Landlord agrees to pay to Tenant within thirty (30) days after the L</w:t>
      </w:r>
      <w:r>
        <w:rPr>
          <w:rFonts w:ascii="MS PGothic" w:cs="MS PGothic" w:eastAsia="MS PGothic" w:hAnsi="MS PGothic"/>
          <w:sz w:val="21"/>
          <w:szCs w:val="21"/>
          <w:color w:val="auto"/>
        </w:rPr>
        <w:t>‑</w:t>
      </w:r>
      <w:r>
        <w:rPr>
          <w:rFonts w:ascii="Arial" w:cs="Arial" w:eastAsia="Arial" w:hAnsi="Arial"/>
          <w:sz w:val="21"/>
          <w:szCs w:val="21"/>
          <w:color w:val="auto"/>
        </w:rPr>
        <w:t>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w:t>
      </w:r>
      <w:r>
        <w:rPr>
          <w:rFonts w:ascii="MS PGothic" w:cs="MS PGothic" w:eastAsia="MS PGothic" w:hAnsi="MS PGothic"/>
          <w:sz w:val="21"/>
          <w:szCs w:val="21"/>
          <w:color w:val="auto"/>
        </w:rPr>
        <w:t>‑</w:t>
      </w:r>
      <w:r>
        <w:rPr>
          <w:rFonts w:ascii="Arial" w:cs="Arial" w:eastAsia="Arial" w:hAnsi="Arial"/>
          <w:sz w:val="21"/>
          <w:szCs w:val="21"/>
          <w:color w:val="auto"/>
        </w:rPr>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181" w:lineRule="exact"/>
        <w:rPr>
          <w:sz w:val="20"/>
          <w:szCs w:val="20"/>
          <w:color w:val="auto"/>
        </w:rPr>
      </w:pPr>
    </w:p>
    <w:p>
      <w:pPr>
        <w:jc w:val="both"/>
        <w:ind w:right="20" w:firstLine="877"/>
        <w:spacing w:after="0" w:line="237"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b w:val="1"/>
          <w:bCs w:val="1"/>
          <w:u w:val="single" w:color="auto"/>
          <w:color w:val="auto"/>
        </w:rPr>
        <w:t>Transfer and Encumbrance</w:t>
      </w:r>
      <w:r>
        <w:rPr>
          <w:rFonts w:ascii="Arial" w:cs="Arial" w:eastAsia="Arial" w:hAnsi="Arial"/>
          <w:sz w:val="22"/>
          <w:szCs w:val="22"/>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or in part, to the transferee and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-46-</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84" w:name="page85"/>
    <w:bookmarkEnd w:id="84"/>
    <w:p>
      <w:pPr>
        <w:jc w:val="both"/>
        <w:ind w:right="20"/>
        <w:spacing w:after="0" w:line="235" w:lineRule="auto"/>
        <w:rPr>
          <w:sz w:val="20"/>
          <w:szCs w:val="20"/>
          <w:color w:val="auto"/>
        </w:rPr>
      </w:pPr>
      <w:r>
        <w:rPr>
          <w:rFonts w:ascii="Arial" w:cs="Arial" w:eastAsia="Arial" w:hAnsi="Arial"/>
          <w:sz w:val="22"/>
          <w:szCs w:val="22"/>
          <w:color w:val="auto"/>
        </w:rPr>
        <w:t>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Landlord’s sole cost and expense, execute and submit to the Bank such applications, documents and instruments as may be necessary to effectuate such transfer and, Landlord shall be responsible for paying the Bank's commercially reasonable transfer and processing fees (not to exceed $2,500.00 in each instance) in connection therewith.</w:t>
      </w:r>
    </w:p>
    <w:p>
      <w:pPr>
        <w:spacing w:after="0" w:line="182" w:lineRule="exact"/>
        <w:rPr>
          <w:sz w:val="20"/>
          <w:szCs w:val="20"/>
          <w:color w:val="auto"/>
        </w:rPr>
      </w:pPr>
    </w:p>
    <w:p>
      <w:pPr>
        <w:jc w:val="both"/>
        <w:ind w:right="20" w:firstLine="877"/>
        <w:spacing w:after="0" w:line="245" w:lineRule="exact"/>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b w:val="1"/>
          <w:bCs w:val="1"/>
          <w:u w:val="single" w:color="auto"/>
          <w:color w:val="auto"/>
        </w:rPr>
        <w:t>L-C Not a Security Deposit</w:t>
      </w:r>
      <w:r>
        <w:rPr>
          <w:rFonts w:ascii="Arial" w:cs="Arial" w:eastAsia="Arial" w:hAnsi="Arial"/>
          <w:sz w:val="19"/>
          <w:szCs w:val="19"/>
          <w:color w:val="auto"/>
        </w:rPr>
        <w:t>. Landlord and Tenant (1) acknowledge and agree that in no event or circumstance shall the L</w:t>
      </w:r>
      <w:r>
        <w:rPr>
          <w:rFonts w:ascii="MS PGothic" w:cs="MS PGothic" w:eastAsia="MS PGothic" w:hAnsi="MS PGothic"/>
          <w:sz w:val="19"/>
          <w:szCs w:val="19"/>
          <w:color w:val="auto"/>
        </w:rPr>
        <w:t>‑</w:t>
      </w:r>
      <w:r>
        <w:rPr>
          <w:rFonts w:ascii="Arial" w:cs="Arial" w:eastAsia="Arial" w:hAnsi="Arial"/>
          <w:sz w:val="19"/>
          <w:szCs w:val="19"/>
          <w:color w:val="auto"/>
        </w:rPr>
        <w:t>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9"/>
          <w:szCs w:val="19"/>
          <w:b w:val="1"/>
          <w:bCs w:val="1"/>
          <w:u w:val="single" w:color="auto"/>
          <w:color w:val="auto"/>
        </w:rPr>
        <w:t>Security Deposit Laws</w:t>
      </w:r>
      <w:r>
        <w:rPr>
          <w:rFonts w:ascii="Arial" w:cs="Arial" w:eastAsia="Arial" w:hAnsi="Arial"/>
          <w:sz w:val="19"/>
          <w:szCs w:val="19"/>
          <w:u w:val="single" w:color="auto"/>
          <w:color w:val="auto"/>
        </w:rPr>
        <w:t>”</w:t>
      </w:r>
      <w:r>
        <w:rPr>
          <w:rFonts w:ascii="Arial" w:cs="Arial" w:eastAsia="Arial" w:hAnsi="Arial"/>
          <w:sz w:val="19"/>
          <w:szCs w:val="19"/>
          <w:color w:val="auto"/>
        </w:rPr>
        <w:t>), (2) acknowledge and agree that the L</w:t>
      </w:r>
      <w:r>
        <w:rPr>
          <w:rFonts w:ascii="MS PGothic" w:cs="MS PGothic" w:eastAsia="MS PGothic" w:hAnsi="MS PGothic"/>
          <w:sz w:val="19"/>
          <w:szCs w:val="19"/>
          <w:color w:val="auto"/>
        </w:rPr>
        <w:t>‑</w:t>
      </w:r>
      <w:r>
        <w:rPr>
          <w:rFonts w:ascii="Arial" w:cs="Arial" w:eastAsia="Arial" w:hAnsi="Arial"/>
          <w:sz w:val="19"/>
          <w:szCs w:val="19"/>
          <w:color w:val="auto"/>
        </w:rPr>
        <w:t>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w:t>
      </w:r>
    </w:p>
    <w:p>
      <w:pPr>
        <w:spacing w:after="0" w:line="8" w:lineRule="exact"/>
        <w:rPr>
          <w:sz w:val="20"/>
          <w:szCs w:val="20"/>
          <w:color w:val="auto"/>
        </w:rPr>
      </w:pPr>
    </w:p>
    <w:p>
      <w:pPr>
        <w:jc w:val="both"/>
        <w:ind w:right="20" w:firstLine="8"/>
        <w:spacing w:after="0" w:line="273" w:lineRule="auto"/>
        <w:tabs>
          <w:tab w:leader="none" w:pos="306"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spacing w:after="0" w:line="154" w:lineRule="exact"/>
        <w:rPr>
          <w:sz w:val="20"/>
          <w:szCs w:val="20"/>
          <w:color w:val="auto"/>
        </w:rPr>
      </w:pPr>
    </w:p>
    <w:p>
      <w:pPr>
        <w:jc w:val="both"/>
        <w:ind w:right="20" w:firstLine="877"/>
        <w:spacing w:after="0" w:line="249" w:lineRule="exact"/>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b w:val="1"/>
          <w:bCs w:val="1"/>
          <w:u w:val="single" w:color="auto"/>
          <w:color w:val="auto"/>
        </w:rPr>
        <w:t>Non-Interference By Tenant</w:t>
      </w:r>
      <w:r>
        <w:rPr>
          <w:rFonts w:ascii="Arial" w:cs="Arial" w:eastAsia="Arial" w:hAnsi="Arial"/>
          <w:sz w:val="22"/>
          <w:szCs w:val="22"/>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w:t>
      </w:r>
      <w:r>
        <w:rPr>
          <w:rFonts w:ascii="MS PGothic" w:cs="MS PGothic" w:eastAsia="MS PGothic" w:hAnsi="MS PGothic"/>
          <w:sz w:val="22"/>
          <w:szCs w:val="22"/>
          <w:color w:val="auto"/>
        </w:rPr>
        <w:t>‑</w:t>
      </w:r>
      <w:r>
        <w:rPr>
          <w:rFonts w:ascii="Arial" w:cs="Arial" w:eastAsia="Arial" w:hAnsi="Arial"/>
          <w:sz w:val="22"/>
          <w:szCs w:val="22"/>
          <w:color w:val="auto"/>
        </w:rPr>
        <w:t>C conditional and thereby afford the Bank a justification for failing to honor a drawing upon such L-C in a timely manner. Tenant shall not request or instruct the Bank of any L</w:t>
      </w:r>
      <w:r>
        <w:rPr>
          <w:rFonts w:ascii="MS PGothic" w:cs="MS PGothic" w:eastAsia="MS PGothic" w:hAnsi="MS PGothic"/>
          <w:sz w:val="22"/>
          <w:szCs w:val="22"/>
          <w:color w:val="auto"/>
        </w:rPr>
        <w:t>‑</w:t>
      </w:r>
      <w:r>
        <w:rPr>
          <w:rFonts w:ascii="Arial" w:cs="Arial" w:eastAsia="Arial" w:hAnsi="Arial"/>
          <w:sz w:val="22"/>
          <w:szCs w:val="22"/>
          <w:color w:val="auto"/>
        </w:rPr>
        <w:t>C to refrain from paying sight draft(s) drawn under such L</w:t>
      </w:r>
      <w:r>
        <w:rPr>
          <w:rFonts w:ascii="MS PGothic" w:cs="MS PGothic" w:eastAsia="MS PGothic" w:hAnsi="MS PGothic"/>
          <w:sz w:val="22"/>
          <w:szCs w:val="22"/>
          <w:color w:val="auto"/>
        </w:rPr>
        <w:t>‑</w:t>
      </w:r>
      <w:r>
        <w:rPr>
          <w:rFonts w:ascii="Arial" w:cs="Arial" w:eastAsia="Arial" w:hAnsi="Arial"/>
          <w:sz w:val="22"/>
          <w:szCs w:val="22"/>
          <w:color w:val="auto"/>
        </w:rPr>
        <w:t>C.</w:t>
      </w:r>
    </w:p>
    <w:p>
      <w:pPr>
        <w:spacing w:after="0" w:line="182" w:lineRule="exact"/>
        <w:rPr>
          <w:sz w:val="20"/>
          <w:szCs w:val="20"/>
          <w:color w:val="auto"/>
        </w:rPr>
      </w:pPr>
    </w:p>
    <w:p>
      <w:pPr>
        <w:jc w:val="both"/>
        <w:ind w:right="20" w:firstLine="877"/>
        <w:spacing w:after="0" w:line="262" w:lineRule="exact"/>
        <w:rPr>
          <w:sz w:val="20"/>
          <w:szCs w:val="20"/>
          <w:color w:val="auto"/>
        </w:rPr>
      </w:pPr>
      <w:r>
        <w:rPr>
          <w:rFonts w:ascii="Arial" w:cs="Arial" w:eastAsia="Arial" w:hAnsi="Arial"/>
          <w:sz w:val="21"/>
          <w:szCs w:val="21"/>
          <w:color w:val="auto"/>
        </w:rPr>
        <w:t xml:space="preserve">21.7 </w:t>
      </w:r>
      <w:r>
        <w:rPr>
          <w:rFonts w:ascii="Arial" w:cs="Arial" w:eastAsia="Arial" w:hAnsi="Arial"/>
          <w:sz w:val="21"/>
          <w:szCs w:val="21"/>
          <w:b w:val="1"/>
          <w:bCs w:val="1"/>
          <w:u w:val="single" w:color="auto"/>
          <w:color w:val="auto"/>
        </w:rPr>
        <w:t>Waiver of Certain Relief</w:t>
      </w:r>
      <w:r>
        <w:rPr>
          <w:rFonts w:ascii="Arial" w:cs="Arial" w:eastAsia="Arial" w:hAnsi="Arial"/>
          <w:sz w:val="21"/>
          <w:szCs w:val="21"/>
          <w:color w:val="auto"/>
        </w:rPr>
        <w:t>. Tenant unconditionally and irrevocably waives (and as an independent covenant hereunder, covenants not to assert) any right to claim or obtain any of the following relief in connection with the L</w:t>
      </w:r>
      <w:r>
        <w:rPr>
          <w:rFonts w:ascii="MS PGothic" w:cs="MS PGothic" w:eastAsia="MS PGothic" w:hAnsi="MS PGothic"/>
          <w:sz w:val="21"/>
          <w:szCs w:val="21"/>
          <w:color w:val="auto"/>
        </w:rPr>
        <w:t>‑</w:t>
      </w:r>
      <w:r>
        <w:rPr>
          <w:rFonts w:ascii="Arial" w:cs="Arial" w:eastAsia="Arial" w:hAnsi="Arial"/>
          <w:sz w:val="21"/>
          <w:szCs w:val="21"/>
          <w:color w:val="auto"/>
        </w:rPr>
        <w:t>C:</w:t>
      </w:r>
    </w:p>
    <w:p>
      <w:pPr>
        <w:spacing w:after="0" w:line="185" w:lineRule="exact"/>
        <w:rPr>
          <w:sz w:val="20"/>
          <w:szCs w:val="20"/>
          <w:color w:val="auto"/>
        </w:rPr>
      </w:pPr>
    </w:p>
    <w:p>
      <w:pPr>
        <w:jc w:val="both"/>
        <w:ind w:right="40" w:firstLine="1755"/>
        <w:spacing w:after="0" w:line="253" w:lineRule="exact"/>
        <w:rPr>
          <w:sz w:val="20"/>
          <w:szCs w:val="20"/>
          <w:color w:val="auto"/>
        </w:rPr>
      </w:pPr>
      <w:r>
        <w:rPr>
          <w:rFonts w:ascii="Arial" w:cs="Arial" w:eastAsia="Arial" w:hAnsi="Arial"/>
          <w:sz w:val="22"/>
          <w:szCs w:val="22"/>
          <w:color w:val="auto"/>
        </w:rPr>
        <w:t>21.7.1 A temporary restraining order, temporary injunction, permanent injunction, or other order that would prevent, restrain or restrict the presentment of sight drafts drawn under any L</w:t>
      </w:r>
      <w:r>
        <w:rPr>
          <w:rFonts w:ascii="MS PGothic" w:cs="MS PGothic" w:eastAsia="MS PGothic" w:hAnsi="MS PGothic"/>
          <w:sz w:val="22"/>
          <w:szCs w:val="22"/>
          <w:color w:val="auto"/>
        </w:rPr>
        <w:t>‑</w:t>
      </w:r>
      <w:r>
        <w:rPr>
          <w:rFonts w:ascii="Arial" w:cs="Arial" w:eastAsia="Arial" w:hAnsi="Arial"/>
          <w:sz w:val="22"/>
          <w:szCs w:val="22"/>
          <w:color w:val="auto"/>
        </w:rPr>
        <w:t>C or the Bank's honoring or payment of sight draft(s); or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-47-</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85" w:name="page86"/>
    <w:bookmarkEnd w:id="85"/>
    <w:p>
      <w:pPr>
        <w:jc w:val="both"/>
        <w:ind w:right="20" w:firstLine="1755"/>
        <w:spacing w:after="0" w:line="253" w:lineRule="exact"/>
        <w:rPr>
          <w:sz w:val="20"/>
          <w:szCs w:val="20"/>
          <w:color w:val="auto"/>
        </w:rPr>
      </w:pPr>
      <w:r>
        <w:rPr>
          <w:rFonts w:ascii="Arial" w:cs="Arial" w:eastAsia="Arial" w:hAnsi="Arial"/>
          <w:sz w:val="22"/>
          <w:szCs w:val="22"/>
          <w:color w:val="auto"/>
        </w:rPr>
        <w:t>21.7.2 Any attachment, garnishment, or levy in any manner upon either the proceeds of any L</w:t>
      </w:r>
      <w:r>
        <w:rPr>
          <w:rFonts w:ascii="MS PGothic" w:cs="MS PGothic" w:eastAsia="MS PGothic" w:hAnsi="MS PGothic"/>
          <w:sz w:val="22"/>
          <w:szCs w:val="22"/>
          <w:color w:val="auto"/>
        </w:rPr>
        <w:t>‑</w:t>
      </w:r>
      <w:r>
        <w:rPr>
          <w:rFonts w:ascii="Arial" w:cs="Arial" w:eastAsia="Arial" w:hAnsi="Arial"/>
          <w:sz w:val="22"/>
          <w:szCs w:val="22"/>
          <w:color w:val="auto"/>
        </w:rPr>
        <w:t>C or the obligations of the Bank (either before or after the presentment to the Bank of sight drafts drawn under such L</w:t>
      </w:r>
      <w:r>
        <w:rPr>
          <w:rFonts w:ascii="MS PGothic" w:cs="MS PGothic" w:eastAsia="MS PGothic" w:hAnsi="MS PGothic"/>
          <w:sz w:val="22"/>
          <w:szCs w:val="22"/>
          <w:color w:val="auto"/>
        </w:rPr>
        <w:t>‑</w:t>
      </w:r>
      <w:r>
        <w:rPr>
          <w:rFonts w:ascii="Arial" w:cs="Arial" w:eastAsia="Arial" w:hAnsi="Arial"/>
          <w:sz w:val="22"/>
          <w:szCs w:val="22"/>
          <w:color w:val="auto"/>
        </w:rPr>
        <w:t>C) based on any theory whatever.</w:t>
      </w:r>
    </w:p>
    <w:p>
      <w:pPr>
        <w:spacing w:after="0" w:line="180" w:lineRule="exact"/>
        <w:rPr>
          <w:sz w:val="20"/>
          <w:szCs w:val="20"/>
          <w:color w:val="auto"/>
        </w:rPr>
      </w:pPr>
    </w:p>
    <w:p>
      <w:pPr>
        <w:jc w:val="both"/>
        <w:ind w:right="20" w:firstLine="877"/>
        <w:spacing w:after="0" w:line="248" w:lineRule="exact"/>
        <w:rPr>
          <w:sz w:val="20"/>
          <w:szCs w:val="20"/>
          <w:color w:val="auto"/>
        </w:rPr>
      </w:pPr>
      <w:r>
        <w:rPr>
          <w:rFonts w:ascii="Arial" w:cs="Arial" w:eastAsia="Arial" w:hAnsi="Arial"/>
          <w:sz w:val="19"/>
          <w:szCs w:val="19"/>
          <w:color w:val="auto"/>
        </w:rPr>
        <w:t xml:space="preserve">21.8 </w:t>
      </w:r>
      <w:r>
        <w:rPr>
          <w:rFonts w:ascii="Arial" w:cs="Arial" w:eastAsia="Arial" w:hAnsi="Arial"/>
          <w:sz w:val="19"/>
          <w:szCs w:val="19"/>
          <w:b w:val="1"/>
          <w:bCs w:val="1"/>
          <w:u w:val="single" w:color="auto"/>
          <w:color w:val="auto"/>
        </w:rPr>
        <w:t>Remedy for Improper Drafts</w:t>
      </w:r>
      <w:r>
        <w:rPr>
          <w:rFonts w:ascii="Arial" w:cs="Arial" w:eastAsia="Arial" w:hAnsi="Arial"/>
          <w:sz w:val="19"/>
          <w:szCs w:val="19"/>
          <w:color w:val="auto"/>
        </w:rPr>
        <w:t>. Tenant's sole remedy in connection with the improper presentment or payment of sight drafts drawn under any L</w:t>
      </w:r>
      <w:r>
        <w:rPr>
          <w:rFonts w:ascii="MS PGothic" w:cs="MS PGothic" w:eastAsia="MS PGothic" w:hAnsi="MS PGothic"/>
          <w:sz w:val="19"/>
          <w:szCs w:val="19"/>
          <w:color w:val="auto"/>
        </w:rPr>
        <w:t>‑</w:t>
      </w:r>
      <w:r>
        <w:rPr>
          <w:rFonts w:ascii="Arial" w:cs="Arial" w:eastAsia="Arial" w:hAnsi="Arial"/>
          <w:sz w:val="19"/>
          <w:szCs w:val="19"/>
          <w:color w:val="auto"/>
        </w:rPr>
        <w:t>C shall be the right to obtain from Landlord a refund of the amount of any sight draft(s) that were improperly presented or the proceeds of which were misapplied, and reasonable actual out-of-pocket attorneys' fees and other costs. Tenant acknowledges that the presentment of sight drafts drawn under any L</w:t>
      </w:r>
      <w:r>
        <w:rPr>
          <w:rFonts w:ascii="MS PGothic" w:cs="MS PGothic" w:eastAsia="MS PGothic" w:hAnsi="MS PGothic"/>
          <w:sz w:val="19"/>
          <w:szCs w:val="19"/>
          <w:color w:val="auto"/>
        </w:rPr>
        <w:t>‑</w:t>
      </w:r>
      <w:r>
        <w:rPr>
          <w:rFonts w:ascii="Arial" w:cs="Arial" w:eastAsia="Arial" w:hAnsi="Arial"/>
          <w:sz w:val="19"/>
          <w:szCs w:val="19"/>
          <w:color w:val="auto"/>
        </w:rPr>
        <w:t>C, or the Bank's payment of sight drafts drawn under such L</w:t>
      </w:r>
      <w:r>
        <w:rPr>
          <w:rFonts w:ascii="MS PGothic" w:cs="MS PGothic" w:eastAsia="MS PGothic" w:hAnsi="MS PGothic"/>
          <w:sz w:val="19"/>
          <w:szCs w:val="19"/>
          <w:color w:val="auto"/>
        </w:rPr>
        <w:t>‑</w:t>
      </w:r>
      <w:r>
        <w:rPr>
          <w:rFonts w:ascii="Arial" w:cs="Arial" w:eastAsia="Arial" w:hAnsi="Arial"/>
          <w:sz w:val="19"/>
          <w:szCs w:val="19"/>
          <w:color w:val="auto"/>
        </w:rPr>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160" w:type="dxa"/>
            <w:vAlign w:val="bottom"/>
            <w:gridSpan w:val="4"/>
          </w:tcPr>
          <w:p>
            <w:pPr>
              <w:jc w:val="center"/>
              <w:ind w:right="4240"/>
              <w:spacing w:after="0"/>
              <w:rPr>
                <w:sz w:val="20"/>
                <w:szCs w:val="20"/>
                <w:color w:val="auto"/>
              </w:rPr>
            </w:pPr>
            <w:r>
              <w:rPr>
                <w:rFonts w:ascii="Arial" w:cs="Arial" w:eastAsia="Arial" w:hAnsi="Arial"/>
                <w:sz w:val="22"/>
                <w:szCs w:val="22"/>
                <w:b w:val="1"/>
                <w:bCs w:val="1"/>
                <w:color w:val="auto"/>
                <w:w w:val="98"/>
              </w:rPr>
              <w:t>ARTICLE 22</w:t>
            </w:r>
          </w:p>
        </w:tc>
      </w:tr>
      <w:tr>
        <w:trPr>
          <w:trHeight w:val="436"/>
        </w:trPr>
        <w:tc>
          <w:tcPr>
            <w:tcW w:w="1040" w:type="dxa"/>
            <w:vAlign w:val="bottom"/>
          </w:tcPr>
          <w:p>
            <w:pPr>
              <w:spacing w:after="0"/>
              <w:rPr>
                <w:sz w:val="24"/>
                <w:szCs w:val="24"/>
                <w:color w:val="auto"/>
              </w:rPr>
            </w:pPr>
          </w:p>
        </w:tc>
        <w:tc>
          <w:tcPr>
            <w:tcW w:w="9500" w:type="dxa"/>
            <w:vAlign w:val="bottom"/>
            <w:gridSpan w:val="5"/>
          </w:tcPr>
          <w:p>
            <w:pPr>
              <w:jc w:val="center"/>
              <w:ind w:right="1900"/>
              <w:spacing w:after="0"/>
              <w:rPr>
                <w:sz w:val="20"/>
                <w:szCs w:val="20"/>
                <w:color w:val="auto"/>
              </w:rPr>
            </w:pPr>
            <w:r>
              <w:rPr>
                <w:rFonts w:ascii="Arial" w:cs="Arial" w:eastAsia="Arial" w:hAnsi="Arial"/>
                <w:sz w:val="22"/>
                <w:szCs w:val="22"/>
                <w:b w:val="1"/>
                <w:bCs w:val="1"/>
                <w:color w:val="auto"/>
              </w:rPr>
              <w:t>INTENTIONALLY OMITTED</w:t>
            </w:r>
          </w:p>
        </w:tc>
      </w:tr>
      <w:tr>
        <w:trPr>
          <w:trHeight w:val="490"/>
        </w:trPr>
        <w:tc>
          <w:tcPr>
            <w:tcW w:w="1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2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8"/>
              </w:rPr>
              <w:t>ARTICLE 23</w:t>
            </w:r>
          </w:p>
        </w:tc>
        <w:tc>
          <w:tcPr>
            <w:tcW w:w="4240" w:type="dxa"/>
            <w:vAlign w:val="bottom"/>
          </w:tcPr>
          <w:p>
            <w:pPr>
              <w:spacing w:after="0"/>
              <w:rPr>
                <w:sz w:val="24"/>
                <w:szCs w:val="24"/>
                <w:color w:val="auto"/>
              </w:rPr>
            </w:pPr>
          </w:p>
        </w:tc>
      </w:tr>
      <w:tr>
        <w:trPr>
          <w:trHeight w:val="436"/>
        </w:trPr>
        <w:tc>
          <w:tcPr>
            <w:tcW w:w="1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SIGNS</w:t>
            </w:r>
          </w:p>
        </w:tc>
        <w:tc>
          <w:tcPr>
            <w:tcW w:w="5380" w:type="dxa"/>
            <w:vAlign w:val="bottom"/>
            <w:gridSpan w:val="2"/>
          </w:tcPr>
          <w:p>
            <w:pPr>
              <w:spacing w:after="0"/>
              <w:rPr>
                <w:sz w:val="24"/>
                <w:szCs w:val="24"/>
                <w:color w:val="auto"/>
              </w:rPr>
            </w:pPr>
          </w:p>
        </w:tc>
      </w:tr>
      <w:tr>
        <w:trPr>
          <w:trHeight w:val="476"/>
        </w:trPr>
        <w:tc>
          <w:tcPr>
            <w:tcW w:w="1040" w:type="dxa"/>
            <w:vAlign w:val="bottom"/>
          </w:tcPr>
          <w:p>
            <w:pPr>
              <w:jc w:val="right"/>
              <w:ind w:right="552"/>
              <w:spacing w:after="0"/>
              <w:rPr>
                <w:sz w:val="20"/>
                <w:szCs w:val="20"/>
                <w:color w:val="auto"/>
              </w:rPr>
            </w:pPr>
            <w:r>
              <w:rPr>
                <w:rFonts w:ascii="Arial" w:cs="Arial" w:eastAsia="Arial" w:hAnsi="Arial"/>
                <w:sz w:val="22"/>
                <w:szCs w:val="22"/>
                <w:color w:val="auto"/>
                <w:w w:val="83"/>
              </w:rPr>
              <w:t>23.1</w:t>
            </w:r>
          </w:p>
        </w:tc>
        <w:tc>
          <w:tcPr>
            <w:tcW w:w="9500" w:type="dxa"/>
            <w:vAlign w:val="bottom"/>
            <w:gridSpan w:val="5"/>
          </w:tcPr>
          <w:p>
            <w:pPr>
              <w:ind w:left="640"/>
              <w:spacing w:after="0"/>
              <w:rPr>
                <w:sz w:val="20"/>
                <w:szCs w:val="20"/>
                <w:color w:val="auto"/>
              </w:rPr>
            </w:pPr>
            <w:r>
              <w:rPr>
                <w:rFonts w:ascii="Arial" w:cs="Arial" w:eastAsia="Arial" w:hAnsi="Arial"/>
                <w:sz w:val="22"/>
                <w:szCs w:val="22"/>
                <w:b w:val="1"/>
                <w:bCs w:val="1"/>
                <w:color w:val="auto"/>
                <w:w w:val="89"/>
              </w:rPr>
              <w:t>Suite Signage</w:t>
            </w:r>
            <w:r>
              <w:rPr>
                <w:rFonts w:ascii="Arial" w:cs="Arial" w:eastAsia="Arial" w:hAnsi="Arial"/>
                <w:sz w:val="22"/>
                <w:szCs w:val="22"/>
                <w:color w:val="auto"/>
                <w:w w:val="89"/>
              </w:rPr>
              <w:t>. Subject to Landlord's prior written approval, in its reasonable discretion as to location</w:t>
            </w:r>
          </w:p>
        </w:tc>
      </w:tr>
    </w:tbl>
    <w:p>
      <w:pPr>
        <w:jc w:val="both"/>
        <w:ind w:right="20"/>
        <w:spacing w:after="0" w:line="233" w:lineRule="auto"/>
        <w:rPr>
          <w:sz w:val="20"/>
          <w:szCs w:val="20"/>
          <w:color w:val="auto"/>
        </w:rPr>
      </w:pPr>
      <w:r>
        <w:rPr>
          <w:rFonts w:ascii="Arial" w:cs="Arial" w:eastAsia="Arial" w:hAnsi="Arial"/>
          <w:sz w:val="22"/>
          <w:szCs w:val="22"/>
          <w:color w:val="auto"/>
        </w:rPr>
        <w:t>and design, and provided all signs are in keeping with the quality, design and style of the Building and Project, Tenant, if the Premises comprise an entire floor of the Building, at Landlord’s sole cost and expense, may install identification signage anywhere in the Premises including in the elevator lobby of the Premises, provided that such signs must not be visible from the exterior of the Building.</w:t>
      </w:r>
    </w:p>
    <w:p>
      <w:pPr>
        <w:spacing w:after="0" w:line="182" w:lineRule="exact"/>
        <w:rPr>
          <w:sz w:val="20"/>
          <w:szCs w:val="20"/>
          <w:color w:val="auto"/>
        </w:rPr>
      </w:pPr>
    </w:p>
    <w:p>
      <w:pPr>
        <w:jc w:val="both"/>
        <w:ind w:right="20" w:firstLine="877"/>
        <w:spacing w:after="0" w:line="254" w:lineRule="auto"/>
        <w:rPr>
          <w:sz w:val="20"/>
          <w:szCs w:val="20"/>
          <w:color w:val="auto"/>
        </w:rPr>
      </w:pPr>
      <w:r>
        <w:rPr>
          <w:rFonts w:ascii="Arial" w:cs="Arial" w:eastAsia="Arial" w:hAnsi="Arial"/>
          <w:sz w:val="21"/>
          <w:szCs w:val="21"/>
          <w:color w:val="auto"/>
        </w:rPr>
        <w:t xml:space="preserve">23.2 </w:t>
      </w:r>
      <w:r>
        <w:rPr>
          <w:rFonts w:ascii="Arial" w:cs="Arial" w:eastAsia="Arial" w:hAnsi="Arial"/>
          <w:sz w:val="21"/>
          <w:szCs w:val="21"/>
          <w:b w:val="1"/>
          <w:bCs w:val="1"/>
          <w:u w:val="single" w:color="auto"/>
          <w:color w:val="auto"/>
        </w:rPr>
        <w:t>Multi-Tenant Floors</w:t>
      </w:r>
      <w:r>
        <w:rPr>
          <w:rFonts w:ascii="Arial" w:cs="Arial" w:eastAsia="Arial" w:hAnsi="Arial"/>
          <w:sz w:val="21"/>
          <w:szCs w:val="21"/>
          <w:color w:val="auto"/>
        </w:rPr>
        <w:t>. If other tenants occupy space on the floor on which the Premises is located, Tenant's identifying signage shall be provided by Landlord, at Landlord's initial cost (but Tenant shall be responsible for the cost of any replacement or changes to such signage), and such signage shall be comparable to that used by Landlord for other similar floors in the Building and shall comply with Landlord's then-current Building standard signage program.</w:t>
      </w:r>
    </w:p>
    <w:p>
      <w:pPr>
        <w:spacing w:after="0" w:line="166"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22"/>
          <w:szCs w:val="22"/>
          <w:color w:val="auto"/>
        </w:rPr>
        <w:t xml:space="preserve">23.3 </w:t>
      </w:r>
      <w:r>
        <w:rPr>
          <w:rFonts w:ascii="Arial" w:cs="Arial" w:eastAsia="Arial" w:hAnsi="Arial"/>
          <w:sz w:val="22"/>
          <w:szCs w:val="22"/>
          <w:b w:val="1"/>
          <w:bCs w:val="1"/>
          <w:u w:val="single" w:color="auto"/>
          <w:color w:val="auto"/>
        </w:rPr>
        <w:t>Prohibited Signage and Other Items</w:t>
      </w:r>
      <w:r>
        <w:rPr>
          <w:rFonts w:ascii="Arial" w:cs="Arial" w:eastAsia="Arial" w:hAnsi="Arial"/>
          <w:sz w:val="22"/>
          <w:szCs w:val="22"/>
          <w:color w:val="auto"/>
        </w:rPr>
        <w:t>. Any signs, notices, logos, pictures, names or advertisements which are installed and that have not been separately approved by Landlord may be removed without notice by Landlord at the sole expense of Tenant. Except as otherwise provided herein, Tenant may not install any signs on the exterior or roof of the Project or the Common Areas and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60" w:type="dxa"/>
            <w:vAlign w:val="bottom"/>
          </w:tcPr>
          <w:p>
            <w:pPr>
              <w:jc w:val="right"/>
              <w:ind w:right="1214"/>
              <w:spacing w:after="0"/>
              <w:rPr>
                <w:sz w:val="20"/>
                <w:szCs w:val="20"/>
                <w:color w:val="auto"/>
              </w:rPr>
            </w:pPr>
            <w:r>
              <w:rPr>
                <w:rFonts w:ascii="Arial" w:cs="Arial" w:eastAsia="Arial" w:hAnsi="Arial"/>
                <w:sz w:val="22"/>
                <w:szCs w:val="22"/>
                <w:color w:val="auto"/>
              </w:rPr>
              <w:t>23.4</w:t>
            </w:r>
          </w:p>
        </w:tc>
        <w:tc>
          <w:tcPr>
            <w:tcW w:w="8880" w:type="dxa"/>
            <w:vAlign w:val="bottom"/>
            <w:gridSpan w:val="3"/>
          </w:tcPr>
          <w:p>
            <w:pPr>
              <w:jc w:val="right"/>
              <w:spacing w:after="0"/>
              <w:rPr>
                <w:sz w:val="20"/>
                <w:szCs w:val="20"/>
                <w:color w:val="auto"/>
              </w:rPr>
            </w:pPr>
            <w:r>
              <w:rPr>
                <w:rFonts w:ascii="Arial" w:cs="Arial" w:eastAsia="Arial" w:hAnsi="Arial"/>
                <w:sz w:val="22"/>
                <w:szCs w:val="22"/>
                <w:b w:val="1"/>
                <w:bCs w:val="1"/>
                <w:color w:val="auto"/>
                <w:w w:val="92"/>
              </w:rPr>
              <w:t>Building Directory</w:t>
            </w:r>
            <w:r>
              <w:rPr>
                <w:rFonts w:ascii="Arial" w:cs="Arial" w:eastAsia="Arial" w:hAnsi="Arial"/>
                <w:sz w:val="22"/>
                <w:szCs w:val="22"/>
                <w:color w:val="auto"/>
                <w:w w:val="92"/>
              </w:rPr>
              <w:t>.  Tenant shall have the right, at no charge to Tenant, to one Building standard</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80" w:type="dxa"/>
            <w:vAlign w:val="bottom"/>
            <w:gridSpan w:val="3"/>
          </w:tcPr>
          <w:p>
            <w:pPr>
              <w:spacing w:after="0"/>
              <w:rPr>
                <w:sz w:val="20"/>
                <w:szCs w:val="20"/>
                <w:color w:val="auto"/>
              </w:rPr>
            </w:pPr>
            <w:r>
              <w:rPr>
                <w:rFonts w:ascii="Arial" w:cs="Arial" w:eastAsia="Arial" w:hAnsi="Arial"/>
                <w:sz w:val="22"/>
                <w:szCs w:val="22"/>
                <w:color w:val="auto"/>
              </w:rPr>
              <w:t>directory listing on Landlord's directory board located in the lobby of the</w:t>
            </w: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2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2560" w:type="dxa"/>
            <w:vAlign w:val="bottom"/>
          </w:tcPr>
          <w:p>
            <w:pPr>
              <w:spacing w:after="0"/>
              <w:rPr>
                <w:sz w:val="20"/>
                <w:szCs w:val="20"/>
                <w:color w:val="auto"/>
              </w:rPr>
            </w:pPr>
            <w:r>
              <w:rPr>
                <w:rFonts w:ascii="Arial" w:cs="Arial" w:eastAsia="Arial" w:hAnsi="Arial"/>
                <w:sz w:val="13"/>
                <w:szCs w:val="13"/>
                <w:color w:val="auto"/>
              </w:rPr>
              <w:t>795344.01/WLA</w:t>
            </w:r>
          </w:p>
        </w:tc>
        <w:tc>
          <w:tcPr>
            <w:tcW w:w="5420" w:type="dxa"/>
            <w:vAlign w:val="bottom"/>
            <w:gridSpan w:val="2"/>
            <w:vMerge w:val="restart"/>
          </w:tcPr>
          <w:p>
            <w:pPr>
              <w:jc w:val="right"/>
              <w:ind w:right="2120"/>
              <w:spacing w:after="0"/>
              <w:rPr>
                <w:sz w:val="20"/>
                <w:szCs w:val="20"/>
                <w:color w:val="auto"/>
              </w:rPr>
            </w:pPr>
            <w:r>
              <w:rPr>
                <w:rFonts w:ascii="Arial" w:cs="Arial" w:eastAsia="Arial" w:hAnsi="Arial"/>
                <w:sz w:val="16"/>
                <w:szCs w:val="16"/>
                <w:color w:val="auto"/>
              </w:rPr>
              <w:t>-48-</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60" w:type="dxa"/>
            <w:vAlign w:val="bottom"/>
          </w:tcPr>
          <w:p>
            <w:pPr>
              <w:spacing w:after="0"/>
              <w:rPr>
                <w:sz w:val="20"/>
                <w:szCs w:val="20"/>
                <w:color w:val="auto"/>
              </w:rPr>
            </w:pPr>
            <w:r>
              <w:rPr>
                <w:rFonts w:ascii="Arial" w:cs="Arial" w:eastAsia="Arial" w:hAnsi="Arial"/>
                <w:sz w:val="13"/>
                <w:szCs w:val="13"/>
                <w:color w:val="auto"/>
              </w:rPr>
              <w:t>377082-00004//ejs/ejs</w:t>
            </w:r>
          </w:p>
        </w:tc>
        <w:tc>
          <w:tcPr>
            <w:tcW w:w="5420" w:type="dxa"/>
            <w:vAlign w:val="bottom"/>
            <w:gridSpan w:val="2"/>
            <w:vMerge w:val="continue"/>
          </w:tcPr>
          <w:p>
            <w:pPr>
              <w:spacing w:after="0"/>
              <w:rPr>
                <w:sz w:val="13"/>
                <w:szCs w:val="13"/>
                <w:color w:val="auto"/>
              </w:rPr>
            </w:pPr>
          </w:p>
        </w:tc>
        <w:tc>
          <w:tcPr>
            <w:tcW w:w="346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25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86" w:name="page87"/>
    <w:bookmarkEnd w:id="86"/>
    <w:p>
      <w:pPr>
        <w:jc w:val="both"/>
        <w:ind w:right="20"/>
        <w:spacing w:after="0"/>
        <w:rPr>
          <w:sz w:val="20"/>
          <w:szCs w:val="20"/>
          <w:color w:val="auto"/>
        </w:rPr>
      </w:pPr>
      <w:r>
        <w:rPr>
          <w:rFonts w:ascii="Arial" w:cs="Arial" w:eastAsia="Arial" w:hAnsi="Arial"/>
          <w:sz w:val="22"/>
          <w:szCs w:val="22"/>
          <w:color w:val="auto"/>
        </w:rPr>
        <w:t>Building for so long as such directory board exists. Landlord shall have the right, in Landlord's sole and absolute discretion, to remove such directory board and replace the same with an electronic or similar directory or utilize Landlord's access control or concierge personnel to provide directory services to visitors and guests of the Building.</w:t>
      </w:r>
    </w:p>
    <w:p>
      <w:pPr>
        <w:spacing w:after="0" w:line="180" w:lineRule="exact"/>
        <w:rPr>
          <w:sz w:val="20"/>
          <w:szCs w:val="20"/>
          <w:color w:val="auto"/>
        </w:rPr>
      </w:pPr>
    </w:p>
    <w:p>
      <w:pPr>
        <w:jc w:val="both"/>
        <w:ind w:right="20" w:firstLine="877"/>
        <w:spacing w:after="0" w:line="247" w:lineRule="auto"/>
        <w:rPr>
          <w:sz w:val="20"/>
          <w:szCs w:val="20"/>
          <w:color w:val="auto"/>
        </w:rPr>
      </w:pPr>
      <w:r>
        <w:rPr>
          <w:rFonts w:ascii="Arial" w:cs="Arial" w:eastAsia="Arial" w:hAnsi="Arial"/>
          <w:sz w:val="21"/>
          <w:szCs w:val="21"/>
          <w:color w:val="auto"/>
        </w:rPr>
        <w:t xml:space="preserve">23.5 </w:t>
      </w:r>
      <w:r>
        <w:rPr>
          <w:rFonts w:ascii="Arial" w:cs="Arial" w:eastAsia="Arial" w:hAnsi="Arial"/>
          <w:sz w:val="21"/>
          <w:szCs w:val="21"/>
          <w:b w:val="1"/>
          <w:bCs w:val="1"/>
          <w:u w:val="single" w:color="auto"/>
          <w:color w:val="auto"/>
        </w:rPr>
        <w:t>Tenant's Signage</w:t>
      </w:r>
      <w:r>
        <w:rPr>
          <w:rFonts w:ascii="Arial" w:cs="Arial" w:eastAsia="Arial" w:hAnsi="Arial"/>
          <w:sz w:val="21"/>
          <w:szCs w:val="21"/>
          <w:color w:val="auto"/>
        </w:rPr>
        <w:t>. Tenant shall be entitled to install the following signage in connection with Tenant's lease of the Premises (collectively, the "</w:t>
      </w:r>
      <w:r>
        <w:rPr>
          <w:rFonts w:ascii="Arial" w:cs="Arial" w:eastAsia="Arial" w:hAnsi="Arial"/>
          <w:sz w:val="21"/>
          <w:szCs w:val="21"/>
          <w:b w:val="1"/>
          <w:bCs w:val="1"/>
          <w:color w:val="auto"/>
        </w:rPr>
        <w:t>Tenant's Signage</w:t>
      </w:r>
      <w:r>
        <w:rPr>
          <w:rFonts w:ascii="Arial" w:cs="Arial" w:eastAsia="Arial" w:hAnsi="Arial"/>
          <w:sz w:val="21"/>
          <w:szCs w:val="21"/>
          <w:color w:val="auto"/>
        </w:rPr>
        <w:t xml:space="preserve">"): (i) The non-exclusive right to the top one (1) monument signage strip located on the existing Building monument sign within the Project for so long as such monument sign continue to exists, Tenant hereby acknowledging that Landlord may remove such monument sign at any time in Landlord's sole discretion; provided that if Landlord thereafter installs a new Building monument sign or new comparable alternative signage of similar scope and scale, the terms of this </w:t>
      </w:r>
      <w:r>
        <w:rPr>
          <w:rFonts w:ascii="Arial" w:cs="Arial" w:eastAsia="Arial" w:hAnsi="Arial"/>
          <w:sz w:val="21"/>
          <w:szCs w:val="21"/>
          <w:u w:val="single" w:color="auto"/>
          <w:color w:val="auto"/>
        </w:rPr>
        <w:t>Section 23.4</w:t>
      </w:r>
      <w:r>
        <w:rPr>
          <w:rFonts w:ascii="Arial" w:cs="Arial" w:eastAsia="Arial" w:hAnsi="Arial"/>
          <w:sz w:val="21"/>
          <w:szCs w:val="21"/>
          <w:color w:val="auto"/>
        </w:rPr>
        <w:t xml:space="preserve"> shall be applicable to such new Building monument sign, and (ii) one (1) exclusive illuminated sign at the top of the eastern facing façade of the Building (Landlord hereby agreeing that such sign shall be the only sign that Landlord will permit to be constructed on the eastern façade of the Building).</w:t>
      </w:r>
    </w:p>
    <w:p>
      <w:pPr>
        <w:spacing w:after="0" w:line="173" w:lineRule="exact"/>
        <w:rPr>
          <w:sz w:val="20"/>
          <w:szCs w:val="20"/>
          <w:color w:val="auto"/>
        </w:rPr>
      </w:pPr>
    </w:p>
    <w:p>
      <w:pPr>
        <w:jc w:val="both"/>
        <w:ind w:right="20" w:firstLine="1755"/>
        <w:spacing w:after="0" w:line="244" w:lineRule="auto"/>
        <w:rPr>
          <w:sz w:val="20"/>
          <w:szCs w:val="20"/>
          <w:color w:val="auto"/>
        </w:rPr>
      </w:pPr>
      <w:r>
        <w:rPr>
          <w:rFonts w:ascii="Arial" w:cs="Arial" w:eastAsia="Arial" w:hAnsi="Arial"/>
          <w:sz w:val="21"/>
          <w:szCs w:val="21"/>
          <w:color w:val="auto"/>
        </w:rPr>
        <w:t xml:space="preserve">23.5.1 </w:t>
      </w:r>
      <w:r>
        <w:rPr>
          <w:rFonts w:ascii="Arial" w:cs="Arial" w:eastAsia="Arial" w:hAnsi="Arial"/>
          <w:sz w:val="21"/>
          <w:szCs w:val="21"/>
          <w:b w:val="1"/>
          <w:bCs w:val="1"/>
          <w:u w:val="single" w:color="auto"/>
          <w:color w:val="auto"/>
        </w:rPr>
        <w:t>Specifications and Permits</w:t>
      </w:r>
      <w:r>
        <w:rPr>
          <w:rFonts w:ascii="Arial" w:cs="Arial" w:eastAsia="Arial" w:hAnsi="Arial"/>
          <w:sz w:val="21"/>
          <w:szCs w:val="21"/>
          <w:color w:val="auto"/>
        </w:rPr>
        <w:t xml:space="preserve">. Tenant's Signage shall set forth Tenant's name and logo; provided, however, in no event shall Tenant's Signage include an "Objectionable Name," as that term is defined in </w:t>
      </w:r>
      <w:r>
        <w:rPr>
          <w:rFonts w:ascii="Arial" w:cs="Arial" w:eastAsia="Arial" w:hAnsi="Arial"/>
          <w:sz w:val="21"/>
          <w:szCs w:val="21"/>
          <w:u w:val="single" w:color="auto"/>
          <w:color w:val="auto"/>
        </w:rPr>
        <w:t>Section 23.4.2</w:t>
      </w:r>
      <w:r>
        <w:rPr>
          <w:rFonts w:ascii="Arial" w:cs="Arial" w:eastAsia="Arial" w:hAnsi="Arial"/>
          <w:sz w:val="21"/>
          <w:szCs w:val="21"/>
          <w:color w:val="auto"/>
        </w:rPr>
        <w:t>, of this Lease. The graphics, materials, color, design, lettering, lighting, size, illumination, specifications and exact location of Tenant's Signage (collectively, the "</w:t>
      </w:r>
      <w:r>
        <w:rPr>
          <w:rFonts w:ascii="Arial" w:cs="Arial" w:eastAsia="Arial" w:hAnsi="Arial"/>
          <w:sz w:val="21"/>
          <w:szCs w:val="21"/>
          <w:b w:val="1"/>
          <w:bCs w:val="1"/>
          <w:color w:val="auto"/>
        </w:rPr>
        <w:t>Sign Specifications</w:t>
      </w:r>
      <w:r>
        <w:rPr>
          <w:rFonts w:ascii="Arial" w:cs="Arial" w:eastAsia="Arial" w:hAnsi="Arial"/>
          <w:sz w:val="21"/>
          <w:szCs w:val="21"/>
          <w:color w:val="auto"/>
        </w:rPr>
        <w:t xml:space="preserve">") shall be subject to the prior written approval of Landlord, which approval may not be withheld so long as Tenant’s Signage is consistent with the signage criteria set forth in </w:t>
      </w:r>
      <w:r>
        <w:rPr>
          <w:rFonts w:ascii="Arial" w:cs="Arial" w:eastAsia="Arial" w:hAnsi="Arial"/>
          <w:sz w:val="21"/>
          <w:szCs w:val="21"/>
          <w:b w:val="1"/>
          <w:bCs w:val="1"/>
          <w:u w:val="single" w:color="auto"/>
          <w:color w:val="auto"/>
        </w:rPr>
        <w:t>Exhibit H</w:t>
      </w:r>
      <w:r>
        <w:rPr>
          <w:rFonts w:ascii="Arial" w:cs="Arial" w:eastAsia="Arial" w:hAnsi="Arial"/>
          <w:sz w:val="21"/>
          <w:szCs w:val="21"/>
          <w:color w:val="auto"/>
        </w:rPr>
        <w:t>. In addition, Tenant's Signage shall be subject to Tenant's receipt of all required governmental permits and approvals and shall be subject to all Applicable Laws; provided, however, that Landlord shall reasonably cooperate with Tenant, at no out-of-pocket costs to Landlord, in executing permit applications and performing other ministerial acts supporting Tenant's pursuit of any permits or other approvals required by Applicable Laws.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terms and conditions of this Lease shall be unaffected.</w:t>
      </w:r>
    </w:p>
    <w:p>
      <w:pPr>
        <w:spacing w:after="0" w:line="185" w:lineRule="exact"/>
        <w:rPr>
          <w:sz w:val="20"/>
          <w:szCs w:val="20"/>
          <w:color w:val="auto"/>
        </w:rPr>
      </w:pPr>
    </w:p>
    <w:p>
      <w:pPr>
        <w:jc w:val="both"/>
        <w:ind w:right="20" w:firstLine="1755"/>
        <w:spacing w:after="0" w:line="237" w:lineRule="auto"/>
        <w:rPr>
          <w:sz w:val="20"/>
          <w:szCs w:val="20"/>
          <w:color w:val="auto"/>
        </w:rPr>
      </w:pPr>
      <w:r>
        <w:rPr>
          <w:rFonts w:ascii="Arial" w:cs="Arial" w:eastAsia="Arial" w:hAnsi="Arial"/>
          <w:sz w:val="22"/>
          <w:szCs w:val="22"/>
          <w:color w:val="auto"/>
        </w:rPr>
        <w:t xml:space="preserve">23.5.2 </w:t>
      </w:r>
      <w:r>
        <w:rPr>
          <w:rFonts w:ascii="Arial" w:cs="Arial" w:eastAsia="Arial" w:hAnsi="Arial"/>
          <w:sz w:val="22"/>
          <w:szCs w:val="22"/>
          <w:b w:val="1"/>
          <w:bCs w:val="1"/>
          <w:u w:val="single" w:color="auto"/>
          <w:color w:val="auto"/>
        </w:rPr>
        <w:t>Objectionable Name</w:t>
      </w:r>
      <w:r>
        <w:rPr>
          <w:rFonts w:ascii="Arial" w:cs="Arial" w:eastAsia="Arial" w:hAnsi="Arial"/>
          <w:sz w:val="22"/>
          <w:szCs w:val="22"/>
          <w:color w:val="auto"/>
        </w:rPr>
        <w:t>. Tenant's Signage shall not have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22"/>
          <w:szCs w:val="22"/>
          <w:b w:val="1"/>
          <w:bCs w:val="1"/>
          <w:color w:val="auto"/>
        </w:rPr>
        <w:t>Objectionable Name</w:t>
      </w:r>
      <w:r>
        <w:rPr>
          <w:rFonts w:ascii="Arial" w:cs="Arial" w:eastAsia="Arial" w:hAnsi="Arial"/>
          <w:sz w:val="22"/>
          <w:szCs w:val="22"/>
          <w:color w:val="auto"/>
        </w:rPr>
        <w:t>"). The parties hereby agree that the following name, or any reasonable derivation thereof, shall be deemed not to constitute an Objectionable Name: "Arrowhead Pharmaceuticals."</w:t>
      </w:r>
    </w:p>
    <w:p>
      <w:pPr>
        <w:spacing w:after="0" w:line="183" w:lineRule="exact"/>
        <w:rPr>
          <w:sz w:val="20"/>
          <w:szCs w:val="20"/>
          <w:color w:val="auto"/>
        </w:rPr>
      </w:pPr>
    </w:p>
    <w:p>
      <w:pPr>
        <w:ind w:left="1760"/>
        <w:spacing w:after="0"/>
        <w:tabs>
          <w:tab w:leader="none" w:pos="4220" w:val="left"/>
        </w:tabs>
        <w:rPr>
          <w:sz w:val="20"/>
          <w:szCs w:val="20"/>
          <w:color w:val="auto"/>
        </w:rPr>
      </w:pPr>
      <w:r>
        <w:rPr>
          <w:rFonts w:ascii="Arial" w:cs="Arial" w:eastAsia="Arial" w:hAnsi="Arial"/>
          <w:sz w:val="22"/>
          <w:szCs w:val="22"/>
          <w:color w:val="auto"/>
        </w:rPr>
        <w:t>23.5.3</w:t>
      </w:r>
      <w:r>
        <w:rPr>
          <w:sz w:val="20"/>
          <w:szCs w:val="20"/>
          <w:color w:val="auto"/>
        </w:rPr>
        <w:tab/>
      </w:r>
      <w:r>
        <w:rPr>
          <w:rFonts w:ascii="Arial" w:cs="Arial" w:eastAsia="Arial" w:hAnsi="Arial"/>
          <w:sz w:val="19"/>
          <w:szCs w:val="19"/>
          <w:b w:val="1"/>
          <w:bCs w:val="1"/>
          <w:u w:val="single" w:color="auto"/>
          <w:color w:val="auto"/>
        </w:rPr>
        <w:t>Termination of Right to Tenant's Signage</w:t>
      </w:r>
      <w:r>
        <w:rPr>
          <w:rFonts w:ascii="Arial" w:cs="Arial" w:eastAsia="Arial" w:hAnsi="Arial"/>
          <w:sz w:val="19"/>
          <w:szCs w:val="19"/>
          <w:color w:val="auto"/>
        </w:rPr>
        <w:t>. The rights contained in this</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Section</w:t>
      </w:r>
    </w:p>
    <w:p>
      <w:pPr>
        <w:spacing w:after="0" w:line="14"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u w:val="single" w:color="auto"/>
          <w:color w:val="auto"/>
        </w:rPr>
        <w:t>23.4</w:t>
      </w:r>
      <w:r>
        <w:rPr>
          <w:rFonts w:ascii="Arial" w:cs="Arial" w:eastAsia="Arial" w:hAnsi="Arial"/>
          <w:sz w:val="21"/>
          <w:szCs w:val="21"/>
          <w:color w:val="auto"/>
        </w:rPr>
        <w:t xml:space="preserve"> may only be exercised by the originally named Tenant herein (“</w:t>
      </w:r>
      <w:r>
        <w:rPr>
          <w:rFonts w:ascii="Arial" w:cs="Arial" w:eastAsia="Arial" w:hAnsi="Arial"/>
          <w:sz w:val="21"/>
          <w:szCs w:val="21"/>
          <w:b w:val="1"/>
          <w:bCs w:val="1"/>
          <w:color w:val="auto"/>
        </w:rPr>
        <w:t>Original Tenant</w:t>
      </w:r>
      <w:r>
        <w:rPr>
          <w:rFonts w:ascii="Arial" w:cs="Arial" w:eastAsia="Arial" w:hAnsi="Arial"/>
          <w:sz w:val="21"/>
          <w:szCs w:val="21"/>
          <w:color w:val="auto"/>
        </w:rPr>
        <w:t xml:space="preserve">”) (and not any assignee or any sublessee or other Transferee of the Original Tenant's interest in this Lease except pursuant to </w:t>
      </w:r>
      <w:r>
        <w:rPr>
          <w:rFonts w:ascii="Arial" w:cs="Arial" w:eastAsia="Arial" w:hAnsi="Arial"/>
          <w:sz w:val="21"/>
          <w:szCs w:val="21"/>
          <w:u w:val="single" w:color="auto"/>
          <w:color w:val="auto"/>
        </w:rPr>
        <w:t>Section 14.8</w:t>
      </w:r>
      <w:r>
        <w:rPr>
          <w:rFonts w:ascii="Arial" w:cs="Arial" w:eastAsia="Arial" w:hAnsi="Arial"/>
          <w:sz w:val="21"/>
          <w:szCs w:val="21"/>
          <w:color w:val="auto"/>
        </w:rPr>
        <w:t>) and may only be exercised and maintained by the Original Tenant if Original Tenant leases and occupies the entire Premises.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-49-</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87" w:name="page88"/>
    <w:bookmarkEnd w:id="87"/>
    <w:p>
      <w:pPr>
        <w:jc w:val="both"/>
        <w:ind w:right="20" w:firstLine="1755"/>
        <w:spacing w:after="0" w:line="271" w:lineRule="auto"/>
        <w:rPr>
          <w:sz w:val="20"/>
          <w:szCs w:val="20"/>
          <w:color w:val="auto"/>
        </w:rPr>
      </w:pPr>
      <w:r>
        <w:rPr>
          <w:rFonts w:ascii="Arial" w:cs="Arial" w:eastAsia="Arial" w:hAnsi="Arial"/>
          <w:sz w:val="19"/>
          <w:szCs w:val="19"/>
          <w:color w:val="auto"/>
        </w:rPr>
        <w:t xml:space="preserve">23.5.4 </w:t>
      </w:r>
      <w:r>
        <w:rPr>
          <w:rFonts w:ascii="Arial" w:cs="Arial" w:eastAsia="Arial" w:hAnsi="Arial"/>
          <w:sz w:val="19"/>
          <w:szCs w:val="19"/>
          <w:b w:val="1"/>
          <w:bCs w:val="1"/>
          <w:u w:val="single" w:color="auto"/>
          <w:color w:val="auto"/>
        </w:rPr>
        <w:t>Cost and Maintenance</w:t>
      </w:r>
      <w:r>
        <w:rPr>
          <w:rFonts w:ascii="Arial" w:cs="Arial" w:eastAsia="Arial" w:hAnsi="Arial"/>
          <w:sz w:val="19"/>
          <w:szCs w:val="19"/>
          <w:color w:val="auto"/>
        </w:rPr>
        <w:t xml:space="preserve">. The costs of the actual signs comprising Tenant's Signage and the installation, design, construction, and any and all other costs associated with Tenant's Signage, including, without limitation, utility charges and hook-up fees (if any), permits, and maintenance and repairs, shall be the sole responsibility of Tenant. Should Tenant's Signage require repairs and/or maintenance, as determined in Landlord's reasonable judgment, Landlord shall have the right to provide notice thereof to Tenant and Tenant (except as set forth above) shall cause such repairs and/or maintenance to be performed within fifteen (15) business days after receipt of such notice from Landlord, at Tenant's sole cost and expense; provided, however, if such repairs and/or maintenance are reasonably expected to require longer than fifteen (15) business days to perform, Tenant shall commence such repairs and/or maintenance within such fifteen (15) business day period and shall diligently prosecute such repairs and maintenance to completion. Should Tenant fail to perform such repairs and/or maintenance within the periods described in the immediately preceding sentence, Landlord shall have the right to cause such work to be performed and to charge Tenant as Additional Rent for the reasonable cost of such work. Upon the expiration or earlier termination of this Lease, Tenant shall, at Tenant's sole cost and expense, cause Tenant's Signage to be removed and shall cause the areas in which such Tenant's Signage was located to be restored to the condition existing immediately prior to the placement of such Tenant's Signage (excepting normal wear and tear and casualty). If Tenant fails to timely remove such Tenant's Signage or to restore the areas in which such Tenant's Signage was located, as provided in the immediately preceding sentence, then Landlord on fifteen (15) business days’ notice to Tenant may perform such work, and all costs reasonably incurred by Landlord in so performing shall be reimbursed by Tenant to Landlord within thirty (30) days after Tenant's receipt of an invoice therefor. The terms and conditions of this </w:t>
      </w:r>
      <w:r>
        <w:rPr>
          <w:rFonts w:ascii="Arial" w:cs="Arial" w:eastAsia="Arial" w:hAnsi="Arial"/>
          <w:sz w:val="19"/>
          <w:szCs w:val="19"/>
          <w:u w:val="single" w:color="auto"/>
          <w:color w:val="auto"/>
        </w:rPr>
        <w:t>Section 23.4.4</w:t>
      </w:r>
      <w:r>
        <w:rPr>
          <w:rFonts w:ascii="Arial" w:cs="Arial" w:eastAsia="Arial" w:hAnsi="Arial"/>
          <w:sz w:val="19"/>
          <w:szCs w:val="19"/>
          <w:color w:val="auto"/>
        </w:rPr>
        <w:t xml:space="preserve"> shall survive the expiration or earlier termination of this Lease.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24</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COMPLIANCE WITH LAW</w:t>
      </w:r>
    </w:p>
    <w:p>
      <w:pPr>
        <w:spacing w:after="0" w:line="212"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9"/>
          <w:szCs w:val="19"/>
          <w:color w:val="auto"/>
        </w:rPr>
        <w:t>Tenant shall not do anything or suffer anything to be done in or about the Premises or the Project which will in any way conflict with any law, statute, ordinance or other governmental rule, regulation or requirement now in force or which may hereafter be enacted or promulgated, including any such governmental regulations related to disabled access (collectively, "</w:t>
      </w:r>
      <w:r>
        <w:rPr>
          <w:rFonts w:ascii="Arial" w:cs="Arial" w:eastAsia="Arial" w:hAnsi="Arial"/>
          <w:sz w:val="19"/>
          <w:szCs w:val="19"/>
          <w:b w:val="1"/>
          <w:b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color w:val="auto"/>
        </w:rPr>
        <w:t>Laws</w:t>
      </w:r>
      <w:r>
        <w:rPr>
          <w:rFonts w:ascii="Arial" w:cs="Arial" w:eastAsia="Arial" w:hAnsi="Arial"/>
          <w:sz w:val="19"/>
          <w:szCs w:val="19"/>
          <w:color w:val="auto"/>
        </w:rPr>
        <w:t>"). At its sole cost and expense, Tenant shall promptly comply with any Applicable Laws, and shall otherwise cure any</w:t>
      </w:r>
      <w:r>
        <w:rPr>
          <w:rFonts w:ascii="Arial" w:cs="Arial" w:eastAsia="Arial" w:hAnsi="Arial"/>
          <w:sz w:val="19"/>
          <w:szCs w:val="19"/>
          <w:b w:val="1"/>
          <w:bCs w:val="1"/>
          <w:color w:val="auto"/>
        </w:rPr>
        <w:t xml:space="preserve"> </w:t>
      </w:r>
      <w:r>
        <w:rPr>
          <w:rFonts w:ascii="Arial" w:cs="Arial" w:eastAsia="Arial" w:hAnsi="Arial"/>
          <w:sz w:val="19"/>
          <w:szCs w:val="19"/>
          <w:color w:val="auto"/>
        </w:rPr>
        <w:t>violations of Applicable Laws (first arising after the date hereof), which relate to (i) Tenant's use of the Premises, (ii) any Alterations made by Tenant to the Premises, and any Tenant Improvements in the Premises, or (iii) the Base Building, but as to the Base Building, only to the extent such obligations are triggered by Alterations made by Tenant to the Premises to the extent such Alterations are not normal and customary business office improvements (provided Landlord shall have notified Tenant simultaneously with its approval thereof), or triggered by the Tenant Improvements to the extent such Tenant Improvements are not normal and customary business office improvements (provided Landlord shall have notified Tenant simultaneously with its approval thereof), or triggered by Tenant's use of the Premises for other than the Permitted Use.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-50-</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88" w:name="page89"/>
    <w:bookmarkEnd w:id="88"/>
    <w:p>
      <w:pPr>
        <w:jc w:val="both"/>
        <w:ind w:right="20"/>
        <w:spacing w:after="0" w:line="268" w:lineRule="auto"/>
        <w:rPr>
          <w:sz w:val="20"/>
          <w:szCs w:val="20"/>
          <w:color w:val="auto"/>
        </w:rPr>
      </w:pPr>
      <w:r>
        <w:rPr>
          <w:rFonts w:ascii="Arial" w:cs="Arial" w:eastAsia="Arial" w:hAnsi="Arial"/>
          <w:sz w:val="19"/>
          <w:szCs w:val="19"/>
          <w:color w:val="auto"/>
        </w:rPr>
        <w:t xml:space="preserve">such standards or regulations and to cooperate with Landlord, including, without limitation, by taking such actions as Landlord may reasonably require, in Landlord's efforts to comply with such standards or regulations. Tenant shall be responsible, at its sole cost and expense, to make all alterations to the Premises as are required to comply with the governmental rules, regulations, requirements or standards described in this </w:t>
      </w:r>
      <w:r>
        <w:rPr>
          <w:rFonts w:ascii="Arial" w:cs="Arial" w:eastAsia="Arial" w:hAnsi="Arial"/>
          <w:sz w:val="19"/>
          <w:szCs w:val="19"/>
          <w:u w:val="single" w:color="auto"/>
          <w:color w:val="auto"/>
        </w:rPr>
        <w:t>Article 24</w:t>
      </w:r>
      <w:r>
        <w:rPr>
          <w:rFonts w:ascii="Arial" w:cs="Arial" w:eastAsia="Arial" w:hAnsi="Arial"/>
          <w:sz w:val="19"/>
          <w:szCs w:val="19"/>
          <w:color w:val="auto"/>
        </w:rPr>
        <w:t xml:space="preserve">. The judgment of any court of competent jurisdiction or the admission of Tenant in any judicial action, regardless of whether Landlord is a party thereto, that Tenant has violated any of said governmental measures, shall be conclusive of that fact as between Landlord and Tenant. Tenant shall promptly pay all fines, penalties and damages that may arise out of or be imposed because of its failure to comply with the provisions of this </w:t>
      </w:r>
      <w:r>
        <w:rPr>
          <w:rFonts w:ascii="Arial" w:cs="Arial" w:eastAsia="Arial" w:hAnsi="Arial"/>
          <w:sz w:val="19"/>
          <w:szCs w:val="19"/>
          <w:u w:val="single" w:color="auto"/>
          <w:color w:val="auto"/>
        </w:rPr>
        <w:t>Article 24</w:t>
      </w:r>
      <w:r>
        <w:rPr>
          <w:rFonts w:ascii="Arial" w:cs="Arial" w:eastAsia="Arial" w:hAnsi="Arial"/>
          <w:sz w:val="19"/>
          <w:szCs w:val="19"/>
          <w:color w:val="auto"/>
        </w:rPr>
        <w:t xml:space="preserve">. Landlord shall comply with all Applicable Laws relating to the Base Building and Common Areas, provided that compliance with such Applicable Laws is not the responsibility of Tenant under this Lease, and provided further that Landlord's failure to comply therewith would prohibit Tenant from obtaining or maintaining a certificate of occupancy for the Premises, or would otherwise affect Tenant’s right to legally occupy and use the Premises, or would adversely affect the safety of Tenant's employees or create a health hazard for Tenant's employees, or would otherwise materially and adversely affect Tenant's use of or access to the Premises. Landlord shall be permitted to include in Operating Expenses any costs or expenses incurred by Landlord under this </w:t>
      </w:r>
      <w:r>
        <w:rPr>
          <w:rFonts w:ascii="Arial" w:cs="Arial" w:eastAsia="Arial" w:hAnsi="Arial"/>
          <w:sz w:val="19"/>
          <w:szCs w:val="19"/>
          <w:u w:val="single" w:color="auto"/>
          <w:color w:val="auto"/>
        </w:rPr>
        <w:t>Article 24</w:t>
      </w:r>
      <w:r>
        <w:rPr>
          <w:rFonts w:ascii="Arial" w:cs="Arial" w:eastAsia="Arial" w:hAnsi="Arial"/>
          <w:sz w:val="19"/>
          <w:szCs w:val="19"/>
          <w:color w:val="auto"/>
        </w:rPr>
        <w:t xml:space="preserve"> to the extent not prohibited by the terms of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of this Lease, above. Tenant hereby agrees to use reasonable efforts to notify Landlord if Tenant makes any Alterations or improvements to the Premises, the Building or the Project that might impact accessibility to the Premises or Building under any disability access laws. Landlord hereby agrees to use reasonable efforts to notify Tenant if Landlord makes any alterations or improvements to the Premises that might impact accessibility to the Premises or Building under any disability access laws. For purposes of Section 1938 of the California Civil Code, Landlord hereby discloses to Tenant, and Tenant hereby acknowledges, that the Premises have not undergone inspection by a Certified Access Specialists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designated by Landlord, subject to Landlord's reasonable rules and requirements; (b) Tenant, at its sole cost and expense, shall be responsible for making any improvements or repairs within the Premises to correct violations of construction-related accessibility standards relating to the Tenant Improvements or any Alterations; and (c) if anything done by or for Tenant in its use or occupancy of the Premises shall require any improvements or repairs to the Building or Project (outside the Premises) to correct violations of construction-related accessibility standards, then Tenant shall reimburse Landlord upon demand, as Additional Rent, for the cost to Landlord of performing such improvements or repairs.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-51-</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22"/>
          <w:szCs w:val="22"/>
          <w:b w:val="1"/>
          <w:bCs w:val="1"/>
          <w:color w:val="auto"/>
        </w:rPr>
        <w:t>ARTICLE 25</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LATE CHARGES</w:t>
      </w:r>
    </w:p>
    <w:p>
      <w:pPr>
        <w:spacing w:after="0" w:line="212" w:lineRule="exact"/>
        <w:rPr>
          <w:sz w:val="20"/>
          <w:szCs w:val="20"/>
          <w:color w:val="auto"/>
        </w:rPr>
      </w:pPr>
    </w:p>
    <w:p>
      <w:pPr>
        <w:jc w:val="both"/>
        <w:ind w:right="20" w:firstLine="877"/>
        <w:spacing w:after="0" w:line="245" w:lineRule="auto"/>
        <w:rPr>
          <w:sz w:val="20"/>
          <w:szCs w:val="20"/>
          <w:color w:val="auto"/>
        </w:rPr>
      </w:pPr>
      <w:r>
        <w:rPr>
          <w:rFonts w:ascii="Arial" w:cs="Arial" w:eastAsia="Arial" w:hAnsi="Arial"/>
          <w:sz w:val="21"/>
          <w:szCs w:val="21"/>
          <w:color w:val="auto"/>
        </w:rPr>
        <w:t>If any installment of Rent or any other sum due from Tenant shall not be received by Landlord or Landlord's designee within five (5) business days after Tenant's receipt of written notice from Landlord that said amount is due, then Tenant shall pay to Landlord a late charge equal to five percent (5%) of the overdue amount (provided, however, no such late charge shall be payable with respect to the first such late payment of Rent or other sum in any twelve (12) month period, unless there have been three (3) or more prior late payments of Rent or other sums during the Lease Term, in which case the late charge shall apply to the fourth (4th) late payment and any late payment thereafter which is not received with in five (5) business days after Tenant’s receipt of written notice as specified above). The late charge shall be deemed Additional Rent and the right to require it shall be in addition to all of Landlord's other rights and remedies hereunder or at law and shall not be construed as liquidated damages or as limiting Landlord's remedies in any manner.</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00" w:type="dxa"/>
            <w:vAlign w:val="bottom"/>
          </w:tcPr>
          <w:p>
            <w:pPr>
              <w:spacing w:after="0"/>
              <w:rPr>
                <w:sz w:val="24"/>
                <w:szCs w:val="24"/>
                <w:color w:val="auto"/>
              </w:rPr>
            </w:pPr>
          </w:p>
        </w:tc>
        <w:tc>
          <w:tcPr>
            <w:tcW w:w="9640" w:type="dxa"/>
            <w:vAlign w:val="bottom"/>
          </w:tcPr>
          <w:p>
            <w:pPr>
              <w:jc w:val="center"/>
              <w:ind w:right="1652"/>
              <w:spacing w:after="0"/>
              <w:rPr>
                <w:sz w:val="20"/>
                <w:szCs w:val="20"/>
                <w:color w:val="auto"/>
              </w:rPr>
            </w:pPr>
            <w:r>
              <w:rPr>
                <w:rFonts w:ascii="Arial" w:cs="Arial" w:eastAsia="Arial" w:hAnsi="Arial"/>
                <w:sz w:val="22"/>
                <w:szCs w:val="22"/>
                <w:b w:val="1"/>
                <w:bCs w:val="1"/>
                <w:color w:val="auto"/>
                <w:w w:val="98"/>
              </w:rPr>
              <w:t>ARTICLE 26</w:t>
            </w:r>
          </w:p>
        </w:tc>
      </w:tr>
      <w:tr>
        <w:trPr>
          <w:trHeight w:val="486"/>
        </w:trPr>
        <w:tc>
          <w:tcPr>
            <w:tcW w:w="900" w:type="dxa"/>
            <w:vAlign w:val="bottom"/>
          </w:tcPr>
          <w:p>
            <w:pPr>
              <w:spacing w:after="0"/>
              <w:rPr>
                <w:sz w:val="24"/>
                <w:szCs w:val="24"/>
                <w:color w:val="auto"/>
              </w:rPr>
            </w:pPr>
          </w:p>
        </w:tc>
        <w:tc>
          <w:tcPr>
            <w:tcW w:w="9640" w:type="dxa"/>
            <w:vAlign w:val="bottom"/>
          </w:tcPr>
          <w:p>
            <w:pPr>
              <w:jc w:val="center"/>
              <w:ind w:right="1672"/>
              <w:spacing w:after="0"/>
              <w:rPr>
                <w:sz w:val="20"/>
                <w:szCs w:val="20"/>
                <w:color w:val="auto"/>
              </w:rPr>
            </w:pPr>
            <w:r>
              <w:rPr>
                <w:rFonts w:ascii="Arial" w:cs="Arial" w:eastAsia="Arial" w:hAnsi="Arial"/>
                <w:sz w:val="22"/>
                <w:szCs w:val="22"/>
                <w:b w:val="1"/>
                <w:bCs w:val="1"/>
                <w:u w:val="single" w:color="auto"/>
                <w:color w:val="auto"/>
                <w:w w:val="98"/>
              </w:rPr>
              <w:t>LANDLORD'S RIGHT TO CURE DEFAULT; PAYMENTS BY TENANT</w:t>
            </w:r>
          </w:p>
        </w:tc>
      </w:tr>
      <w:tr>
        <w:trPr>
          <w:trHeight w:val="446"/>
        </w:trPr>
        <w:tc>
          <w:tcPr>
            <w:tcW w:w="900" w:type="dxa"/>
            <w:vAlign w:val="bottom"/>
          </w:tcPr>
          <w:p>
            <w:pPr>
              <w:jc w:val="right"/>
              <w:ind w:right="412"/>
              <w:spacing w:after="0"/>
              <w:rPr>
                <w:sz w:val="20"/>
                <w:szCs w:val="20"/>
                <w:color w:val="auto"/>
              </w:rPr>
            </w:pPr>
            <w:r>
              <w:rPr>
                <w:rFonts w:ascii="Arial" w:cs="Arial" w:eastAsia="Arial" w:hAnsi="Arial"/>
                <w:sz w:val="22"/>
                <w:szCs w:val="22"/>
                <w:color w:val="auto"/>
                <w:w w:val="83"/>
              </w:rPr>
              <w:t>26.1</w:t>
            </w:r>
          </w:p>
        </w:tc>
        <w:tc>
          <w:tcPr>
            <w:tcW w:w="9640" w:type="dxa"/>
            <w:vAlign w:val="bottom"/>
          </w:tcPr>
          <w:p>
            <w:pPr>
              <w:ind w:left="780"/>
              <w:spacing w:after="0"/>
              <w:rPr>
                <w:sz w:val="20"/>
                <w:szCs w:val="20"/>
                <w:color w:val="auto"/>
              </w:rPr>
            </w:pPr>
            <w:r>
              <w:rPr>
                <w:rFonts w:ascii="Arial" w:cs="Arial" w:eastAsia="Arial" w:hAnsi="Arial"/>
                <w:sz w:val="22"/>
                <w:szCs w:val="22"/>
                <w:b w:val="1"/>
                <w:bCs w:val="1"/>
                <w:u w:val="single" w:color="auto"/>
                <w:color w:val="auto"/>
                <w:w w:val="89"/>
              </w:rPr>
              <w:t>Landlord's Cure</w:t>
            </w:r>
            <w:r>
              <w:rPr>
                <w:rFonts w:ascii="Arial" w:cs="Arial" w:eastAsia="Arial" w:hAnsi="Arial"/>
                <w:sz w:val="22"/>
                <w:szCs w:val="22"/>
                <w:color w:val="auto"/>
                <w:w w:val="89"/>
              </w:rPr>
              <w:t>. All covenants and agreements to be kept or performed by Tenant under this Lease</w:t>
            </w:r>
          </w:p>
        </w:tc>
      </w:tr>
    </w:tbl>
    <w:p>
      <w:pPr>
        <w:jc w:val="both"/>
        <w:ind w:right="20"/>
        <w:spacing w:after="0" w:line="277" w:lineRule="auto"/>
        <w:rPr>
          <w:sz w:val="20"/>
          <w:szCs w:val="20"/>
          <w:color w:val="auto"/>
        </w:rPr>
      </w:pPr>
      <w:r>
        <w:rPr>
          <w:rFonts w:ascii="Arial" w:cs="Arial" w:eastAsia="Arial" w:hAnsi="Arial"/>
          <w:sz w:val="19"/>
          <w:szCs w:val="19"/>
          <w:color w:val="auto"/>
        </w:rPr>
        <w:t xml:space="preserve">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9"/>
          <w:szCs w:val="19"/>
          <w:u w:val="single" w:color="auto"/>
          <w:color w:val="auto"/>
        </w:rPr>
        <w:t>Section 19.1.2</w:t>
      </w:r>
      <w:r>
        <w:rPr>
          <w:rFonts w:ascii="Arial" w:cs="Arial" w:eastAsia="Arial" w:hAnsi="Arial"/>
          <w:sz w:val="19"/>
          <w:szCs w:val="19"/>
          <w:color w:val="auto"/>
        </w:rPr>
        <w:t>, above, or such other time period as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47" w:lineRule="exact"/>
        <w:rPr>
          <w:sz w:val="20"/>
          <w:szCs w:val="20"/>
          <w:color w:val="auto"/>
        </w:rPr>
      </w:pPr>
    </w:p>
    <w:p>
      <w:pPr>
        <w:jc w:val="both"/>
        <w:ind w:right="20" w:firstLine="877"/>
        <w:spacing w:after="0" w:line="276" w:lineRule="auto"/>
        <w:rPr>
          <w:sz w:val="20"/>
          <w:szCs w:val="20"/>
          <w:color w:val="auto"/>
        </w:rPr>
      </w:pPr>
      <w:r>
        <w:rPr>
          <w:rFonts w:ascii="Arial" w:cs="Arial" w:eastAsia="Arial" w:hAnsi="Arial"/>
          <w:sz w:val="19"/>
          <w:szCs w:val="19"/>
          <w:color w:val="auto"/>
        </w:rPr>
        <w:t xml:space="preserve">26.2 </w:t>
      </w:r>
      <w:r>
        <w:rPr>
          <w:rFonts w:ascii="Arial" w:cs="Arial" w:eastAsia="Arial" w:hAnsi="Arial"/>
          <w:sz w:val="19"/>
          <w:szCs w:val="19"/>
          <w:b w:val="1"/>
          <w:bCs w:val="1"/>
          <w:u w:val="single" w:color="auto"/>
          <w:color w:val="auto"/>
        </w:rPr>
        <w:t>Tenant's Reimbursement</w:t>
      </w:r>
      <w:r>
        <w:rPr>
          <w:rFonts w:ascii="Arial" w:cs="Arial" w:eastAsia="Arial" w:hAnsi="Arial"/>
          <w:sz w:val="19"/>
          <w:szCs w:val="19"/>
          <w:color w:val="auto"/>
        </w:rPr>
        <w:t xml:space="preserve">. Except as may be specifically provided to the contrary in this Lease, Tenant shall pay to Landlord, upon delivery by Landlord to Tenant of statements therefor: (i) sums equal to expenditures reasonably made and obligations reasonably incurred by Landlord in connection with the remedying by Landlord of Tenant's defaults pursuant to the provisions of </w:t>
      </w:r>
      <w:r>
        <w:rPr>
          <w:rFonts w:ascii="Arial" w:cs="Arial" w:eastAsia="Arial" w:hAnsi="Arial"/>
          <w:sz w:val="19"/>
          <w:szCs w:val="19"/>
          <w:u w:val="single" w:color="auto"/>
          <w:color w:val="auto"/>
        </w:rPr>
        <w:t>Section 26.1</w:t>
      </w:r>
      <w:r>
        <w:rPr>
          <w:rFonts w:ascii="Arial" w:cs="Arial" w:eastAsia="Arial" w:hAnsi="Arial"/>
          <w:sz w:val="19"/>
          <w:szCs w:val="19"/>
          <w:color w:val="auto"/>
        </w:rPr>
        <w:t xml:space="preserve">; (ii) sums equal to all losses, costs, liabilities, damages and expenses referred to in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of this Lease; and (iii) sums equal to all expenditures reasonably made and obligations reasonably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9"/>
          <w:szCs w:val="19"/>
          <w:u w:val="single" w:color="auto"/>
          <w:color w:val="auto"/>
        </w:rPr>
        <w:t>Section 26.2</w:t>
      </w:r>
      <w:r>
        <w:rPr>
          <w:rFonts w:ascii="Arial" w:cs="Arial" w:eastAsia="Arial" w:hAnsi="Arial"/>
          <w:sz w:val="19"/>
          <w:szCs w:val="19"/>
          <w:color w:val="auto"/>
        </w:rPr>
        <w:t xml:space="preserve"> shall survive the expiration or sooner termination of the Lease Term.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-52-</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22"/>
          <w:szCs w:val="22"/>
          <w:b w:val="1"/>
          <w:bCs w:val="1"/>
          <w:color w:val="auto"/>
        </w:rPr>
        <w:t>ARTICLE 27</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ENTRY BY LANDLORD</w:t>
      </w:r>
    </w:p>
    <w:p>
      <w:pPr>
        <w:spacing w:after="0" w:line="212" w:lineRule="exact"/>
        <w:rPr>
          <w:sz w:val="20"/>
          <w:szCs w:val="20"/>
          <w:color w:val="auto"/>
        </w:rPr>
      </w:pPr>
    </w:p>
    <w:p>
      <w:pPr>
        <w:jc w:val="both"/>
        <w:ind w:right="20" w:firstLine="877"/>
        <w:spacing w:after="0" w:line="273" w:lineRule="auto"/>
        <w:rPr>
          <w:sz w:val="20"/>
          <w:szCs w:val="20"/>
          <w:color w:val="auto"/>
        </w:rPr>
      </w:pPr>
      <w:r>
        <w:rPr>
          <w:rFonts w:ascii="Arial" w:cs="Arial" w:eastAsia="Arial" w:hAnsi="Arial"/>
          <w:sz w:val="19"/>
          <w:szCs w:val="19"/>
          <w:color w:val="auto"/>
        </w:rPr>
        <w:t>Landlord reserves the right at all reasonable times and upon reasonable notice to Tenant (except in the case of an emergency) to enter the Premises to (i) inspect them; (ii) show the Premises to prospective purchasers, or to current or prospective mortgagees, ground or underlying lessors or insurers or, during the last ten (10) months of the Lease Term, to prospective tenants;</w:t>
      </w:r>
    </w:p>
    <w:p>
      <w:pPr>
        <w:spacing w:after="0" w:line="2" w:lineRule="exact"/>
        <w:rPr>
          <w:sz w:val="20"/>
          <w:szCs w:val="20"/>
          <w:color w:val="auto"/>
        </w:rPr>
      </w:pPr>
    </w:p>
    <w:p>
      <w:pPr>
        <w:jc w:val="both"/>
        <w:ind w:right="20" w:firstLine="8"/>
        <w:spacing w:after="0" w:line="242" w:lineRule="auto"/>
        <w:tabs>
          <w:tab w:leader="none" w:pos="402"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post notices of non-responsibility; or (iv) alter, improve or repair the Premises or the Building, or for structural alterations, repairs or improvements to the Building or the Building's systems and equipment. Notwithstanding anything to the contrary contained in this </w:t>
      </w:r>
      <w:r>
        <w:rPr>
          <w:rFonts w:ascii="Arial" w:cs="Arial" w:eastAsia="Arial" w:hAnsi="Arial"/>
          <w:sz w:val="21"/>
          <w:szCs w:val="21"/>
          <w:u w:val="single" w:color="auto"/>
          <w:color w:val="auto"/>
        </w:rPr>
        <w:t>Article 27</w:t>
      </w:r>
      <w:r>
        <w:rPr>
          <w:rFonts w:ascii="Arial" w:cs="Arial" w:eastAsia="Arial" w:hAnsi="Arial"/>
          <w:sz w:val="21"/>
          <w:szCs w:val="21"/>
          <w:color w:val="auto"/>
        </w:rPr>
        <w:t xml:space="preserve">, Landlord may enter the Premises at any time to (A) perform services required of Landlord, including janitorial service; (B) take possession due to any breach of this Lease in the manner provided herein; and (C) perform any covenants of Tenant which Tenant fails to perform. Landlord may make any such entries without the abatement of Rent, except as otherwise provided in this Lease, including, without limitation, </w:t>
      </w:r>
      <w:r>
        <w:rPr>
          <w:rFonts w:ascii="Arial" w:cs="Arial" w:eastAsia="Arial" w:hAnsi="Arial"/>
          <w:sz w:val="21"/>
          <w:szCs w:val="21"/>
          <w:u w:val="single" w:color="auto"/>
          <w:color w:val="auto"/>
        </w:rPr>
        <w:t>Section 19.5.2</w:t>
      </w:r>
      <w:r>
        <w:rPr>
          <w:rFonts w:ascii="Arial" w:cs="Arial" w:eastAsia="Arial" w:hAnsi="Arial"/>
          <w:sz w:val="21"/>
          <w:szCs w:val="21"/>
          <w:color w:val="auto"/>
        </w:rPr>
        <w:t xml:space="preserve"> of this Lease, and may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thereby except with respect to direct damages to property or persons (i.e., not including any lost profits, speculative or consequential damages) to the extent caused by the negligence or willful misconduct of Landlord or any Landlord Parties in connection with entry by Landlord or any Landlord Parties into the Premises pursuant hereto.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28</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TENANT PARKING</w:t>
      </w:r>
    </w:p>
    <w:p>
      <w:pPr>
        <w:spacing w:after="0" w:line="212" w:lineRule="exact"/>
        <w:rPr>
          <w:sz w:val="20"/>
          <w:szCs w:val="20"/>
          <w:color w:val="auto"/>
        </w:rPr>
      </w:pPr>
    </w:p>
    <w:p>
      <w:pPr>
        <w:jc w:val="both"/>
        <w:ind w:right="20" w:firstLine="877"/>
        <w:spacing w:after="0" w:line="245" w:lineRule="auto"/>
        <w:rPr>
          <w:sz w:val="20"/>
          <w:szCs w:val="20"/>
          <w:color w:val="auto"/>
        </w:rPr>
      </w:pPr>
      <w:r>
        <w:rPr>
          <w:rFonts w:ascii="Arial" w:cs="Arial" w:eastAsia="Arial" w:hAnsi="Arial"/>
          <w:sz w:val="21"/>
          <w:szCs w:val="21"/>
          <w:color w:val="auto"/>
        </w:rPr>
        <w:t xml:space="preserve">Tenant shall have the right to rent from Landlord, commencing on the Lease Commencement Date, the amount of parking passes set forth in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of the Summary, on a monthly basis throughout the Lease Term, which parking passes shall pertain to the Parking Structure. The location of the reserved parking spaces, if any, shall be designated by Landlord. Tenant shall pay to Landlord for automobile parking passes on a monthly basis the prevailing rate charged from time to time at the location of such parking passes. As of the date hereof, the parking rates are $90.00 per month per pass for unreserved passes, and $145.00 per pass per month for reserved spaces, and $235.00 per pass per month for reserved spaces on level P6. Such parking rates shall not increase during the first (1</w:t>
      </w:r>
      <w:r>
        <w:rPr>
          <w:rFonts w:ascii="Arial" w:cs="Arial" w:eastAsia="Arial" w:hAnsi="Arial"/>
          <w:sz w:val="17"/>
          <w:szCs w:val="17"/>
          <w:color w:val="auto"/>
        </w:rPr>
        <w:t>st</w:t>
      </w:r>
      <w:r>
        <w:rPr>
          <w:rFonts w:ascii="Arial" w:cs="Arial" w:eastAsia="Arial" w:hAnsi="Arial"/>
          <w:sz w:val="21"/>
          <w:szCs w:val="21"/>
          <w:color w:val="auto"/>
        </w:rPr>
        <w:t>) Lease Year and shall not thereafter increase by more than 4% per year over the Lease Term (on a cumulative, compounding basis). Notwithstanding the foregoing, during the first (1st) Lease Year, there shall be no parking fee payable for the first forty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-53-</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91" w:name="page92"/>
    <w:bookmarkEnd w:id="91"/>
    <w:p>
      <w:pPr>
        <w:jc w:val="both"/>
        <w:ind w:right="20" w:firstLine="8"/>
        <w:spacing w:after="0" w:line="269" w:lineRule="auto"/>
        <w:tabs>
          <w:tab w:leader="none" w:pos="419"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unreserved parking passes leased by Tenant. In addition, Tenant shall be responsible for the full amount of any taxes imposed by any governmental authority in connection with the renting of such parking passes by Tenant. Tenant shall abide by all rules and regulations which are reasonably prescribed from time to time for the orderly operation and use of the Parking Structure where the parking passes are located (including any sticker or other identification system established by Landlord and the prohibition of vehicle repair and maintenance activities in the Parking Structure), and cooperate in seeing that Tenant's employees and visitors also comply with such rules and regulations. Tenant's use of the Parking Structure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except as otherwise provided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(it being acknowledged and agreed by Landlord and Tenant that the Parking Structure and the other parking facilities accessible to Tenant hereunder shall be deemed to be a part of the Common Areas of the Project). Tenant's rights hereunder are subject to the terms of any Underlying Documents. Tenant's parking privileges in the Building parking garage shall be subject to whatever parking methods are then being used in the Building parking garage (e.g., self-parking, valet parking, stack parking, etc.). So long as Tenant retains the right to use the number of parking spaces specified herein, Landlord specifically reserves the right to change the size, configuration, design, layout and all other aspects of the Parking Structure at any time and Tenant acknowledges and agrees that Landlord may, without incurring any liability to Tenant and without any abatement of Rent under this Lease (except as specifically set forth in </w:t>
      </w:r>
      <w:r>
        <w:rPr>
          <w:rFonts w:ascii="Arial" w:cs="Arial" w:eastAsia="Arial" w:hAnsi="Arial"/>
          <w:sz w:val="19"/>
          <w:szCs w:val="19"/>
          <w:u w:val="single" w:color="auto"/>
          <w:color w:val="auto"/>
        </w:rPr>
        <w:t>Section 19.5.2</w:t>
      </w:r>
      <w:r>
        <w:rPr>
          <w:rFonts w:ascii="Arial" w:cs="Arial" w:eastAsia="Arial" w:hAnsi="Arial"/>
          <w:sz w:val="19"/>
          <w:szCs w:val="19"/>
          <w:color w:val="auto"/>
        </w:rPr>
        <w:t xml:space="preserve"> of this Lease), from time to time, temporarily close-off or restrict access to the Parking Structure for purposes of permitting or facilitating any such construction, alteration or improvements. Landlord may delegate its responsibilities hereunder to a parking operator in which case such parking operator shall have all the rights of control attributed hereby to the Landlord. The parking passes rented by Tenant pursuant to this </w:t>
      </w:r>
      <w:r>
        <w:rPr>
          <w:rFonts w:ascii="Arial" w:cs="Arial" w:eastAsia="Arial" w:hAnsi="Arial"/>
          <w:sz w:val="19"/>
          <w:szCs w:val="19"/>
          <w:u w:val="single" w:color="auto"/>
          <w:color w:val="auto"/>
        </w:rPr>
        <w:t>Article 28</w:t>
      </w:r>
      <w:r>
        <w:rPr>
          <w:rFonts w:ascii="Arial" w:cs="Arial" w:eastAsia="Arial" w:hAnsi="Arial"/>
          <w:sz w:val="19"/>
          <w:szCs w:val="19"/>
          <w:color w:val="auto"/>
        </w:rPr>
        <w:t xml:space="preserve"> are provided to Tenant solely for use by Tenant's own personnel and such passes may not be transferred, assigned, subleased or otherwise alienated by Tenant without Landlord's prior approval. Tenant may validate visitor parking by such method or methods as the Landlord may establish, at the validation rate from time to time generally applicable to visitor parking.</w:t>
      </w:r>
    </w:p>
    <w:p>
      <w:pPr>
        <w:spacing w:after="0" w:line="200" w:lineRule="exact"/>
        <w:rPr>
          <w:sz w:val="20"/>
          <w:szCs w:val="20"/>
          <w:color w:val="auto"/>
        </w:rPr>
      </w:pPr>
    </w:p>
    <w:p>
      <w:pPr>
        <w:spacing w:after="0" w:line="214"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94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8"/>
              </w:rPr>
              <w:t>ARTICLE 29</w:t>
            </w:r>
          </w:p>
        </w:tc>
      </w:tr>
      <w:tr>
        <w:trPr>
          <w:trHeight w:val="486"/>
        </w:trPr>
        <w:tc>
          <w:tcPr>
            <w:tcW w:w="1040" w:type="dxa"/>
            <w:vAlign w:val="bottom"/>
          </w:tcPr>
          <w:p>
            <w:pPr>
              <w:spacing w:after="0"/>
              <w:rPr>
                <w:sz w:val="24"/>
                <w:szCs w:val="24"/>
                <w:color w:val="auto"/>
              </w:rPr>
            </w:pPr>
          </w:p>
        </w:tc>
        <w:tc>
          <w:tcPr>
            <w:tcW w:w="9480" w:type="dxa"/>
            <w:vAlign w:val="bottom"/>
          </w:tcPr>
          <w:p>
            <w:pPr>
              <w:jc w:val="center"/>
              <w:ind w:right="1792"/>
              <w:spacing w:after="0"/>
              <w:rPr>
                <w:sz w:val="20"/>
                <w:szCs w:val="20"/>
                <w:color w:val="auto"/>
              </w:rPr>
            </w:pPr>
            <w:r>
              <w:rPr>
                <w:rFonts w:ascii="Arial" w:cs="Arial" w:eastAsia="Arial" w:hAnsi="Arial"/>
                <w:sz w:val="22"/>
                <w:szCs w:val="22"/>
                <w:b w:val="1"/>
                <w:bCs w:val="1"/>
                <w:u w:val="single" w:color="auto"/>
                <w:color w:val="auto"/>
                <w:w w:val="98"/>
              </w:rPr>
              <w:t>MISCELLANEOUS PROVISIONS</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color w:val="auto"/>
                <w:w w:val="83"/>
              </w:rPr>
              <w:t>29.1</w:t>
            </w:r>
          </w:p>
        </w:tc>
        <w:tc>
          <w:tcPr>
            <w:tcW w:w="9480" w:type="dxa"/>
            <w:vAlign w:val="bottom"/>
          </w:tcPr>
          <w:p>
            <w:pPr>
              <w:ind w:left="640"/>
              <w:spacing w:after="0"/>
              <w:rPr>
                <w:sz w:val="20"/>
                <w:szCs w:val="20"/>
                <w:color w:val="auto"/>
              </w:rPr>
            </w:pPr>
            <w:r>
              <w:rPr>
                <w:rFonts w:ascii="Arial" w:cs="Arial" w:eastAsia="Arial" w:hAnsi="Arial"/>
                <w:sz w:val="22"/>
                <w:szCs w:val="22"/>
                <w:b w:val="1"/>
                <w:bCs w:val="1"/>
                <w:u w:val="single" w:color="auto"/>
                <w:color w:val="auto"/>
                <w:w w:val="90"/>
              </w:rPr>
              <w:t>Terms; Captions</w:t>
            </w:r>
            <w:r>
              <w:rPr>
                <w:rFonts w:ascii="Arial" w:cs="Arial" w:eastAsia="Arial" w:hAnsi="Arial"/>
                <w:sz w:val="22"/>
                <w:szCs w:val="22"/>
                <w:color w:val="auto"/>
                <w:w w:val="90"/>
              </w:rPr>
              <w:t>. The words "Landlord" and "Tenant" as used herein shall include the plural as well</w:t>
            </w:r>
          </w:p>
        </w:tc>
      </w:tr>
    </w:tbl>
    <w:p>
      <w:pPr>
        <w:jc w:val="both"/>
        <w:ind w:right="20"/>
        <w:spacing w:after="0" w:line="233" w:lineRule="auto"/>
        <w:rPr>
          <w:sz w:val="20"/>
          <w:szCs w:val="20"/>
          <w:color w:val="auto"/>
        </w:rPr>
      </w:pPr>
      <w:r>
        <w:rPr>
          <w:rFonts w:ascii="Arial" w:cs="Arial" w:eastAsia="Arial" w:hAnsi="Arial"/>
          <w:sz w:val="22"/>
          <w:szCs w:val="22"/>
          <w:color w:val="auto"/>
        </w:rPr>
        <w:t>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82"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color w:val="auto"/>
        </w:rPr>
        <w:t xml:space="preserve">29.2 </w:t>
      </w:r>
      <w:r>
        <w:rPr>
          <w:rFonts w:ascii="Arial" w:cs="Arial" w:eastAsia="Arial" w:hAnsi="Arial"/>
          <w:sz w:val="22"/>
          <w:szCs w:val="22"/>
          <w:b w:val="1"/>
          <w:bCs w:val="1"/>
          <w:u w:val="single" w:color="auto"/>
          <w:color w:val="auto"/>
        </w:rPr>
        <w:t>Binding Effect</w:t>
      </w:r>
      <w:r>
        <w:rPr>
          <w:rFonts w:ascii="Arial" w:cs="Arial" w:eastAsia="Arial" w:hAnsi="Arial"/>
          <w:sz w:val="22"/>
          <w:szCs w:val="22"/>
          <w:color w:val="auto"/>
        </w:rPr>
        <w:t>. Subject to all other provisions of this Lease, each of the covenants, conditions and provisions of this Lease shall extend to and shall, as the case may require, bind or inure to the benefit not only of Landlord and of Tenant, but also of their respective heirs, personal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-54-</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92" w:name="page93"/>
    <w:bookmarkEnd w:id="92"/>
    <w:p>
      <w:pPr>
        <w:jc w:val="both"/>
        <w:ind w:right="40"/>
        <w:spacing w:after="0" w:line="251" w:lineRule="auto"/>
        <w:rPr>
          <w:sz w:val="20"/>
          <w:szCs w:val="20"/>
          <w:color w:val="auto"/>
        </w:rPr>
      </w:pPr>
      <w:r>
        <w:rPr>
          <w:rFonts w:ascii="Arial" w:cs="Arial" w:eastAsia="Arial" w:hAnsi="Arial"/>
          <w:sz w:val="22"/>
          <w:szCs w:val="22"/>
          <w:color w:val="auto"/>
        </w:rPr>
        <w:t xml:space="preserve">representatives, successors or assigns, provided this clause shall not permit any assignment by Tenant contrary to the provisions of </w:t>
      </w:r>
      <w:r>
        <w:rPr>
          <w:rFonts w:ascii="Arial" w:cs="Arial" w:eastAsia="Arial" w:hAnsi="Arial"/>
          <w:sz w:val="22"/>
          <w:szCs w:val="22"/>
          <w:u w:val="single" w:color="auto"/>
          <w:color w:val="auto"/>
        </w:rPr>
        <w:t>Article 14</w:t>
      </w:r>
      <w:r>
        <w:rPr>
          <w:rFonts w:ascii="Arial" w:cs="Arial" w:eastAsia="Arial" w:hAnsi="Arial"/>
          <w:sz w:val="22"/>
          <w:szCs w:val="22"/>
          <w:color w:val="auto"/>
        </w:rPr>
        <w:t xml:space="preserve"> of this Lease.</w:t>
      </w:r>
    </w:p>
    <w:p>
      <w:pPr>
        <w:spacing w:after="0" w:line="167" w:lineRule="exact"/>
        <w:rPr>
          <w:sz w:val="20"/>
          <w:szCs w:val="20"/>
          <w:color w:val="auto"/>
        </w:rPr>
      </w:pPr>
    </w:p>
    <w:p>
      <w:pPr>
        <w:jc w:val="both"/>
        <w:ind w:right="20" w:firstLine="877"/>
        <w:spacing w:after="0" w:line="237" w:lineRule="auto"/>
        <w:rPr>
          <w:sz w:val="20"/>
          <w:szCs w:val="20"/>
          <w:color w:val="auto"/>
        </w:rPr>
      </w:pPr>
      <w:r>
        <w:rPr>
          <w:rFonts w:ascii="Arial" w:cs="Arial" w:eastAsia="Arial" w:hAnsi="Arial"/>
          <w:sz w:val="22"/>
          <w:szCs w:val="22"/>
          <w:color w:val="auto"/>
        </w:rPr>
        <w:t xml:space="preserve">29.3 </w:t>
      </w:r>
      <w:r>
        <w:rPr>
          <w:rFonts w:ascii="Arial" w:cs="Arial" w:eastAsia="Arial" w:hAnsi="Arial"/>
          <w:sz w:val="22"/>
          <w:szCs w:val="22"/>
          <w:b w:val="1"/>
          <w:bCs w:val="1"/>
          <w:u w:val="single" w:color="auto"/>
          <w:color w:val="auto"/>
        </w:rPr>
        <w:t>No Air Rights</w:t>
      </w:r>
      <w:r>
        <w:rPr>
          <w:rFonts w:ascii="Arial" w:cs="Arial" w:eastAsia="Arial" w:hAnsi="Arial"/>
          <w:sz w:val="22"/>
          <w:szCs w:val="22"/>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83" w:lineRule="exact"/>
        <w:rPr>
          <w:sz w:val="20"/>
          <w:szCs w:val="20"/>
          <w:color w:val="auto"/>
        </w:rPr>
      </w:pPr>
    </w:p>
    <w:p>
      <w:pPr>
        <w:jc w:val="both"/>
        <w:ind w:right="20" w:firstLine="877"/>
        <w:spacing w:after="0" w:line="235" w:lineRule="auto"/>
        <w:rPr>
          <w:sz w:val="20"/>
          <w:szCs w:val="20"/>
          <w:color w:val="auto"/>
        </w:rPr>
      </w:pPr>
      <w:r>
        <w:rPr>
          <w:rFonts w:ascii="Arial" w:cs="Arial" w:eastAsia="Arial" w:hAnsi="Arial"/>
          <w:sz w:val="22"/>
          <w:szCs w:val="22"/>
          <w:color w:val="auto"/>
        </w:rPr>
        <w:t xml:space="preserve">29.4 </w:t>
      </w:r>
      <w:r>
        <w:rPr>
          <w:rFonts w:ascii="Arial" w:cs="Arial" w:eastAsia="Arial" w:hAnsi="Arial"/>
          <w:sz w:val="22"/>
          <w:szCs w:val="22"/>
          <w:b w:val="1"/>
          <w:bCs w:val="1"/>
          <w:u w:val="single" w:color="auto"/>
          <w:color w:val="auto"/>
        </w:rPr>
        <w:t>Modification of Lease</w:t>
      </w:r>
      <w:r>
        <w:rPr>
          <w:rFonts w:ascii="Arial" w:cs="Arial" w:eastAsia="Arial" w:hAnsi="Arial"/>
          <w:sz w:val="22"/>
          <w:szCs w:val="22"/>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written request therefor. At the request of Landlord or any mortgagee or ground lessor, Tenant agrees to execute a short form of Lease and deliver the same to Landlord within ten (10) business days following the written request therefor.</w:t>
      </w:r>
    </w:p>
    <w:p>
      <w:pPr>
        <w:spacing w:after="0" w:line="184"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22"/>
          <w:szCs w:val="22"/>
          <w:color w:val="auto"/>
        </w:rPr>
        <w:t xml:space="preserve">29.5 </w:t>
      </w:r>
      <w:r>
        <w:rPr>
          <w:rFonts w:ascii="Arial" w:cs="Arial" w:eastAsia="Arial" w:hAnsi="Arial"/>
          <w:sz w:val="22"/>
          <w:szCs w:val="22"/>
          <w:b w:val="1"/>
          <w:bCs w:val="1"/>
          <w:u w:val="single" w:color="auto"/>
          <w:color w:val="auto"/>
        </w:rPr>
        <w:t>Transfer of Landlord's Interest</w:t>
      </w:r>
      <w:r>
        <w:rPr>
          <w:rFonts w:ascii="Arial" w:cs="Arial" w:eastAsia="Arial" w:hAnsi="Arial"/>
          <w:sz w:val="22"/>
          <w:szCs w:val="22"/>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Letter of Credit, and Tenant shall attorn to such transferee.</w:t>
      </w:r>
    </w:p>
    <w:p>
      <w:pPr>
        <w:spacing w:after="0" w:line="182"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color w:val="auto"/>
        </w:rPr>
        <w:t xml:space="preserve">29.6 </w:t>
      </w:r>
      <w:r>
        <w:rPr>
          <w:rFonts w:ascii="Arial" w:cs="Arial" w:eastAsia="Arial" w:hAnsi="Arial"/>
          <w:sz w:val="22"/>
          <w:szCs w:val="22"/>
          <w:b w:val="1"/>
          <w:bCs w:val="1"/>
          <w:u w:val="single" w:color="auto"/>
          <w:color w:val="auto"/>
        </w:rPr>
        <w:t>Prohibition Against Recording</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29.4</w:t>
      </w:r>
      <w:r>
        <w:rPr>
          <w:rFonts w:ascii="Arial" w:cs="Arial" w:eastAsia="Arial" w:hAnsi="Arial"/>
          <w:sz w:val="22"/>
          <w:szCs w:val="22"/>
          <w:color w:val="auto"/>
        </w:rPr>
        <w:t xml:space="preserve"> of this Lease, neither this Lease, nor any memorandum, affidavit or other writing with respect thereto, shall be recorded by Tenant or by anyone acting through, under or on behalf of Tenant.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60" w:type="dxa"/>
            <w:vAlign w:val="bottom"/>
          </w:tcPr>
          <w:p>
            <w:pPr>
              <w:jc w:val="right"/>
              <w:ind w:right="1192"/>
              <w:spacing w:after="0"/>
              <w:rPr>
                <w:sz w:val="20"/>
                <w:szCs w:val="20"/>
                <w:color w:val="auto"/>
              </w:rPr>
            </w:pPr>
            <w:r>
              <w:rPr>
                <w:rFonts w:ascii="Arial" w:cs="Arial" w:eastAsia="Arial" w:hAnsi="Arial"/>
                <w:sz w:val="22"/>
                <w:szCs w:val="22"/>
                <w:color w:val="auto"/>
              </w:rPr>
              <w:t>29.7</w:t>
            </w:r>
          </w:p>
        </w:tc>
        <w:tc>
          <w:tcPr>
            <w:tcW w:w="8860" w:type="dxa"/>
            <w:vAlign w:val="bottom"/>
            <w:gridSpan w:val="3"/>
          </w:tcPr>
          <w:p>
            <w:pPr>
              <w:spacing w:after="0"/>
              <w:rPr>
                <w:sz w:val="20"/>
                <w:szCs w:val="20"/>
                <w:color w:val="auto"/>
              </w:rPr>
            </w:pPr>
            <w:r>
              <w:rPr>
                <w:rFonts w:ascii="Arial" w:cs="Arial" w:eastAsia="Arial" w:hAnsi="Arial"/>
                <w:sz w:val="22"/>
                <w:szCs w:val="22"/>
                <w:b w:val="1"/>
                <w:bCs w:val="1"/>
                <w:color w:val="auto"/>
                <w:w w:val="93"/>
              </w:rPr>
              <w:t>Landlord's Title</w:t>
            </w:r>
            <w:r>
              <w:rPr>
                <w:rFonts w:ascii="Arial" w:cs="Arial" w:eastAsia="Arial" w:hAnsi="Arial"/>
                <w:sz w:val="22"/>
                <w:szCs w:val="22"/>
                <w:color w:val="auto"/>
                <w:w w:val="93"/>
              </w:rPr>
              <w:t>.  Landlord's title is and always shall be paramount to the title of Tenant.  Nothing</w:t>
            </w:r>
          </w:p>
        </w:tc>
      </w:tr>
      <w:tr>
        <w:trPr>
          <w:trHeight w:val="20"/>
        </w:trPr>
        <w:tc>
          <w:tcPr>
            <w:tcW w:w="2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herein contained shall empower Tenant to do any act which can, shall or may encumber the title of Landlord.</w:t>
            </w:r>
          </w:p>
        </w:tc>
      </w:tr>
      <w:tr>
        <w:trPr>
          <w:trHeight w:val="409"/>
        </w:trPr>
        <w:tc>
          <w:tcPr>
            <w:tcW w:w="2560" w:type="dxa"/>
            <w:vAlign w:val="bottom"/>
          </w:tcPr>
          <w:p>
            <w:pPr>
              <w:jc w:val="right"/>
              <w:ind w:right="1192"/>
              <w:spacing w:after="0"/>
              <w:rPr>
                <w:sz w:val="20"/>
                <w:szCs w:val="20"/>
                <w:color w:val="auto"/>
              </w:rPr>
            </w:pPr>
            <w:r>
              <w:rPr>
                <w:rFonts w:ascii="Arial" w:cs="Arial" w:eastAsia="Arial" w:hAnsi="Arial"/>
                <w:sz w:val="22"/>
                <w:szCs w:val="22"/>
                <w:color w:val="auto"/>
              </w:rPr>
              <w:t>29.8</w:t>
            </w:r>
          </w:p>
        </w:tc>
        <w:tc>
          <w:tcPr>
            <w:tcW w:w="8860" w:type="dxa"/>
            <w:vAlign w:val="bottom"/>
            <w:gridSpan w:val="3"/>
          </w:tcPr>
          <w:p>
            <w:pPr>
              <w:spacing w:after="0"/>
              <w:rPr>
                <w:sz w:val="20"/>
                <w:szCs w:val="20"/>
                <w:color w:val="auto"/>
              </w:rPr>
            </w:pPr>
            <w:r>
              <w:rPr>
                <w:rFonts w:ascii="Arial" w:cs="Arial" w:eastAsia="Arial" w:hAnsi="Arial"/>
                <w:sz w:val="22"/>
                <w:szCs w:val="22"/>
                <w:b w:val="1"/>
                <w:bCs w:val="1"/>
                <w:color w:val="auto"/>
                <w:w w:val="89"/>
              </w:rPr>
              <w:t>Relationship of Parties</w:t>
            </w:r>
            <w:r>
              <w:rPr>
                <w:rFonts w:ascii="Arial" w:cs="Arial" w:eastAsia="Arial" w:hAnsi="Arial"/>
                <w:sz w:val="22"/>
                <w:szCs w:val="22"/>
                <w:color w:val="auto"/>
                <w:w w:val="89"/>
              </w:rPr>
              <w:t>. Nothing contained in this Lease shall be deemed or construed by the parties</w:t>
            </w:r>
          </w:p>
        </w:tc>
      </w:tr>
      <w:tr>
        <w:trPr>
          <w:trHeight w:val="20"/>
        </w:trPr>
        <w:tc>
          <w:tcPr>
            <w:tcW w:w="2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hereto or by any third party to create the relationship of principal and agent, partnership, joint venturer or any association between Landlord and Tenant.</w:t>
      </w:r>
    </w:p>
    <w:p>
      <w:pPr>
        <w:spacing w:after="0" w:line="167"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color w:val="auto"/>
        </w:rPr>
        <w:t xml:space="preserve">29.9 </w:t>
      </w:r>
      <w:r>
        <w:rPr>
          <w:rFonts w:ascii="Arial" w:cs="Arial" w:eastAsia="Arial" w:hAnsi="Arial"/>
          <w:sz w:val="22"/>
          <w:szCs w:val="22"/>
          <w:b w:val="1"/>
          <w:bCs w:val="1"/>
          <w:u w:val="single" w:color="auto"/>
          <w:color w:val="auto"/>
        </w:rPr>
        <w:t>Application of Payments</w:t>
      </w:r>
      <w:r>
        <w:rPr>
          <w:rFonts w:ascii="Arial" w:cs="Arial" w:eastAsia="Arial" w:hAnsi="Arial"/>
          <w:sz w:val="22"/>
          <w:szCs w:val="22"/>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tcPr>
          <w:p>
            <w:pPr>
              <w:jc w:val="right"/>
              <w:ind w:right="1194"/>
              <w:spacing w:after="0"/>
              <w:rPr>
                <w:sz w:val="20"/>
                <w:szCs w:val="20"/>
                <w:color w:val="auto"/>
              </w:rPr>
            </w:pPr>
            <w:r>
              <w:rPr>
                <w:rFonts w:ascii="Arial" w:cs="Arial" w:eastAsia="Arial" w:hAnsi="Arial"/>
                <w:sz w:val="22"/>
                <w:szCs w:val="22"/>
                <w:color w:val="auto"/>
              </w:rPr>
              <w:t>29.10</w:t>
            </w:r>
          </w:p>
        </w:tc>
        <w:tc>
          <w:tcPr>
            <w:tcW w:w="878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Time of Essence</w:t>
            </w:r>
            <w:r>
              <w:rPr>
                <w:rFonts w:ascii="Arial" w:cs="Arial" w:eastAsia="Arial" w:hAnsi="Arial"/>
                <w:sz w:val="22"/>
                <w:szCs w:val="22"/>
                <w:color w:val="auto"/>
                <w:w w:val="90"/>
              </w:rPr>
              <w:t>. Time is of the essence with respect to the performance of every provision of this</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760" w:type="dxa"/>
            <w:vAlign w:val="bottom"/>
            <w:gridSpan w:val="3"/>
          </w:tcPr>
          <w:p>
            <w:pPr>
              <w:spacing w:after="0"/>
              <w:rPr>
                <w:sz w:val="20"/>
                <w:szCs w:val="20"/>
                <w:color w:val="auto"/>
              </w:rPr>
            </w:pPr>
            <w:r>
              <w:rPr>
                <w:rFonts w:ascii="Arial" w:cs="Arial" w:eastAsia="Arial" w:hAnsi="Arial"/>
                <w:sz w:val="22"/>
                <w:szCs w:val="22"/>
                <w:color w:val="auto"/>
              </w:rPr>
              <w:t>Lease in which time of performance is a factor.</w:t>
            </w:r>
          </w:p>
        </w:tc>
        <w:tc>
          <w:tcPr>
            <w:tcW w:w="3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2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20"/>
                <w:szCs w:val="20"/>
                <w:color w:val="auto"/>
              </w:rPr>
            </w:pPr>
            <w:r>
              <w:rPr>
                <w:rFonts w:ascii="Arial" w:cs="Arial" w:eastAsia="Arial" w:hAnsi="Arial"/>
                <w:sz w:val="13"/>
                <w:szCs w:val="13"/>
                <w:color w:val="auto"/>
              </w:rPr>
              <w:t>795344.01/WLA</w:t>
            </w:r>
          </w:p>
        </w:tc>
        <w:tc>
          <w:tcPr>
            <w:tcW w:w="5100" w:type="dxa"/>
            <w:vAlign w:val="bottom"/>
            <w:gridSpan w:val="2"/>
            <w:vMerge w:val="restart"/>
          </w:tcPr>
          <w:p>
            <w:pPr>
              <w:jc w:val="right"/>
              <w:ind w:right="1900"/>
              <w:spacing w:after="0"/>
              <w:rPr>
                <w:sz w:val="20"/>
                <w:szCs w:val="20"/>
                <w:color w:val="auto"/>
              </w:rPr>
            </w:pPr>
            <w:r>
              <w:rPr>
                <w:rFonts w:ascii="Arial" w:cs="Arial" w:eastAsia="Arial" w:hAnsi="Arial"/>
                <w:sz w:val="16"/>
                <w:szCs w:val="16"/>
                <w:color w:val="auto"/>
              </w:rPr>
              <w:t>-55-</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20"/>
                <w:szCs w:val="20"/>
                <w:color w:val="auto"/>
              </w:rPr>
            </w:pPr>
            <w:r>
              <w:rPr>
                <w:rFonts w:ascii="Arial" w:cs="Arial" w:eastAsia="Arial" w:hAnsi="Arial"/>
                <w:sz w:val="13"/>
                <w:szCs w:val="13"/>
                <w:color w:val="auto"/>
              </w:rPr>
              <w:t>377082-00004//ejs/ejs</w:t>
            </w:r>
          </w:p>
        </w:tc>
        <w:tc>
          <w:tcPr>
            <w:tcW w:w="5100" w:type="dxa"/>
            <w:vAlign w:val="bottom"/>
            <w:gridSpan w:val="2"/>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2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93" w:name="page94"/>
    <w:bookmarkEnd w:id="93"/>
    <w:p>
      <w:pPr>
        <w:jc w:val="both"/>
        <w:ind w:right="20" w:firstLine="877"/>
        <w:spacing w:after="0" w:line="289" w:lineRule="auto"/>
        <w:rPr>
          <w:sz w:val="20"/>
          <w:szCs w:val="20"/>
          <w:color w:val="auto"/>
        </w:rPr>
      </w:pPr>
      <w:r>
        <w:rPr>
          <w:rFonts w:ascii="Arial" w:cs="Arial" w:eastAsia="Arial" w:hAnsi="Arial"/>
          <w:sz w:val="19"/>
          <w:szCs w:val="19"/>
          <w:color w:val="auto"/>
        </w:rPr>
        <w:t xml:space="preserve">29.11 </w:t>
      </w:r>
      <w:r>
        <w:rPr>
          <w:rFonts w:ascii="Arial" w:cs="Arial" w:eastAsia="Arial" w:hAnsi="Arial"/>
          <w:sz w:val="19"/>
          <w:szCs w:val="19"/>
          <w:b w:val="1"/>
          <w:bCs w:val="1"/>
          <w:u w:val="single" w:color="auto"/>
          <w:color w:val="auto"/>
        </w:rPr>
        <w:t>Partial Invalidity</w:t>
      </w:r>
      <w:r>
        <w:rPr>
          <w:rFonts w:ascii="Arial" w:cs="Arial" w:eastAsia="Arial" w:hAnsi="Arial"/>
          <w:sz w:val="19"/>
          <w:szCs w:val="19"/>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36" w:lineRule="exact"/>
        <w:rPr>
          <w:sz w:val="20"/>
          <w:szCs w:val="20"/>
          <w:color w:val="auto"/>
        </w:rPr>
      </w:pPr>
    </w:p>
    <w:p>
      <w:pPr>
        <w:jc w:val="both"/>
        <w:ind w:right="20" w:firstLine="877"/>
        <w:spacing w:after="0" w:line="237" w:lineRule="auto"/>
        <w:rPr>
          <w:sz w:val="20"/>
          <w:szCs w:val="20"/>
          <w:color w:val="auto"/>
        </w:rPr>
      </w:pPr>
      <w:r>
        <w:rPr>
          <w:rFonts w:ascii="Arial" w:cs="Arial" w:eastAsia="Arial" w:hAnsi="Arial"/>
          <w:sz w:val="22"/>
          <w:szCs w:val="22"/>
          <w:color w:val="auto"/>
        </w:rPr>
        <w:t xml:space="preserve">29.12 </w:t>
      </w:r>
      <w:r>
        <w:rPr>
          <w:rFonts w:ascii="Arial" w:cs="Arial" w:eastAsia="Arial" w:hAnsi="Arial"/>
          <w:sz w:val="22"/>
          <w:szCs w:val="22"/>
          <w:b w:val="1"/>
          <w:bCs w:val="1"/>
          <w:u w:val="single" w:color="auto"/>
          <w:color w:val="auto"/>
        </w:rPr>
        <w:t>No Warranty</w:t>
      </w:r>
      <w:r>
        <w:rPr>
          <w:rFonts w:ascii="Arial" w:cs="Arial" w:eastAsia="Arial" w:hAnsi="Arial"/>
          <w:sz w:val="22"/>
          <w:szCs w:val="22"/>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83" w:lineRule="exact"/>
        <w:rPr>
          <w:sz w:val="20"/>
          <w:szCs w:val="20"/>
          <w:color w:val="auto"/>
        </w:rPr>
      </w:pPr>
    </w:p>
    <w:p>
      <w:pPr>
        <w:jc w:val="both"/>
        <w:ind w:right="20" w:firstLine="877"/>
        <w:spacing w:after="0" w:line="272" w:lineRule="auto"/>
        <w:rPr>
          <w:sz w:val="20"/>
          <w:szCs w:val="20"/>
          <w:color w:val="auto"/>
        </w:rPr>
      </w:pPr>
      <w:r>
        <w:rPr>
          <w:rFonts w:ascii="Arial" w:cs="Arial" w:eastAsia="Arial" w:hAnsi="Arial"/>
          <w:sz w:val="19"/>
          <w:szCs w:val="19"/>
          <w:color w:val="auto"/>
        </w:rPr>
        <w:t xml:space="preserve">29.13 </w:t>
      </w:r>
      <w:r>
        <w:rPr>
          <w:rFonts w:ascii="Arial" w:cs="Arial" w:eastAsia="Arial" w:hAnsi="Arial"/>
          <w:sz w:val="19"/>
          <w:szCs w:val="19"/>
          <w:b w:val="1"/>
          <w:bCs w:val="1"/>
          <w:u w:val="single" w:color="auto"/>
          <w:color w:val="auto"/>
        </w:rPr>
        <w:t>Landlord Exculpation</w:t>
      </w:r>
      <w:r>
        <w:rPr>
          <w:rFonts w:ascii="Arial" w:cs="Arial" w:eastAsia="Arial" w:hAnsi="Arial"/>
          <w:sz w:val="19"/>
          <w:szCs w:val="19"/>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equity interest of Landlord in the Building, including any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9"/>
          <w:szCs w:val="19"/>
          <w:u w:val="single" w:color="auto"/>
          <w:color w:val="auto"/>
        </w:rPr>
        <w:t>Section 29.13</w:t>
      </w:r>
      <w:r>
        <w:rPr>
          <w:rFonts w:ascii="Arial" w:cs="Arial" w:eastAsia="Arial" w:hAnsi="Arial"/>
          <w:sz w:val="19"/>
          <w:szCs w:val="19"/>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Except as otherwise expressly provided herein, neither Landlord nor the Landlord Parties shall be personally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spacing w:after="0" w:line="153" w:lineRule="exact"/>
        <w:rPr>
          <w:sz w:val="20"/>
          <w:szCs w:val="20"/>
          <w:color w:val="auto"/>
        </w:rPr>
      </w:pPr>
    </w:p>
    <w:p>
      <w:pPr>
        <w:jc w:val="both"/>
        <w:ind w:right="20" w:firstLine="877"/>
        <w:spacing w:after="0" w:line="249" w:lineRule="auto"/>
        <w:rPr>
          <w:sz w:val="20"/>
          <w:szCs w:val="20"/>
          <w:color w:val="auto"/>
        </w:rPr>
      </w:pPr>
      <w:r>
        <w:rPr>
          <w:rFonts w:ascii="Arial" w:cs="Arial" w:eastAsia="Arial" w:hAnsi="Arial"/>
          <w:sz w:val="21"/>
          <w:szCs w:val="21"/>
          <w:color w:val="auto"/>
        </w:rPr>
        <w:t xml:space="preserve">29.14 </w:t>
      </w: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71" w:lineRule="exact"/>
        <w:rPr>
          <w:sz w:val="20"/>
          <w:szCs w:val="20"/>
          <w:color w:val="auto"/>
        </w:rPr>
      </w:pPr>
    </w:p>
    <w:p>
      <w:pPr>
        <w:jc w:val="both"/>
        <w:ind w:right="20" w:firstLine="877"/>
        <w:spacing w:after="0" w:line="239" w:lineRule="auto"/>
        <w:rPr>
          <w:sz w:val="20"/>
          <w:szCs w:val="20"/>
          <w:color w:val="auto"/>
        </w:rPr>
      </w:pPr>
      <w:r>
        <w:rPr>
          <w:rFonts w:ascii="Arial" w:cs="Arial" w:eastAsia="Arial" w:hAnsi="Arial"/>
          <w:sz w:val="22"/>
          <w:szCs w:val="22"/>
          <w:color w:val="auto"/>
        </w:rPr>
        <w:t xml:space="preserve">29.15 </w:t>
      </w:r>
      <w:r>
        <w:rPr>
          <w:rFonts w:ascii="Arial" w:cs="Arial" w:eastAsia="Arial" w:hAnsi="Arial"/>
          <w:sz w:val="22"/>
          <w:szCs w:val="22"/>
          <w:b w:val="1"/>
          <w:bCs w:val="1"/>
          <w:u w:val="single" w:color="auto"/>
          <w:color w:val="auto"/>
        </w:rPr>
        <w:t>Right to Lease</w:t>
      </w:r>
      <w:r>
        <w:rPr>
          <w:rFonts w:ascii="Arial" w:cs="Arial" w:eastAsia="Arial" w:hAnsi="Arial"/>
          <w:sz w:val="22"/>
          <w:szCs w:val="22"/>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-56-</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94" w:name="page95"/>
    <w:bookmarkEnd w:id="94"/>
    <w:p>
      <w:pPr>
        <w:jc w:val="both"/>
        <w:ind w:right="20" w:firstLine="877"/>
        <w:spacing w:after="0" w:line="247" w:lineRule="auto"/>
        <w:rPr>
          <w:sz w:val="20"/>
          <w:szCs w:val="20"/>
          <w:color w:val="auto"/>
        </w:rPr>
      </w:pPr>
      <w:r>
        <w:rPr>
          <w:rFonts w:ascii="Arial" w:cs="Arial" w:eastAsia="Arial" w:hAnsi="Arial"/>
          <w:sz w:val="21"/>
          <w:szCs w:val="21"/>
          <w:color w:val="auto"/>
        </w:rPr>
        <w:t xml:space="preserve">29.16 </w:t>
      </w:r>
      <w:r>
        <w:rPr>
          <w:rFonts w:ascii="Arial" w:cs="Arial" w:eastAsia="Arial" w:hAnsi="Arial"/>
          <w:sz w:val="21"/>
          <w:szCs w:val="21"/>
          <w:b w:val="1"/>
          <w:bCs w:val="1"/>
          <w:u w:val="single" w:color="auto"/>
          <w:color w:val="auto"/>
        </w:rPr>
        <w:t>Force Majeure</w:t>
      </w:r>
      <w:r>
        <w:rPr>
          <w:rFonts w:ascii="Arial" w:cs="Arial" w:eastAsia="Arial" w:hAnsi="Arial"/>
          <w:sz w:val="21"/>
          <w:szCs w:val="21"/>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or Landlord pursuant to this Lease (collectively, a "</w:t>
      </w:r>
      <w:r>
        <w:rPr>
          <w:rFonts w:ascii="Arial" w:cs="Arial" w:eastAsia="Arial" w:hAnsi="Arial"/>
          <w:sz w:val="21"/>
          <w:szCs w:val="21"/>
          <w:b w:val="1"/>
          <w:bCs w:val="1"/>
          <w:color w:val="auto"/>
        </w:rPr>
        <w:t>Force Majeure</w:t>
      </w:r>
      <w:r>
        <w:rPr>
          <w:rFonts w:ascii="Arial" w:cs="Arial" w:eastAsia="Arial" w:hAnsi="Arial"/>
          <w:sz w:val="21"/>
          <w:szCs w:val="21"/>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73"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color w:val="auto"/>
        </w:rPr>
        <w:t xml:space="preserve">29.17 </w:t>
      </w:r>
      <w:r>
        <w:rPr>
          <w:rFonts w:ascii="Arial" w:cs="Arial" w:eastAsia="Arial" w:hAnsi="Arial"/>
          <w:sz w:val="22"/>
          <w:szCs w:val="22"/>
          <w:b w:val="1"/>
          <w:bCs w:val="1"/>
          <w:u w:val="single" w:color="auto"/>
          <w:color w:val="auto"/>
        </w:rPr>
        <w:t>Waiver of Redemption by Tenant</w:t>
      </w:r>
      <w:r>
        <w:rPr>
          <w:rFonts w:ascii="Arial" w:cs="Arial" w:eastAsia="Arial" w:hAnsi="Arial"/>
          <w:sz w:val="22"/>
          <w:szCs w:val="22"/>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77" w:lineRule="exact"/>
        <w:rPr>
          <w:sz w:val="20"/>
          <w:szCs w:val="20"/>
          <w:color w:val="auto"/>
        </w:rPr>
      </w:pPr>
    </w:p>
    <w:p>
      <w:pPr>
        <w:jc w:val="both"/>
        <w:ind w:right="40" w:firstLine="877"/>
        <w:spacing w:after="0" w:line="253" w:lineRule="auto"/>
        <w:rPr>
          <w:sz w:val="20"/>
          <w:szCs w:val="20"/>
          <w:color w:val="auto"/>
        </w:rPr>
      </w:pPr>
      <w:r>
        <w:rPr>
          <w:rFonts w:ascii="Arial" w:cs="Arial" w:eastAsia="Arial" w:hAnsi="Arial"/>
          <w:sz w:val="21"/>
          <w:szCs w:val="21"/>
          <w:color w:val="auto"/>
        </w:rPr>
        <w:t xml:space="preserve">29.18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demands, statements, designations, approvals or other communications (collectively, "</w:t>
      </w:r>
      <w:r>
        <w:rPr>
          <w:rFonts w:ascii="Arial" w:cs="Arial" w:eastAsia="Arial" w:hAnsi="Arial"/>
          <w:sz w:val="21"/>
          <w:szCs w:val="21"/>
          <w:b w:val="1"/>
          <w:bCs w:val="1"/>
          <w:color w:val="auto"/>
        </w:rPr>
        <w:t>Notices</w:t>
      </w:r>
      <w:r>
        <w:rPr>
          <w:rFonts w:ascii="Arial" w:cs="Arial" w:eastAsia="Arial" w:hAnsi="Arial"/>
          <w:sz w:val="21"/>
          <w:szCs w:val="21"/>
          <w:color w:val="auto"/>
        </w:rPr>
        <w:t>") given or required to be given by either party to the other hereunder or by law shall be in writing, shall be</w:t>
      </w:r>
    </w:p>
    <w:p>
      <w:pPr>
        <w:spacing w:after="0" w:line="1" w:lineRule="exact"/>
        <w:rPr>
          <w:sz w:val="20"/>
          <w:szCs w:val="20"/>
          <w:color w:val="auto"/>
        </w:rPr>
      </w:pPr>
    </w:p>
    <w:p>
      <w:pPr>
        <w:jc w:val="both"/>
        <w:ind w:right="20" w:firstLine="8"/>
        <w:spacing w:after="0" w:line="243" w:lineRule="auto"/>
        <w:tabs>
          <w:tab w:leader="none" w:pos="396" w:val="left"/>
        </w:tabs>
        <w:numPr>
          <w:ilvl w:val="0"/>
          <w:numId w:val="27"/>
        </w:numPr>
        <w:rPr>
          <w:rFonts w:ascii="Arial" w:cs="Arial" w:eastAsia="Arial" w:hAnsi="Arial"/>
          <w:sz w:val="21"/>
          <w:szCs w:val="21"/>
          <w:color w:val="auto"/>
        </w:rPr>
      </w:pPr>
      <w:r>
        <w:rPr>
          <w:rFonts w:ascii="Arial" w:cs="Arial" w:eastAsia="Arial" w:hAnsi="Arial"/>
          <w:sz w:val="21"/>
          <w:szCs w:val="21"/>
          <w:color w:val="auto"/>
        </w:rPr>
        <w:t>sent by United States certified or registered mail, postage prepaid, return receipt requested ("</w:t>
      </w:r>
      <w:r>
        <w:rPr>
          <w:rFonts w:ascii="Arial" w:cs="Arial" w:eastAsia="Arial" w:hAnsi="Arial"/>
          <w:sz w:val="21"/>
          <w:szCs w:val="21"/>
          <w:b w:val="1"/>
          <w:bCs w:val="1"/>
          <w:color w:val="auto"/>
        </w:rPr>
        <w:t>Mail</w:t>
      </w:r>
      <w:r>
        <w:rPr>
          <w:rFonts w:ascii="Arial" w:cs="Arial" w:eastAsia="Arial" w:hAnsi="Arial"/>
          <w:sz w:val="21"/>
          <w:szCs w:val="21"/>
          <w:color w:val="auto"/>
        </w:rPr>
        <w:t xml:space="preserve">"), (B) delivered by a nationally recognized overnight courier, or (C) delivered personally. Any Notice shall be sent, transmitted, or delivered, as the case may be, to Tenant at the appropriate address set forth in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on the date of receipted delivery, of refusal to accept delivery, or when delivery is first attempted but cannot be made due to a change of address for which no Notice was given. Any Notice given by an attorney on behalf of Landlord or by Landlord’s managing agent shall be considered as given by Landlord and shall be fully effective. As of the date of this Lease, any Notices to Landlord must be sent, transmitted, or delivered, as the case may be, to the following addresses:</w:t>
      </w:r>
    </w:p>
    <w:p>
      <w:pPr>
        <w:spacing w:after="0" w:line="185"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177 Colorado Owner LLC</w:t>
      </w:r>
    </w:p>
    <w:p>
      <w:pPr>
        <w:ind w:left="3520"/>
        <w:spacing w:after="0" w:line="238" w:lineRule="auto"/>
        <w:rPr>
          <w:sz w:val="20"/>
          <w:szCs w:val="20"/>
          <w:color w:val="auto"/>
        </w:rPr>
      </w:pPr>
      <w:r>
        <w:rPr>
          <w:rFonts w:ascii="Arial" w:cs="Arial" w:eastAsia="Arial" w:hAnsi="Arial"/>
          <w:sz w:val="22"/>
          <w:szCs w:val="22"/>
          <w:color w:val="auto"/>
        </w:rPr>
        <w:t>Woodlawn Hall at Old Parkland</w:t>
      </w:r>
    </w:p>
    <w:p>
      <w:pPr>
        <w:ind w:left="3520"/>
        <w:spacing w:after="0" w:line="230" w:lineRule="auto"/>
        <w:rPr>
          <w:sz w:val="20"/>
          <w:szCs w:val="20"/>
          <w:color w:val="auto"/>
        </w:rPr>
      </w:pPr>
      <w:r>
        <w:rPr>
          <w:rFonts w:ascii="Arial" w:cs="Arial" w:eastAsia="Arial" w:hAnsi="Arial"/>
          <w:sz w:val="22"/>
          <w:szCs w:val="22"/>
          <w:color w:val="auto"/>
        </w:rPr>
        <w:t>3953 Maple Avenue, Suite 300</w:t>
      </w:r>
    </w:p>
    <w:p>
      <w:pPr>
        <w:ind w:left="3520"/>
        <w:spacing w:after="0" w:line="231" w:lineRule="auto"/>
        <w:rPr>
          <w:sz w:val="20"/>
          <w:szCs w:val="20"/>
          <w:color w:val="auto"/>
        </w:rPr>
      </w:pPr>
      <w:r>
        <w:rPr>
          <w:rFonts w:ascii="Arial" w:cs="Arial" w:eastAsia="Arial" w:hAnsi="Arial"/>
          <w:sz w:val="22"/>
          <w:szCs w:val="22"/>
          <w:color w:val="auto"/>
        </w:rPr>
        <w:t>Dallas, Texas 75219</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Attn: Legal Department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40" w:type="dxa"/>
            <w:vAlign w:val="bottom"/>
          </w:tcPr>
          <w:p>
            <w:pPr>
              <w:ind w:left="3520"/>
              <w:spacing w:after="0"/>
              <w:rPr>
                <w:sz w:val="20"/>
                <w:szCs w:val="20"/>
                <w:color w:val="auto"/>
              </w:rPr>
            </w:pPr>
            <w:r>
              <w:rPr>
                <w:rFonts w:ascii="Arial" w:cs="Arial" w:eastAsia="Arial" w:hAnsi="Arial"/>
                <w:sz w:val="22"/>
                <w:szCs w:val="22"/>
                <w:color w:val="auto"/>
              </w:rPr>
              <w:t>with a copy to:</w:t>
            </w:r>
          </w:p>
        </w:tc>
        <w:tc>
          <w:tcPr>
            <w:tcW w:w="29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500" w:type="dxa"/>
            <w:vAlign w:val="bottom"/>
            <w:gridSpan w:val="2"/>
          </w:tcPr>
          <w:p>
            <w:pPr>
              <w:ind w:left="3520"/>
              <w:spacing w:after="0"/>
              <w:rPr>
                <w:sz w:val="20"/>
                <w:szCs w:val="20"/>
                <w:color w:val="auto"/>
              </w:rPr>
            </w:pPr>
            <w:r>
              <w:rPr>
                <w:rFonts w:ascii="Arial" w:cs="Arial" w:eastAsia="Arial" w:hAnsi="Arial"/>
                <w:sz w:val="22"/>
                <w:szCs w:val="22"/>
                <w:color w:val="auto"/>
              </w:rPr>
              <w:t>177 Colorado Owner LLC</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3520"/>
              <w:spacing w:after="0" w:line="243" w:lineRule="exact"/>
              <w:rPr>
                <w:sz w:val="20"/>
                <w:szCs w:val="20"/>
                <w:color w:val="auto"/>
              </w:rPr>
            </w:pPr>
            <w:r>
              <w:rPr>
                <w:rFonts w:ascii="Arial" w:cs="Arial" w:eastAsia="Arial" w:hAnsi="Arial"/>
                <w:sz w:val="22"/>
                <w:szCs w:val="22"/>
                <w:color w:val="auto"/>
              </w:rPr>
              <w:t>500 Boylston Street, 21</w:t>
            </w:r>
            <w:r>
              <w:rPr>
                <w:rFonts w:ascii="Arial" w:cs="Arial" w:eastAsia="Arial" w:hAnsi="Arial"/>
                <w:sz w:val="18"/>
                <w:szCs w:val="18"/>
                <w:color w:val="auto"/>
              </w:rPr>
              <w:t>st</w:t>
            </w:r>
            <w:r>
              <w:rPr>
                <w:rFonts w:ascii="Arial" w:cs="Arial" w:eastAsia="Arial" w:hAnsi="Arial"/>
                <w:sz w:val="22"/>
                <w:szCs w:val="22"/>
                <w:color w:val="auto"/>
              </w:rPr>
              <w:t xml:space="preserve"> Floor</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520"/>
              <w:spacing w:after="0" w:line="243" w:lineRule="exact"/>
              <w:rPr>
                <w:sz w:val="20"/>
                <w:szCs w:val="20"/>
                <w:color w:val="auto"/>
              </w:rPr>
            </w:pPr>
            <w:r>
              <w:rPr>
                <w:rFonts w:ascii="Arial" w:cs="Arial" w:eastAsia="Arial" w:hAnsi="Arial"/>
                <w:sz w:val="22"/>
                <w:szCs w:val="22"/>
                <w:color w:val="auto"/>
                <w:w w:val="87"/>
              </w:rPr>
              <w:t>Boston, Massachusetts</w:t>
            </w:r>
          </w:p>
        </w:tc>
        <w:tc>
          <w:tcPr>
            <w:tcW w:w="2960" w:type="dxa"/>
            <w:vAlign w:val="bottom"/>
          </w:tcPr>
          <w:p>
            <w:pPr>
              <w:ind w:left="60"/>
              <w:spacing w:after="0" w:line="243" w:lineRule="exact"/>
              <w:rPr>
                <w:sz w:val="20"/>
                <w:szCs w:val="20"/>
                <w:color w:val="auto"/>
              </w:rPr>
            </w:pPr>
            <w:r>
              <w:rPr>
                <w:rFonts w:ascii="Arial" w:cs="Arial" w:eastAsia="Arial" w:hAnsi="Arial"/>
                <w:sz w:val="22"/>
                <w:szCs w:val="22"/>
                <w:color w:val="auto"/>
              </w:rPr>
              <w:t>02116</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500" w:type="dxa"/>
            <w:vAlign w:val="bottom"/>
            <w:gridSpan w:val="2"/>
          </w:tcPr>
          <w:p>
            <w:pPr>
              <w:ind w:left="3520"/>
              <w:spacing w:after="0"/>
              <w:rPr>
                <w:sz w:val="20"/>
                <w:szCs w:val="20"/>
                <w:color w:val="auto"/>
              </w:rPr>
            </w:pPr>
            <w:r>
              <w:rPr>
                <w:rFonts w:ascii="Arial" w:cs="Arial" w:eastAsia="Arial" w:hAnsi="Arial"/>
                <w:sz w:val="22"/>
                <w:szCs w:val="22"/>
                <w:color w:val="auto"/>
              </w:rPr>
              <w:t>Attn: Jason Chiverton and Joseph Goldman</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540" w:type="dxa"/>
            <w:vAlign w:val="bottom"/>
          </w:tcPr>
          <w:p>
            <w:pPr>
              <w:ind w:left="3520"/>
              <w:spacing w:after="0"/>
              <w:rPr>
                <w:sz w:val="20"/>
                <w:szCs w:val="20"/>
                <w:color w:val="auto"/>
              </w:rPr>
            </w:pPr>
            <w:r>
              <w:rPr>
                <w:rFonts w:ascii="Arial" w:cs="Arial" w:eastAsia="Arial" w:hAnsi="Arial"/>
                <w:sz w:val="22"/>
                <w:szCs w:val="22"/>
                <w:color w:val="auto"/>
              </w:rPr>
              <w:t>And:</w:t>
            </w:r>
          </w:p>
        </w:tc>
        <w:tc>
          <w:tcPr>
            <w:tcW w:w="29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20"/>
                <w:szCs w:val="20"/>
                <w:color w:val="auto"/>
              </w:rPr>
            </w:pPr>
            <w:r>
              <w:rPr>
                <w:rFonts w:ascii="Arial" w:cs="Arial" w:eastAsia="Arial" w:hAnsi="Arial"/>
                <w:sz w:val="13"/>
                <w:szCs w:val="13"/>
                <w:color w:val="auto"/>
              </w:rPr>
              <w:t>795344.01/WLA</w:t>
            </w:r>
          </w:p>
        </w:tc>
        <w:tc>
          <w:tcPr>
            <w:tcW w:w="2960" w:type="dxa"/>
            <w:vAlign w:val="bottom"/>
            <w:vMerge w:val="restart"/>
          </w:tcPr>
          <w:p>
            <w:pPr>
              <w:ind w:left="40"/>
              <w:spacing w:after="0"/>
              <w:rPr>
                <w:sz w:val="20"/>
                <w:szCs w:val="20"/>
                <w:color w:val="auto"/>
              </w:rPr>
            </w:pPr>
            <w:r>
              <w:rPr>
                <w:rFonts w:ascii="Arial" w:cs="Arial" w:eastAsia="Arial" w:hAnsi="Arial"/>
                <w:sz w:val="16"/>
                <w:szCs w:val="16"/>
                <w:color w:val="auto"/>
              </w:rPr>
              <w:t>-57-</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377082-00004//ejs/ejs</w:t>
            </w:r>
          </w:p>
        </w:tc>
        <w:tc>
          <w:tcPr>
            <w:tcW w:w="2960" w:type="dxa"/>
            <w:vAlign w:val="bottom"/>
            <w:vMerge w:val="continue"/>
          </w:tcPr>
          <w:p>
            <w:pPr>
              <w:spacing w:after="0"/>
              <w:rPr>
                <w:sz w:val="13"/>
                <w:szCs w:val="13"/>
                <w:color w:val="auto"/>
              </w:rPr>
            </w:pPr>
          </w:p>
        </w:tc>
        <w:tc>
          <w:tcPr>
            <w:tcW w:w="294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55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95" w:name="page96"/>
    <w:bookmarkEnd w:id="95"/>
    <w:p>
      <w:pPr>
        <w:ind w:left="3520"/>
        <w:spacing w:after="0"/>
        <w:rPr>
          <w:sz w:val="20"/>
          <w:szCs w:val="20"/>
          <w:color w:val="auto"/>
        </w:rPr>
      </w:pPr>
      <w:r>
        <w:rPr>
          <w:rFonts w:ascii="Arial" w:cs="Arial" w:eastAsia="Arial" w:hAnsi="Arial"/>
          <w:sz w:val="22"/>
          <w:szCs w:val="22"/>
          <w:color w:val="auto"/>
        </w:rPr>
        <w:t>Rockhill Management, L.L.C.</w:t>
      </w:r>
    </w:p>
    <w:p>
      <w:pPr>
        <w:ind w:left="3520"/>
        <w:spacing w:after="0" w:line="238" w:lineRule="auto"/>
        <w:rPr>
          <w:sz w:val="20"/>
          <w:szCs w:val="20"/>
          <w:color w:val="auto"/>
        </w:rPr>
      </w:pPr>
      <w:r>
        <w:rPr>
          <w:rFonts w:ascii="Arial" w:cs="Arial" w:eastAsia="Arial" w:hAnsi="Arial"/>
          <w:sz w:val="22"/>
          <w:szCs w:val="22"/>
          <w:color w:val="auto"/>
        </w:rPr>
        <w:t>177 E. Colorado Boulevard, Suite G050</w:t>
      </w:r>
    </w:p>
    <w:p>
      <w:pPr>
        <w:ind w:left="3520"/>
        <w:spacing w:after="0" w:line="230" w:lineRule="auto"/>
        <w:rPr>
          <w:sz w:val="20"/>
          <w:szCs w:val="20"/>
          <w:color w:val="auto"/>
        </w:rPr>
      </w:pPr>
      <w:r>
        <w:rPr>
          <w:rFonts w:ascii="Arial" w:cs="Arial" w:eastAsia="Arial" w:hAnsi="Arial"/>
          <w:sz w:val="22"/>
          <w:szCs w:val="22"/>
          <w:color w:val="auto"/>
        </w:rPr>
        <w:t>Pasadena, California 91105</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Attn: General Manager</w:t>
      </w:r>
    </w:p>
    <w:p>
      <w:pPr>
        <w:spacing w:after="0" w:line="80"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And:</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Rockhill Management, L.L.C.</w:t>
      </w:r>
    </w:p>
    <w:p>
      <w:pPr>
        <w:ind w:left="3520"/>
        <w:spacing w:after="0" w:line="238" w:lineRule="auto"/>
        <w:rPr>
          <w:sz w:val="20"/>
          <w:szCs w:val="20"/>
          <w:color w:val="auto"/>
        </w:rPr>
      </w:pPr>
      <w:r>
        <w:rPr>
          <w:rFonts w:ascii="Arial" w:cs="Arial" w:eastAsia="Arial" w:hAnsi="Arial"/>
          <w:sz w:val="22"/>
          <w:szCs w:val="22"/>
          <w:color w:val="auto"/>
        </w:rPr>
        <w:t>One Bush Street, Suite 1450</w:t>
      </w:r>
    </w:p>
    <w:p>
      <w:pPr>
        <w:ind w:left="3520"/>
        <w:spacing w:after="0" w:line="230" w:lineRule="auto"/>
        <w:rPr>
          <w:sz w:val="20"/>
          <w:szCs w:val="20"/>
          <w:color w:val="auto"/>
        </w:rPr>
      </w:pPr>
      <w:r>
        <w:rPr>
          <w:rFonts w:ascii="Arial" w:cs="Arial" w:eastAsia="Arial" w:hAnsi="Arial"/>
          <w:sz w:val="22"/>
          <w:szCs w:val="22"/>
          <w:color w:val="auto"/>
        </w:rPr>
        <w:t>San Francisco, California 94104</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Attention: Marc Gille</w:t>
      </w:r>
    </w:p>
    <w:p>
      <w:pPr>
        <w:spacing w:after="0" w:line="18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Allen Matkins Leck Gamble Mallory &amp; Natsis LLP</w:t>
      </w:r>
    </w:p>
    <w:p>
      <w:pPr>
        <w:ind w:left="3520"/>
        <w:spacing w:after="0" w:line="238" w:lineRule="auto"/>
        <w:rPr>
          <w:sz w:val="20"/>
          <w:szCs w:val="20"/>
          <w:color w:val="auto"/>
        </w:rPr>
      </w:pPr>
      <w:r>
        <w:rPr>
          <w:rFonts w:ascii="Arial" w:cs="Arial" w:eastAsia="Arial" w:hAnsi="Arial"/>
          <w:sz w:val="22"/>
          <w:szCs w:val="22"/>
          <w:color w:val="auto"/>
        </w:rPr>
        <w:t>1901 Avenue of the Stars, Suite 1800</w:t>
      </w:r>
    </w:p>
    <w:p>
      <w:pPr>
        <w:ind w:left="3520"/>
        <w:spacing w:after="0" w:line="230" w:lineRule="auto"/>
        <w:rPr>
          <w:sz w:val="20"/>
          <w:szCs w:val="20"/>
          <w:color w:val="auto"/>
        </w:rPr>
      </w:pPr>
      <w:r>
        <w:rPr>
          <w:rFonts w:ascii="Arial" w:cs="Arial" w:eastAsia="Arial" w:hAnsi="Arial"/>
          <w:sz w:val="22"/>
          <w:szCs w:val="22"/>
          <w:color w:val="auto"/>
        </w:rPr>
        <w:t>Los Angeles, California 90067</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Attention: Michael E. McFadden, Esq.</w:t>
      </w:r>
    </w:p>
    <w:p>
      <w:pPr>
        <w:spacing w:after="0" w:line="182"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color w:val="auto"/>
        </w:rPr>
        <w:t xml:space="preserve">29.19 </w:t>
      </w:r>
      <w:r>
        <w:rPr>
          <w:rFonts w:ascii="Arial" w:cs="Arial" w:eastAsia="Arial" w:hAnsi="Arial"/>
          <w:sz w:val="22"/>
          <w:szCs w:val="22"/>
          <w:b w:val="1"/>
          <w:bCs w:val="1"/>
          <w:u w:val="single" w:color="auto"/>
          <w:color w:val="auto"/>
        </w:rPr>
        <w:t>Joint and Several</w:t>
      </w:r>
      <w:r>
        <w:rPr>
          <w:rFonts w:ascii="Arial" w:cs="Arial" w:eastAsia="Arial" w:hAnsi="Arial"/>
          <w:sz w:val="22"/>
          <w:szCs w:val="22"/>
          <w:color w:val="auto"/>
        </w:rPr>
        <w:t>. If there is more than one Tenant, the obligations imposed upon Tenant under this Lease shall be joint and several. In the event that the Tenant is a married individual, the terms, covenants and conditions of this Lease shall be binding upon the marital community of which the Tenant is a member.</w:t>
      </w:r>
    </w:p>
    <w:p>
      <w:pPr>
        <w:spacing w:after="0" w:line="177" w:lineRule="exact"/>
        <w:rPr>
          <w:sz w:val="20"/>
          <w:szCs w:val="20"/>
          <w:color w:val="auto"/>
        </w:rPr>
      </w:pPr>
    </w:p>
    <w:p>
      <w:pPr>
        <w:jc w:val="both"/>
        <w:ind w:right="20" w:firstLine="877"/>
        <w:spacing w:after="0" w:line="235" w:lineRule="auto"/>
        <w:rPr>
          <w:sz w:val="20"/>
          <w:szCs w:val="20"/>
          <w:color w:val="auto"/>
        </w:rPr>
      </w:pPr>
      <w:r>
        <w:rPr>
          <w:rFonts w:ascii="Arial" w:cs="Arial" w:eastAsia="Arial" w:hAnsi="Arial"/>
          <w:sz w:val="22"/>
          <w:szCs w:val="22"/>
          <w:color w:val="auto"/>
        </w:rPr>
        <w:t xml:space="preserve">29.20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If Tenant is a corporation, trust, partnership or limited liability company, each individual executing this Lease on behalf of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In such event, Tenant shall, within ten (10) business days after execution of this Lease, deliver to Landlord satisfactory evidence of such authority and, if an entity, upon demand by Landlord, also deliver to Landlord satisfactory evidence of (i) good standing in Tenant's state of formation and (ii) qualification to do business in the State of California.</w:t>
      </w:r>
    </w:p>
    <w:p>
      <w:pPr>
        <w:spacing w:after="0" w:line="184" w:lineRule="exact"/>
        <w:rPr>
          <w:sz w:val="20"/>
          <w:szCs w:val="20"/>
          <w:color w:val="auto"/>
        </w:rPr>
      </w:pPr>
    </w:p>
    <w:p>
      <w:pPr>
        <w:jc w:val="both"/>
        <w:ind w:right="20" w:firstLine="877"/>
        <w:spacing w:after="0" w:line="284" w:lineRule="auto"/>
        <w:rPr>
          <w:sz w:val="20"/>
          <w:szCs w:val="20"/>
          <w:color w:val="auto"/>
        </w:rPr>
      </w:pPr>
      <w:r>
        <w:rPr>
          <w:rFonts w:ascii="Arial" w:cs="Arial" w:eastAsia="Arial" w:hAnsi="Arial"/>
          <w:sz w:val="19"/>
          <w:szCs w:val="19"/>
          <w:color w:val="auto"/>
        </w:rPr>
        <w:t xml:space="preserve">29.21 </w:t>
      </w:r>
      <w:r>
        <w:rPr>
          <w:rFonts w:ascii="Arial" w:cs="Arial" w:eastAsia="Arial" w:hAnsi="Arial"/>
          <w:sz w:val="19"/>
          <w:szCs w:val="19"/>
          <w:b w:val="1"/>
          <w:bCs w:val="1"/>
          <w:u w:val="single" w:color="auto"/>
          <w:color w:val="auto"/>
        </w:rPr>
        <w:t>Attorneys' Fees</w:t>
      </w:r>
      <w:r>
        <w:rPr>
          <w:rFonts w:ascii="Arial" w:cs="Arial" w:eastAsia="Arial" w:hAnsi="Arial"/>
          <w:sz w:val="19"/>
          <w:szCs w:val="19"/>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39" w:lineRule="exact"/>
        <w:rPr>
          <w:sz w:val="20"/>
          <w:szCs w:val="20"/>
          <w:color w:val="auto"/>
        </w:rPr>
      </w:pPr>
    </w:p>
    <w:p>
      <w:pPr>
        <w:ind w:left="880"/>
        <w:spacing w:after="0"/>
        <w:tabs>
          <w:tab w:leader="none" w:pos="2640" w:val="left"/>
          <w:tab w:leader="none" w:pos="7060" w:val="left"/>
        </w:tabs>
        <w:rPr>
          <w:sz w:val="20"/>
          <w:szCs w:val="20"/>
          <w:color w:val="auto"/>
        </w:rPr>
      </w:pPr>
      <w:r>
        <w:rPr>
          <w:rFonts w:ascii="Arial" w:cs="Arial" w:eastAsia="Arial" w:hAnsi="Arial"/>
          <w:sz w:val="22"/>
          <w:szCs w:val="22"/>
          <w:color w:val="auto"/>
        </w:rPr>
        <w:t>29.22</w:t>
      </w:r>
      <w:r>
        <w:rPr>
          <w:sz w:val="20"/>
          <w:szCs w:val="20"/>
          <w:color w:val="auto"/>
        </w:rPr>
        <w:tab/>
      </w:r>
      <w:r>
        <w:rPr>
          <w:rFonts w:ascii="Arial" w:cs="Arial" w:eastAsia="Arial" w:hAnsi="Arial"/>
          <w:sz w:val="22"/>
          <w:szCs w:val="22"/>
          <w:b w:val="1"/>
          <w:bCs w:val="1"/>
          <w:u w:val="single" w:color="auto"/>
          <w:color w:val="auto"/>
        </w:rPr>
        <w:t>Governing Law; JUDICIAL REFERENCE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This Lease shall be construed and enforced in</w:t>
      </w:r>
    </w:p>
    <w:p>
      <w:pPr>
        <w:spacing w:after="0" w:line="14"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 xml:space="preserve">accordance with the laws of the State of California. </w:t>
      </w:r>
      <w:r>
        <w:rPr>
          <w:rFonts w:ascii="Arial" w:cs="Arial" w:eastAsia="Arial" w:hAnsi="Arial"/>
          <w:sz w:val="19"/>
          <w:szCs w:val="19"/>
          <w:color w:val="auto"/>
        </w:rPr>
        <w:t>THE PARTIES HEREBY WAIVE, TO THE FULLEST EXTENT PERMITTED BY</w:t>
      </w:r>
      <w:r>
        <w:rPr>
          <w:rFonts w:ascii="Arial" w:cs="Arial" w:eastAsia="Arial" w:hAnsi="Arial"/>
          <w:sz w:val="22"/>
          <w:szCs w:val="22"/>
          <w:color w:val="auto"/>
        </w:rPr>
        <w:t xml:space="preserve"> </w:t>
      </w:r>
      <w:r>
        <w:rPr>
          <w:rFonts w:ascii="Arial" w:cs="Arial" w:eastAsia="Arial" w:hAnsi="Arial"/>
          <w:sz w:val="19"/>
          <w:szCs w:val="19"/>
          <w:color w:val="auto"/>
        </w:rPr>
        <w:t>LAW, THE RIGHT TO TRIAL BY JURY IN ANY LITIGATION ARISING OUT OF OR RELATING TO THIS LEASE. IF THE JURY WAIVER PROVISIONS OF THIS SECTION 29.22 ARE NOT ENFORCEABLE UNDER CALIFORNIA LAW, THEN THE FOLLOWING PROVISIONS SHALL APPLY. IT IS THE DESIRE AND INTENTION OF THE PARTIES TO AGREE UPON A MECHANISM AND PROCEDURE UNDER WHICH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-58-</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96" w:name="page97"/>
    <w:bookmarkEnd w:id="96"/>
    <w:p>
      <w:pPr>
        <w:jc w:val="both"/>
        <w:ind w:right="20"/>
        <w:spacing w:after="0" w:line="254" w:lineRule="auto"/>
        <w:rPr>
          <w:sz w:val="20"/>
          <w:szCs w:val="20"/>
          <w:color w:val="auto"/>
        </w:rPr>
      </w:pPr>
      <w:r>
        <w:rPr>
          <w:rFonts w:ascii="Arial" w:cs="Arial" w:eastAsia="Arial" w:hAnsi="Arial"/>
          <w:sz w:val="19"/>
          <w:szCs w:val="19"/>
          <w:color w:val="auto"/>
        </w:rPr>
        <w:t>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"REFEREE SECTIONS").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29.21 ABOVE. THE VENUE OF THE PROCEEDINGS SHALL BE IN THE COUNTY IN WHICH THE PREMISES ARE LOCATED. WITHIN TEN (10) DAYS OF RECEIPT BY ANY PARTY OF A WRITTEN REQUEST TO RESOLVE ANY DISPUTE OR CONTROVERSY PURSUANT TO THIS SECTION 29.22, THE PARTIES SHALL AGREE UPON A SINGLE REFEREE WHO SHALL TRY ALL ISSUES, WHETHER OF FACT OR LAW, AND REPORT A FINDING AND JUDGMENT ON SUCH ISSUES AS REQUIRED BY THE REFEREE SECTIONS. IF THE PARTIES ARE UNABLE TO AGREE UPON A REFEREE WITHIN SUCH TEN</w:t>
      </w:r>
    </w:p>
    <w:p>
      <w:pPr>
        <w:spacing w:after="0" w:line="2" w:lineRule="exact"/>
        <w:rPr>
          <w:sz w:val="20"/>
          <w:szCs w:val="20"/>
          <w:color w:val="auto"/>
        </w:rPr>
      </w:pPr>
    </w:p>
    <w:p>
      <w:pPr>
        <w:jc w:val="both"/>
        <w:ind w:right="20" w:firstLine="8"/>
        <w:spacing w:after="0" w:line="253" w:lineRule="auto"/>
        <w:tabs>
          <w:tab w:leader="none" w:pos="394" w:val="left"/>
        </w:tabs>
        <w:numPr>
          <w:ilvl w:val="0"/>
          <w:numId w:val="28"/>
        </w:numPr>
        <w:rPr>
          <w:rFonts w:ascii="Arial" w:cs="Arial" w:eastAsia="Arial" w:hAnsi="Arial"/>
          <w:sz w:val="19"/>
          <w:szCs w:val="19"/>
          <w:color w:val="auto"/>
        </w:rPr>
      </w:pPr>
      <w:r>
        <w:rPr>
          <w:rFonts w:ascii="Arial" w:cs="Arial" w:eastAsia="Arial" w:hAnsi="Arial"/>
          <w:sz w:val="19"/>
          <w:szCs w:val="19"/>
          <w:color w:val="auto"/>
        </w:rPr>
        <w:t>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-59-</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5" w:right="219" w:bottom="1440" w:gutter="0" w:footer="0" w:header="0"/>
        </w:sectPr>
      </w:pPr>
    </w:p>
    <w:bookmarkStart w:id="97" w:name="page98"/>
    <w:bookmarkEnd w:id="97"/>
    <w:p>
      <w:pPr>
        <w:jc w:val="both"/>
        <w:ind w:right="20"/>
        <w:spacing w:after="0" w:line="254" w:lineRule="auto"/>
        <w:rPr>
          <w:sz w:val="20"/>
          <w:szCs w:val="20"/>
          <w:color w:val="auto"/>
        </w:rPr>
      </w:pPr>
      <w:r>
        <w:rPr>
          <w:rFonts w:ascii="Arial" w:cs="Arial" w:eastAsia="Arial" w:hAnsi="Arial"/>
          <w:sz w:val="19"/>
          <w:szCs w:val="19"/>
          <w:color w:val="auto"/>
        </w:rPr>
        <w:t>COOPERATE WITH ONE ANOTHER AND THE REFEREE, AND SHALL PERFORM SUCH ACTS AS MAY BE NECESSARY TO OBTAIN A PROMPT AND EXPEDITIOUS RESOLUTION OF THE DISPUTE OR CONTROVERSY IN ACCORDANCE WITH THE TERMS OF THIS SECTION 29.22.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29.22 SHALL PREJUDICE THE RIGHT OF ANY PARTY TO OBTAIN PROVISIONAL RELIEF OR OTHER EQUITABLE REMEDIES FROM A COURT OF COMPETENT JURISDICTION AS SHALL OTHERWISE BE AVAILABLE UNDER THE CODE OF CIVIL PROCEDURE AND/OR APPLICABLE COURT RULES.</w:t>
      </w:r>
    </w:p>
    <w:p>
      <w:pPr>
        <w:spacing w:after="0" w:line="176"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color w:val="auto"/>
        </w:rPr>
        <w:t xml:space="preserve">29.23 </w:t>
      </w:r>
      <w:r>
        <w:rPr>
          <w:rFonts w:ascii="Arial" w:cs="Arial" w:eastAsia="Arial" w:hAnsi="Arial"/>
          <w:sz w:val="22"/>
          <w:szCs w:val="22"/>
          <w:b w:val="1"/>
          <w:bCs w:val="1"/>
          <w:u w:val="single" w:color="auto"/>
          <w:color w:val="auto"/>
        </w:rPr>
        <w:t>Submission of Lease</w:t>
      </w:r>
      <w:r>
        <w:rPr>
          <w:rFonts w:ascii="Arial" w:cs="Arial" w:eastAsia="Arial" w:hAnsi="Arial"/>
          <w:sz w:val="22"/>
          <w:szCs w:val="22"/>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77" w:lineRule="exact"/>
        <w:rPr>
          <w:sz w:val="20"/>
          <w:szCs w:val="20"/>
          <w:color w:val="auto"/>
        </w:rPr>
      </w:pPr>
    </w:p>
    <w:p>
      <w:pPr>
        <w:jc w:val="both"/>
        <w:ind w:right="20" w:firstLine="877"/>
        <w:spacing w:after="0" w:line="276" w:lineRule="auto"/>
        <w:rPr>
          <w:sz w:val="20"/>
          <w:szCs w:val="20"/>
          <w:color w:val="auto"/>
        </w:rPr>
      </w:pPr>
      <w:r>
        <w:rPr>
          <w:rFonts w:ascii="Arial" w:cs="Arial" w:eastAsia="Arial" w:hAnsi="Arial"/>
          <w:sz w:val="19"/>
          <w:szCs w:val="19"/>
          <w:color w:val="auto"/>
        </w:rPr>
        <w:t xml:space="preserve">29.24 </w:t>
      </w: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the Summary (the "</w:t>
      </w:r>
      <w:r>
        <w:rPr>
          <w:rFonts w:ascii="Arial" w:cs="Arial" w:eastAsia="Arial" w:hAnsi="Arial"/>
          <w:sz w:val="19"/>
          <w:szCs w:val="19"/>
          <w:b w:val="1"/>
          <w:bCs w:val="1"/>
          <w:color w:val="auto"/>
        </w:rPr>
        <w:t>Brokers</w:t>
      </w:r>
      <w:r>
        <w:rPr>
          <w:rFonts w:ascii="Arial" w:cs="Arial" w:eastAsia="Arial" w:hAnsi="Arial"/>
          <w:sz w:val="19"/>
          <w:szCs w:val="19"/>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Arial" w:cs="Arial" w:eastAsia="Arial" w:hAnsi="Arial"/>
          <w:sz w:val="19"/>
          <w:szCs w:val="19"/>
          <w:u w:val="single" w:color="auto"/>
          <w:color w:val="auto"/>
        </w:rPr>
        <w:t>Section 29.24</w:t>
      </w:r>
      <w:r>
        <w:rPr>
          <w:rFonts w:ascii="Arial" w:cs="Arial" w:eastAsia="Arial" w:hAnsi="Arial"/>
          <w:sz w:val="19"/>
          <w:szCs w:val="19"/>
          <w:color w:val="auto"/>
        </w:rPr>
        <w:t xml:space="preserve"> shall survive the expiration or earlier termination of the Lease Term.</w:t>
      </w:r>
    </w:p>
    <w:p>
      <w:pPr>
        <w:spacing w:after="0" w:line="151" w:lineRule="exact"/>
        <w:rPr>
          <w:sz w:val="20"/>
          <w:szCs w:val="20"/>
          <w:color w:val="auto"/>
        </w:rPr>
      </w:pPr>
    </w:p>
    <w:p>
      <w:pPr>
        <w:jc w:val="both"/>
        <w:ind w:right="20" w:firstLine="877"/>
        <w:spacing w:after="0" w:line="237" w:lineRule="auto"/>
        <w:rPr>
          <w:sz w:val="20"/>
          <w:szCs w:val="20"/>
          <w:color w:val="auto"/>
        </w:rPr>
      </w:pPr>
      <w:r>
        <w:rPr>
          <w:rFonts w:ascii="Arial" w:cs="Arial" w:eastAsia="Arial" w:hAnsi="Arial"/>
          <w:sz w:val="22"/>
          <w:szCs w:val="22"/>
          <w:color w:val="auto"/>
        </w:rPr>
        <w:t xml:space="preserve">29.25 </w:t>
      </w:r>
      <w:r>
        <w:rPr>
          <w:rFonts w:ascii="Arial" w:cs="Arial" w:eastAsia="Arial" w:hAnsi="Arial"/>
          <w:sz w:val="22"/>
          <w:szCs w:val="22"/>
          <w:b w:val="1"/>
          <w:bCs w:val="1"/>
          <w:u w:val="single" w:color="auto"/>
          <w:color w:val="auto"/>
        </w:rPr>
        <w:t>Independent Covenants</w:t>
      </w:r>
      <w:r>
        <w:rPr>
          <w:rFonts w:ascii="Arial" w:cs="Arial" w:eastAsia="Arial" w:hAnsi="Arial"/>
          <w:sz w:val="22"/>
          <w:szCs w:val="22"/>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-60-</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5" w:right="219" w:bottom="1440" w:gutter="0" w:footer="0" w:header="0"/>
        </w:sectPr>
      </w:pPr>
    </w:p>
    <w:bookmarkStart w:id="98" w:name="page99"/>
    <w:bookmarkEnd w:id="98"/>
    <w:p>
      <w:pPr>
        <w:jc w:val="both"/>
        <w:ind w:right="20" w:firstLine="877"/>
        <w:spacing w:after="0" w:line="236" w:lineRule="auto"/>
        <w:rPr>
          <w:sz w:val="20"/>
          <w:szCs w:val="20"/>
          <w:color w:val="auto"/>
        </w:rPr>
      </w:pPr>
      <w:r>
        <w:rPr>
          <w:rFonts w:ascii="Arial" w:cs="Arial" w:eastAsia="Arial" w:hAnsi="Arial"/>
          <w:sz w:val="22"/>
          <w:szCs w:val="22"/>
          <w:color w:val="auto"/>
        </w:rPr>
        <w:t xml:space="preserve">29.26 </w:t>
      </w:r>
      <w:r>
        <w:rPr>
          <w:rFonts w:ascii="Arial" w:cs="Arial" w:eastAsia="Arial" w:hAnsi="Arial"/>
          <w:sz w:val="22"/>
          <w:szCs w:val="22"/>
          <w:b w:val="1"/>
          <w:bCs w:val="1"/>
          <w:u w:val="single" w:color="auto"/>
          <w:color w:val="auto"/>
        </w:rPr>
        <w:t>Project or Building Name, Address and Signage</w:t>
      </w:r>
      <w:r>
        <w:rPr>
          <w:rFonts w:ascii="Arial" w:cs="Arial" w:eastAsia="Arial" w:hAnsi="Arial"/>
          <w:sz w:val="22"/>
          <w:szCs w:val="22"/>
          <w:color w:val="auto"/>
        </w:rPr>
        <w:t xml:space="preserve">. Landlord shall have the right at any time to change the name and/or address of the Project or Building and, provided Tenant retains all rights pursuant to </w:t>
      </w:r>
      <w:r>
        <w:rPr>
          <w:rFonts w:ascii="Arial" w:cs="Arial" w:eastAsia="Arial" w:hAnsi="Arial"/>
          <w:sz w:val="22"/>
          <w:szCs w:val="22"/>
          <w:u w:val="single" w:color="auto"/>
          <w:color w:val="auto"/>
        </w:rPr>
        <w:t>Article 23</w:t>
      </w:r>
      <w:r>
        <w:rPr>
          <w:rFonts w:ascii="Arial" w:cs="Arial" w:eastAsia="Arial" w:hAnsi="Arial"/>
          <w:sz w:val="22"/>
          <w:szCs w:val="22"/>
          <w:color w:val="auto"/>
        </w:rPr>
        <w:t xml:space="preserve"> above,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tcPr>
          <w:p>
            <w:pPr>
              <w:jc w:val="right"/>
              <w:ind w:right="1172"/>
              <w:spacing w:after="0"/>
              <w:rPr>
                <w:sz w:val="20"/>
                <w:szCs w:val="20"/>
                <w:color w:val="auto"/>
              </w:rPr>
            </w:pPr>
            <w:r>
              <w:rPr>
                <w:rFonts w:ascii="Arial" w:cs="Arial" w:eastAsia="Arial" w:hAnsi="Arial"/>
                <w:sz w:val="22"/>
                <w:szCs w:val="22"/>
                <w:color w:val="auto"/>
              </w:rPr>
              <w:t>29.27</w:t>
            </w:r>
          </w:p>
        </w:tc>
        <w:tc>
          <w:tcPr>
            <w:tcW w:w="8760" w:type="dxa"/>
            <w:vAlign w:val="bottom"/>
            <w:gridSpan w:val="3"/>
          </w:tcPr>
          <w:p>
            <w:pPr>
              <w:spacing w:after="0"/>
              <w:rPr>
                <w:sz w:val="20"/>
                <w:szCs w:val="20"/>
                <w:color w:val="auto"/>
              </w:rPr>
            </w:pPr>
            <w:r>
              <w:rPr>
                <w:rFonts w:ascii="Arial" w:cs="Arial" w:eastAsia="Arial" w:hAnsi="Arial"/>
                <w:sz w:val="22"/>
                <w:szCs w:val="22"/>
                <w:b w:val="1"/>
                <w:bCs w:val="1"/>
                <w:color w:val="auto"/>
                <w:w w:val="91"/>
              </w:rPr>
              <w:t>Counterparts</w:t>
            </w:r>
            <w:r>
              <w:rPr>
                <w:rFonts w:ascii="Arial" w:cs="Arial" w:eastAsia="Arial" w:hAnsi="Arial"/>
                <w:sz w:val="22"/>
                <w:szCs w:val="22"/>
                <w:color w:val="auto"/>
                <w:w w:val="91"/>
              </w:rPr>
              <w:t>. This Lease may be executed in counterparts with the same effect as if both parties</w:t>
            </w:r>
          </w:p>
        </w:tc>
      </w:tr>
      <w:tr>
        <w:trPr>
          <w:trHeight w:val="20"/>
        </w:trPr>
        <w:tc>
          <w:tcPr>
            <w:tcW w:w="2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w w:val="95"/>
              </w:rPr>
              <w:t>hereto had executed the same document. Both counterparts shall be construed together and shall constitute a single lease.</w:t>
            </w:r>
          </w:p>
        </w:tc>
      </w:tr>
      <w:tr>
        <w:trPr>
          <w:trHeight w:val="409"/>
        </w:trPr>
        <w:tc>
          <w:tcPr>
            <w:tcW w:w="2660" w:type="dxa"/>
            <w:vAlign w:val="bottom"/>
          </w:tcPr>
          <w:p>
            <w:pPr>
              <w:jc w:val="right"/>
              <w:ind w:right="1172"/>
              <w:spacing w:after="0"/>
              <w:rPr>
                <w:sz w:val="20"/>
                <w:szCs w:val="20"/>
                <w:color w:val="auto"/>
              </w:rPr>
            </w:pPr>
            <w:r>
              <w:rPr>
                <w:rFonts w:ascii="Arial" w:cs="Arial" w:eastAsia="Arial" w:hAnsi="Arial"/>
                <w:sz w:val="22"/>
                <w:szCs w:val="22"/>
                <w:color w:val="auto"/>
              </w:rPr>
              <w:t>29.28</w:t>
            </w:r>
          </w:p>
        </w:tc>
        <w:tc>
          <w:tcPr>
            <w:tcW w:w="8760" w:type="dxa"/>
            <w:vAlign w:val="bottom"/>
            <w:gridSpan w:val="3"/>
          </w:tcPr>
          <w:p>
            <w:pPr>
              <w:spacing w:after="0"/>
              <w:rPr>
                <w:sz w:val="20"/>
                <w:szCs w:val="20"/>
                <w:color w:val="auto"/>
              </w:rPr>
            </w:pPr>
            <w:r>
              <w:rPr>
                <w:rFonts w:ascii="Arial" w:cs="Arial" w:eastAsia="Arial" w:hAnsi="Arial"/>
                <w:sz w:val="22"/>
                <w:szCs w:val="22"/>
                <w:b w:val="1"/>
                <w:bCs w:val="1"/>
                <w:color w:val="auto"/>
                <w:w w:val="89"/>
              </w:rPr>
              <w:t>Confidentiality</w:t>
            </w:r>
            <w:r>
              <w:rPr>
                <w:rFonts w:ascii="Arial" w:cs="Arial" w:eastAsia="Arial" w:hAnsi="Arial"/>
                <w:sz w:val="22"/>
                <w:szCs w:val="22"/>
                <w:color w:val="auto"/>
                <w:w w:val="89"/>
              </w:rPr>
              <w:t>. Tenant acknowledges that the content of this Lease and any related documents are</w:t>
            </w:r>
          </w:p>
        </w:tc>
      </w:tr>
      <w:tr>
        <w:trPr>
          <w:trHeight w:val="20"/>
        </w:trPr>
        <w:tc>
          <w:tcPr>
            <w:tcW w:w="2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confidential information. Tenant shall keep such confidential information strictly confidential and shall not disclose (except as may be required by applicable law, judicial proceeding or court order) such confidential information to any person or entity other than Tenant's financial, legal, and space planning consultants, auditors, lenders or prospective lenders, assignees, or purchasers or prospective purchasers, partners or prospective partners, members and investors or prospective members or investors, and any proposed Transferee. Landlord agrees that if it obtains any confidential information regarding Tenant (not including the terms of this Lease)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Landlord will keep such confidential information strictly confidential and shall not disclose such confidential information to any person or entity other than Landlord’s financial, legal, and space planning consultants, auditors, lenders or prospective lenders, assignees, or purchasers or prospective purchasers, partners or prospective partners, members and investors or prospective members or investors, on a need to know basis. Landlord’s obligation of confidentiality shall not apply to information that (i) is or becomes generally available to, or known by, the public other than as a result of a disclosure by the Landlord in violation of the provisions above, (ii) is or becomes available to Landlord from a source (other than Tenant) not actually known by Landlord to be bound by a confidentiality agreement (whether oral or written) in favor of Tenant with respect to such information, (iii) was known to the Landlord prior to the date of this Lease (other than in connection with the negotiation of the Lease), (iv) is independently developed by Landlord without use of the Confidential Information, or (v) is required to be disclosed by law, rule, regulation, subpoena or court order.</w:t>
      </w:r>
    </w:p>
    <w:p>
      <w:pPr>
        <w:spacing w:after="0" w:line="200" w:lineRule="exact"/>
        <w:rPr>
          <w:sz w:val="20"/>
          <w:szCs w:val="20"/>
          <w:color w:val="auto"/>
        </w:rPr>
      </w:pPr>
    </w:p>
    <w:p>
      <w:pPr>
        <w:spacing w:after="0" w:line="203" w:lineRule="exact"/>
        <w:rPr>
          <w:sz w:val="20"/>
          <w:szCs w:val="20"/>
          <w:color w:val="auto"/>
        </w:rPr>
      </w:pPr>
    </w:p>
    <w:p>
      <w:pPr>
        <w:jc w:val="both"/>
        <w:ind w:right="20" w:firstLine="877"/>
        <w:spacing w:after="0" w:line="234" w:lineRule="auto"/>
        <w:rPr>
          <w:sz w:val="20"/>
          <w:szCs w:val="20"/>
          <w:color w:val="auto"/>
        </w:rPr>
      </w:pPr>
      <w:r>
        <w:rPr>
          <w:rFonts w:ascii="Arial" w:cs="Arial" w:eastAsia="Arial" w:hAnsi="Arial"/>
          <w:sz w:val="22"/>
          <w:szCs w:val="22"/>
          <w:color w:val="auto"/>
        </w:rPr>
        <w:t xml:space="preserve">29.29 </w:t>
      </w:r>
      <w:r>
        <w:rPr>
          <w:rFonts w:ascii="Arial" w:cs="Arial" w:eastAsia="Arial" w:hAnsi="Arial"/>
          <w:sz w:val="22"/>
          <w:szCs w:val="22"/>
          <w:b w:val="1"/>
          <w:bCs w:val="1"/>
          <w:u w:val="single" w:color="auto"/>
          <w:color w:val="auto"/>
        </w:rPr>
        <w:t>Building Renovations</w:t>
      </w:r>
      <w:r>
        <w:rPr>
          <w:rFonts w:ascii="Arial" w:cs="Arial" w:eastAsia="Arial" w:hAnsi="Arial"/>
          <w:sz w:val="22"/>
          <w:szCs w:val="22"/>
          <w:color w:val="auto"/>
        </w:rPr>
        <w:t>. It is specifically understood and agreed that Landlord has no obligation and has made no promises to alter, remodel, improve, renovate, repair or decorate the Premises, Building, or any part thereof, except as otherwise expressly provided herein, and that no representations respecting the condition of the Premises or the Building have been made by Landlord to Tenant except as specifically set forth herein or in the Tenant Work Letter. However, Tenant hereby acknowledges that Landlord is currently renovating or may during the Lease Term renovate, improve, alter, or modify (collectively, the "</w:t>
      </w:r>
      <w:r>
        <w:rPr>
          <w:rFonts w:ascii="Arial" w:cs="Arial" w:eastAsia="Arial" w:hAnsi="Arial"/>
          <w:sz w:val="22"/>
          <w:szCs w:val="22"/>
          <w:b w:val="1"/>
          <w:bCs w:val="1"/>
          <w:color w:val="auto"/>
        </w:rPr>
        <w:t>Renovations</w:t>
      </w:r>
      <w:r>
        <w:rPr>
          <w:rFonts w:ascii="Arial" w:cs="Arial" w:eastAsia="Arial" w:hAnsi="Arial"/>
          <w:sz w:val="22"/>
          <w:szCs w:val="22"/>
          <w:color w:val="auto"/>
        </w:rPr>
        <w:t xml:space="preserve">") the Project, the Building and/or the Premises. Tenant hereby agrees that such Renovations shall in no way constitute a constructive eviction of Tenant nor entitle Tenant to any abatement of Rent (except as expressly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19.5.2</w:t>
      </w:r>
      <w:r>
        <w:rPr>
          <w:rFonts w:ascii="Arial" w:cs="Arial" w:eastAsia="Arial" w:hAnsi="Arial"/>
          <w:sz w:val="22"/>
          <w:szCs w:val="22"/>
          <w:color w:val="auto"/>
        </w:rPr>
        <w:t xml:space="preserve"> of this Lease). Landlord shall have no responsibility and shall not be liable to Tenant for any injury to or interference with Tenant's business arising from the Renovations, nor shall Tenant be entitled to any compensation or damages from Landlord for loss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-61-</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99" w:name="page100"/>
    <w:bookmarkEnd w:id="99"/>
    <w:p>
      <w:pPr>
        <w:jc w:val="both"/>
        <w:ind w:right="40"/>
        <w:spacing w:after="0" w:line="251" w:lineRule="auto"/>
        <w:rPr>
          <w:sz w:val="20"/>
          <w:szCs w:val="20"/>
          <w:color w:val="auto"/>
        </w:rPr>
      </w:pPr>
      <w:r>
        <w:rPr>
          <w:rFonts w:ascii="Arial" w:cs="Arial" w:eastAsia="Arial" w:hAnsi="Arial"/>
          <w:sz w:val="22"/>
          <w:szCs w:val="22"/>
          <w:color w:val="auto"/>
        </w:rPr>
        <w:t>of the use of the whole or any part of the Premises or of Tenant's personal property or improvements resulting from the Renovations, or for any inconvenience or annoyance occasioned by such Renovations.</w:t>
      </w:r>
    </w:p>
    <w:p>
      <w:pPr>
        <w:spacing w:after="0" w:line="167" w:lineRule="exact"/>
        <w:rPr>
          <w:sz w:val="20"/>
          <w:szCs w:val="20"/>
          <w:color w:val="auto"/>
        </w:rPr>
      </w:pPr>
    </w:p>
    <w:p>
      <w:pPr>
        <w:jc w:val="both"/>
        <w:ind w:right="20" w:firstLine="877"/>
        <w:spacing w:after="0" w:line="237" w:lineRule="auto"/>
        <w:rPr>
          <w:sz w:val="20"/>
          <w:szCs w:val="20"/>
          <w:color w:val="auto"/>
        </w:rPr>
      </w:pPr>
      <w:r>
        <w:rPr>
          <w:rFonts w:ascii="Arial" w:cs="Arial" w:eastAsia="Arial" w:hAnsi="Arial"/>
          <w:sz w:val="22"/>
          <w:szCs w:val="22"/>
          <w:color w:val="auto"/>
        </w:rPr>
        <w:t xml:space="preserve">29.30 </w:t>
      </w:r>
      <w:r>
        <w:rPr>
          <w:rFonts w:ascii="Arial" w:cs="Arial" w:eastAsia="Arial" w:hAnsi="Arial"/>
          <w:sz w:val="22"/>
          <w:szCs w:val="22"/>
          <w:b w:val="1"/>
          <w:bCs w:val="1"/>
          <w:u w:val="single" w:color="auto"/>
          <w:color w:val="auto"/>
        </w:rPr>
        <w:t>No Violation</w:t>
      </w:r>
      <w:r>
        <w:rPr>
          <w:rFonts w:ascii="Arial" w:cs="Arial" w:eastAsia="Arial" w:hAnsi="Arial"/>
          <w:sz w:val="22"/>
          <w:szCs w:val="22"/>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83"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9"/>
          <w:szCs w:val="19"/>
          <w:color w:val="auto"/>
        </w:rPr>
        <w:t xml:space="preserve">29.31 </w:t>
      </w:r>
      <w:r>
        <w:rPr>
          <w:rFonts w:ascii="Arial" w:cs="Arial" w:eastAsia="Arial" w:hAnsi="Arial"/>
          <w:sz w:val="19"/>
          <w:szCs w:val="19"/>
          <w:b w:val="1"/>
          <w:bCs w:val="1"/>
          <w:u w:val="single" w:color="auto"/>
          <w:color w:val="auto"/>
        </w:rPr>
        <w:t>Communications and Computer Lines</w:t>
      </w:r>
      <w:r>
        <w:rPr>
          <w:rFonts w:ascii="Arial" w:cs="Arial" w:eastAsia="Arial" w:hAnsi="Arial"/>
          <w:sz w:val="19"/>
          <w:szCs w:val="19"/>
          <w:color w:val="auto"/>
        </w:rPr>
        <w:t>. Tenant may install, maintain, replace, remove or use any communications or computer wires and cables serving the Premises (collectively, the "</w:t>
      </w:r>
      <w:r>
        <w:rPr>
          <w:rFonts w:ascii="Arial" w:cs="Arial" w:eastAsia="Arial" w:hAnsi="Arial"/>
          <w:sz w:val="19"/>
          <w:szCs w:val="19"/>
          <w:b w:val="1"/>
          <w:bCs w:val="1"/>
          <w:color w:val="auto"/>
        </w:rPr>
        <w:t>Lines</w:t>
      </w:r>
      <w:r>
        <w:rPr>
          <w:rFonts w:ascii="Arial" w:cs="Arial" w:eastAsia="Arial" w:hAnsi="Arial"/>
          <w:sz w:val="19"/>
          <w:szCs w:val="19"/>
          <w:color w:val="auto"/>
        </w:rPr>
        <w:t xml:space="preserve">"), provided that (i) Tenant shall obtain Landlord's reasonable prior written consent, use an experienced and qualified contractor reasonably approved in writing by Landlord, and comply with all of the other provisions of </w:t>
      </w:r>
      <w:r>
        <w:rPr>
          <w:rFonts w:ascii="Arial" w:cs="Arial" w:eastAsia="Arial" w:hAnsi="Arial"/>
          <w:sz w:val="19"/>
          <w:szCs w:val="19"/>
          <w:u w:val="single" w:color="auto"/>
          <w:color w:val="auto"/>
        </w:rPr>
        <w:t>Articles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w:t>
      </w:r>
      <w:r>
        <w:rPr>
          <w:rFonts w:ascii="Arial" w:cs="Arial" w:eastAsia="Arial" w:hAnsi="Arial"/>
          <w:sz w:val="19"/>
          <w:szCs w:val="19"/>
          <w:color w:val="auto"/>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appropriately insulated to prevent excessive electromagnetic fields or radiation, shall be surrounded by a protective conduit reasonably acceptable to Landlord, and shall be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Landlord may require that Tenant remove existing Lines located in or serving the Premises and repair any damage in connection with such removal, and (vi)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Arial" w:cs="Arial" w:eastAsia="Arial" w:hAnsi="Arial"/>
          <w:sz w:val="19"/>
          <w:szCs w:val="19"/>
          <w:b w:val="1"/>
          <w:bCs w:val="1"/>
          <w:color w:val="auto"/>
        </w:rPr>
        <w:t>Identification Requirements</w:t>
      </w:r>
      <w:r>
        <w:rPr>
          <w:rFonts w:ascii="Arial" w:cs="Arial" w:eastAsia="Arial" w:hAnsi="Arial"/>
          <w:sz w:val="19"/>
          <w:szCs w:val="19"/>
          <w:color w:val="auto"/>
        </w:rPr>
        <w:t>").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spacing w:after="0" w:line="200" w:lineRule="exact"/>
        <w:rPr>
          <w:sz w:val="20"/>
          <w:szCs w:val="20"/>
          <w:color w:val="auto"/>
        </w:rPr>
      </w:pPr>
    </w:p>
    <w:p>
      <w:pPr>
        <w:spacing w:after="0" w:line="201"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21"/>
          <w:szCs w:val="21"/>
          <w:color w:val="auto"/>
        </w:rPr>
        <w:t xml:space="preserve">29.32 </w:t>
      </w:r>
      <w:r>
        <w:rPr>
          <w:rFonts w:ascii="Arial" w:cs="Arial" w:eastAsia="Arial" w:hAnsi="Arial"/>
          <w:sz w:val="21"/>
          <w:szCs w:val="21"/>
          <w:b w:val="1"/>
          <w:bCs w:val="1"/>
          <w:u w:val="single" w:color="auto"/>
          <w:color w:val="auto"/>
        </w:rPr>
        <w:t>Transportation Management</w:t>
      </w:r>
      <w:r>
        <w:rPr>
          <w:rFonts w:ascii="Arial" w:cs="Arial" w:eastAsia="Arial" w:hAnsi="Arial"/>
          <w:sz w:val="21"/>
          <w:szCs w:val="21"/>
          <w:color w:val="auto"/>
        </w:rPr>
        <w:t>. Tenant shall reasonably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-62-</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100" w:name="page101"/>
    <w:bookmarkEnd w:id="100"/>
    <w:tbl>
      <w:tblPr>
        <w:tblLayout w:type="fixed"/>
        <w:tblInd w:w="880" w:type="dxa"/>
        <w:tblCellMar>
          <w:top w:w="0" w:type="dxa"/>
          <w:left w:w="0" w:type="dxa"/>
          <w:bottom w:w="0" w:type="dxa"/>
          <w:right w:w="0" w:type="dxa"/>
        </w:tblCellMar>
      </w:tblPr>
      <w:tr>
        <w:trPr>
          <w:trHeight w:val="253"/>
        </w:trPr>
        <w:tc>
          <w:tcPr>
            <w:tcW w:w="1780" w:type="dxa"/>
            <w:vAlign w:val="bottom"/>
          </w:tcPr>
          <w:p>
            <w:pPr>
              <w:jc w:val="right"/>
              <w:ind w:right="1172"/>
              <w:spacing w:after="0"/>
              <w:rPr>
                <w:sz w:val="20"/>
                <w:szCs w:val="20"/>
                <w:color w:val="auto"/>
              </w:rPr>
            </w:pPr>
            <w:r>
              <w:rPr>
                <w:rFonts w:ascii="Arial" w:cs="Arial" w:eastAsia="Arial" w:hAnsi="Arial"/>
                <w:sz w:val="22"/>
                <w:szCs w:val="22"/>
                <w:color w:val="auto"/>
                <w:w w:val="87"/>
              </w:rPr>
              <w:t>29.33</w:t>
            </w:r>
          </w:p>
        </w:tc>
        <w:tc>
          <w:tcPr>
            <w:tcW w:w="8760" w:type="dxa"/>
            <w:vAlign w:val="bottom"/>
            <w:gridSpan w:val="4"/>
          </w:tcPr>
          <w:p>
            <w:pPr>
              <w:spacing w:after="0"/>
              <w:rPr>
                <w:sz w:val="20"/>
                <w:szCs w:val="20"/>
                <w:color w:val="auto"/>
              </w:rPr>
            </w:pPr>
            <w:r>
              <w:rPr>
                <w:rFonts w:ascii="Arial" w:cs="Arial" w:eastAsia="Arial" w:hAnsi="Arial"/>
                <w:sz w:val="22"/>
                <w:szCs w:val="22"/>
                <w:b w:val="1"/>
                <w:bCs w:val="1"/>
                <w:color w:val="auto"/>
              </w:rPr>
              <w:t>Intentionally Omitted</w:t>
            </w:r>
            <w:r>
              <w:rPr>
                <w:rFonts w:ascii="Arial" w:cs="Arial" w:eastAsia="Arial" w:hAnsi="Arial"/>
                <w:sz w:val="22"/>
                <w:szCs w:val="22"/>
                <w:color w:val="auto"/>
              </w:rPr>
              <w:t>.</w:t>
            </w:r>
          </w:p>
        </w:tc>
      </w:tr>
      <w:tr>
        <w:trPr>
          <w:trHeight w:val="439"/>
        </w:trPr>
        <w:tc>
          <w:tcPr>
            <w:tcW w:w="1780" w:type="dxa"/>
            <w:vAlign w:val="bottom"/>
          </w:tcPr>
          <w:p>
            <w:pPr>
              <w:jc w:val="right"/>
              <w:ind w:right="1172"/>
              <w:spacing w:after="0"/>
              <w:rPr>
                <w:sz w:val="20"/>
                <w:szCs w:val="20"/>
                <w:color w:val="auto"/>
              </w:rPr>
            </w:pPr>
            <w:r>
              <w:rPr>
                <w:rFonts w:ascii="Arial" w:cs="Arial" w:eastAsia="Arial" w:hAnsi="Arial"/>
                <w:sz w:val="22"/>
                <w:szCs w:val="22"/>
                <w:color w:val="auto"/>
                <w:w w:val="87"/>
              </w:rPr>
              <w:t>29.34</w:t>
            </w: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22"/>
                <w:szCs w:val="22"/>
                <w:b w:val="1"/>
                <w:bCs w:val="1"/>
                <w:color w:val="auto"/>
              </w:rPr>
              <w:t>OFAC Compliance</w:t>
            </w:r>
            <w:r>
              <w:rPr>
                <w:rFonts w:ascii="Arial" w:cs="Arial" w:eastAsia="Arial" w:hAnsi="Arial"/>
                <w:sz w:val="22"/>
                <w:szCs w:val="22"/>
                <w:color w:val="auto"/>
              </w:rPr>
              <w:t>.</w:t>
            </w:r>
          </w:p>
        </w:tc>
        <w:tc>
          <w:tcPr>
            <w:tcW w:w="6740" w:type="dxa"/>
            <w:vAlign w:val="bottom"/>
            <w:gridSpan w:val="2"/>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39"/>
        </w:trPr>
        <w:tc>
          <w:tcPr>
            <w:tcW w:w="1780" w:type="dxa"/>
            <w:vAlign w:val="bottom"/>
          </w:tcPr>
          <w:p>
            <w:pPr>
              <w:jc w:val="right"/>
              <w:ind w:right="132"/>
              <w:spacing w:after="0"/>
              <w:rPr>
                <w:sz w:val="20"/>
                <w:szCs w:val="20"/>
                <w:color w:val="auto"/>
              </w:rPr>
            </w:pPr>
            <w:r>
              <w:rPr>
                <w:rFonts w:ascii="Arial" w:cs="Arial" w:eastAsia="Arial" w:hAnsi="Arial"/>
                <w:sz w:val="22"/>
                <w:szCs w:val="22"/>
                <w:color w:val="auto"/>
              </w:rPr>
              <w:t>29.34.1</w:t>
            </w:r>
          </w:p>
        </w:tc>
        <w:tc>
          <w:tcPr>
            <w:tcW w:w="1760" w:type="dxa"/>
            <w:vAlign w:val="bottom"/>
          </w:tcPr>
          <w:p>
            <w:pPr>
              <w:spacing w:after="0"/>
              <w:rPr>
                <w:sz w:val="24"/>
                <w:szCs w:val="24"/>
                <w:color w:val="auto"/>
              </w:rPr>
            </w:pPr>
          </w:p>
        </w:tc>
        <w:tc>
          <w:tcPr>
            <w:tcW w:w="7000" w:type="dxa"/>
            <w:vAlign w:val="bottom"/>
            <w:gridSpan w:val="3"/>
          </w:tcPr>
          <w:p>
            <w:pPr>
              <w:spacing w:after="0"/>
              <w:rPr>
                <w:sz w:val="20"/>
                <w:szCs w:val="20"/>
                <w:color w:val="auto"/>
              </w:rPr>
            </w:pPr>
            <w:r>
              <w:rPr>
                <w:rFonts w:ascii="Arial" w:cs="Arial" w:eastAsia="Arial" w:hAnsi="Arial"/>
                <w:sz w:val="22"/>
                <w:szCs w:val="22"/>
                <w:b w:val="1"/>
                <w:bCs w:val="1"/>
                <w:color w:val="auto"/>
                <w:w w:val="93"/>
              </w:rPr>
              <w:t>Representations and Warranties</w:t>
            </w:r>
            <w:r>
              <w:rPr>
                <w:rFonts w:ascii="Arial" w:cs="Arial" w:eastAsia="Arial" w:hAnsi="Arial"/>
                <w:sz w:val="22"/>
                <w:szCs w:val="22"/>
                <w:color w:val="auto"/>
                <w:w w:val="93"/>
              </w:rPr>
              <w:t>.  Tenant represents and warrants that (a)</w:t>
            </w:r>
          </w:p>
        </w:tc>
      </w:tr>
      <w:tr>
        <w:trPr>
          <w:trHeight w:val="20"/>
        </w:trPr>
        <w:tc>
          <w:tcPr>
            <w:tcW w:w="1780" w:type="dxa"/>
            <w:vAlign w:val="bottom"/>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Tenant and each person or entity owning an interest in Tenant is (i) not currently identified on the Specially Designated Nationals and Blocked Persons List maintained by the Office of Foreign Assets Control,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and/or on any other similar list maintained by OFAC pursuant to any authorizing statute, executive order or regulation (collectively, the "</w:t>
      </w:r>
      <w:r>
        <w:rPr>
          <w:rFonts w:ascii="Arial" w:cs="Arial" w:eastAsia="Arial" w:hAnsi="Arial"/>
          <w:sz w:val="19"/>
          <w:szCs w:val="19"/>
          <w:b w:val="1"/>
          <w:bCs w:val="1"/>
          <w:color w:val="auto"/>
        </w:rPr>
        <w:t>List</w:t>
      </w:r>
      <w:r>
        <w:rPr>
          <w:rFonts w:ascii="Arial" w:cs="Arial" w:eastAsia="Arial" w:hAnsi="Arial"/>
          <w:sz w:val="19"/>
          <w:szCs w:val="19"/>
          <w:color w:val="auto"/>
        </w:rPr>
        <w:t>"), and (ii) not a person or entity with whom a citizen of the United States is prohibited to engage in transactions by any trade embargo, economic sanction, or other prohibition of United States law, regulation, or Executive Order of the President of the United States, (b) none of the funds or other assets of Tenant constitute property of, or are beneficially owned, directly or indirectly, by any Embargoed Person (as hereinafter defined), (c) no Embargoed Person has any interest of any nature whatsoever in Tenant (whether directly or indirectly), (d) none of the funds of Tenant have been derived from any unlawful activity with the result that the investment in Tenant is prohibited by law or that the Lease, as amended, is in violation of law, and (e) Tenant has implemented procedures, and will consistently apply those procedures, to reasonably ensure the foregoing representations and warranties remain true and correct at all times. The term "</w:t>
      </w:r>
      <w:r>
        <w:rPr>
          <w:rFonts w:ascii="Arial" w:cs="Arial" w:eastAsia="Arial" w:hAnsi="Arial"/>
          <w:sz w:val="19"/>
          <w:szCs w:val="19"/>
          <w:b w:val="1"/>
          <w:bCs w:val="1"/>
          <w:color w:val="auto"/>
        </w:rPr>
        <w:t>Embargoed Person</w:t>
      </w:r>
      <w:r>
        <w:rPr>
          <w:rFonts w:ascii="Arial" w:cs="Arial" w:eastAsia="Arial" w:hAnsi="Arial"/>
          <w:sz w:val="19"/>
          <w:szCs w:val="19"/>
          <w:color w:val="auto"/>
        </w:rPr>
        <w:t xml:space="preserve">" means any person, entity or government subject to trade restrictions under U.S. law, including but not limited to, the International Emergency Economic Powers Act, 50 U.S.C. §1701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Trading with the Enemy Act, 50 U.S.C. App. 1 </w:t>
      </w:r>
      <w:r>
        <w:rPr>
          <w:rFonts w:ascii="Arial" w:cs="Arial" w:eastAsia="Arial" w:hAnsi="Arial"/>
          <w:sz w:val="19"/>
          <w:szCs w:val="19"/>
          <w:u w:val="single" w:color="auto"/>
          <w:color w:val="auto"/>
        </w:rPr>
        <w:t>et seq</w:t>
      </w:r>
      <w:r>
        <w:rPr>
          <w:rFonts w:ascii="Arial" w:cs="Arial" w:eastAsia="Arial" w:hAnsi="Arial"/>
          <w:sz w:val="19"/>
          <w:szCs w:val="19"/>
          <w:color w:val="auto"/>
        </w:rPr>
        <w:t>., and any Executive Orders or regulations promulgated thereunder with the result that the investment in Tenant is prohibited by law or Tenant is in violation of law.</w:t>
      </w:r>
    </w:p>
    <w:p>
      <w:pPr>
        <w:spacing w:after="0" w:line="159" w:lineRule="exact"/>
        <w:rPr>
          <w:sz w:val="20"/>
          <w:szCs w:val="20"/>
          <w:color w:val="auto"/>
        </w:rPr>
      </w:pPr>
    </w:p>
    <w:p>
      <w:pPr>
        <w:jc w:val="both"/>
        <w:ind w:right="20" w:firstLine="1755"/>
        <w:spacing w:after="0" w:line="276" w:lineRule="auto"/>
        <w:rPr>
          <w:sz w:val="20"/>
          <w:szCs w:val="20"/>
          <w:color w:val="auto"/>
        </w:rPr>
      </w:pPr>
      <w:r>
        <w:rPr>
          <w:rFonts w:ascii="Arial" w:cs="Arial" w:eastAsia="Arial" w:hAnsi="Arial"/>
          <w:sz w:val="19"/>
          <w:szCs w:val="19"/>
          <w:color w:val="auto"/>
        </w:rPr>
        <w:t xml:space="preserve">29.34.2 </w:t>
      </w: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Tenant covenants and agrees (a) to comply with all requirements of law relating to money laundering, anti-terrorism, trade embargos and economic sanctions, now or hereafter in effect, (b) to promptly notify Landlord in writing if any of the representations, warranties or covenants set forth in this Section are no longer true or have been breached or if Tenant has a reasonable basis to believe that they may no longer be true or have been breached, (c) not to use funds from any "Prohibited Person" (as such term is defined in the September 24, 2001 Executive Order Blocking Property and Prohibiting Transactions With Persons Who Commit, Threaten to Commit, or Support Terrorism) to make any payment due to Landlord under the Lease, as amended, and (d) at the request of Landlord, to provide such information as may be requested by Landlord to determine Tenant’s compliance with the terms hereof.</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jc w:val="right"/>
              <w:ind w:right="772"/>
              <w:spacing w:after="0"/>
              <w:rPr>
                <w:sz w:val="20"/>
                <w:szCs w:val="20"/>
                <w:color w:val="auto"/>
              </w:rPr>
            </w:pPr>
            <w:r>
              <w:rPr>
                <w:rFonts w:ascii="Arial" w:cs="Arial" w:eastAsia="Arial" w:hAnsi="Arial"/>
                <w:sz w:val="22"/>
                <w:szCs w:val="22"/>
                <w:color w:val="auto"/>
              </w:rPr>
              <w:t>29.34.3</w:t>
            </w:r>
          </w:p>
        </w:tc>
        <w:tc>
          <w:tcPr>
            <w:tcW w:w="8120" w:type="dxa"/>
            <w:vAlign w:val="bottom"/>
            <w:gridSpan w:val="3"/>
          </w:tcPr>
          <w:p>
            <w:pPr>
              <w:jc w:val="right"/>
              <w:spacing w:after="0"/>
              <w:rPr>
                <w:sz w:val="20"/>
                <w:szCs w:val="20"/>
                <w:color w:val="auto"/>
              </w:rPr>
            </w:pPr>
            <w:r>
              <w:rPr>
                <w:rFonts w:ascii="Arial" w:cs="Arial" w:eastAsia="Arial" w:hAnsi="Arial"/>
                <w:sz w:val="22"/>
                <w:szCs w:val="22"/>
                <w:b w:val="1"/>
                <w:bCs w:val="1"/>
                <w:color w:val="auto"/>
              </w:rPr>
              <w:t>Event of Default; Indemnity</w:t>
            </w:r>
            <w:r>
              <w:rPr>
                <w:rFonts w:ascii="Arial" w:cs="Arial" w:eastAsia="Arial" w:hAnsi="Arial"/>
                <w:sz w:val="22"/>
                <w:szCs w:val="22"/>
                <w:color w:val="auto"/>
              </w:rPr>
              <w:t>.  Tenant hereby acknowledges and agrees that</w:t>
            </w:r>
          </w:p>
        </w:tc>
        <w:tc>
          <w:tcPr>
            <w:tcW w:w="0" w:type="dxa"/>
            <w:vAlign w:val="bottom"/>
          </w:tcPr>
          <w:p>
            <w:pPr>
              <w:spacing w:after="0"/>
              <w:rPr>
                <w:sz w:val="1"/>
                <w:szCs w:val="1"/>
                <w:color w:val="auto"/>
              </w:rPr>
            </w:pPr>
          </w:p>
        </w:tc>
      </w:tr>
      <w:tr>
        <w:trPr>
          <w:trHeight w:val="20"/>
        </w:trPr>
        <w:tc>
          <w:tcPr>
            <w:tcW w:w="3300" w:type="dxa"/>
            <w:vAlign w:val="bottom"/>
            <w:vMerge w:val="restart"/>
          </w:tcPr>
          <w:p>
            <w:pPr>
              <w:jc w:val="right"/>
              <w:spacing w:after="0"/>
              <w:rPr>
                <w:sz w:val="20"/>
                <w:szCs w:val="20"/>
                <w:color w:val="auto"/>
              </w:rPr>
            </w:pPr>
            <w:r>
              <w:rPr>
                <w:rFonts w:ascii="Arial" w:cs="Arial" w:eastAsia="Arial" w:hAnsi="Arial"/>
                <w:sz w:val="22"/>
                <w:szCs w:val="22"/>
                <w:color w:val="auto"/>
                <w:w w:val="95"/>
              </w:rPr>
              <w:t>Tenant’s  inclusion  on  the  List  at</w:t>
            </w:r>
          </w:p>
        </w:tc>
        <w:tc>
          <w:tcPr>
            <w:tcW w:w="10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00" w:type="dxa"/>
            <w:vAlign w:val="bottom"/>
            <w:vMerge w:val="continue"/>
          </w:tcPr>
          <w:p>
            <w:pPr>
              <w:spacing w:after="0"/>
              <w:rPr>
                <w:sz w:val="22"/>
                <w:szCs w:val="22"/>
                <w:color w:val="auto"/>
              </w:rPr>
            </w:pPr>
          </w:p>
        </w:tc>
        <w:tc>
          <w:tcPr>
            <w:tcW w:w="8120" w:type="dxa"/>
            <w:vAlign w:val="bottom"/>
            <w:gridSpan w:val="3"/>
          </w:tcPr>
          <w:p>
            <w:pPr>
              <w:jc w:val="right"/>
              <w:spacing w:after="0"/>
              <w:rPr>
                <w:sz w:val="20"/>
                <w:szCs w:val="20"/>
                <w:color w:val="auto"/>
              </w:rPr>
            </w:pPr>
            <w:r>
              <w:rPr>
                <w:rFonts w:ascii="Arial" w:cs="Arial" w:eastAsia="Arial" w:hAnsi="Arial"/>
                <w:sz w:val="22"/>
                <w:szCs w:val="22"/>
                <w:color w:val="auto"/>
                <w:w w:val="96"/>
              </w:rPr>
              <w:t>any  time  during  the  term  of  this  Lease,  shall  be  an  event  of  default  under  this</w:t>
            </w:r>
          </w:p>
        </w:tc>
        <w:tc>
          <w:tcPr>
            <w:tcW w:w="0" w:type="dxa"/>
            <w:vAlign w:val="bottom"/>
          </w:tcPr>
          <w:p>
            <w:pPr>
              <w:spacing w:after="0"/>
              <w:rPr>
                <w:sz w:val="1"/>
                <w:szCs w:val="1"/>
                <w:color w:val="auto"/>
              </w:rPr>
            </w:pPr>
          </w:p>
        </w:tc>
      </w:tr>
    </w:tbl>
    <w:p>
      <w:pPr>
        <w:jc w:val="both"/>
        <w:ind w:right="20"/>
        <w:spacing w:after="0" w:line="275" w:lineRule="auto"/>
        <w:rPr>
          <w:sz w:val="20"/>
          <w:szCs w:val="20"/>
          <w:color w:val="auto"/>
        </w:rPr>
      </w:pPr>
      <w:r>
        <w:rPr>
          <w:rFonts w:ascii="Arial" w:cs="Arial" w:eastAsia="Arial" w:hAnsi="Arial"/>
          <w:sz w:val="19"/>
          <w:szCs w:val="19"/>
          <w:color w:val="auto"/>
        </w:rPr>
        <w:t>Lease.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an event of default under this Lease. Tenant shall indemnify and hold Landlord harmless and against from all losses, damages, liabilities, cost and expenses (including, without limitation, reasonable attorneys' fees and expenses) that are incurred by Landlord and/or its affiliate that derive from a claim made by a third party against Landlord and/or its affiliates arising or alleged to arise from a misrepresentation made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-63-</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 xml:space="preserve">by Tenant hereunder or a breach of any covenant to be performed by Tenant under this </w:t>
      </w:r>
      <w:r>
        <w:rPr>
          <w:rFonts w:ascii="Arial" w:cs="Arial" w:eastAsia="Arial" w:hAnsi="Arial"/>
          <w:sz w:val="22"/>
          <w:szCs w:val="22"/>
          <w:u w:val="single" w:color="auto"/>
          <w:color w:val="auto"/>
        </w:rPr>
        <w:t>Section 29.34</w:t>
      </w:r>
      <w:r>
        <w:rPr>
          <w:rFonts w:ascii="Arial" w:cs="Arial" w:eastAsia="Arial" w:hAnsi="Arial"/>
          <w:sz w:val="22"/>
          <w:szCs w:val="22"/>
          <w:color w:val="auto"/>
        </w:rPr>
        <w:t>.</w:t>
      </w:r>
    </w:p>
    <w:p>
      <w:pPr>
        <w:spacing w:after="0" w:line="200" w:lineRule="exact"/>
        <w:rPr>
          <w:sz w:val="20"/>
          <w:szCs w:val="20"/>
          <w:color w:val="auto"/>
        </w:rPr>
      </w:pPr>
    </w:p>
    <w:p>
      <w:pPr>
        <w:jc w:val="both"/>
        <w:ind w:right="20" w:firstLine="1755"/>
        <w:spacing w:after="0" w:line="243" w:lineRule="auto"/>
        <w:rPr>
          <w:sz w:val="20"/>
          <w:szCs w:val="20"/>
          <w:color w:val="auto"/>
        </w:rPr>
      </w:pPr>
      <w:r>
        <w:rPr>
          <w:rFonts w:ascii="Arial" w:cs="Arial" w:eastAsia="Arial" w:hAnsi="Arial"/>
          <w:sz w:val="22"/>
          <w:szCs w:val="22"/>
          <w:color w:val="auto"/>
        </w:rPr>
        <w:t xml:space="preserve">29.34.4 </w:t>
      </w:r>
      <w:r>
        <w:rPr>
          <w:rFonts w:ascii="Arial" w:cs="Arial" w:eastAsia="Arial" w:hAnsi="Arial"/>
          <w:sz w:val="22"/>
          <w:szCs w:val="22"/>
          <w:b w:val="1"/>
          <w:bCs w:val="1"/>
          <w:u w:val="single" w:color="auto"/>
          <w:color w:val="auto"/>
        </w:rPr>
        <w:t>Documentation</w:t>
      </w:r>
      <w:r>
        <w:rPr>
          <w:rFonts w:ascii="Arial" w:cs="Arial" w:eastAsia="Arial" w:hAnsi="Arial"/>
          <w:sz w:val="22"/>
          <w:szCs w:val="22"/>
          <w:color w:val="auto"/>
        </w:rPr>
        <w:t>. Tenant shall provide documentary and other reasonable evidence of Tenant's identity and ownership as may be reasonably requested by Landlord at any time to enable Landlord to verify Tenant's identity or to comply with any legal request.</w:t>
      </w:r>
    </w:p>
    <w:p>
      <w:pPr>
        <w:spacing w:after="0" w:line="177" w:lineRule="exact"/>
        <w:rPr>
          <w:sz w:val="20"/>
          <w:szCs w:val="20"/>
          <w:color w:val="auto"/>
        </w:rPr>
      </w:pPr>
    </w:p>
    <w:p>
      <w:pPr>
        <w:jc w:val="both"/>
        <w:ind w:right="20" w:firstLine="877"/>
        <w:spacing w:after="0" w:line="273" w:lineRule="auto"/>
        <w:rPr>
          <w:sz w:val="20"/>
          <w:szCs w:val="20"/>
          <w:color w:val="auto"/>
        </w:rPr>
      </w:pPr>
      <w:r>
        <w:rPr>
          <w:rFonts w:ascii="Arial" w:cs="Arial" w:eastAsia="Arial" w:hAnsi="Arial"/>
          <w:sz w:val="19"/>
          <w:szCs w:val="19"/>
          <w:color w:val="auto"/>
        </w:rPr>
        <w:t xml:space="preserve">29.35 </w:t>
      </w:r>
      <w:r>
        <w:rPr>
          <w:rFonts w:ascii="Arial" w:cs="Arial" w:eastAsia="Arial" w:hAnsi="Arial"/>
          <w:sz w:val="19"/>
          <w:szCs w:val="19"/>
          <w:b w:val="1"/>
          <w:bCs w:val="1"/>
          <w:u w:val="single" w:color="auto"/>
          <w:color w:val="auto"/>
        </w:rPr>
        <w:t>Utility Billing Information</w:t>
      </w:r>
      <w:r>
        <w:rPr>
          <w:rFonts w:ascii="Arial" w:cs="Arial" w:eastAsia="Arial" w:hAnsi="Arial"/>
          <w:sz w:val="19"/>
          <w:szCs w:val="19"/>
          <w:color w:val="auto"/>
        </w:rPr>
        <w:t>. In the event that the Tenant is permitted to contract directly for the provision of electricity, gas and/or water services to the Premises with the third-party provider thereof (all in Landlord's sole and absolute discretion), Tenant shall within five (5) business days following its receipt of written request from Landlord, provide Landlord with a copy of each requested invoice from the applicable utility provider. Tenant acknowledges that pursuant to California Public Resources Code Section 25402.10 and the regulations adopted pursuant thereto (collectively the "</w:t>
      </w:r>
      <w:r>
        <w:rPr>
          <w:rFonts w:ascii="Arial" w:cs="Arial" w:eastAsia="Arial" w:hAnsi="Arial"/>
          <w:sz w:val="19"/>
          <w:szCs w:val="19"/>
          <w:b w:val="1"/>
          <w:bCs w:val="1"/>
          <w:color w:val="auto"/>
        </w:rPr>
        <w:t>Energy</w:t>
      </w:r>
      <w:r>
        <w:rPr>
          <w:rFonts w:ascii="Arial" w:cs="Arial" w:eastAsia="Arial" w:hAnsi="Arial"/>
          <w:sz w:val="19"/>
          <w:szCs w:val="19"/>
          <w:color w:val="auto"/>
        </w:rPr>
        <w:t xml:space="preserve"> </w:t>
      </w:r>
      <w:r>
        <w:rPr>
          <w:rFonts w:ascii="Arial" w:cs="Arial" w:eastAsia="Arial" w:hAnsi="Arial"/>
          <w:sz w:val="19"/>
          <w:szCs w:val="19"/>
          <w:b w:val="1"/>
          <w:bCs w:val="1"/>
          <w:color w:val="auto"/>
        </w:rPr>
        <w:t>Disclosure Requirements</w:t>
      </w:r>
      <w:r>
        <w:rPr>
          <w:rFonts w:ascii="Arial" w:cs="Arial" w:eastAsia="Arial" w:hAnsi="Arial"/>
          <w:sz w:val="19"/>
          <w:szCs w:val="19"/>
          <w:color w:val="auto"/>
        </w:rPr>
        <w:t>"), Landlord may be required to disclose information concerning Tenant’s energy usage at the Building to</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third parties, including, without limitation, prospective purchasers, lenders and tenants of the Building (the "</w:t>
      </w:r>
      <w:r>
        <w:rPr>
          <w:rFonts w:ascii="Arial" w:cs="Arial" w:eastAsia="Arial" w:hAnsi="Arial"/>
          <w:sz w:val="19"/>
          <w:szCs w:val="19"/>
          <w:b w:val="1"/>
          <w:bCs w:val="1"/>
          <w:color w:val="auto"/>
        </w:rPr>
        <w:t>Tenant Energy</w:t>
      </w:r>
      <w:r>
        <w:rPr>
          <w:rFonts w:ascii="Arial" w:cs="Arial" w:eastAsia="Arial" w:hAnsi="Arial"/>
          <w:sz w:val="19"/>
          <w:szCs w:val="19"/>
          <w:color w:val="auto"/>
        </w:rPr>
        <w:t xml:space="preserve"> </w:t>
      </w:r>
      <w:r>
        <w:rPr>
          <w:rFonts w:ascii="Arial" w:cs="Arial" w:eastAsia="Arial" w:hAnsi="Arial"/>
          <w:sz w:val="19"/>
          <w:szCs w:val="19"/>
          <w:b w:val="1"/>
          <w:bCs w:val="1"/>
          <w:color w:val="auto"/>
        </w:rPr>
        <w:t>Use Disclosure</w:t>
      </w:r>
      <w:r>
        <w:rPr>
          <w:rFonts w:ascii="Arial" w:cs="Arial" w:eastAsia="Arial" w:hAnsi="Arial"/>
          <w:sz w:val="19"/>
          <w:szCs w:val="19"/>
          <w:color w:val="auto"/>
        </w:rPr>
        <w:t>"). Tenant hereby (A) consents to all such Tenant Energy Use Disclosures, and (B) acknowledges that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9"/>
          <w:szCs w:val="19"/>
          <w:u w:val="single" w:color="auto"/>
          <w:color w:val="auto"/>
        </w:rPr>
        <w:t>Section 29.35</w:t>
      </w:r>
      <w:r>
        <w:rPr>
          <w:rFonts w:ascii="Arial" w:cs="Arial" w:eastAsia="Arial" w:hAnsi="Arial"/>
          <w:sz w:val="19"/>
          <w:szCs w:val="19"/>
          <w:color w:val="auto"/>
        </w:rPr>
        <w:t xml:space="preserve"> shall survive the expiration or earlier termination of this Lease.</w:t>
      </w:r>
    </w:p>
    <w:p>
      <w:pPr>
        <w:spacing w:after="0" w:line="156" w:lineRule="exact"/>
        <w:rPr>
          <w:sz w:val="20"/>
          <w:szCs w:val="20"/>
          <w:color w:val="auto"/>
        </w:rPr>
      </w:pPr>
    </w:p>
    <w:p>
      <w:pPr>
        <w:jc w:val="both"/>
        <w:ind w:right="20" w:firstLine="877"/>
        <w:spacing w:after="0" w:line="249" w:lineRule="auto"/>
        <w:rPr>
          <w:sz w:val="20"/>
          <w:szCs w:val="20"/>
          <w:color w:val="auto"/>
        </w:rPr>
      </w:pPr>
      <w:r>
        <w:rPr>
          <w:rFonts w:ascii="Arial" w:cs="Arial" w:eastAsia="Arial" w:hAnsi="Arial"/>
          <w:sz w:val="21"/>
          <w:szCs w:val="21"/>
          <w:color w:val="auto"/>
        </w:rPr>
        <w:t xml:space="preserve">29.36 </w:t>
      </w:r>
      <w:r>
        <w:rPr>
          <w:rFonts w:ascii="Arial" w:cs="Arial" w:eastAsia="Arial" w:hAnsi="Arial"/>
          <w:sz w:val="21"/>
          <w:szCs w:val="21"/>
          <w:b w:val="1"/>
          <w:bCs w:val="1"/>
          <w:u w:val="single" w:color="auto"/>
          <w:color w:val="auto"/>
        </w:rPr>
        <w:t>Asbestos Disclosure</w:t>
      </w:r>
      <w:r>
        <w:rPr>
          <w:rFonts w:ascii="Arial" w:cs="Arial" w:eastAsia="Arial" w:hAnsi="Arial"/>
          <w:sz w:val="21"/>
          <w:szCs w:val="21"/>
          <w:color w:val="auto"/>
        </w:rPr>
        <w:t>. Landlord has advised Tenant that there is asbestos-containing material ("</w:t>
      </w:r>
      <w:r>
        <w:rPr>
          <w:rFonts w:ascii="Arial" w:cs="Arial" w:eastAsia="Arial" w:hAnsi="Arial"/>
          <w:sz w:val="21"/>
          <w:szCs w:val="21"/>
          <w:b w:val="1"/>
          <w:bCs w:val="1"/>
          <w:color w:val="auto"/>
        </w:rPr>
        <w:t>ACM</w:t>
      </w:r>
      <w:r>
        <w:rPr>
          <w:rFonts w:ascii="Arial" w:cs="Arial" w:eastAsia="Arial" w:hAnsi="Arial"/>
          <w:sz w:val="21"/>
          <w:szCs w:val="21"/>
          <w:color w:val="auto"/>
        </w:rPr>
        <w:t xml:space="preserve">") in the Building. Attached hereto as </w:t>
      </w:r>
      <w:r>
        <w:rPr>
          <w:rFonts w:ascii="Arial" w:cs="Arial" w:eastAsia="Arial" w:hAnsi="Arial"/>
          <w:sz w:val="21"/>
          <w:szCs w:val="21"/>
          <w:b w:val="1"/>
          <w:bCs w:val="1"/>
          <w:u w:val="single" w:color="auto"/>
          <w:color w:val="auto"/>
        </w:rPr>
        <w:t>Exhibit F</w:t>
      </w:r>
      <w:r>
        <w:rPr>
          <w:rFonts w:ascii="Arial" w:cs="Arial" w:eastAsia="Arial" w:hAnsi="Arial"/>
          <w:sz w:val="21"/>
          <w:szCs w:val="21"/>
          <w:color w:val="auto"/>
        </w:rPr>
        <w:t xml:space="preserve"> is a copy of the disclosure notice delivered annually to all tenants of the Building regarding ACM in the Building. Tenant acknowledges that such notice complies with the requirements of Section 25915 </w:t>
      </w:r>
      <w:r>
        <w:rPr>
          <w:rFonts w:ascii="Arial" w:cs="Arial" w:eastAsia="Arial" w:hAnsi="Arial"/>
          <w:sz w:val="21"/>
          <w:szCs w:val="21"/>
          <w:i w:val="1"/>
          <w:iCs w:val="1"/>
          <w:color w:val="auto"/>
        </w:rPr>
        <w:t xml:space="preserve">et. seq. </w:t>
      </w:r>
      <w:r>
        <w:rPr>
          <w:rFonts w:ascii="Arial" w:cs="Arial" w:eastAsia="Arial" w:hAnsi="Arial"/>
          <w:sz w:val="21"/>
          <w:szCs w:val="21"/>
          <w:color w:val="auto"/>
        </w:rPr>
        <w:t>and Section 25359.7 of the California Health and Safety Code. Any spot abatement related to asbestos (other than as</w:t>
      </w:r>
      <w:r>
        <w:rPr>
          <w:rFonts w:ascii="Arial" w:cs="Arial" w:eastAsia="Arial" w:hAnsi="Arial"/>
          <w:sz w:val="21"/>
          <w:szCs w:val="21"/>
          <w:i w:val="1"/>
          <w:iCs w:val="1"/>
          <w:color w:val="auto"/>
        </w:rPr>
        <w:t xml:space="preserve"> </w:t>
      </w:r>
      <w:r>
        <w:rPr>
          <w:rFonts w:ascii="Arial" w:cs="Arial" w:eastAsia="Arial" w:hAnsi="Arial"/>
          <w:sz w:val="21"/>
          <w:szCs w:val="21"/>
          <w:color w:val="auto"/>
        </w:rPr>
        <w:t>introduced by Tenant or Tenant Parties) which may now or hereafter be required shall be performed by Landlord at its sole cost and expense, without such cost being included in Operating Expenses.</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[Remainder of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-64-</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r>
        <w:trPr>
          <w:trHeight w:val="320"/>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IN WITNESS WHEREOF, Landlord and Tenant have caused this Lease to be executed the day and date first above written.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"LANDLORD":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177 COLORADO OWNER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Ron J. Hoyl</w:t>
      </w:r>
    </w:p>
    <w:p>
      <w:pPr>
        <w:ind w:left="380"/>
        <w:spacing w:after="0" w:line="238" w:lineRule="auto"/>
        <w:rPr>
          <w:sz w:val="20"/>
          <w:szCs w:val="20"/>
          <w:color w:val="auto"/>
        </w:rPr>
      </w:pPr>
      <w:r>
        <w:rPr>
          <w:rFonts w:ascii="Arial" w:cs="Arial" w:eastAsia="Arial" w:hAnsi="Arial"/>
          <w:sz w:val="22"/>
          <w:szCs w:val="22"/>
          <w:color w:val="auto"/>
        </w:rPr>
        <w:t>Name: Ron J. Hoyl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-22860</wp:posOffset>
            </wp:positionV>
            <wp:extent cx="6934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Its:</w:t>
      </w:r>
      <w:r>
        <w:rPr>
          <w:rFonts w:ascii="Arial" w:cs="Arial" w:eastAsia="Arial" w:hAnsi="Arial"/>
          <w:sz w:val="22"/>
          <w:szCs w:val="22"/>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ARROWHEAD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Kenneth Myszkowski</w:t>
      </w:r>
    </w:p>
    <w:p>
      <w:pPr>
        <w:ind w:left="380"/>
        <w:spacing w:after="0" w:line="238" w:lineRule="auto"/>
        <w:rPr>
          <w:sz w:val="20"/>
          <w:szCs w:val="20"/>
          <w:color w:val="auto"/>
        </w:rPr>
      </w:pPr>
      <w:r>
        <w:rPr>
          <w:rFonts w:ascii="Arial" w:cs="Arial" w:eastAsia="Arial" w:hAnsi="Arial"/>
          <w:sz w:val="22"/>
          <w:szCs w:val="22"/>
          <w:color w:val="auto"/>
        </w:rPr>
        <w:t>Name:</w:t>
      </w:r>
      <w:r>
        <w:rPr>
          <w:rFonts w:ascii="Arial" w:cs="Arial" w:eastAsia="Arial" w:hAnsi="Arial"/>
          <w:sz w:val="22"/>
          <w:szCs w:val="22"/>
          <w:u w:val="single" w:color="auto"/>
          <w:color w:val="auto"/>
        </w:rPr>
        <w:t>Kenneth Myszkowski</w:t>
      </w:r>
    </w:p>
    <w:p>
      <w:pPr>
        <w:ind w:left="380"/>
        <w:spacing w:after="0"/>
        <w:rPr>
          <w:sz w:val="20"/>
          <w:szCs w:val="20"/>
          <w:color w:val="auto"/>
        </w:rPr>
      </w:pPr>
      <w:r>
        <w:rPr>
          <w:rFonts w:ascii="Arial" w:cs="Arial" w:eastAsia="Arial" w:hAnsi="Arial"/>
          <w:sz w:val="22"/>
          <w:szCs w:val="22"/>
          <w:color w:val="auto"/>
        </w:rPr>
        <w:t>Its:</w:t>
      </w:r>
      <w:r>
        <w:rPr>
          <w:rFonts w:ascii="Arial" w:cs="Arial" w:eastAsia="Arial" w:hAnsi="Arial"/>
          <w:sz w:val="22"/>
          <w:szCs w:val="22"/>
          <w:u w:val="single" w:color="auto"/>
          <w:color w:val="auto"/>
        </w:rPr>
        <w:t>Chief Financial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380"/>
        <w:spacing w:after="0" w:line="238" w:lineRule="auto"/>
        <w:rPr>
          <w:sz w:val="20"/>
          <w:szCs w:val="20"/>
          <w:color w:val="auto"/>
        </w:rPr>
      </w:pPr>
      <w:r>
        <w:rPr>
          <w:rFonts w:ascii="Arial" w:cs="Arial" w:eastAsia="Arial" w:hAnsi="Arial"/>
          <w:sz w:val="22"/>
          <w:szCs w:val="22"/>
          <w:color w:val="auto"/>
        </w:rPr>
        <w:t>Name:</w:t>
      </w:r>
    </w:p>
    <w:p>
      <w:pPr>
        <w:ind w:left="38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660" w:type="dxa"/>
            <w:vAlign w:val="bottom"/>
          </w:tcPr>
          <w:p>
            <w:pPr>
              <w:jc w:val="right"/>
              <w:spacing w:after="0"/>
              <w:rPr>
                <w:sz w:val="20"/>
                <w:szCs w:val="20"/>
                <w:color w:val="auto"/>
              </w:rPr>
            </w:pPr>
            <w:r>
              <w:rPr>
                <w:rFonts w:ascii="Arial" w:cs="Arial" w:eastAsia="Arial" w:hAnsi="Arial"/>
                <w:sz w:val="13"/>
                <w:szCs w:val="13"/>
                <w:color w:val="auto"/>
              </w:rPr>
              <w:t>177 E. Colorado Boulevard</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Arial" w:cs="Arial" w:eastAsia="Arial" w:hAnsi="Arial"/>
                <w:sz w:val="13"/>
                <w:szCs w:val="13"/>
                <w:color w:val="auto"/>
              </w:rPr>
              <w:t>795344.01/WLA</w:t>
            </w:r>
          </w:p>
        </w:tc>
        <w:tc>
          <w:tcPr>
            <w:tcW w:w="4400" w:type="dxa"/>
            <w:vAlign w:val="bottom"/>
            <w:vMerge w:val="restart"/>
          </w:tcPr>
          <w:p>
            <w:pPr>
              <w:jc w:val="right"/>
              <w:ind w:right="1819"/>
              <w:spacing w:after="0"/>
              <w:rPr>
                <w:sz w:val="20"/>
                <w:szCs w:val="20"/>
                <w:color w:val="auto"/>
              </w:rPr>
            </w:pPr>
            <w:r>
              <w:rPr>
                <w:rFonts w:ascii="Arial" w:cs="Arial" w:eastAsia="Arial" w:hAnsi="Arial"/>
                <w:sz w:val="16"/>
                <w:szCs w:val="16"/>
                <w:color w:val="auto"/>
              </w:rPr>
              <w:t>-65-</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377082-00004//ejs/ejs</w:t>
            </w:r>
          </w:p>
        </w:tc>
        <w:tc>
          <w:tcPr>
            <w:tcW w:w="4400" w:type="dxa"/>
            <w:vAlign w:val="bottom"/>
            <w:vMerge w:val="continue"/>
          </w:tcPr>
          <w:p>
            <w:pPr>
              <w:spacing w:after="0"/>
              <w:rPr>
                <w:sz w:val="13"/>
                <w:szCs w:val="13"/>
                <w:color w:val="auto"/>
              </w:rPr>
            </w:pPr>
          </w:p>
        </w:tc>
        <w:tc>
          <w:tcPr>
            <w:tcW w:w="3660" w:type="dxa"/>
            <w:vAlign w:val="bottom"/>
          </w:tcPr>
          <w:p>
            <w:pPr>
              <w:jc w:val="right"/>
              <w:spacing w:after="0"/>
              <w:rPr>
                <w:sz w:val="20"/>
                <w:szCs w:val="20"/>
                <w:color w:val="auto"/>
              </w:rPr>
            </w:pPr>
            <w:r>
              <w:rPr>
                <w:rFonts w:ascii="Arial" w:cs="Arial" w:eastAsia="Arial" w:hAnsi="Arial"/>
                <w:sz w:val="13"/>
                <w:szCs w:val="13"/>
                <w:color w:val="auto"/>
              </w:rPr>
              <w:t>[Arrowhead Pharmaceuticals,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131"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-130810</wp:posOffset>
            </wp:positionV>
            <wp:extent cx="40735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13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-130810</wp:posOffset>
            </wp:positionV>
            <wp:extent cx="40906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2019,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2019,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13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1"/>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amp;"/>
      <w:numFmt w:val="bullet"/>
      <w:start w:val="1"/>
    </w:lvl>
  </w:abstractNum>
  <w:abstractNum w:abstractNumId="5">
    <w:nsid w:val="431BD7B7"/>
    <w:multiLevelType w:val="hybridMultilevel"/>
    <w:lvl w:ilvl="0">
      <w:lvlJc w:val="left"/>
      <w:lvlText w:val="%1"/>
      <w:numFmt w:val="decimal"/>
      <w:start w:val="10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Roman"/>
      <w:start w:val="2"/>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lowerRoman"/>
      <w:start w:val="3"/>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1)"/>
      <w:numFmt w:val="lowerRoman"/>
      <w:start w:val="16"/>
    </w:lvl>
    <w:lvl w:ilvl="1">
      <w:lvlJc w:val="left"/>
      <w:lvlText w:val="%2."/>
      <w:numFmt w:val="lowerLetter"/>
      <w:start w:val="1"/>
    </w:lvl>
  </w:abstractNum>
  <w:abstractNum w:abstractNumId="13">
    <w:nsid w:val="721DA317"/>
    <w:multiLevelType w:val="hybridMultilevel"/>
    <w:lvl w:ilvl="0">
      <w:lvlJc w:val="left"/>
      <w:lvlText w:val="%1."/>
      <w:numFmt w:val="lowerLetter"/>
      <w:start w:val="7"/>
    </w:lvl>
  </w:abstractNum>
  <w:abstractNum w:abstractNumId="14">
    <w:nsid w:val="2443A858"/>
    <w:multiLevelType w:val="hybridMultilevel"/>
    <w:lvl w:ilvl="0">
      <w:lvlJc w:val="left"/>
      <w:lvlText w:val="%1."/>
      <w:numFmt w:val="lowerLetter"/>
      <w:start w:val="8"/>
    </w:lvl>
  </w:abstractNum>
  <w:abstractNum w:abstractNumId="15">
    <w:nsid w:val="2D1D5AE9"/>
    <w:multiLevelType w:val="hybridMultilevel"/>
    <w:lvl w:ilvl="0">
      <w:lvlJc w:val="left"/>
      <w:lvlText w:val="%1."/>
      <w:numFmt w:val="lowerLetter"/>
      <w:start w:val="9"/>
    </w:lvl>
  </w:abstractNum>
  <w:abstractNum w:abstractNumId="16">
    <w:nsid w:val="6763845E"/>
    <w:multiLevelType w:val="hybridMultilevel"/>
    <w:lvl w:ilvl="0">
      <w:lvlJc w:val="left"/>
      <w:lvlText w:val="%1."/>
      <w:numFmt w:val="lowerLetter"/>
      <w:start w:val="15"/>
    </w:lvl>
  </w:abstractNum>
  <w:abstractNum w:abstractNumId="17">
    <w:nsid w:val="75A2A8D4"/>
    <w:multiLevelType w:val="hybridMultilevel"/>
    <w:lvl w:ilvl="0">
      <w:lvlJc w:val="left"/>
      <w:lvlText w:val="%1."/>
      <w:numFmt w:val="lowerLetter"/>
      <w:start w:val="16"/>
    </w:lvl>
  </w:abstractNum>
  <w:abstractNum w:abstractNumId="18">
    <w:nsid w:val="8EDBDAB"/>
    <w:multiLevelType w:val="hybridMultilevel"/>
    <w:lvl w:ilvl="0">
      <w:lvlJc w:val="left"/>
      <w:lvlText w:val="%1."/>
      <w:numFmt w:val="lowerLetter"/>
      <w:start w:val="18"/>
    </w:lvl>
  </w:abstractNum>
  <w:abstractNum w:abstractNumId="19">
    <w:nsid w:val="79838CB2"/>
    <w:multiLevelType w:val="hybridMultilevel"/>
    <w:lvl w:ilvl="0">
      <w:lvlJc w:val="left"/>
      <w:lvlText w:val="%1."/>
      <w:numFmt w:val="lowerLetter"/>
      <w:start w:val="19"/>
    </w:lvl>
  </w:abstractNum>
  <w:abstractNum w:abstractNumId="20">
    <w:nsid w:val="4353D0CD"/>
    <w:multiLevelType w:val="hybridMultilevel"/>
    <w:lvl w:ilvl="0">
      <w:lvlJc w:val="left"/>
      <w:lvlText w:val="(%1)"/>
      <w:numFmt w:val="upperLetter"/>
      <w:start w:val="3"/>
    </w:lvl>
  </w:abstractNum>
  <w:abstractNum w:abstractNumId="21">
    <w:nsid w:val="B03E0C6"/>
    <w:multiLevelType w:val="hybridMultilevel"/>
    <w:lvl w:ilvl="0">
      <w:lvlJc w:val="left"/>
      <w:lvlText w:val="(%1)"/>
      <w:numFmt w:val="lowerRoman"/>
      <w:start w:val="1"/>
    </w:lvl>
  </w:abstractNum>
  <w:abstractNum w:abstractNumId="22">
    <w:nsid w:val="189A769B"/>
    <w:multiLevelType w:val="hybridMultilevel"/>
    <w:lvl w:ilvl="0">
      <w:lvlJc w:val="left"/>
      <w:lvlText w:val="(%1)"/>
      <w:numFmt w:val="upperLetter"/>
      <w:start w:val="35"/>
    </w:lvl>
  </w:abstractNum>
  <w:abstractNum w:abstractNumId="23">
    <w:nsid w:val="54E49EB4"/>
    <w:multiLevelType w:val="hybridMultilevel"/>
    <w:lvl w:ilvl="0">
      <w:lvlJc w:val="left"/>
      <w:lvlText w:val="(%1)"/>
      <w:numFmt w:val="lowerRoman"/>
      <w:start w:val="10"/>
    </w:lvl>
  </w:abstractNum>
  <w:abstractNum w:abstractNumId="24">
    <w:nsid w:val="71F32454"/>
    <w:multiLevelType w:val="hybridMultilevel"/>
    <w:lvl w:ilvl="0">
      <w:lvlJc w:val="left"/>
      <w:lvlText w:val="(%1)"/>
      <w:numFmt w:val="lowerRoman"/>
      <w:start w:val="3"/>
    </w:lvl>
  </w:abstractNum>
  <w:abstractNum w:abstractNumId="25">
    <w:nsid w:val="2CA88611"/>
    <w:multiLevelType w:val="hybridMultilevel"/>
    <w:lvl w:ilvl="0">
      <w:lvlJc w:val="left"/>
      <w:lvlText w:val="(%1)"/>
      <w:numFmt w:val="decimal"/>
      <w:start w:val="40"/>
    </w:lvl>
  </w:abstractNum>
  <w:abstractNum w:abstractNumId="26">
    <w:nsid w:val="836C40E"/>
    <w:multiLevelType w:val="hybridMultilevel"/>
    <w:lvl w:ilvl="0">
      <w:lvlJc w:val="left"/>
      <w:lvlText w:val="(%1)"/>
      <w:numFmt w:val="upperLetter"/>
      <w:start w:val="1"/>
    </w:lvl>
  </w:abstractNum>
  <w:abstractNum w:abstractNumId="27">
    <w:nsid w:val="2901D82"/>
    <w:multiLevelType w:val="hybridMultilevel"/>
    <w:lvl w:ilvl="0">
      <w:lvlJc w:val="left"/>
      <w:lvlText w:val="(%1)"/>
      <w:numFmt w:val="decimal"/>
      <w:start w:val="10"/>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2019-12-28T08:23:16Z</dcterms:created>
  <dcterms:modified xsi:type="dcterms:W3CDTF">2019-12-28T08:23:16Z</dcterms:modified>
</cp:coreProperties>
</file>