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4"/>
          <w:szCs w:val="24"/>
          <w:color w:val="auto"/>
        </w:rPr>
      </w:pPr>
    </w:p>
    <w:tbl>
      <w:tblPr>
        <w:tblLayout w:type="fixed"/>
        <w:tblInd w:w="2140" w:type="dxa"/>
        <w:tblCellMar>
          <w:top w:w="0" w:type="dxa"/>
          <w:left w:w="0" w:type="dxa"/>
          <w:bottom w:w="0" w:type="dxa"/>
          <w:right w:w="0" w:type="dxa"/>
        </w:tblCellMar>
      </w:tblPr>
      <w:tr>
        <w:trPr>
          <w:trHeight w:val="212"/>
        </w:trPr>
        <w:tc>
          <w:tcPr>
            <w:tcW w:w="156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Delaware</w:t>
            </w:r>
          </w:p>
        </w:tc>
        <w:tc>
          <w:tcPr>
            <w:tcW w:w="602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15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Arial" w:cs="Arial" w:eastAsia="Arial" w:hAnsi="Arial"/>
                <w:sz w:val="18"/>
                <w:szCs w:val="18"/>
                <w:b w:val="1"/>
                <w:bCs w:val="1"/>
                <w:color w:val="auto"/>
                <w:w w:val="90"/>
              </w:rPr>
              <w:t>Pasadena, California 91101</w:t>
            </w:r>
          </w:p>
        </w:tc>
      </w:tr>
      <w:tr>
        <w:trPr>
          <w:trHeight w:val="212"/>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Arial" w:cs="Arial" w:eastAsia="Arial" w:hAnsi="Arial"/>
                <w:sz w:val="18"/>
                <w:szCs w:val="18"/>
                <w:b w:val="1"/>
                <w:bCs w:val="1"/>
                <w:color w:val="auto"/>
                <w:w w:val="90"/>
              </w:rPr>
              <w:t>(626) 304-3400</w:t>
            </w:r>
          </w:p>
        </w:tc>
        <w:tc>
          <w:tcPr>
            <w:tcW w:w="286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147"/>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8" w:right="29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8"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8"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8"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9, 2016 was 59,960,711.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2015</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50,300,847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3,772,643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3,293,285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909,561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823,620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11,160,442</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17,539,902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66,143,493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102,871,161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4,381,628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4,526,848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23,960,017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24,824,116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122,333</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94,607,471</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132,267,914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7,542,498</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5,031,706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3,834,269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5,376,119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payroll and benefits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1,395,004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3,824,062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955,193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1,301,604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219,349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217,548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14,058,345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15,900,571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 net of current portion</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430,665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540,792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Contingent consideration obligations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5,862,464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5,862,464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329,760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342,453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6,622,889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6,745,709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15,652 shares issued and</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outstanding as of March 31, 2016 and September 30, 2015</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59,960,711 and 59,544,677 shares</w:t>
            </w:r>
          </w:p>
        </w:tc>
        <w:tc>
          <w:tcPr>
            <w:tcW w:w="2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March 31, 2016 and September 30, 2015, respectively</w:t>
            </w: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152,330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431,061,481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426,873,358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(136,425)</w:t>
            </w: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(356,792,315)</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(316,712,041)</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0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74,481,425</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110,176,822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200" w:type="dxa"/>
            <w:vAlign w:val="bottom"/>
          </w:tcPr>
          <w:p>
            <w:pPr>
              <w:spacing w:after="0"/>
              <w:rPr>
                <w:sz w:val="15"/>
                <w:szCs w:val="15"/>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73,926,237</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109,621,634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94,607,471</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132,267,914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Six Months ended</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2016</w:t>
            </w:r>
          </w:p>
        </w:tc>
        <w:tc>
          <w:tcPr>
            <w:tcW w:w="100" w:type="dxa"/>
            <w:vAlign w:val="bottom"/>
          </w:tcPr>
          <w:p>
            <w:pPr>
              <w:spacing w:after="0"/>
              <w:rPr>
                <w:sz w:val="19"/>
                <w:szCs w:val="19"/>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March 31, 2016</w:t>
            </w: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3"/>
              </w:rPr>
              <w:t>March 31, 2015</w:t>
            </w:r>
          </w:p>
        </w:tc>
        <w:tc>
          <w:tcPr>
            <w:tcW w:w="0" w:type="dxa"/>
            <w:vAlign w:val="bottom"/>
          </w:tcPr>
          <w:p>
            <w:pPr>
              <w:spacing w:after="0"/>
              <w:rPr>
                <w:sz w:val="1"/>
                <w:szCs w:val="1"/>
                <w:color w:val="auto"/>
              </w:rPr>
            </w:pPr>
          </w:p>
        </w:tc>
      </w:tr>
      <w:tr>
        <w:trPr>
          <w:trHeight w:val="226"/>
        </w:trPr>
        <w:tc>
          <w:tcPr>
            <w:tcW w:w="5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214,500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10,020,826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11,640,794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20,359,659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10,142,786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10,142,786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Salaries and payroll-related costs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4,248,693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3,541,652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8,168,579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3,818,335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1,696,623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5,769,944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2,416,839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2,205,079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4,797,182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803,912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1,598,261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21,308,605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29,676,493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40,693,625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54,964,937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(21,264,855)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(29,632,743)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(40,606,125)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(54,750,437)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Gain (loss) on sale of fixed assets, net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45,576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369,935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346,411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448,995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948,750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525,851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3,488,743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(20,815,860)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(40,080,274)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(51,261,694)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(20,815,860)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(40,080,274)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(51,261,694)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 ATTRIBUTABLE TO ARROWHEAD</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(20,815,860</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(40,080,274</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(51,261,694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NET LOSS PER SHARE ATTRIBUTABLE TO ARROWHEAD</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SHAREHOLDERS - BASIC &amp;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59,779,128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55,719,923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59,663,270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55,200,512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(63,965)</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COMPREHENSIVE LOSS ATTRIBUTABLE TO</w:t>
            </w: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(20,665,340)</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(28,747,958)</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(39,883,936)</w:t>
            </w: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(51,325,659)</w:t>
            </w: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ARROWHEAD</w:t>
            </w:r>
          </w:p>
        </w:tc>
        <w:tc>
          <w:tcPr>
            <w:tcW w:w="8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Additional</w:t>
            </w: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vMerge w:val="continue"/>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2015</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1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2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vMerge w:val="continue"/>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59,544,677</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151,914</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$ 426,873,358</w:t>
            </w:r>
          </w:p>
        </w:tc>
        <w:tc>
          <w:tcPr>
            <w:tcW w:w="2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(136,425)</w:t>
            </w:r>
          </w:p>
        </w:tc>
        <w:tc>
          <w:tcPr>
            <w:tcW w:w="22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(316,712,041)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109,621,634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25,539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4,797,182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4,797,182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w:t>
            </w: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411,347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(634,598)</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(634,187)</w:t>
            </w: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w w:val="92"/>
              </w:rPr>
              <w:t>Foreign currency translation adjustments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196,338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196,338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3"/>
              </w:rPr>
              <w:t>Net loss for the six months ended March</w:t>
            </w: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31, 2016</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(40,080,274)</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(40,080,274)</w:t>
            </w:r>
          </w:p>
        </w:tc>
        <w:tc>
          <w:tcPr>
            <w:tcW w:w="0" w:type="dxa"/>
            <w:vAlign w:val="bottom"/>
          </w:tcPr>
          <w:p>
            <w:pPr>
              <w:spacing w:after="0"/>
              <w:rPr>
                <w:sz w:val="1"/>
                <w:szCs w:val="1"/>
                <w:color w:val="auto"/>
              </w:rPr>
            </w:pPr>
          </w:p>
        </w:tc>
      </w:tr>
      <w:tr>
        <w:trPr>
          <w:trHeight w:val="156"/>
        </w:trPr>
        <w:tc>
          <w:tcPr>
            <w:tcW w:w="25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2016</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59,960,711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152,330</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$ 431,061,481</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59,913</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(356,792,315</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73,926,237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Six months ended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2015</w:t>
            </w:r>
          </w:p>
        </w:tc>
      </w:tr>
      <w:tr>
        <w:trPr>
          <w:trHeight w:val="156"/>
        </w:trPr>
        <w:tc>
          <w:tcPr>
            <w:tcW w:w="778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76"/>
        </w:trPr>
        <w:tc>
          <w:tcPr>
            <w:tcW w:w="77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(40,080,274)</w:t>
            </w:r>
          </w:p>
        </w:tc>
        <w:tc>
          <w:tcPr>
            <w:tcW w:w="3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(51,261,694)</w:t>
            </w:r>
          </w:p>
        </w:tc>
      </w:tr>
      <w:tr>
        <w:trPr>
          <w:trHeight w:val="176"/>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disposal of fixed assets</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(19,195)</w:t>
            </w: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1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(346,411)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(2,551,116)</w:t>
            </w: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Acquired-in-process research and development</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10,142,786</w:t>
            </w: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4,797,182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4,219,935</w:t>
            </w:r>
          </w:p>
        </w:tc>
        <w:tc>
          <w:tcPr>
            <w:tcW w:w="100" w:type="dxa"/>
            <w:vAlign w:val="bottom"/>
          </w:tcPr>
          <w:p>
            <w:pPr>
              <w:spacing w:after="0"/>
              <w:rPr>
                <w:sz w:val="14"/>
                <w:szCs w:val="14"/>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1,598,261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739,598</w:t>
            </w:r>
          </w:p>
        </w:tc>
        <w:tc>
          <w:tcPr>
            <w:tcW w:w="100" w:type="dxa"/>
            <w:vAlign w:val="bottom"/>
            <w:shd w:val="clear" w:color="auto" w:fill="CFF0FC"/>
          </w:tcPr>
          <w:p>
            <w:pPr>
              <w:spacing w:after="0"/>
              <w:rPr>
                <w:sz w:val="14"/>
                <w:szCs w:val="14"/>
                <w:color w:val="auto"/>
              </w:rPr>
            </w:pPr>
          </w:p>
        </w:tc>
      </w:tr>
      <w:tr>
        <w:trPr>
          <w:trHeight w:val="176"/>
        </w:trPr>
        <w:tc>
          <w:tcPr>
            <w:tcW w:w="7780" w:type="dxa"/>
            <w:vAlign w:val="bottom"/>
          </w:tcPr>
          <w:p>
            <w:pPr>
              <w:ind w:left="380"/>
              <w:spacing w:after="0"/>
              <w:rPr>
                <w:sz w:val="20"/>
                <w:szCs w:val="20"/>
                <w:color w:val="auto"/>
              </w:rPr>
            </w:pPr>
            <w:r>
              <w:rPr>
                <w:rFonts w:ascii="Arial" w:cs="Arial" w:eastAsia="Arial" w:hAnsi="Arial"/>
                <w:sz w:val="14"/>
                <w:szCs w:val="14"/>
                <w:color w:val="auto"/>
              </w:rPr>
              <w:t>Amortization of note premiums</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179,460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668,364</w:t>
            </w:r>
          </w:p>
        </w:tc>
        <w:tc>
          <w:tcPr>
            <w:tcW w:w="100" w:type="dxa"/>
            <w:vAlign w:val="bottom"/>
          </w:tcPr>
          <w:p>
            <w:pPr>
              <w:spacing w:after="0"/>
              <w:rPr>
                <w:sz w:val="15"/>
                <w:szCs w:val="15"/>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(641,840)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(3,502,618)</w:t>
            </w:r>
          </w:p>
        </w:tc>
      </w:tr>
      <w:tr>
        <w:trPr>
          <w:trHeight w:val="162"/>
        </w:trPr>
        <w:tc>
          <w:tcPr>
            <w:tcW w:w="77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2,510,792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2,402,381</w:t>
            </w: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(4,103,354)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(1,442,450)</w:t>
            </w:r>
          </w:p>
        </w:tc>
      </w:tr>
      <w:tr>
        <w:trPr>
          <w:trHeight w:val="162"/>
        </w:trPr>
        <w:tc>
          <w:tcPr>
            <w:tcW w:w="77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190,280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34,425</w:t>
            </w:r>
          </w:p>
        </w:tc>
        <w:tc>
          <w:tcPr>
            <w:tcW w:w="100" w:type="dxa"/>
            <w:vAlign w:val="bottom"/>
            <w:shd w:val="clear" w:color="auto" w:fill="CFF0FC"/>
          </w:tcPr>
          <w:p>
            <w:pPr>
              <w:spacing w:after="0"/>
              <w:rPr>
                <w:sz w:val="14"/>
                <w:szCs w:val="14"/>
                <w:color w:val="auto"/>
              </w:rPr>
            </w:pPr>
          </w:p>
        </w:tc>
      </w:tr>
      <w:tr>
        <w:trPr>
          <w:trHeight w:val="156"/>
        </w:trPr>
        <w:tc>
          <w:tcPr>
            <w:tcW w:w="778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(35,895,904)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(40,569,584)</w:t>
            </w:r>
          </w:p>
        </w:tc>
        <w:tc>
          <w:tcPr>
            <w:tcW w:w="100" w:type="dxa"/>
            <w:vAlign w:val="bottom"/>
          </w:tcPr>
          <w:p>
            <w:pPr>
              <w:spacing w:after="0"/>
              <w:rPr>
                <w:sz w:val="13"/>
                <w:szCs w:val="13"/>
                <w:color w:val="auto"/>
              </w:rPr>
            </w:pPr>
          </w:p>
        </w:tc>
      </w:tr>
      <w:tr>
        <w:trPr>
          <w:trHeight w:val="162"/>
        </w:trPr>
        <w:tc>
          <w:tcPr>
            <w:tcW w:w="7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(500,634)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(852,063)</w:t>
            </w:r>
          </w:p>
        </w:tc>
      </w:tr>
      <w:tr>
        <w:trPr>
          <w:trHeight w:val="176"/>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FF0FC"/>
          </w:tcPr>
          <w:p>
            <w:pPr>
              <w:spacing w:after="0"/>
              <w:rPr>
                <w:sz w:val="15"/>
                <w:szCs w:val="15"/>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12,150,774</w:t>
            </w:r>
          </w:p>
        </w:tc>
        <w:tc>
          <w:tcPr>
            <w:tcW w:w="100" w:type="dxa"/>
            <w:vAlign w:val="bottom"/>
          </w:tcPr>
          <w:p>
            <w:pPr>
              <w:spacing w:after="0"/>
              <w:rPr>
                <w:sz w:val="14"/>
                <w:szCs w:val="14"/>
                <w:color w:val="auto"/>
              </w:rPr>
            </w:pP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acquisitions</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(7,000,000)</w:t>
            </w:r>
          </w:p>
        </w:tc>
      </w:tr>
      <w:tr>
        <w:trPr>
          <w:trHeight w:val="156"/>
        </w:trPr>
        <w:tc>
          <w:tcPr>
            <w:tcW w:w="778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5,699,366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4,299,211</w:t>
            </w:r>
          </w:p>
        </w:tc>
        <w:tc>
          <w:tcPr>
            <w:tcW w:w="100" w:type="dxa"/>
            <w:vAlign w:val="bottom"/>
          </w:tcPr>
          <w:p>
            <w:pPr>
              <w:spacing w:after="0"/>
              <w:rPr>
                <w:sz w:val="13"/>
                <w:szCs w:val="13"/>
                <w:color w:val="auto"/>
              </w:rPr>
            </w:pPr>
          </w:p>
        </w:tc>
      </w:tr>
      <w:tr>
        <w:trPr>
          <w:trHeight w:val="162"/>
        </w:trPr>
        <w:tc>
          <w:tcPr>
            <w:tcW w:w="7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Principal payments on capital leases and notes payable</w:t>
            </w:r>
          </w:p>
        </w:tc>
        <w:tc>
          <w:tcPr>
            <w:tcW w:w="16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(108,326)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(106,554)</w:t>
            </w: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(634,187)</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25,544</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313,618</w:t>
            </w:r>
          </w:p>
        </w:tc>
        <w:tc>
          <w:tcPr>
            <w:tcW w:w="100" w:type="dxa"/>
            <w:vAlign w:val="bottom"/>
            <w:tcBorders>
              <w:bottom w:val="single" w:sz="8" w:color="CFF0FC"/>
            </w:tcBorders>
          </w:tcPr>
          <w:p>
            <w:pPr>
              <w:spacing w:after="0"/>
              <w:rPr>
                <w:sz w:val="14"/>
                <w:szCs w:val="14"/>
                <w:color w:val="auto"/>
              </w:rPr>
            </w:pPr>
          </w:p>
        </w:tc>
      </w:tr>
      <w:tr>
        <w:trPr>
          <w:trHeight w:val="156"/>
        </w:trPr>
        <w:tc>
          <w:tcPr>
            <w:tcW w:w="77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(716,969)</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207,064</w:t>
            </w:r>
          </w:p>
        </w:tc>
        <w:tc>
          <w:tcPr>
            <w:tcW w:w="100" w:type="dxa"/>
            <w:vAlign w:val="bottom"/>
            <w:shd w:val="clear" w:color="auto" w:fill="CFF0FC"/>
          </w:tcPr>
          <w:p>
            <w:pPr>
              <w:spacing w:after="0"/>
              <w:rPr>
                <w:sz w:val="13"/>
                <w:szCs w:val="13"/>
                <w:color w:val="auto"/>
              </w:rPr>
            </w:pPr>
          </w:p>
        </w:tc>
      </w:tr>
      <w:tr>
        <w:trPr>
          <w:trHeight w:val="156"/>
        </w:trPr>
        <w:tc>
          <w:tcPr>
            <w:tcW w:w="7780" w:type="dxa"/>
            <w:vAlign w:val="bottom"/>
          </w:tcPr>
          <w:p>
            <w:pPr>
              <w:ind w:left="380"/>
              <w:spacing w:after="0" w:line="155" w:lineRule="exact"/>
              <w:rPr>
                <w:sz w:val="20"/>
                <w:szCs w:val="20"/>
                <w:color w:val="auto"/>
              </w:rPr>
            </w:pPr>
            <w:r>
              <w:rPr>
                <w:rFonts w:ascii="Arial" w:cs="Arial" w:eastAsia="Arial" w:hAnsi="Arial"/>
                <w:sz w:val="14"/>
                <w:szCs w:val="14"/>
                <w:color w:val="auto"/>
              </w:rPr>
              <w:t>NET INCREASE (DECREASE) IN CASH</w:t>
            </w: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(30,913,507)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(36,063,309)</w:t>
            </w:r>
          </w:p>
        </w:tc>
        <w:tc>
          <w:tcPr>
            <w:tcW w:w="100" w:type="dxa"/>
            <w:vAlign w:val="bottom"/>
          </w:tcPr>
          <w:p>
            <w:pPr>
              <w:spacing w:after="0"/>
              <w:rPr>
                <w:sz w:val="13"/>
                <w:szCs w:val="13"/>
                <w:color w:val="auto"/>
              </w:rPr>
            </w:pPr>
          </w:p>
        </w:tc>
      </w:tr>
      <w:tr>
        <w:trPr>
          <w:trHeight w:val="162"/>
        </w:trPr>
        <w:tc>
          <w:tcPr>
            <w:tcW w:w="7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100" w:type="dxa"/>
            <w:vAlign w:val="bottom"/>
            <w:shd w:val="clear" w:color="auto" w:fill="CFF0FC"/>
          </w:tcPr>
          <w:p>
            <w:pPr>
              <w:spacing w:after="0"/>
              <w:rPr>
                <w:sz w:val="14"/>
                <w:szCs w:val="14"/>
                <w:color w:val="auto"/>
              </w:rPr>
            </w:pPr>
          </w:p>
        </w:tc>
      </w:tr>
      <w:tr>
        <w:trPr>
          <w:trHeight w:val="196"/>
        </w:trPr>
        <w:tc>
          <w:tcPr>
            <w:tcW w:w="778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50,300,847</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96,447,301</w:t>
            </w:r>
          </w:p>
        </w:tc>
        <w:tc>
          <w:tcPr>
            <w:tcW w:w="100" w:type="dxa"/>
            <w:vAlign w:val="bottom"/>
            <w:tcBorders>
              <w:bottom w:val="single" w:sz="8" w:color="CFF0FC"/>
            </w:tcBorders>
          </w:tcPr>
          <w:p>
            <w:pPr>
              <w:spacing w:after="0"/>
              <w:rPr>
                <w:sz w:val="17"/>
                <w:szCs w:val="17"/>
                <w:color w:val="auto"/>
              </w:rPr>
            </w:pPr>
          </w:p>
        </w:tc>
      </w:tr>
      <w:tr>
        <w:trPr>
          <w:trHeight w:val="143"/>
        </w:trPr>
        <w:tc>
          <w:tcPr>
            <w:tcW w:w="77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(5,797)</w:t>
            </w:r>
          </w:p>
        </w:tc>
        <w:tc>
          <w:tcPr>
            <w:tcW w:w="3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(7,655)</w:t>
            </w: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1,365,288</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7780" w:type="dxa"/>
            <w:vAlign w:val="bottom"/>
          </w:tcPr>
          <w:p>
            <w:pPr>
              <w:ind w:left="380"/>
              <w:spacing w:after="0"/>
              <w:rPr>
                <w:sz w:val="20"/>
                <w:szCs w:val="20"/>
                <w:color w:val="auto"/>
              </w:rPr>
            </w:pPr>
            <w:r>
              <w:rPr>
                <w:rFonts w:ascii="Arial" w:cs="Arial" w:eastAsia="Arial" w:hAnsi="Arial"/>
                <w:sz w:val="14"/>
                <w:szCs w:val="14"/>
                <w:color w:val="auto"/>
              </w:rPr>
              <w:t>Income Taxes Paid</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(2,400)</w:t>
            </w:r>
          </w:p>
        </w:tc>
        <w:tc>
          <w:tcPr>
            <w:tcW w:w="3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(2,400)</w:t>
            </w:r>
          </w:p>
        </w:tc>
      </w:tr>
      <w:tr>
        <w:trPr>
          <w:trHeight w:val="162"/>
        </w:trPr>
        <w:tc>
          <w:tcPr>
            <w:tcW w:w="7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Common Stock issued to Novartis for asset acquisition</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FF0FC"/>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and formerly known as Arrowhead Research Corporation, (2) the terms the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338" w:lineRule="exact"/>
        <w:rPr>
          <w:sz w:val="20"/>
          <w:szCs w:val="20"/>
          <w:color w:val="auto"/>
        </w:rPr>
      </w:pPr>
    </w:p>
    <w:p>
      <w:pPr>
        <w:ind w:right="554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spacing w:after="0" w:line="58" w:lineRule="exact"/>
        <w:rPr>
          <w:sz w:val="20"/>
          <w:szCs w:val="20"/>
          <w:color w:val="auto"/>
        </w:rPr>
      </w:pPr>
    </w:p>
    <w:p>
      <w:pPr>
        <w:ind w:right="60" w:firstLine="475"/>
        <w:spacing w:after="0" w:line="293" w:lineRule="auto"/>
        <w:rPr>
          <w:sz w:val="20"/>
          <w:szCs w:val="20"/>
          <w:color w:val="auto"/>
        </w:rPr>
      </w:pPr>
      <w:r>
        <w:rPr>
          <w:rFonts w:ascii="Arial" w:cs="Arial" w:eastAsia="Arial" w:hAnsi="Arial"/>
          <w:sz w:val="16"/>
          <w:szCs w:val="16"/>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ARC-520 and ARC-521 for chronic hepatitis B virus, ARC-AAT for liver disease associated with alpha-1 antitrypsin deficiency, ARC-F12 for hereditary angioedema and thromboembolic disorders, ARC-LPA for cardiovascular disease, and ARC-HIF2 for renal cell carcinoma.</w:t>
      </w:r>
    </w:p>
    <w:p>
      <w:pPr>
        <w:spacing w:after="0" w:line="57" w:lineRule="exact"/>
        <w:rPr>
          <w:sz w:val="20"/>
          <w:szCs w:val="20"/>
          <w:color w:val="auto"/>
        </w:rPr>
      </w:pPr>
    </w:p>
    <w:p>
      <w:pPr>
        <w:ind w:right="680" w:firstLine="518"/>
        <w:spacing w:after="0" w:line="342" w:lineRule="auto"/>
        <w:rPr>
          <w:sz w:val="20"/>
          <w:szCs w:val="20"/>
          <w:color w:val="auto"/>
        </w:rPr>
      </w:pPr>
      <w:r>
        <w:rPr>
          <w:rFonts w:ascii="Arial" w:cs="Arial" w:eastAsia="Arial" w:hAnsi="Arial"/>
          <w:sz w:val="16"/>
          <w:szCs w:val="16"/>
          <w:color w:val="auto"/>
        </w:rPr>
        <w:t>In April 2016, the Company changed its name from Arrowhead Research Corporation to Arrowhead Pharmaceuticals, Inc., which reflects the Company’s transition to and focus on advancing products through clinical development to bring innovative new medicines to patients.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Consolidated Financial Statements have been prepared in conformity with the accounting principles generally accepted in the United States of America which contemplate the continuation of the Company as a going concern. The Company has reported recurring losses from operations and negative cash flows from operations. This may indicate that the Company may be unable to continue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 Based upon the Company’s rate of expenditure to advance its primary clinical candidates through clinical trials, the Company’s current cash resources may not provide sufficient liquidity to fund operations for at least the next twelve months. The Company plans to secure additional sources of funds through several options including potential collaborative research and development partnership agreements and/or sales of the Company’s securities, the latter of which could be dilutive to shareholders. These financial statements do not include any adjustments that might result from the outcome of that uncertainty.</w:t>
      </w:r>
    </w:p>
    <w:p>
      <w:pPr>
        <w:spacing w:after="0" w:line="18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At March 31, 2016, the Company had $50.3 million in cash to fund operations. In addition to its cash resources, the Company has invested excess cash in investment grade commercial bonds maturing in less than 12 months. These bonds provide a source of liquidity, though the Company plans to hold them until maturity. At March 31, 2016, the Company had invested $11.2 million in bonds. During the six months ended March 31, 2016, the Company’s cash position decreased by $30.9 million which was primarily the result of cash outflows related to operating activities of $35.9 million, partially offset by maturities of fixed income investments totaling $6.2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facilities are located. All significant intercompany accounts and transactions are eliminated in consolidation.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right="14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March 31, 2016 and September 30, 2015.</w:t>
      </w:r>
    </w:p>
    <w:p>
      <w:pPr>
        <w:spacing w:after="0" w:line="170" w:lineRule="exact"/>
        <w:rPr>
          <w:sz w:val="20"/>
          <w:szCs w:val="20"/>
          <w:color w:val="auto"/>
        </w:rPr>
      </w:pPr>
    </w:p>
    <w:p>
      <w:pPr>
        <w:ind w:right="48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for its operations at two financial institutions.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March 31, 2016, the Company classified all of its investments as held-to-maturity.</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60" w:firstLine="518"/>
        <w:spacing w:after="0" w:line="268" w:lineRule="auto"/>
        <w:rPr>
          <w:sz w:val="20"/>
          <w:szCs w:val="20"/>
          <w:color w:val="auto"/>
        </w:rPr>
      </w:pPr>
      <w:r>
        <w:rPr>
          <w:rFonts w:ascii="Arial" w:cs="Arial" w:eastAsia="Arial" w:hAnsi="Arial"/>
          <w:sz w:val="17"/>
          <w:szCs w:val="17"/>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77" w:lineRule="exact"/>
        <w:rPr>
          <w:sz w:val="20"/>
          <w:szCs w:val="20"/>
          <w:color w:val="auto"/>
        </w:rPr>
      </w:pPr>
    </w:p>
    <w:p>
      <w:pPr>
        <w:ind w:right="60" w:firstLine="58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280" w:firstLine="588"/>
        <w:spacing w:after="0" w:line="286" w:lineRule="auto"/>
        <w:rPr>
          <w:sz w:val="20"/>
          <w:szCs w:val="20"/>
          <w:color w:val="auto"/>
        </w:rPr>
      </w:pPr>
      <w:r>
        <w:rPr>
          <w:rFonts w:ascii="Arial" w:cs="Arial" w:eastAsia="Arial" w:hAnsi="Arial"/>
          <w:sz w:val="17"/>
          <w:szCs w:val="17"/>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66" w:lineRule="exact"/>
        <w:rPr>
          <w:sz w:val="20"/>
          <w:szCs w:val="20"/>
          <w:color w:val="auto"/>
        </w:rPr>
      </w:pPr>
    </w:p>
    <w:p>
      <w:pPr>
        <w:ind w:right="100" w:firstLine="58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six months ended March 31, 2016 and 2015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10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60" w:firstLine="542"/>
        <w:spacing w:after="0" w:line="255" w:lineRule="auto"/>
        <w:rPr>
          <w:sz w:val="20"/>
          <w:szCs w:val="20"/>
          <w:color w:val="auto"/>
        </w:rPr>
      </w:pPr>
      <w:r>
        <w:rPr>
          <w:rFonts w:ascii="Arial" w:cs="Arial" w:eastAsia="Arial" w:hAnsi="Arial"/>
          <w:sz w:val="18"/>
          <w:szCs w:val="18"/>
          <w:color w:val="auto"/>
        </w:rPr>
        <w:t xml:space="preserve">In March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right="120" w:firstLine="497"/>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eliminates additional paid in capital ("APIC") pools and requires excess tax benefits and tax deficiencies to be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when the awards vest or are settled. The accounting for an employee's use of shares to satisfy the employer's statutory income tax withholding obligation and the accounting for forfeitures is also changing. ASU 2016-09 becomes effective for the Company in the first quarter of 2018. The Company early adopted ASU 2016-09 during the three months ended March 31, 2016, and the adoption of this update is not expected to have a material effect on its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8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419,705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404,964</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Research equipment</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6,863,762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6,354,584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110,428</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3,175,004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3,117,537</w:t>
            </w:r>
          </w:p>
        </w:tc>
        <w:tc>
          <w:tcPr>
            <w:tcW w:w="120" w:type="dxa"/>
            <w:vAlign w:val="bottom"/>
            <w:tcBorders>
              <w:bottom w:val="single" w:sz="8" w:color="CFF0FC"/>
            </w:tcBorders>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10,568,899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9,987,513</w:t>
            </w:r>
          </w:p>
        </w:tc>
        <w:tc>
          <w:tcPr>
            <w:tcW w:w="120" w:type="dxa"/>
            <w:vAlign w:val="bottom"/>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(6,187,271)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(5,460,665)</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4,381,628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4,526,848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60" w:type="dxa"/>
            <w:vAlign w:val="bottom"/>
            <w:vMerge w:val="restart"/>
          </w:tcPr>
          <w:p>
            <w:pPr>
              <w:jc w:val="right"/>
              <w:ind w:right="137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March 31, 2016 consisted of corporate bonds with maturities remaining of less than one year.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March 31, 2016,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March 31, 2016, and September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 March 31, 2016</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11,160,442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(122,512)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11,037,930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11,160,442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(122,512)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11,037,930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17,539,902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(304,942)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17,234,960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17,539,902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17,234,960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license agreements subject to amortization, which were capitalized as a part of an asset acquisition or business combination.</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 related IPR&amp;D assets will likely be written off and the Company would record an impairment loss. Intangible assets not subject to amortization include IPR&amp;D capitalized as part of a business combination from the acquisition of the Roche RNAi business in 2011.</w:t>
      </w:r>
    </w:p>
    <w:p>
      <w:pPr>
        <w:spacing w:after="0" w:line="189"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 2015 and license agreements capitalized from the acquisition of the Roche RNAi business in 2011. The license agreement associated with the Novartis RNAi asset acquisition is being amortized over the estimated life remaining at the time of acquisition, which was 21 years, and the accumulated amortization of the asset is approximately $160,772. The license agreements associated with the acquisition of the Roche RNAi business were amortized over the estimated life remaining at the time of acquisition, which was 4 years, and the accumulated amortization of the assets is approximately $230,000. These assets have been fully amortized as of March 31, 2016. The patents associated with the Novartis RNAi asset acquisition are being amortized over the estimated life remaining at the time of acquisition, which was 14 years, and the accumulated amortization of the assets is approximately $1,681,359. Amortization expense for the three and six months ended March 31, 2016 was $425,107 and $864,099, respectively, and amortization expense for the three and six months ended March 31, 2015 was $155,366 and $169,030, respectively. Amortization expense is expected to be approximately $850,214 for the remainder of fiscal year 2016, $1,700,429 in 2017, $1,700,429 in 2018, $1,700,429 in 2019, $1,700,429 in 2020, $1,700,429 in 2021, and $13,662,723 thereafter.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Intangible 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Intangible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subject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line="157" w:lineRule="exact"/>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Intangible assets</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Balance at September 30, 2015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944,935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23,879,181</w:t>
            </w: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24,824,116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(864,099)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944,935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23,015,082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23,960,017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At March 31, 2016,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March 31, 2016, 59,960,711 shares of Common Stock were outstanding. Additionally, 15,652 shares of Series C Preferred Stock were outstanding, which are convertible into 2,670,990 shares of Common Stock. At March 31, 2016, 8,753,473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March 31, 2016:</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364,375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239,534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334,347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CFF0FC"/>
            </w:tcBorders>
          </w:tcPr>
          <w:p>
            <w:pPr>
              <w:jc w:val="right"/>
              <w:ind w:right="2870"/>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1,466,437</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Rental costs are approximately $24,000 per month, increasing approximately 3% annually.</w:t>
      </w:r>
    </w:p>
    <w:p>
      <w:pPr>
        <w:spacing w:after="0" w:line="279" w:lineRule="exact"/>
        <w:rPr>
          <w:sz w:val="20"/>
          <w:szCs w:val="20"/>
          <w:color w:val="auto"/>
        </w:rPr>
      </w:pPr>
    </w:p>
    <w:p>
      <w:pPr>
        <w:ind w:right="20" w:firstLine="485"/>
        <w:spacing w:after="0" w:line="276" w:lineRule="auto"/>
        <w:rPr>
          <w:sz w:val="20"/>
          <w:szCs w:val="20"/>
          <w:color w:val="auto"/>
        </w:rPr>
      </w:pPr>
      <w:r>
        <w:rPr>
          <w:rFonts w:ascii="Arial" w:cs="Arial" w:eastAsia="Arial" w:hAnsi="Arial"/>
          <w:sz w:val="17"/>
          <w:szCs w:val="17"/>
          <w:color w:val="auto"/>
        </w:rPr>
        <w:t>On January 8,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lease, also with University Research Park, Incorporated for property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right="80" w:firstLine="481"/>
        <w:spacing w:after="0" w:line="259" w:lineRule="auto"/>
        <w:rPr>
          <w:sz w:val="20"/>
          <w:szCs w:val="20"/>
          <w:color w:val="auto"/>
        </w:rPr>
      </w:pPr>
      <w:r>
        <w:rPr>
          <w:rFonts w:ascii="Arial" w:cs="Arial" w:eastAsia="Arial" w:hAnsi="Arial"/>
          <w:sz w:val="18"/>
          <w:szCs w:val="18"/>
          <w:color w:val="auto"/>
        </w:rPr>
        <w:t>The initial term of the lease commenced on January 1, 2016 with expected occupancy in late 2016, after certain leasehold improvements have been completed. The lease payments, which begin on October 1, 2016, will be approximately $15.4 million over the initial 10-year term. We also estimate payments for the Company’s pro rata share of certain real estate taxes, operating expenses and common area maintenance expenses to be approximately $0.9 million for the first year of the lease, and these payments will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jc w:val="both"/>
        <w:ind w:right="20"/>
        <w:spacing w:after="0" w:line="264" w:lineRule="auto"/>
        <w:rPr>
          <w:sz w:val="20"/>
          <w:szCs w:val="20"/>
          <w:color w:val="auto"/>
        </w:rPr>
      </w:pPr>
      <w:r>
        <w:rPr>
          <w:rFonts w:ascii="Arial" w:cs="Arial" w:eastAsia="Arial" w:hAnsi="Arial"/>
          <w:sz w:val="18"/>
          <w:szCs w:val="18"/>
          <w:color w:val="auto"/>
        </w:rPr>
        <w:t>continue throughout the initial 10-year term. The Company expects to pay approximately $7.3 million for leasehold improvements, net of tenant improvement allowances. Pursuant to the lease, within six months of the expiration of the initial 10-year term, the Company has the option to extend the lease for up to two additional five-year terms, with certain annual increases in base rent.</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Additionally, on January 8, 2016 and in conjunction with signing the new lease agreement as discussed above, the Company entered into an amendment to the Company’s current research facility lease for property located at 465 Science Drive Suite C, Madison, Wisconsin with University Research Park, Incorporated that provides for an early termination of such lease effective on October 31, 2016.</w:t>
      </w:r>
    </w:p>
    <w:p>
      <w:pPr>
        <w:spacing w:after="0" w:line="1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Current rental expense is approximately $26,000. Other monthly rental expenses include common area maintenance and real estate taxes totaling approximately $20,000 per month. Utilities costs are approximately $18,000 per month. Total monthly costs are approximately $83,000 per month, including monthly payments recorded under a capital lease of approximately $19,000.</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Company leased additional research facility space in Middleton, Wisconsin, and this space is leased through December 2016. Monthly rental expense for the additional space is approximately $13,000. Other monthly rental expenses include common area maintenance and real estate taxes totaling approximately $4,000 per month.</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Facility rent expense for the three and six months ended March 31, 2016 was $228,400 and $427,000, respectively. Facility rent expense for the three and six months ended March 31, 2015 was $191,000 and $362,000,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2016,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2016 (remainder of)</w:t>
            </w: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114,209</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95,175</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2021 and thereafter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(16,210)</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650,014</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(219,349)</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430,665</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2016, future minimum lease payments due in fiscal years under operating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2016 (remainder of)</w:t>
            </w:r>
          </w:p>
        </w:tc>
        <w:tc>
          <w:tcPr>
            <w:tcW w:w="4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380,279</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2017</w:t>
            </w: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1,330,839</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1,303,345</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2019</w:t>
            </w: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1,340,234</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 and thereafter</w:t>
            </w:r>
          </w:p>
        </w:tc>
        <w:tc>
          <w:tcPr>
            <w:tcW w:w="37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6,836,991</w:t>
            </w:r>
          </w:p>
        </w:tc>
        <w:tc>
          <w:tcPr>
            <w:tcW w:w="120" w:type="dxa"/>
            <w:vAlign w:val="bottom"/>
            <w:tcBorders>
              <w:bottom w:val="single" w:sz="8" w:color="CFF0FC"/>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12,236,119</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vMerge w:val="restart"/>
          </w:tcPr>
          <w:p>
            <w:pPr>
              <w:jc w:val="right"/>
              <w:ind w:right="235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The Company and certain of its officers and directors have been named as defendants in a consolidated class action pending before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w:t>
      </w:r>
      <w:r>
        <w:rPr>
          <w:rFonts w:ascii="Arial" w:cs="Arial" w:eastAsia="Arial" w:hAnsi="Arial"/>
          <w:sz w:val="16"/>
          <w:szCs w:val="16"/>
          <w:color w:val="auto"/>
        </w:rPr>
        <w:t xml:space="preserve"> </w:t>
      </w:r>
      <w:r>
        <w:rPr>
          <w:rFonts w:ascii="Arial" w:cs="Arial" w:eastAsia="Arial" w:hAnsi="Arial"/>
          <w:sz w:val="16"/>
          <w:szCs w:val="16"/>
          <w:i w:val="1"/>
          <w:iCs w:val="1"/>
          <w:color w:val="auto"/>
        </w:rPr>
        <w:t>Arrowhead Research Corp., et al.</w:t>
      </w:r>
      <w:r>
        <w:rPr>
          <w:rFonts w:ascii="Arial" w:cs="Arial" w:eastAsia="Arial" w:hAnsi="Arial"/>
          <w:sz w:val="16"/>
          <w:szCs w:val="16"/>
          <w:color w:val="auto"/>
        </w:rPr>
        <w:t>, No. 2:14-cv-07911 (C.D. Cal., filed Oct. 13, 2014), asserts claims under Sections 10(b) and 20(a)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of 1934 and seeks damages in an unspecified amount. Additionally, three putative stockholder derivative actions captioned </w:t>
      </w:r>
      <w:r>
        <w:rPr>
          <w:rFonts w:ascii="Arial" w:cs="Arial" w:eastAsia="Arial" w:hAnsi="Arial"/>
          <w:sz w:val="16"/>
          <w:szCs w:val="16"/>
          <w:i w:val="1"/>
          <w:iCs w:val="1"/>
          <w:color w:val="auto"/>
        </w:rPr>
        <w:t>Weisman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2:14-cv-08982 (C.D. Cal., filed Nov. 20, 2014),</w:t>
      </w:r>
      <w:r>
        <w:rPr>
          <w:rFonts w:ascii="Arial" w:cs="Arial" w:eastAsia="Arial" w:hAnsi="Arial"/>
          <w:sz w:val="16"/>
          <w:szCs w:val="16"/>
          <w:i w:val="1"/>
          <w:iCs w:val="1"/>
          <w:color w:val="auto"/>
        </w:rPr>
        <w:t xml:space="preserve"> Bernstein (Backus) v. Anzalone, et al.</w:t>
      </w:r>
      <w:r>
        <w:rPr>
          <w:rFonts w:ascii="Arial" w:cs="Arial" w:eastAsia="Arial" w:hAnsi="Arial"/>
          <w:sz w:val="16"/>
          <w:szCs w:val="16"/>
          <w:color w:val="auto"/>
        </w:rPr>
        <w:t>, No. 2:14-cv-09247 (C.D. Cal., filed Dec. 2, 2014);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w:t>
      </w:r>
      <w:r>
        <w:rPr>
          <w:rFonts w:ascii="Arial" w:cs="Arial" w:eastAsia="Arial" w:hAnsi="Arial"/>
          <w:sz w:val="16"/>
          <w:szCs w:val="16"/>
          <w:i w:val="1"/>
          <w:iCs w:val="1"/>
          <w:color w:val="auto"/>
        </w:rPr>
        <w:t>Johnson v. Anzalone, et al.</w:t>
      </w:r>
      <w:r>
        <w:rPr>
          <w:rFonts w:ascii="Arial" w:cs="Arial" w:eastAsia="Arial" w:hAnsi="Arial"/>
          <w:sz w:val="16"/>
          <w:szCs w:val="16"/>
          <w:color w:val="auto"/>
        </w:rPr>
        <w:t xml:space="preserve">, No. 2:15-cv-00446 (C.D. Cal., filed Jan. 22, 2015), were filed in the United States District Court for the Central District of California, alleging breach of fiduciary duty by the Company’s Board of Directors in connection with the facts underlying the securities claims. An additional consolidated derivative action asserting similar claims is pending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The Company believes it has a meritorious defense and intends to vigorously defend itself in this matter. The Company makes provisions for liabilities when it is both probable that a liability has been incurred and the amount can be reasonably estimated. No such liability has been recorded related to this matter. The Company does not expect this matter to have a material effect on its Consolidated Financial Statements. With regard to legal fees, such as attorney fees related to this matter or any other legal matters, the Company’s recognizes such costs as incurred.</w:t>
      </w:r>
    </w:p>
    <w:p>
      <w:pPr>
        <w:spacing w:after="0" w:line="172"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The Company and two of its former executives have been named as defendants in a complaint filed on November 11, 2014 and captioned </w:t>
      </w:r>
      <w:r>
        <w:rPr>
          <w:rFonts w:ascii="Arial" w:cs="Arial" w:eastAsia="Arial" w:hAnsi="Arial"/>
          <w:sz w:val="16"/>
          <w:szCs w:val="16"/>
          <w:i w:val="1"/>
          <w:iCs w:val="1"/>
          <w:color w:val="auto"/>
        </w:rPr>
        <w:t>William</w:t>
      </w:r>
      <w:r>
        <w:rPr>
          <w:rFonts w:ascii="Arial" w:cs="Arial" w:eastAsia="Arial" w:hAnsi="Arial"/>
          <w:sz w:val="16"/>
          <w:szCs w:val="16"/>
          <w:color w:val="auto"/>
        </w:rPr>
        <w:t xml:space="preserve"> </w:t>
      </w:r>
      <w:r>
        <w:rPr>
          <w:rFonts w:ascii="Arial" w:cs="Arial" w:eastAsia="Arial" w:hAnsi="Arial"/>
          <w:sz w:val="16"/>
          <w:szCs w:val="16"/>
          <w:i w:val="1"/>
          <w:iCs w:val="1"/>
          <w:color w:val="auto"/>
        </w:rPr>
        <w:t>Marsh Rice University vs. Unidym, Inc. and Arrowhead Research Corporation</w:t>
      </w:r>
      <w:r>
        <w:rPr>
          <w:rFonts w:ascii="Arial" w:cs="Arial" w:eastAsia="Arial" w:hAnsi="Arial"/>
          <w:sz w:val="16"/>
          <w:szCs w:val="16"/>
          <w:color w:val="auto"/>
        </w:rPr>
        <w:t>, No. 2014-66088, currently pending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Southern District of Texas relating to alleged breaches of a license agreement between Rice University and the Company’s former subsidiary, Unidym, Inc. The plaintiff has alleged that the Company and its former executives acted fraudulently with respect to Unidym’s license from Rice University and seeks injunctive relief, damages, including unspecified compensatory and punitive damages, and attorneys’ fees. During April and May 2016, a liability for the case became both probable and reasonably estimable, and as such, the Company recorded an amount in the financial statements for the three months ended March 31, 2016. The amount recorded did not have a material effect on the Company’s Consolidated Financial Statements.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toxicology studies, and for clinical studies. As of March 31, 2016, these future commitments were approximately $49.0 million, of which approximately $17.0 million is expected to be incurred in the remainder of fiscal 2016, and $32.0 million is expected to be incurred beyond fiscal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March 31, 2016, 2,537,018 and 5,625,166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March 31, 2016, there were options granted and outstanding to purchase 2,537,018 and 3,642,131 shares of Common Stock under the 2004 Equity Incentive Plan and the 2013 Incentive Plan, respectively, and there were 1,323,334 restricted stock units granted and outstanding under the 2013 Incentive Plan. Also, as of March 31, 2016, there were 544,622 shares reserved for options and 46,666 restricted stock units issued as inducement grants to new employees outside of equity compensation plans. During the six months ended March 31, 2016, no options or restricted stock units were granted under the 2004 Equity Incentive Plan, 1,380,000 options and 830,000 restricted stock units were granted under the 2013 Incentive Plan, and no options or restricted stock units were granted as inducement awards to new employees outside of equity incentive plans.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2015</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5,435,640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1,380,000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(87,182)</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(4,687)</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2016</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6,723,771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3"/>
              </w:rPr>
              <w:t>7.8 years</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w w:val="97"/>
              </w:rPr>
              <w:t>3,002,814</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Exercisable At March 31, 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3,250,256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3"/>
              </w:rPr>
              <w:t>6.7 years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w w:val="97"/>
              </w:rPr>
              <w:t>2,262,299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Stock-based compensation expense related to stock options for the three and six months ended March 31, 2016 was $1,511,812 and $2,729,029, respectively. Stock-based compensation expense related to stock options for the three and six months ended March 31, 2015 was $1,198,891 and $2,180,290,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grant date fair value of the options granted by Arrowhead for the three and six months ended March 31, 2016 was estimated at $5,963,356 and $6,329,232, respectively. The grant date fair value of the options granted by Arrowhead for the three and six months ended March 31, 2015 was estimated at $2,114,074 and $5,703,692, respectively.</w:t>
      </w:r>
    </w:p>
    <w:p>
      <w:pPr>
        <w:spacing w:after="0" w:line="181"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The intrinsic value of the options exercised during the three and six months ended March 31, 2016 was $0 and $3,515, respectively. The intrinsic value of the options exercised during the three and six months ended March 31, 2015 was $89,954 and $113,728, respectively.</w:t>
      </w:r>
    </w:p>
    <w:p>
      <w:pPr>
        <w:spacing w:after="0" w:line="14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March 31, 2016, the pre-tax compensation expense for all outstanding unvested stock options in the amount of approximately $15,177,215 will be recognized in the Company’s results of operations over a weighted average period of 2.8 years.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58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1.44 – 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1.55 – 1.85%</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89%</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6 - 6.25</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$4.59</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$3.54</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Restricted stock units (RSUs), including time-based and performance-based awards, were granted under the Company’s 2013 Incentive Plan and as inducement grants granted outside of the Plan. During the six months ended March 31, 2016, the Company issued 830,000 restricted stock units to certain members of management. Of the restricted stock units granted during the six months ended March 31, 2016, 0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2015</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934,167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830,000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(394,167)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recorded $905,027 and $2,068,153 of expense relating to restricted stock units during the three and six months ended March 31, 2016, respectively. The Company recorded $1,006,188 and $2,039,645 of expense relating to restricted stock units during the three and six months ended March 31, 2015, respectively. Such expense is included in stock-based compensation expense in the Company’s Consolidated Statement of Operations and Comprehensive Loss.</w:t>
      </w:r>
    </w:p>
    <w:p>
      <w:pPr>
        <w:spacing w:after="0" w:line="18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For restricted stock units,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 of March 31, 2016, the pre-tax compensation expense for all unvested restricted stock units in the amount of approximately $3,375,432 will be recognized in the Company’s results of operations over a weighted average period of 2.0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March 31, 2016 and September 30, 2015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50,300,847</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50,300,847</w:t>
            </w: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955,193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955,193</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0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r>
      <w:tr>
        <w:trPr>
          <w:trHeight w:val="432"/>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5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September 30, 2015:</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1,301,604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1,301,604</w:t>
            </w: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5,862,464</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5,862,464</w:t>
            </w:r>
          </w:p>
        </w:tc>
      </w:tr>
    </w:tbl>
    <w:p>
      <w:pPr>
        <w:spacing w:after="0" w:line="20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one year. At March 31, 2016, the Company had short-term investments of $11,160,442. The fair value of its investments at March 31, 2016 was $11,037,930.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As part of a financing in December 2012, Arrowhead issued warrants to purchase up to 912,543 shares of Common Stock (the “2012 Warrants”) of which 265,161 warrants were outstanding at March 31, 2016. Further, as part of a financing in January 2013, Arrowhead issued warrants to purchase up to 833,530 shares of Common Stock (the “2013 Warrants” and, together with the 2012 Warrants, the “Warrants”) of which 12,123 Warrants were outstanding at March 31, 2016.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and six months ended March 31, 2016, the Company recorded a non-cash gain/(loss) from the change in fair value of the derivative liability of $363,285 and $341,711, respectively. During the three and six months ended March 31, 2015, the Company recorded a non-cash gain/(loss) from the change in fair value of the derivative liability of $191,910 and $2,371,561, respectively. Additionally, as part of an equity financing in June 2010, Arrowhead issued warrants to purchase up to 329,649 shares of Common Stock (the “2010 Warrants”), and the remaining unexercised 24,324 of these warrants expired during the six months ended March 31,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tbl>
      <w:tblPr>
        <w:tblLayout w:type="fixed"/>
        <w:tblInd w:w="52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w w:val="98"/>
              </w:rPr>
              <w:t>The assumptions used in valuing the derivative liability were as follows: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580" w:type="dxa"/>
            <w:vAlign w:val="bottom"/>
            <w:gridSpan w:val="2"/>
          </w:tcPr>
          <w:p>
            <w:pPr>
              <w:ind w:left="860"/>
              <w:spacing w:after="0"/>
              <w:rPr>
                <w:sz w:val="20"/>
                <w:szCs w:val="20"/>
                <w:color w:val="auto"/>
              </w:rPr>
            </w:pPr>
            <w:r>
              <w:rPr>
                <w:rFonts w:ascii="Arial" w:cs="Arial" w:eastAsia="Arial" w:hAnsi="Arial"/>
                <w:sz w:val="18"/>
                <w:szCs w:val="18"/>
                <w:b w:val="1"/>
                <w:bCs w:val="1"/>
                <w:color w:val="auto"/>
              </w:rPr>
              <w:t>2012 Warrants</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March 31, 2016</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September 30, 2015</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0.73%</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life</w:t>
            </w:r>
          </w:p>
        </w:tc>
        <w:tc>
          <w:tcPr>
            <w:tcW w:w="3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1.7 Years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4720" w:type="dxa"/>
            <w:vAlign w:val="bottom"/>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1880" w:type="dxa"/>
            <w:vAlign w:val="bottom"/>
            <w:gridSpan w:val="3"/>
          </w:tcPr>
          <w:p>
            <w:pPr>
              <w:jc w:val="right"/>
              <w:ind w:right="360"/>
              <w:spacing w:after="0" w:line="176" w:lineRule="exact"/>
              <w:rPr>
                <w:sz w:val="20"/>
                <w:szCs w:val="20"/>
                <w:color w:val="auto"/>
              </w:rPr>
            </w:pPr>
            <w:r>
              <w:rPr>
                <w:rFonts w:ascii="Arial" w:cs="Arial" w:eastAsia="Arial" w:hAnsi="Arial"/>
                <w:sz w:val="18"/>
                <w:szCs w:val="18"/>
                <w:color w:val="auto"/>
              </w:rPr>
              <w:t>March 31, 2016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ind w:right="20"/>
              <w:spacing w:after="0" w:line="176" w:lineRule="exact"/>
              <w:rPr>
                <w:sz w:val="20"/>
                <w:szCs w:val="20"/>
                <w:color w:val="auto"/>
              </w:rPr>
            </w:pPr>
            <w:r>
              <w:rPr>
                <w:rFonts w:ascii="Arial" w:cs="Arial" w:eastAsia="Arial" w:hAnsi="Arial"/>
                <w:sz w:val="18"/>
                <w:szCs w:val="18"/>
                <w:color w:val="auto"/>
                <w:w w:val="87"/>
              </w:rPr>
              <w:t>September 30, 2015</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0.73%</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life</w:t>
            </w:r>
          </w:p>
        </w:tc>
        <w:tc>
          <w:tcPr>
            <w:tcW w:w="3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1.8 Years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7460" w:type="dxa"/>
            <w:vAlign w:val="bottom"/>
            <w:gridSpan w:val="5"/>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4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1,272,802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(341,711)</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settlements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2016</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During the first year, the exchange right allows the holder to exchange one Ablaris share for 0.06 Arrowhead shares. This ratio declines to</w:t>
      </w:r>
    </w:p>
    <w:p>
      <w:pPr>
        <w:ind w:right="40"/>
        <w:spacing w:after="0" w:line="287" w:lineRule="auto"/>
        <w:rPr>
          <w:sz w:val="20"/>
          <w:szCs w:val="20"/>
          <w:color w:val="auto"/>
        </w:rPr>
      </w:pPr>
      <w:r>
        <w:rPr>
          <w:rFonts w:ascii="Arial" w:cs="Arial" w:eastAsia="Arial" w:hAnsi="Arial"/>
          <w:sz w:val="16"/>
          <w:szCs w:val="16"/>
          <w:color w:val="auto"/>
        </w:rPr>
        <w:t>0.04 in the second year, 0.03 in the third year and 0.02 in the fourth year. In the fifth year and beyond the exchange ratio is 0.01. Exchange rights for 675,000 Ablaris shares were sold in fiscal 2011, and 500,000 remain outstanding at March 31, 2016.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three and six months ended March 31, 2016, the Company recorded a non-cash gain/(loss) from the change in fair value of the derivative liability of $6,650 and $4,700, respectively. During the three and six months ended March 31, 2015, the Company recorded a non-cash loss and gain from the change in fair value of the derivative liability of $22,936 and $179,555,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2016</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3"/>
          </w:tcPr>
          <w:p>
            <w:pPr>
              <w:ind w:left="480"/>
              <w:spacing w:after="0"/>
              <w:rPr>
                <w:sz w:val="20"/>
                <w:szCs w:val="20"/>
                <w:color w:val="auto"/>
              </w:rPr>
            </w:pPr>
            <w:r>
              <w:rPr>
                <w:rFonts w:ascii="Arial" w:cs="Arial" w:eastAsia="Arial" w:hAnsi="Arial"/>
                <w:sz w:val="18"/>
                <w:szCs w:val="18"/>
                <w:color w:val="auto"/>
                <w:w w:val="98"/>
              </w:rPr>
              <w:t>1.9 Years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 Years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60" w:type="dxa"/>
            <w:vAlign w:val="bottom"/>
            <w:gridSpan w:val="2"/>
          </w:tcPr>
          <w:p>
            <w:pPr>
              <w:jc w:val="right"/>
              <w:ind w:right="510"/>
              <w:spacing w:after="0"/>
              <w:rPr>
                <w:sz w:val="20"/>
                <w:szCs w:val="20"/>
                <w:color w:val="auto"/>
              </w:rPr>
            </w:pPr>
            <w:r>
              <w:rPr>
                <w:rFonts w:ascii="Arial" w:cs="Arial" w:eastAsia="Arial" w:hAnsi="Arial"/>
                <w:sz w:val="18"/>
                <w:szCs w:val="18"/>
                <w:color w:val="auto"/>
                <w:w w:val="99"/>
              </w:rPr>
              <w:t>The following is a reconciliation of the derivative liability related to these exchange rights:</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1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28,802</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7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settlements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2016</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6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73" w:right="219" w:bottom="1440" w:gutter="0" w:footer="0" w:header="0"/>
        </w:sectPr>
      </w:pPr>
    </w:p>
    <w:bookmarkStart w:id="18" w:name="page19"/>
    <w:bookmarkEnd w:id="18"/>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of March 31, 2016, the Company has liabilities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 and Comprehensive Loss.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2015</w:t>
            </w:r>
          </w:p>
        </w:tc>
        <w:tc>
          <w:tcPr>
            <w:tcW w:w="18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2016</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5,862,464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other long-term liabilities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88"/>
        <w:spacing w:after="0" w:line="293" w:lineRule="auto"/>
        <w:rPr>
          <w:sz w:val="20"/>
          <w:szCs w:val="20"/>
          <w:color w:val="auto"/>
        </w:rPr>
      </w:pPr>
      <w:r>
        <w:rPr>
          <w:rFonts w:ascii="Arial" w:cs="Arial" w:eastAsia="Arial" w:hAnsi="Arial"/>
          <w:sz w:val="16"/>
          <w:szCs w:val="16"/>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ARC-520 and ARC-521 for chronic hepatitis B virus, ARC-AAT for liver disease associated with alpha-1 antitrypsin deficiency, ARC-F12 for hereditary angioedema and thromboembolic disorders, ARC-LPA for cardiovascular disease, and ARC-HIF2 for renal cell carcinoma</w:t>
      </w:r>
    </w:p>
    <w:p>
      <w:pPr>
        <w:spacing w:after="0" w:line="57"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color w:val="auto"/>
        </w:rPr>
        <w:t>In April 2016, the Company changed its name from Arrowhead Research Corporation to Arrowhead Pharmaceuticals, Inc., which reflects the Company’s transition to and focus on advancing products through clinical development to bring innovative new medicines to patients.</w:t>
      </w:r>
    </w:p>
    <w:p>
      <w:pPr>
        <w:spacing w:after="0" w:line="124" w:lineRule="exact"/>
        <w:rPr>
          <w:sz w:val="20"/>
          <w:szCs w:val="20"/>
          <w:color w:val="auto"/>
        </w:rPr>
      </w:pPr>
    </w:p>
    <w:p>
      <w:pPr>
        <w:ind w:right="320" w:firstLine="588"/>
        <w:spacing w:after="0" w:line="277" w:lineRule="auto"/>
        <w:rPr>
          <w:sz w:val="20"/>
          <w:szCs w:val="20"/>
          <w:color w:val="auto"/>
        </w:rPr>
      </w:pPr>
      <w:r>
        <w:rPr>
          <w:rFonts w:ascii="Arial" w:cs="Arial" w:eastAsia="Arial" w:hAnsi="Arial"/>
          <w:sz w:val="18"/>
          <w:szCs w:val="18"/>
          <w:color w:val="auto"/>
        </w:rPr>
        <w:t>Arrowhead operates lab facilities in Madison and Middleton,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88"/>
        <w:spacing w:after="0" w:line="288" w:lineRule="auto"/>
        <w:rPr>
          <w:sz w:val="20"/>
          <w:szCs w:val="20"/>
          <w:color w:val="auto"/>
        </w:rPr>
      </w:pPr>
      <w:r>
        <w:rPr>
          <w:rFonts w:ascii="Arial" w:cs="Arial" w:eastAsia="Arial" w:hAnsi="Arial"/>
          <w:sz w:val="16"/>
          <w:szCs w:val="16"/>
          <w:color w:val="auto"/>
        </w:rPr>
        <w:t>During the first half of fiscal year 2016, the Company continued to develop its lead clinical candidate, ARC-520, for the treatment of chronic hepatitis B as well as its second clinical candidate, ARC-AAT, an RNAi therapeutic designed to treat liver disease associated with Alpha-1 antitrypsin deficiency (AATD). The Company continued its Phase 2 studies in ARC-520, with no dose-limiting toxicities or serious adverse events having been observed to</w:t>
      </w:r>
    </w:p>
    <w:p>
      <w:pPr>
        <w:ind w:right="20"/>
        <w:spacing w:after="0" w:line="268" w:lineRule="auto"/>
        <w:rPr>
          <w:sz w:val="20"/>
          <w:szCs w:val="20"/>
          <w:color w:val="auto"/>
        </w:rPr>
      </w:pPr>
      <w:r>
        <w:rPr>
          <w:rFonts w:ascii="Arial" w:cs="Arial" w:eastAsia="Arial" w:hAnsi="Arial"/>
          <w:sz w:val="17"/>
          <w:szCs w:val="17"/>
          <w:color w:val="auto"/>
        </w:rPr>
        <w:t>date. In connection with its Phase 2a study, the Company reported data showing that ARC-520 effectively reduced HBV viral antigens derived from cccDNA. The data showed that HBV surface antigen (HBsAg) was reduced substantially with a maximum reduction of 1.9 logs (99%) and a mean maximum reduction of 1.5 logs (96.8%) in treatment naïve e-antigen (HBeAg)-positive patients. The Company also discussed data from an ARC-520 chimpanzee study showing that in chronically HBV-infected chimpanzees treated with ARC-520 in combination with nucleoside analogs, 7 of 9 (78%) exhibited signs of immune reactivation, which is likely a necessary step for achieving a functional cure of chronic HBV. The Company believes these data strongly support advancement of ARC-520 into Phase 2 and later-stage clinical studies. In January 2016, the Company announced that it had dosed the first patient in its Phase 2 combination study for ARC-520 and is continuing to enroll patients at multiple centers in Australia and New Zealand. The Company submitted an Investigational New Drug application to the FDA which was approved in April 2015 and the Company also received regulatory clearance in Germany for two additional Phase 2 multiple-dose studies of ARC-520 to be conducted in parallel. The Company has also received regulatory clearance in South Korea and Hong Kong. The sites are actively recruiting and treating patients.</w:t>
      </w:r>
    </w:p>
    <w:p>
      <w:pPr>
        <w:spacing w:after="0" w:line="180" w:lineRule="exact"/>
        <w:rPr>
          <w:sz w:val="20"/>
          <w:szCs w:val="20"/>
          <w:color w:val="auto"/>
        </w:rPr>
      </w:pPr>
    </w:p>
    <w:p>
      <w:pPr>
        <w:ind w:right="320" w:firstLine="588"/>
        <w:spacing w:after="0" w:line="264" w:lineRule="auto"/>
        <w:rPr>
          <w:sz w:val="20"/>
          <w:szCs w:val="20"/>
          <w:color w:val="auto"/>
        </w:rPr>
      </w:pPr>
      <w:r>
        <w:rPr>
          <w:rFonts w:ascii="Arial" w:cs="Arial" w:eastAsia="Arial" w:hAnsi="Arial"/>
          <w:sz w:val="18"/>
          <w:szCs w:val="18"/>
          <w:color w:val="auto"/>
        </w:rPr>
        <w:t>Regarding ARC-AAT, the Company recently completed protocol-required dosing of healthy volunteers in an on-going Phase 1 study and initiated dosing of patients in Part B of that same study. The study recently received regulatory clearance in the United Kingdom, Australia, Germany, and the Netherlands, and is currently recruiting patients at several sites in those countries. In January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2016, the European Medicines Agency (EMA) granted orphan drug designation to ARC-AAT, consistent with the previous designation granted by the FDA.</w:t>
      </w:r>
    </w:p>
    <w:p>
      <w:pPr>
        <w:spacing w:after="0" w:line="140" w:lineRule="exact"/>
        <w:rPr>
          <w:sz w:val="20"/>
          <w:szCs w:val="20"/>
          <w:color w:val="auto"/>
        </w:rPr>
      </w:pPr>
    </w:p>
    <w:p>
      <w:pPr>
        <w:ind w:right="40" w:firstLine="588"/>
        <w:spacing w:after="0" w:line="259" w:lineRule="auto"/>
        <w:rPr>
          <w:sz w:val="20"/>
          <w:szCs w:val="20"/>
          <w:color w:val="auto"/>
        </w:rPr>
      </w:pPr>
      <w:r>
        <w:rPr>
          <w:rFonts w:ascii="Arial" w:cs="Arial" w:eastAsia="Arial" w:hAnsi="Arial"/>
          <w:sz w:val="18"/>
          <w:szCs w:val="18"/>
          <w:color w:val="auto"/>
        </w:rPr>
        <w:t>The Company continues to progress on its expanded pipeline of additional pre-clinical candidates including ARC-521, a complementary candidate to ARC-520 for the treatment of chronic hepatitis B infection, ARC-F12, a treatment for factor 12 (F12) mediated angioedemic and thromboembolic diseases, ARC-HIF2, a treatment for clear cell renal cell carcinoma (ccRCC), and ARC-LPA, a treatment designed to reduce production of Lp(a), which has been genetically linked with increased risk of cardiovascular disease.</w:t>
      </w:r>
    </w:p>
    <w:p>
      <w:pPr>
        <w:spacing w:after="0" w:line="79" w:lineRule="exact"/>
        <w:rPr>
          <w:sz w:val="20"/>
          <w:szCs w:val="20"/>
          <w:color w:val="auto"/>
        </w:rPr>
      </w:pPr>
    </w:p>
    <w:p>
      <w:pPr>
        <w:ind w:firstLine="674"/>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including intravenously-administered therapeutics targeting gene knockdown in the liver, as well as formulations for administering RNAi-based therapeutics by subcutaneous administration. Clinical candidates are tested internally and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as the clinical candidates progress through human testing, program costs will increase.</w:t>
      </w:r>
    </w:p>
    <w:p>
      <w:pPr>
        <w:spacing w:after="0" w:line="189" w:lineRule="exact"/>
        <w:rPr>
          <w:sz w:val="20"/>
          <w:szCs w:val="20"/>
          <w:color w:val="auto"/>
        </w:rPr>
      </w:pPr>
    </w:p>
    <w:p>
      <w:pPr>
        <w:ind w:right="60" w:firstLine="588"/>
        <w:spacing w:after="0" w:line="276" w:lineRule="auto"/>
        <w:rPr>
          <w:sz w:val="20"/>
          <w:szCs w:val="20"/>
          <w:color w:val="auto"/>
        </w:rPr>
      </w:pPr>
      <w:r>
        <w:rPr>
          <w:rFonts w:ascii="Arial" w:cs="Arial" w:eastAsia="Arial" w:hAnsi="Arial"/>
          <w:sz w:val="17"/>
          <w:szCs w:val="17"/>
          <w:color w:val="auto"/>
        </w:rPr>
        <w:t>In January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office lease, also with University Research Park, Incorporated, for the facility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right="100" w:firstLine="530"/>
        <w:spacing w:after="0" w:line="293" w:lineRule="auto"/>
        <w:rPr>
          <w:sz w:val="20"/>
          <w:szCs w:val="20"/>
          <w:color w:val="auto"/>
        </w:rPr>
      </w:pPr>
      <w:r>
        <w:rPr>
          <w:rFonts w:ascii="Arial" w:cs="Arial" w:eastAsia="Arial" w:hAnsi="Arial"/>
          <w:sz w:val="16"/>
          <w:szCs w:val="16"/>
          <w:color w:val="auto"/>
        </w:rPr>
        <w:t>The initial term of the lease commenced on January 1, 2016 with expected occupancy in late 2016, after certain leasehold improvements have been completed. The lease payments, which begin on October 1, 2016, will be approximately $15.4 million over the initial 10-year term. We also estimate payments for our pro rata share of certain real estate taxes, operating expenses and common area maintenance expenses to be approximately $0.9 million for the first year of the lease, and these payments will continue throughout the initial 10-year term. We expect to pay approximately $7.3 million for leasehold improvements, net of tenant improvement allowances. Pursuant to the lease, within six months of the expiration of the initial 10-year term, we have the option to extend the lease for up to two additional five-year terms, with certain annual increases in base rent.</w:t>
      </w:r>
    </w:p>
    <w:p>
      <w:pPr>
        <w:spacing w:after="0" w:line="165" w:lineRule="exact"/>
        <w:rPr>
          <w:sz w:val="20"/>
          <w:szCs w:val="20"/>
          <w:color w:val="auto"/>
        </w:rPr>
      </w:pPr>
    </w:p>
    <w:p>
      <w:pPr>
        <w:jc w:val="both"/>
        <w:ind w:right="80" w:firstLine="530"/>
        <w:spacing w:after="0" w:line="342" w:lineRule="auto"/>
        <w:rPr>
          <w:sz w:val="20"/>
          <w:szCs w:val="20"/>
          <w:color w:val="auto"/>
        </w:rPr>
      </w:pPr>
      <w:r>
        <w:rPr>
          <w:rFonts w:ascii="Arial" w:cs="Arial" w:eastAsia="Arial" w:hAnsi="Arial"/>
          <w:sz w:val="16"/>
          <w:szCs w:val="16"/>
          <w:color w:val="auto"/>
        </w:rPr>
        <w:t>Additionally, on January 8, 2016, we entered into an amendment to our current research facility office lease for property located at 465 Science Drive Suite C, Madison, Wisconsin with University Research Park, Incorporated that provides for an early termination of such lease effective on October 31, 2016.</w:t>
      </w:r>
    </w:p>
    <w:p>
      <w:pPr>
        <w:spacing w:after="0" w:line="124" w:lineRule="exact"/>
        <w:rPr>
          <w:sz w:val="20"/>
          <w:szCs w:val="20"/>
          <w:color w:val="auto"/>
        </w:rPr>
      </w:pPr>
    </w:p>
    <w:p>
      <w:pPr>
        <w:ind w:right="180" w:firstLine="588"/>
        <w:spacing w:after="0" w:line="259" w:lineRule="auto"/>
        <w:rPr>
          <w:sz w:val="20"/>
          <w:szCs w:val="20"/>
          <w:color w:val="auto"/>
        </w:rPr>
      </w:pPr>
      <w:r>
        <w:rPr>
          <w:rFonts w:ascii="Arial" w:cs="Arial" w:eastAsia="Arial" w:hAnsi="Arial"/>
          <w:sz w:val="18"/>
          <w:szCs w:val="18"/>
          <w:color w:val="auto"/>
        </w:rPr>
        <w:t>Net losses were $20.8 million and $40.1 million during the three and six months ended March 31, 2016, respectively, as compared to net losses of $28.7 million and $51.3 million during the three and six months ended March 31, 2015, respectively. Diluted losses per share were $0.35 and $0.67 during the three and six months ended March 31, 2016, respectively as compared to diluted losses per share of $0.51 and $0.93 during the three and six months ended March 31, 2015, respectively.</w:t>
      </w:r>
    </w:p>
    <w:p>
      <w:pPr>
        <w:spacing w:after="0" w:line="187" w:lineRule="exact"/>
        <w:rPr>
          <w:sz w:val="20"/>
          <w:szCs w:val="20"/>
          <w:color w:val="auto"/>
        </w:rPr>
      </w:pPr>
    </w:p>
    <w:p>
      <w:pPr>
        <w:ind w:right="160" w:firstLine="588"/>
        <w:spacing w:after="0" w:line="295" w:lineRule="auto"/>
        <w:rPr>
          <w:sz w:val="20"/>
          <w:szCs w:val="20"/>
          <w:color w:val="auto"/>
        </w:rPr>
      </w:pPr>
      <w:r>
        <w:rPr>
          <w:rFonts w:ascii="Arial" w:cs="Arial" w:eastAsia="Arial" w:hAnsi="Arial"/>
          <w:sz w:val="16"/>
          <w:szCs w:val="16"/>
          <w:color w:val="auto"/>
        </w:rPr>
        <w:t>The Company had $50.3 million of cash and cash equivalents, $11.2 million of short term investments and $94.6 million of total assets as of March 31, 2016 as compared to $81.2 million, $17.5 million and $132.3 million as of September 30, 2015, respectively. The operating expenses, net losses and decrease in cash and cash equivalents and total assets reflects expenditures associated with the Company’s research and development efforts for its clinical candidates and pipeline. Based upon the Company’s rate of expenditure to advance its primary clinical candidates through clinical trials, the Company’s current cash resources may not provide sufficient liquidity to fund operations for at least the next twelve months. The Company plans to secure additional sources of funds through several options including potential collaborative research and development partnership agreements and/or sales of the Company’s securities, the latter of which could be dilutive to shareholders. The Company’s financial statements were prepared under the assumption that the Company will continue as a going concern and do not include any adjustments that might result from the outcome of that uncertainty.</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20" w:firstLine="588"/>
        <w:spacing w:after="0" w:line="293"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our Consolidated Financial Statements, which outlines our application of significant accounting policies.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58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60" w:firstLine="58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00" w:firstLine="58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20" w:firstLine="58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88"/>
        <w:spacing w:after="0" w:line="276" w:lineRule="auto"/>
        <w:rPr>
          <w:sz w:val="20"/>
          <w:szCs w:val="20"/>
          <w:color w:val="auto"/>
        </w:rPr>
      </w:pPr>
      <w:r>
        <w:rPr>
          <w:rFonts w:ascii="Arial" w:cs="Arial" w:eastAsia="Arial" w:hAnsi="Arial"/>
          <w:sz w:val="17"/>
          <w:szCs w:val="17"/>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firstLine="588"/>
        <w:spacing w:after="0" w:line="270" w:lineRule="auto"/>
        <w:rPr>
          <w:sz w:val="20"/>
          <w:szCs w:val="20"/>
          <w:color w:val="auto"/>
        </w:rPr>
      </w:pPr>
      <w:r>
        <w:rPr>
          <w:rFonts w:ascii="Arial" w:cs="Arial" w:eastAsia="Arial" w:hAnsi="Arial"/>
          <w:sz w:val="17"/>
          <w:szCs w:val="17"/>
          <w:color w:val="auto"/>
        </w:rPr>
        <w:t>We account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We use historical data and other information to estimate the expected price volatility for stock option awards and the expected forfeiture rate for all awards. Expense is recognized over the vesting period for all awards, and commences at the grant date for time-based awards and upon our determination that the achievement of such performance conditions is probable for performance-based awards. This determination requires significant judgment by management.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8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20" w:firstLine="58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2015</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43,750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43,750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(21,264,855)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(29,632,743)</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(20,815,860)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(28,683,993)</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(0.51)</w:t>
            </w:r>
          </w:p>
        </w:tc>
      </w:tr>
      <w:tr>
        <w:trPr>
          <w:trHeight w:val="314"/>
        </w:trPr>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2015</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87,500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214,500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(40,606,125)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(54,750,437)</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(40,080,274)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(51,261,694)</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(0.93)</w:t>
            </w:r>
          </w:p>
        </w:tc>
      </w:tr>
    </w:tbl>
    <w:p>
      <w:pPr>
        <w:spacing w:after="0" w:line="20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decrease in our Operating Expenses during the three and six months ended March 31, 2016, is primarily due to reduced expenses associated with the drug manufacturing campaign to support our Phase 2 studies for ARC-520, our lead clinical candidate for HBV. The manufacturing campaign for this clinical trial for ARC-520 is largely complete, however, as other clinical candidates are nominated, and as other clinical trials advance, further expenditures will be incurred.</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Total revenue was $43,750 and $87,500 for the three and six months ended March 31, 2016, respectively, as compared to $43,750 and $214,500 for the three and six months ended March 31, 2015, respectively. Revenue is primarily related to licensed technology in both periods. In addition, the Company had collaboration revenue of $80,000 and earned $47,000 in revenue for delivering a materials study during the six months ended March 31, 2015.</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six months ended March 31, 2016 and 2015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Six months ended March 31, 2016 compared to the three and six months ended March 31, 2015</w:t>
      </w:r>
    </w:p>
    <w:p>
      <w:pPr>
        <w:spacing w:after="0" w:line="14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89"/>
              </w:rPr>
              <w:t>Increase (Decrease)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2016</w:t>
            </w:r>
          </w:p>
        </w:tc>
        <w:tc>
          <w:tcPr>
            <w:tcW w:w="260" w:type="dxa"/>
            <w:vAlign w:val="bottom"/>
            <w:tcBorders>
              <w:bottom w:val="single" w:sz="8" w:color="B6EAFC"/>
            </w:tcBorders>
            <w:gridSpan w:val="2"/>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6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gridSpan w:val="2"/>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697</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6%</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2,028</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5,211</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w w:val="91"/>
              </w:rPr>
              <w:t>(2,990)</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1,012</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11,641</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(1,620)</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57"/>
        </w:trPr>
        <w:tc>
          <w:tcPr>
            <w:tcW w:w="3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60" w:type="dxa"/>
            <w:vAlign w:val="bottom"/>
            <w:gridSpan w:val="2"/>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rPr>
              <w:t>Months Ended</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of Expense</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Months Ended</w:t>
            </w: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89"/>
              </w:rPr>
              <w:t>Increase (Decrease)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6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B6EAFC"/>
            </w:tcBorders>
          </w:tcPr>
          <w:p>
            <w:pPr>
              <w:spacing w:after="0"/>
              <w:rPr>
                <w:sz w:val="14"/>
                <w:szCs w:val="14"/>
                <w:color w:val="auto"/>
              </w:rPr>
            </w:pP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4,096</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5,320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14,810</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w w:val="91"/>
              </w:rPr>
              <w:t>(9,490)</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7,240</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1,035</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w w:val="91"/>
              </w:rPr>
              <w:t>(1,003)</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4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B6EAFC"/>
          </w:tcPr>
          <w:p>
            <w:pPr>
              <w:spacing w:after="0"/>
              <w:rPr>
                <w:sz w:val="19"/>
                <w:szCs w:val="19"/>
                <w:color w:val="auto"/>
              </w:rPr>
            </w:pPr>
          </w:p>
        </w:tc>
        <w:tc>
          <w:tcPr>
            <w:tcW w:w="14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29,387</w:t>
            </w: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(9,027)</w:t>
            </w:r>
          </w:p>
        </w:tc>
        <w:tc>
          <w:tcPr>
            <w:tcW w:w="1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Laboratory supplies and services expense increased by $35,000 from $697,000 during the three months ended March 31, 2015 to $732,000 during the current period. Laboratory supplies and services expense increased by $143,000 from $1,191,000 during the six months ended March 31, 2015 to $1,334,000 during the current period. The Company has expanded its laboratory facility and increased its R&amp;D headcount. The increase in laboratory supplies and services is a result of the purchase of additional supplies necessary to support increased efforts in pre-clinical research as the Company supports ongoing clinical efforts and accelerates efforts to identify new clinical candidates.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vivo studies expense increased by $288,000 from $139,000 during the three months ended March 31, 2015 to $427,000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In vivo studies expense increased by $517,000 from $199,000 during the six months ended March 31, 2015 to $716,000 during the current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vivo expense can vary depending on the stage of preclinical candidates, the nature and amount of testing required and based on the varying costs of different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vivo testing models. The Company has expanded its candidate pipeline which has resulted in additional studies conducted.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80" w:firstLine="518"/>
        <w:spacing w:after="0" w:line="259" w:lineRule="auto"/>
        <w:rPr>
          <w:sz w:val="20"/>
          <w:szCs w:val="20"/>
          <w:color w:val="auto"/>
        </w:rPr>
      </w:pPr>
      <w:r>
        <w:rPr>
          <w:rFonts w:ascii="Arial" w:cs="Arial" w:eastAsia="Arial" w:hAnsi="Arial"/>
          <w:sz w:val="18"/>
          <w:szCs w:val="18"/>
          <w:color w:val="auto"/>
        </w:rPr>
        <w:t>Outside labs and contract services expense decreased by $100,000 from $105,000 during the three months ended March 31, 2015 to $5,000 during the current period. Outside labs and contract services expense decreased by $161,000 from $231,000 during the six months ended March 31, 2015 to $70,000 during the current period. The decrease in the current period primarily relates to reduced contracted labor services that have been converted into R&amp;D headcount.</w:t>
      </w:r>
    </w:p>
    <w:p>
      <w:pPr>
        <w:spacing w:after="0" w:line="18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Toxicity/efficacy studies expense increased by $565,000 from $2,028,000 during the three months ended March 31, 2015 to $2,593,000 during the current period. Toxicity/efficacy studies expense increased by $1,596,000 from $4,096,000 during the six months ended March 31, 2015 to $5,692,000 during the current period. This category includes IND-enabling toxicology studies as well as post-IND toxicology studies, such as long-term toxicology studies, and other efficacy studies. The increase primarily relates to toxicology studies related to one of our recent drug candidates, ARC-521, to support the commencement of clinical trials. These amounts can vary quarter to quarter based on stage of development.</w:t>
      </w:r>
    </w:p>
    <w:p>
      <w:pPr>
        <w:spacing w:after="0" w:line="17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Drug manufacturing expense decreased by $2,990,000 from $5,211,000 during the three months ended March 31, 2015 to $2,221,000 during the current period. Drug manufacturing expense decreased by $9,490,000 from $14,810,000 during the six months ended March 31, 2015 to $5,320,000 during the current period. The decrease is primarily due to reduced expenses associated with the drug manufacturing campaign to support our Phase 2 studies for ARC-520, our lead clinical candidate for HBV. The manufacturing campaign for this clinical trial for ARC-520 is largely complete, however, as other clinical candidates are nominated, and as other clinical trials advance, further expenditures will be incurred.</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Clinical trials expense increased by $1,468,000 from $2,174,000 during the three months ended March 31, 2015 to $3,642,000 during the current period. Clinical trials expense decreased by $763,000 from $7,240,000 during the six months ended March 31, 2015 to $6,477,000 during the current period. The changes in both periods are primarily driven by the timing of costs incurred for our Phase 2 clinical trial for ARC-520. The Phase 2 trials are currently enrolling and we expect clinical trial expenses to increase further as enrollment in our clinical trials increases. We are also incurring costs related to our clinical trial for our second clinical candidate ARC-AAT.</w:t>
      </w:r>
    </w:p>
    <w:p>
      <w:pPr>
        <w:spacing w:after="0" w:line="18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License, royalty &amp; milestones expense decreased by $1,000,000 from $1,012,000 during the three months ended March 31, 2015 to $12,000 during the current period. License, royalty &amp; milestones expense decreased by $1,003,000 from $1,035,000 during the six months ended March 31, 2015 to $32,000 during the current period. This category can include milestone payments which can vary from period to period depending on the nature of our various license agreements, and the timing of reaching various development milestones requiring payment. During the three months ended March 31, 2015, we achieved a milestone by initiating a phase 1 clinical trial with ARC-AAT that required a $1 million payment.</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Facilities and related expense increased by $85,000 from $246,000 during the three months ended March 31, 2015 to $331,000 during the current period. Facilities and related expense increased by $160,000 from $452,000 during the six months ended March 31, 2015 to $612,000 during the current period. The increase relates to rent for our additional research and development facility in Middleton, Wisconsin and increased repairs and maintenance costs on our lab equipment.</w:t>
      </w:r>
    </w:p>
    <w:p>
      <w:pPr>
        <w:spacing w:after="0" w:line="187" w:lineRule="exact"/>
        <w:rPr>
          <w:sz w:val="20"/>
          <w:szCs w:val="20"/>
          <w:color w:val="auto"/>
        </w:rPr>
      </w:pPr>
    </w:p>
    <w:p>
      <w:pPr>
        <w:ind w:right="680" w:firstLine="518"/>
        <w:spacing w:after="0" w:line="302" w:lineRule="auto"/>
        <w:rPr>
          <w:sz w:val="20"/>
          <w:szCs w:val="20"/>
          <w:color w:val="auto"/>
        </w:rPr>
      </w:pPr>
      <w:r>
        <w:rPr>
          <w:rFonts w:ascii="Arial" w:cs="Arial" w:eastAsia="Arial" w:hAnsi="Arial"/>
          <w:sz w:val="16"/>
          <w:szCs w:val="16"/>
          <w:color w:val="auto"/>
        </w:rPr>
        <w:t>Other research expense increased by $29,000 from $29,000 during the three months ended March 31, 2015 to $58,000 during the current period. Other research expense decreased by $26,000 from $133,000 during the six months ended March 31, 2015 to $107,000 during the current period. The decrease in the six month period primarily relates to costs associated with a collaboration agreement to identify muscle targeting peptide molecules in the six months ended March 31, 2015, for which the Company has been reimbursed from its collaboration partner.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six months ended March 31, 2016 compared to the three and six months ended March 31, 2015</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Three Months</w:t>
            </w:r>
          </w:p>
        </w:tc>
        <w:tc>
          <w:tcPr>
            <w:tcW w:w="880" w:type="dxa"/>
            <w:vAlign w:val="bottom"/>
          </w:tcPr>
          <w:p>
            <w:pPr>
              <w:jc w:val="center"/>
              <w:ind w:left="208"/>
              <w:spacing w:after="0"/>
              <w:rPr>
                <w:sz w:val="20"/>
                <w:szCs w:val="20"/>
                <w:color w:val="auto"/>
              </w:rPr>
            </w:pPr>
            <w:r>
              <w:rPr>
                <w:rFonts w:ascii="Arial" w:cs="Arial" w:eastAsia="Arial" w:hAnsi="Arial"/>
                <w:sz w:val="14"/>
                <w:szCs w:val="14"/>
                <w:color w:val="auto"/>
                <w:w w:val="99"/>
              </w:rPr>
              <w:t>% of</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Three Months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 of</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780" w:type="dxa"/>
            <w:vAlign w:val="bottom"/>
          </w:tcPr>
          <w:p>
            <w:pPr>
              <w:jc w:val="center"/>
              <w:ind w:left="306"/>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color w:val="auto"/>
                <w:w w:val="88"/>
              </w:rPr>
              <w:t>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Expense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ind w:left="440"/>
              <w:spacing w:after="0"/>
              <w:rPr>
                <w:sz w:val="20"/>
                <w:szCs w:val="20"/>
                <w:color w:val="auto"/>
              </w:rPr>
            </w:pPr>
            <w:r>
              <w:rPr>
                <w:rFonts w:ascii="Arial" w:cs="Arial" w:eastAsia="Arial" w:hAnsi="Arial"/>
                <w:sz w:val="14"/>
                <w:szCs w:val="14"/>
                <w:color w:val="auto"/>
                <w:w w:val="91"/>
              </w:rPr>
              <w:t>Increase (Decrease)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B6EAFC"/>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2016</w:t>
            </w:r>
          </w:p>
        </w:tc>
        <w:tc>
          <w:tcPr>
            <w:tcW w:w="280" w:type="dxa"/>
            <w:vAlign w:val="bottom"/>
            <w:tcBorders>
              <w:bottom w:val="single" w:sz="8" w:color="B6EAFC"/>
            </w:tcBorders>
          </w:tcPr>
          <w:p>
            <w:pPr>
              <w:spacing w:after="0"/>
              <w:rPr>
                <w:sz w:val="16"/>
                <w:szCs w:val="16"/>
                <w:color w:val="auto"/>
              </w:rPr>
            </w:pPr>
          </w:p>
        </w:tc>
        <w:tc>
          <w:tcPr>
            <w:tcW w:w="8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1"/>
              </w:rPr>
              <w:t>Category</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4"/>
              </w:rPr>
              <w:t>March 31, 2015</w:t>
            </w:r>
          </w:p>
        </w:tc>
        <w:tc>
          <w:tcPr>
            <w:tcW w:w="30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Category</w:t>
            </w:r>
          </w:p>
        </w:tc>
        <w:tc>
          <w:tcPr>
            <w:tcW w:w="240" w:type="dxa"/>
            <w:vAlign w:val="bottom"/>
            <w:tcBorders>
              <w:bottom w:val="single" w:sz="8" w:color="B6EAFC"/>
            </w:tcBorders>
          </w:tcPr>
          <w:p>
            <w:pPr>
              <w:spacing w:after="0"/>
              <w:rPr>
                <w:sz w:val="16"/>
                <w:szCs w:val="16"/>
                <w:color w:val="auto"/>
              </w:rPr>
            </w:pPr>
          </w:p>
        </w:tc>
        <w:tc>
          <w:tcPr>
            <w:tcW w:w="10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780" w:type="dxa"/>
            <w:vAlign w:val="bottom"/>
            <w:shd w:val="clear" w:color="auto" w:fill="B6EAFC"/>
          </w:tcPr>
          <w:p>
            <w:pPr>
              <w:jc w:val="right"/>
              <w:ind w:right="6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3,133</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74%</w:t>
            </w:r>
          </w:p>
        </w:tc>
        <w:tc>
          <w:tcPr>
            <w:tcW w:w="2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2,511</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71%</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622</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1,116</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vMerge w:val="continue"/>
            <w:shd w:val="clear" w:color="auto" w:fill="B6EAFC"/>
          </w:tcPr>
          <w:p>
            <w:pPr>
              <w:spacing w:after="0"/>
              <w:rPr>
                <w:sz w:val="18"/>
                <w:szCs w:val="18"/>
                <w:color w:val="auto"/>
              </w:rPr>
            </w:pPr>
          </w:p>
        </w:tc>
        <w:tc>
          <w:tcPr>
            <w:tcW w:w="780" w:type="dxa"/>
            <w:vAlign w:val="bottom"/>
            <w:shd w:val="clear" w:color="auto" w:fill="B6EAFC"/>
          </w:tcPr>
          <w:p>
            <w:pPr>
              <w:jc w:val="right"/>
              <w:ind w:right="6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4,249</w:t>
            </w:r>
          </w:p>
        </w:tc>
        <w:tc>
          <w:tcPr>
            <w:tcW w:w="280" w:type="dxa"/>
            <w:vAlign w:val="bottom"/>
            <w:shd w:val="clear" w:color="auto" w:fill="B6EAFC"/>
          </w:tcPr>
          <w:p>
            <w:pPr>
              <w:spacing w:after="0"/>
              <w:rPr>
                <w:sz w:val="18"/>
                <w:szCs w:val="18"/>
                <w:color w:val="auto"/>
              </w:rPr>
            </w:pPr>
          </w:p>
        </w:tc>
        <w:tc>
          <w:tcPr>
            <w:tcW w:w="880" w:type="dxa"/>
            <w:vAlign w:val="bottom"/>
            <w:shd w:val="clear" w:color="auto" w:fill="B6EAFC"/>
          </w:tcPr>
          <w:p>
            <w:pPr>
              <w:spacing w:after="0"/>
              <w:rPr>
                <w:sz w:val="18"/>
                <w:szCs w:val="18"/>
                <w:color w:val="auto"/>
              </w:rPr>
            </w:pPr>
          </w:p>
        </w:tc>
        <w:tc>
          <w:tcPr>
            <w:tcW w:w="52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w w:val="97"/>
              </w:rPr>
              <w:t>100%</w:t>
            </w:r>
          </w:p>
        </w:tc>
        <w:tc>
          <w:tcPr>
            <w:tcW w:w="20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3,542</w:t>
            </w:r>
          </w:p>
        </w:tc>
        <w:tc>
          <w:tcPr>
            <w:tcW w:w="300" w:type="dxa"/>
            <w:vAlign w:val="bottom"/>
            <w:shd w:val="clear" w:color="auto" w:fill="B6EAFC"/>
          </w:tcPr>
          <w:p>
            <w:pPr>
              <w:spacing w:after="0"/>
              <w:rPr>
                <w:sz w:val="18"/>
                <w:szCs w:val="18"/>
                <w:color w:val="auto"/>
              </w:rPr>
            </w:pPr>
          </w:p>
        </w:tc>
        <w:tc>
          <w:tcPr>
            <w:tcW w:w="14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707</w:t>
            </w:r>
          </w:p>
        </w:tc>
        <w:tc>
          <w:tcPr>
            <w:tcW w:w="28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8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Six Months</w:t>
            </w:r>
          </w:p>
        </w:tc>
        <w:tc>
          <w:tcPr>
            <w:tcW w:w="860" w:type="dxa"/>
            <w:vAlign w:val="bottom"/>
          </w:tcPr>
          <w:p>
            <w:pPr>
              <w:jc w:val="center"/>
              <w:ind w:left="208"/>
              <w:spacing w:after="0"/>
              <w:rPr>
                <w:sz w:val="20"/>
                <w:szCs w:val="20"/>
                <w:color w:val="auto"/>
              </w:rPr>
            </w:pPr>
            <w:r>
              <w:rPr>
                <w:rFonts w:ascii="Arial" w:cs="Arial" w:eastAsia="Arial" w:hAnsi="Arial"/>
                <w:sz w:val="14"/>
                <w:szCs w:val="14"/>
                <w:color w:val="auto"/>
                <w:w w:val="92"/>
              </w:rPr>
              <w:t>% of</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color w:val="auto"/>
                <w:w w:val="98"/>
              </w:rPr>
              <w:t>Six Months</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80" w:type="dxa"/>
            <w:vAlign w:val="bottom"/>
          </w:tcPr>
          <w:p>
            <w:pPr>
              <w:jc w:val="center"/>
              <w:ind w:left="366"/>
              <w:spacing w:after="0"/>
              <w:rPr>
                <w:sz w:val="20"/>
                <w:szCs w:val="20"/>
                <w:color w:val="auto"/>
              </w:rPr>
            </w:pPr>
            <w:r>
              <w:rPr>
                <w:rFonts w:ascii="Arial" w:cs="Arial" w:eastAsia="Arial" w:hAnsi="Arial"/>
                <w:sz w:val="14"/>
                <w:szCs w:val="14"/>
                <w:color w:val="auto"/>
                <w:w w:val="88"/>
              </w:rPr>
              <w:t>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color w:val="auto"/>
                <w:w w:val="91"/>
              </w:rPr>
              <w:t>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Ended</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1580" w:type="dxa"/>
            <w:vAlign w:val="bottom"/>
            <w:gridSpan w:val="3"/>
          </w:tcPr>
          <w:p>
            <w:pPr>
              <w:ind w:left="400"/>
              <w:spacing w:after="0"/>
              <w:rPr>
                <w:sz w:val="20"/>
                <w:szCs w:val="20"/>
                <w:color w:val="auto"/>
              </w:rPr>
            </w:pPr>
            <w:r>
              <w:rPr>
                <w:rFonts w:ascii="Arial" w:cs="Arial" w:eastAsia="Arial" w:hAnsi="Arial"/>
                <w:sz w:val="14"/>
                <w:szCs w:val="14"/>
                <w:color w:val="auto"/>
                <w:w w:val="91"/>
              </w:rPr>
              <w:t>Increase (Decrease)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2016</w:t>
            </w:r>
          </w:p>
        </w:tc>
        <w:tc>
          <w:tcPr>
            <w:tcW w:w="26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w w:val="94"/>
              </w:rPr>
              <w:t>Category</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w w:val="94"/>
              </w:rPr>
              <w:t>March 31, 2015</w:t>
            </w:r>
          </w:p>
        </w:tc>
        <w:tc>
          <w:tcPr>
            <w:tcW w:w="28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32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80" w:type="dxa"/>
            <w:vAlign w:val="bottom"/>
            <w:shd w:val="clear" w:color="auto" w:fill="B6EA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9"/>
              </w:rPr>
              <w:t>6,078</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74%</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4,876</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73%</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1,202</w:t>
            </w:r>
          </w:p>
        </w:tc>
        <w:tc>
          <w:tcPr>
            <w:tcW w:w="26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2,091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1,816</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shd w:val="clear" w:color="auto" w:fill="B6EAFC"/>
          </w:tcPr>
          <w:p>
            <w:pPr>
              <w:spacing w:after="0"/>
              <w:rPr>
                <w:sz w:val="18"/>
                <w:szCs w:val="18"/>
                <w:color w:val="auto"/>
              </w:rPr>
            </w:pPr>
          </w:p>
        </w:tc>
        <w:tc>
          <w:tcPr>
            <w:tcW w:w="880" w:type="dxa"/>
            <w:vAlign w:val="bottom"/>
            <w:shd w:val="clear" w:color="auto" w:fill="B6EA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9"/>
              </w:rPr>
              <w:t>8,169</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w w:val="97"/>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6,692</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1,477</w:t>
            </w:r>
          </w:p>
        </w:tc>
        <w:tc>
          <w:tcPr>
            <w:tcW w:w="260" w:type="dxa"/>
            <w:vAlign w:val="bottom"/>
            <w:shd w:val="clear" w:color="auto" w:fill="B6EAFC"/>
          </w:tcPr>
          <w:p>
            <w:pPr>
              <w:spacing w:after="0"/>
              <w:rPr>
                <w:sz w:val="18"/>
                <w:szCs w:val="18"/>
                <w:color w:val="auto"/>
              </w:rPr>
            </w:pP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R&amp;D compensation expense increased by $622,000 from $2,511,000 during the three months ended March 31, 2015 to $3,133,000 during the current period. R&amp;D compensation expense increased by $1,202,000 from $4,876,000 during the six months ended March 31, 2015 to $6,078,000 during the current period. An increase in personnel accounted for the majority of the change in compensation-related expense.</w:t>
      </w:r>
    </w:p>
    <w:p>
      <w:pPr>
        <w:spacing w:after="0" w:line="181"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G&amp;A compensation expense increased by $85,000 from $1,031,000 during the three months ended March 31, 2016 to $1,116,000 during the current period. G&amp;A compensation expense increased by $275,000 from $1,816,000 during the six months ended March 31, 2016 to $2,091,000 during the current period. Higher headcount and annual merit increases accounted for the majority of the change in the current period.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General &amp; Administrative Expenses – Three and six months ended March 31, 2016 compared to the three and six months ended March 31, 2015</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Months Ended</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Months Ended</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Increase (Decrease)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B6EA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26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8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40" w:type="dxa"/>
            <w:vAlign w:val="bottom"/>
            <w:gridSpan w:val="2"/>
            <w:shd w:val="clear" w:color="auto" w:fill="B6EA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1,819</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48%</w:t>
            </w:r>
          </w:p>
        </w:tc>
        <w:tc>
          <w:tcPr>
            <w:tcW w:w="80" w:type="dxa"/>
            <w:vAlign w:val="bottom"/>
            <w:shd w:val="clear" w:color="auto" w:fill="B6EAFC"/>
          </w:tcPr>
          <w:p>
            <w:pPr>
              <w:spacing w:after="0"/>
              <w:rPr>
                <w:sz w:val="19"/>
                <w:szCs w:val="19"/>
                <w:color w:val="auto"/>
              </w:rPr>
            </w:pPr>
          </w:p>
        </w:tc>
        <w:tc>
          <w:tcPr>
            <w:tcW w:w="220" w:type="dxa"/>
            <w:vAlign w:val="bottom"/>
            <w:gridSpan w:val="2"/>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ind w:left="560"/>
              <w:spacing w:after="0"/>
              <w:rPr>
                <w:sz w:val="20"/>
                <w:szCs w:val="20"/>
                <w:color w:val="auto"/>
              </w:rPr>
            </w:pPr>
            <w:r>
              <w:rPr>
                <w:rFonts w:ascii="Arial" w:cs="Arial" w:eastAsia="Arial" w:hAnsi="Arial"/>
                <w:sz w:val="18"/>
                <w:szCs w:val="18"/>
                <w:color w:val="auto"/>
                <w:w w:val="73"/>
              </w:rPr>
              <w:t>893</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Patent expense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3"/>
              </w:rPr>
              <w:t>157</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Travel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3"/>
              </w:rPr>
              <w:t>141</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ind w:left="560"/>
              <w:spacing w:after="0"/>
              <w:rPr>
                <w:sz w:val="20"/>
                <w:szCs w:val="20"/>
                <w:color w:val="auto"/>
              </w:rPr>
            </w:pPr>
            <w:r>
              <w:rPr>
                <w:rFonts w:ascii="Arial" w:cs="Arial" w:eastAsia="Arial" w:hAnsi="Arial"/>
                <w:sz w:val="18"/>
                <w:szCs w:val="18"/>
                <w:color w:val="auto"/>
                <w:w w:val="73"/>
              </w:rPr>
              <w:t>107</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6%</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3"/>
              </w:rPr>
              <w:t>192</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1,088</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1,023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1574%</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80" w:type="dxa"/>
            <w:vAlign w:val="bottom"/>
            <w:tcBorders>
              <w:right w:val="single" w:sz="8" w:color="B6EAFC"/>
            </w:tcBorders>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B6EAFC"/>
            </w:tcBorders>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shd w:val="clear" w:color="auto" w:fill="B6EAFC"/>
          </w:tcPr>
          <w:p>
            <w:pPr>
              <w:spacing w:after="0"/>
              <w:rPr>
                <w:sz w:val="19"/>
                <w:szCs w:val="19"/>
                <w:color w:val="auto"/>
              </w:rPr>
            </w:pPr>
          </w:p>
        </w:tc>
        <w:tc>
          <w:tcPr>
            <w:tcW w:w="240" w:type="dxa"/>
            <w:vAlign w:val="bottom"/>
            <w:gridSpan w:val="2"/>
            <w:shd w:val="clear" w:color="auto" w:fill="B6EA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3,818</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20" w:type="dxa"/>
            <w:vAlign w:val="bottom"/>
            <w:gridSpan w:val="2"/>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97"/>
              </w:rPr>
              <w:t>2,121</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57"/>
        </w:trPr>
        <w:tc>
          <w:tcPr>
            <w:tcW w:w="34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Months Ended</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 (Decrease)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B6EAFC"/>
            </w:tcBorders>
          </w:tcPr>
          <w:p>
            <w:pPr>
              <w:spacing w:after="0"/>
              <w:rPr>
                <w:sz w:val="14"/>
                <w:szCs w:val="14"/>
                <w:color w:val="auto"/>
              </w:rPr>
            </w:pPr>
          </w:p>
        </w:tc>
        <w:tc>
          <w:tcPr>
            <w:tcW w:w="4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26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8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2,669</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46%</w:t>
            </w:r>
          </w:p>
        </w:tc>
        <w:tc>
          <w:tcPr>
            <w:tcW w:w="100" w:type="dxa"/>
            <w:vAlign w:val="bottom"/>
            <w:gridSpan w:val="2"/>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ind w:left="400"/>
              <w:spacing w:after="0"/>
              <w:rPr>
                <w:sz w:val="20"/>
                <w:szCs w:val="20"/>
                <w:color w:val="auto"/>
              </w:rPr>
            </w:pPr>
            <w:r>
              <w:rPr>
                <w:rFonts w:ascii="Arial" w:cs="Arial" w:eastAsia="Arial" w:hAnsi="Arial"/>
                <w:sz w:val="18"/>
                <w:szCs w:val="18"/>
                <w:color w:val="auto"/>
                <w:w w:val="84"/>
              </w:rPr>
              <w:t>2,136</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Patent expense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79"/>
              </w:rPr>
              <w:t>334</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ind w:left="540"/>
              <w:spacing w:after="0"/>
              <w:rPr>
                <w:sz w:val="20"/>
                <w:szCs w:val="20"/>
                <w:color w:val="auto"/>
              </w:rPr>
            </w:pPr>
            <w:r>
              <w:rPr>
                <w:rFonts w:ascii="Arial" w:cs="Arial" w:eastAsia="Arial" w:hAnsi="Arial"/>
                <w:sz w:val="18"/>
                <w:szCs w:val="18"/>
                <w:color w:val="auto"/>
                <w:w w:val="79"/>
              </w:rPr>
              <w:t>153</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Travel</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79"/>
              </w:rPr>
              <w:t>328</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ind w:left="540"/>
              <w:spacing w:after="0"/>
              <w:rPr>
                <w:sz w:val="20"/>
                <w:szCs w:val="20"/>
                <w:color w:val="auto"/>
              </w:rPr>
            </w:pPr>
            <w:r>
              <w:rPr>
                <w:rFonts w:ascii="Arial" w:cs="Arial" w:eastAsia="Arial" w:hAnsi="Arial"/>
                <w:sz w:val="18"/>
                <w:szCs w:val="18"/>
                <w:color w:val="auto"/>
                <w:w w:val="79"/>
              </w:rPr>
              <w:t>213</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6%</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79"/>
              </w:rPr>
              <w:t>357</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4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4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2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820" w:type="dxa"/>
            <w:vAlign w:val="bottom"/>
            <w:shd w:val="clear" w:color="auto" w:fill="B6EAFC"/>
          </w:tcPr>
          <w:p>
            <w:pPr>
              <w:ind w:left="540"/>
              <w:spacing w:after="0"/>
              <w:rPr>
                <w:sz w:val="20"/>
                <w:szCs w:val="20"/>
                <w:color w:val="auto"/>
              </w:rPr>
            </w:pPr>
            <w:r>
              <w:rPr>
                <w:rFonts w:ascii="Arial" w:cs="Arial" w:eastAsia="Arial" w:hAnsi="Arial"/>
                <w:sz w:val="18"/>
                <w:szCs w:val="18"/>
                <w:color w:val="auto"/>
                <w:w w:val="79"/>
              </w:rPr>
              <w:t>145</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79"/>
              </w:rPr>
              <w:t>117</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4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gridSpan w:val="2"/>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B6EAFC"/>
              <w:right w:val="single" w:sz="8" w:color="auto"/>
            </w:tcBorders>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shd w:val="clear" w:color="auto" w:fill="B6EAFC"/>
          </w:tcPr>
          <w:p>
            <w:pPr>
              <w:spacing w:after="0"/>
              <w:rPr>
                <w:sz w:val="19"/>
                <w:szCs w:val="19"/>
                <w:color w:val="auto"/>
              </w:rPr>
            </w:pPr>
          </w:p>
        </w:tc>
        <w:tc>
          <w:tcPr>
            <w:tcW w:w="4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5,770</w:t>
            </w:r>
          </w:p>
        </w:tc>
        <w:tc>
          <w:tcPr>
            <w:tcW w:w="26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gridSpan w:val="2"/>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B6EAFC"/>
          </w:tcPr>
          <w:p>
            <w:pPr>
              <w:ind w:left="400"/>
              <w:spacing w:after="0"/>
              <w:rPr>
                <w:sz w:val="20"/>
                <w:szCs w:val="20"/>
                <w:color w:val="auto"/>
              </w:rPr>
            </w:pPr>
            <w:r>
              <w:rPr>
                <w:rFonts w:ascii="Arial" w:cs="Arial" w:eastAsia="Arial" w:hAnsi="Arial"/>
                <w:sz w:val="18"/>
                <w:szCs w:val="18"/>
                <w:color w:val="auto"/>
                <w:w w:val="84"/>
              </w:rPr>
              <w:t>3,783</w:t>
            </w:r>
          </w:p>
        </w:tc>
        <w:tc>
          <w:tcPr>
            <w:tcW w:w="280" w:type="dxa"/>
            <w:vAlign w:val="bottom"/>
            <w:tcBorders>
              <w:left w:val="single" w:sz="8" w:color="B6EAFC"/>
              <w:right w:val="single" w:sz="8" w:color="B6EAFC"/>
            </w:tcBorders>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1,987</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Professional/outside services include legal, accounting, consulting and other outside services retained by the Company. All periods include normally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recurring legal and audit expenses related to SEC compliance and other corporate matters. Professional/outside services expense increased by $926,000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$893,000 during the three months ended March 31, 2015 to $1,819,000 during the current period. Professional/outside services expense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$533,000 from $2,136,000 during the six months ended March 31, 2015 to $2,669,000 during the current period. The increase primarily related to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legal fees related to recent litigation events as discussed in </w:t>
      </w:r>
      <w:r>
        <w:rPr>
          <w:rFonts w:ascii="Arial" w:cs="Arial" w:eastAsia="Arial" w:hAnsi="Arial"/>
          <w:sz w:val="18"/>
          <w:szCs w:val="18"/>
          <w:i w:val="1"/>
          <w:iCs w:val="1"/>
          <w:color w:val="auto"/>
        </w:rPr>
        <w:t>Note 6 – Commitments and Contingencies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ind w:right="60" w:firstLine="518"/>
        <w:spacing w:after="0" w:line="293" w:lineRule="auto"/>
        <w:rPr>
          <w:sz w:val="20"/>
          <w:szCs w:val="20"/>
          <w:color w:val="auto"/>
        </w:rPr>
      </w:pPr>
      <w:r>
        <w:rPr>
          <w:rFonts w:ascii="Arial" w:cs="Arial" w:eastAsia="Arial" w:hAnsi="Arial"/>
          <w:sz w:val="16"/>
          <w:szCs w:val="16"/>
          <w:color w:val="auto"/>
        </w:rPr>
        <w:t>Patent expense increased by $159,000 from $157,000 during the three months ended March 31, 2015 to $316,000 during the current period. Patent expense increased by $263,000 from $334,000 during the six months ended March 31, 2015 to $597,000 during the current period. Patent expense increased due to additional prosecution expenses associated with new patents acquired through the Novartis RNAi asset acquisition.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65"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Facilities-related expense remained consistent in each period. Facilities expense relates to recurring expenses associated with our corporate headquarters in Pasadena.</w:t>
      </w:r>
    </w:p>
    <w:p>
      <w:pPr>
        <w:spacing w:after="0" w:line="170"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Travel expense increased by $29,000 from $141,000 during the three months ended March 31, 2015 to $170,000 during the current period. Travel expense increased by $91,000 from $328,000 during the six months ended March 31, 2015 to $419,000 during the current period. Travel expense increased due to travel in support of our R&amp;D function, including our regulatory function, GMP manufacturing campaigns and our clinical trials in multiple countries.</w:t>
      </w:r>
    </w:p>
    <w:p>
      <w:pPr>
        <w:spacing w:after="0" w:line="14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Business insurance expense increased by $37,000 from $107,000 during the three months ended March 31, 2015 to $144,000 during the current period. Business insurance expense increased by $69,000 from $213,000 during the six months ended March 31, 2015 to $282,000 during the current period. Business insurance costs increased primarily due to increases in corporate liability insurance and added coverage related to the Company’s clinical trials.</w:t>
      </w:r>
    </w:p>
    <w:p>
      <w:pPr>
        <w:spacing w:after="0" w:line="14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Communication and technology expense decreased by $59,000 from $192,000 during the three months ended March 31, 2015 to $133,000 during the current period. Communication and technology expense decreased by $75,000 from $357,000 during the six months ended March 31, 2015 to $282,000 during the current period. This category includes costs associated with the Company’s IT infrastructure which were reduced during the current year.</w:t>
      </w:r>
    </w:p>
    <w:p>
      <w:pPr>
        <w:spacing w:after="0" w:line="14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Office expense remained consistent in each period. These expenses relate to conferences/training, office supplies, miscellaneous administrative expenses, and expenses related to office expansions at our R&amp;D facility in Madison and our corporate headquarters in Pasadena.</w:t>
      </w:r>
    </w:p>
    <w:p>
      <w:pPr>
        <w:spacing w:after="0" w:line="147"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 xml:space="preserve">Other expense increased by $1,023,000 from $65,000 during the three months ended March 31, 2015 to $1,088,000 during the current period. Other expense increased by $1,086,000 from $117,000 during the six months ended March 31, 2015 to $1,203,000 during the current period. The increase in both periods pertains to litigation as discussed in </w:t>
      </w:r>
      <w:r>
        <w:rPr>
          <w:rFonts w:ascii="Arial" w:cs="Arial" w:eastAsia="Arial" w:hAnsi="Arial"/>
          <w:sz w:val="18"/>
          <w:szCs w:val="18"/>
          <w:i w:val="1"/>
          <w:iCs w:val="1"/>
          <w:color w:val="auto"/>
        </w:rPr>
        <w:t>Note 6 – Commitments and Contingencies</w:t>
      </w:r>
      <w:r>
        <w:rPr>
          <w:rFonts w:ascii="Arial" w:cs="Arial" w:eastAsia="Arial" w:hAnsi="Arial"/>
          <w:sz w:val="18"/>
          <w:szCs w:val="18"/>
          <w:color w:val="auto"/>
        </w:rPr>
        <w:t>. This category also consists primarily of conference attendance fees, franchise and property tax expenses and marketing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Stock-based compensation expense, a noncash expense, was $2,416,839 and $4,797,182 during the three and six months ended March 31, 2016, respectively, and was $2,205,079 and $4,219,935 during the three and six months ended March 31, 2015,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Due to additional options and restricted stock units granted to new and existing employees, compensation expense has increased from the prior year.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Depreciation and amortization expense, a noncash expense, was $803,912 and $1,598,261 during the three and months ended March 31, 2016, respectively, and was $449,559 and $739,598 during the three and six months ended March 31, 2015,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increase in depreciation and amortization expense is primarily due to the amortization of the intangible assets acquired in the Novartis RNAi asset acquisition.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Other income / expense was income of $448,995 and $525,851 during the three and six months ended March 31, 2016, respectively, and was income of $948,750 and $3,488,743 during the three and six months ended March 31, 2015, respectively. The primary component of other income during the six month periods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At March 31, 2016, the Company had cash on hand of approximately $50.3 million as compared to $81.2 million at September 30, 2015. Excess cash invested in fixed income securities was $11.2 million at March 31, 2016, compared to $17.5 million at September 30, 2015. Based upon the Company’s rate of expenditure to advance its primary clinical candidates through clinical trials, the Company’s current cash resources may not provide sufficient liquidity to fund operations for at least the next twelve months. The Company plans to secure additional sources of funds through several options including potential collaborative research and development partnership agreements and/or sales of the Company’s securities, the latter of which could be dilutive to shareholders.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2016 and 2015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4"/>
                <w:szCs w:val="14"/>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Six Months Ended March</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(35,895,904)</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(40,569,584)</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5,699,366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4,299,211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(716,969)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207,064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(30,913,507)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(36,063,309)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81,214,354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50,300,847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96,447,301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During the six months ended March 31, 2016, the Company used $35.9 million in cash from operating activities, which represents the on-going expenses of its research and development programs and general and administrative expenses. Cash provided by investing activities was $5.7 million, primarily related to maturities on fixed income securities of $6.2 million, partially offset by capital expenditures of $0.5 million. Cash used by financing activities of $0.7 million was driven by cash paid for employee taxes on net share settlements of restricted stock units that vested during the period.</w:t>
      </w:r>
    </w:p>
    <w:p>
      <w:pPr>
        <w:spacing w:after="0" w:line="15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During the six months ended March 31, 2015, the Company used $40.6 million in cash from operating activities, which represents the on-going expenses of its research and development programs and general and administrative expenses. Cash provided by investing activities was $4.3 million, primarily related to maturities on fixed income securities of $12.2 million, partially offset by cash paid for the acquisition of the Novartis RNAi assets of $7.0 million and capital expenditures of $0.9 million. Cash provided by financing activities of $0.2 million was driven by cash received from the exercise of warrants and stock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firstLine="588"/>
        <w:spacing w:after="0" w:line="276" w:lineRule="auto"/>
        <w:rPr>
          <w:sz w:val="20"/>
          <w:szCs w:val="20"/>
          <w:color w:val="auto"/>
        </w:rPr>
      </w:pPr>
      <w:r>
        <w:rPr>
          <w:rFonts w:ascii="Arial" w:cs="Arial" w:eastAsia="Arial" w:hAnsi="Arial"/>
          <w:sz w:val="17"/>
          <w:szCs w:val="17"/>
          <w:color w:val="auto"/>
        </w:rPr>
        <w:t>In January 2016, the Company entered into a new lease for a Madison, Wisconsin research facility. The 10-year office building lease between the Company’s subsidiary, Arrowhead Madison Inc. and University Research Park, Incorporated is for approximately 60,000 square feet of office and laboratory space located at 502 South Rosa Road, Madison, Wisconsin. This lease will replace the Company’s current research facility office lease, also with University Research Park, Incorporated, for the facility located at 465 Science Drive, Madison Wisconsin. The larger facility is designed to accommodate increased research and development personnel for the Company’s expanding pipeline of current and future drug candidates.</w:t>
      </w:r>
    </w:p>
    <w:p>
      <w:pPr>
        <w:spacing w:after="0" w:line="173" w:lineRule="exact"/>
        <w:rPr>
          <w:sz w:val="20"/>
          <w:szCs w:val="20"/>
          <w:color w:val="auto"/>
        </w:rPr>
      </w:pPr>
    </w:p>
    <w:p>
      <w:pPr>
        <w:ind w:right="100" w:firstLine="530"/>
        <w:spacing w:after="0" w:line="293" w:lineRule="auto"/>
        <w:rPr>
          <w:sz w:val="20"/>
          <w:szCs w:val="20"/>
          <w:color w:val="auto"/>
        </w:rPr>
      </w:pPr>
      <w:r>
        <w:rPr>
          <w:rFonts w:ascii="Arial" w:cs="Arial" w:eastAsia="Arial" w:hAnsi="Arial"/>
          <w:sz w:val="16"/>
          <w:szCs w:val="16"/>
          <w:color w:val="auto"/>
        </w:rPr>
        <w:t>The initial term of the lease commenced on January 1, 2016 with expected occupancy in late 2016, after certain leasehold improvements have been completed. The lease payments, which begin on October 1, 2016, will be approximately $15.4 million over the initial 10-year term. We also estimate payments for our pro rata share of certain real estate taxes, operating expenses and common area maintenance expenses to be approximately $0.9 million for the first year of the lease, and these payments will continue throughout the initial 10-year term. We expect to pay approximately $7.3 million for leasehold improvements, net of tenant improvement allowances. Pursuant to the lease, within six months of the expiration of the initial 10-year term, we have the option to extend the lease for up to two additional five-year terms, with certain annual increases in base rent.</w:t>
      </w:r>
    </w:p>
    <w:p>
      <w:pPr>
        <w:spacing w:after="0" w:line="165" w:lineRule="exact"/>
        <w:rPr>
          <w:sz w:val="20"/>
          <w:szCs w:val="20"/>
          <w:color w:val="auto"/>
        </w:rPr>
      </w:pPr>
    </w:p>
    <w:p>
      <w:pPr>
        <w:jc w:val="both"/>
        <w:ind w:right="80" w:firstLine="530"/>
        <w:spacing w:after="0" w:line="342" w:lineRule="auto"/>
        <w:rPr>
          <w:sz w:val="20"/>
          <w:szCs w:val="20"/>
          <w:color w:val="auto"/>
        </w:rPr>
      </w:pPr>
      <w:r>
        <w:rPr>
          <w:rFonts w:ascii="Arial" w:cs="Arial" w:eastAsia="Arial" w:hAnsi="Arial"/>
          <w:sz w:val="16"/>
          <w:szCs w:val="16"/>
          <w:color w:val="auto"/>
        </w:rPr>
        <w:t>Additionally, on January 8, 2016, we entered into an amendment to our current research facility office lease for property located at 465 Science Drive Suite C, Madison, Wisconsin with University Research Park, Incorporated that provides for an early termination of such lease effective on October 31, 2016.</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8" w:name="page29"/>
    <w:bookmarkEnd w:id="28"/>
    <w:p>
      <w:pPr>
        <w:ind w:right="280" w:firstLine="295"/>
        <w:spacing w:after="0" w:line="342" w:lineRule="auto"/>
        <w:rPr>
          <w:sz w:val="20"/>
          <w:szCs w:val="20"/>
          <w:color w:val="auto"/>
        </w:rPr>
      </w:pPr>
      <w:r>
        <w:rPr>
          <w:rFonts w:ascii="Arial" w:cs="Arial" w:eastAsia="Arial" w:hAnsi="Arial"/>
          <w:sz w:val="16"/>
          <w:szCs w:val="16"/>
          <w:color w:val="auto"/>
        </w:rPr>
        <w:t>These agreements represent the only material changes outside the ordinary course of business in the specified contractual obligations disclosure in our Annual Report on Form 10-K for the year ended September 30, 2015, filed with the Securities and Exchange Commission on December 14,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2015, filed with the Securities and Exchange Commission on December 14, 2015.</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individually or in the aggregate, will have a material adverse effect on our results of operations or financial condition. The information contained in Note 6 to the Consolidated Financial Statements under the heading “Litigation” in Part I, Item 1 is incorporated herein by reference.</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2015. Please carefully consider the information set forth in this Quarterly Report on Form 10-Q and the risk factors discussed in Part I, “Item 1A. Risk Factors” in our Annual Report on Form 10-K for the year ended September 30, 2015,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53"/>
        </w:trPr>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280" w:type="dxa"/>
            <w:vAlign w:val="bottom"/>
          </w:tcPr>
          <w:p>
            <w:pPr>
              <w:spacing w:after="0"/>
              <w:rPr>
                <w:sz w:val="10"/>
                <w:szCs w:val="10"/>
                <w:color w:val="auto"/>
              </w:rPr>
            </w:pP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Form</w:t>
            </w:r>
          </w:p>
        </w:tc>
        <w:tc>
          <w:tcPr>
            <w:tcW w:w="14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77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600" w:type="dxa"/>
            <w:vAlign w:val="bottom"/>
          </w:tcPr>
          <w:p>
            <w:pPr>
              <w:jc w:val="right"/>
              <w:ind w:right="275"/>
              <w:spacing w:after="0"/>
              <w:rPr>
                <w:sz w:val="20"/>
                <w:szCs w:val="20"/>
                <w:color w:val="auto"/>
              </w:rPr>
            </w:pPr>
            <w:r>
              <w:rPr>
                <w:rFonts w:ascii="Arial" w:cs="Arial" w:eastAsia="Arial" w:hAnsi="Arial"/>
                <w:sz w:val="18"/>
                <w:szCs w:val="18"/>
                <w:color w:val="auto"/>
                <w:w w:val="87"/>
              </w:rPr>
              <w:t>3.1</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w w:val="95"/>
              </w:rPr>
              <w:t>Certificate of Elimination of Series A Convertible Preferred Stock of Arrowhead Research Corporation</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92"/>
              </w:rPr>
              <w:t>Current Report on</w:t>
            </w:r>
          </w:p>
        </w:tc>
        <w:tc>
          <w:tcPr>
            <w:tcW w:w="1400" w:type="dxa"/>
            <w:vAlign w:val="bottom"/>
          </w:tcPr>
          <w:p>
            <w:pPr>
              <w:ind w:left="60"/>
              <w:spacing w:after="0"/>
              <w:rPr>
                <w:sz w:val="20"/>
                <w:szCs w:val="20"/>
                <w:color w:val="auto"/>
              </w:rPr>
            </w:pPr>
            <w:r>
              <w:rPr>
                <w:rFonts w:ascii="Arial" w:cs="Arial" w:eastAsia="Arial" w:hAnsi="Arial"/>
                <w:sz w:val="18"/>
                <w:szCs w:val="18"/>
                <w:color w:val="auto"/>
              </w:rPr>
              <w:t>April 6, 2016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Form 8-K, as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Exhibit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jc w:val="right"/>
              <w:ind w:right="275"/>
              <w:spacing w:after="0"/>
              <w:rPr>
                <w:sz w:val="20"/>
                <w:szCs w:val="20"/>
                <w:color w:val="auto"/>
              </w:rPr>
            </w:pPr>
            <w:r>
              <w:rPr>
                <w:rFonts w:ascii="Arial" w:cs="Arial" w:eastAsia="Arial" w:hAnsi="Arial"/>
                <w:sz w:val="18"/>
                <w:szCs w:val="18"/>
                <w:color w:val="auto"/>
                <w:w w:val="87"/>
              </w:rPr>
              <w:t>3.2</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w w:val="95"/>
              </w:rPr>
              <w:t>Certificate of Elimination of Series B Convertible Preferred Stock of Arrowhead Research Corporation</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92"/>
              </w:rPr>
              <w:t>Current Report on</w:t>
            </w:r>
          </w:p>
        </w:tc>
        <w:tc>
          <w:tcPr>
            <w:tcW w:w="1400" w:type="dxa"/>
            <w:vAlign w:val="bottom"/>
          </w:tcPr>
          <w:p>
            <w:pPr>
              <w:ind w:left="60"/>
              <w:spacing w:after="0"/>
              <w:rPr>
                <w:sz w:val="20"/>
                <w:szCs w:val="20"/>
                <w:color w:val="auto"/>
              </w:rPr>
            </w:pPr>
            <w:r>
              <w:rPr>
                <w:rFonts w:ascii="Arial" w:cs="Arial" w:eastAsia="Arial" w:hAnsi="Arial"/>
                <w:sz w:val="18"/>
                <w:szCs w:val="18"/>
                <w:color w:val="auto"/>
              </w:rPr>
              <w:t>April 6, 2016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Form 8-K, as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Exhibit 3.2</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jc w:val="right"/>
              <w:ind w:right="275"/>
              <w:spacing w:after="0"/>
              <w:rPr>
                <w:sz w:val="20"/>
                <w:szCs w:val="20"/>
                <w:color w:val="auto"/>
              </w:rPr>
            </w:pPr>
            <w:r>
              <w:rPr>
                <w:rFonts w:ascii="Arial" w:cs="Arial" w:eastAsia="Arial" w:hAnsi="Arial"/>
                <w:sz w:val="18"/>
                <w:szCs w:val="18"/>
                <w:color w:val="auto"/>
                <w:w w:val="87"/>
              </w:rPr>
              <w:t>3.3</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Amended and Restated Certificate of Incorporation of Arrowhead Research Corporation</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92"/>
              </w:rPr>
              <w:t>Current Report on</w:t>
            </w:r>
          </w:p>
        </w:tc>
        <w:tc>
          <w:tcPr>
            <w:tcW w:w="1400" w:type="dxa"/>
            <w:vAlign w:val="bottom"/>
          </w:tcPr>
          <w:p>
            <w:pPr>
              <w:ind w:left="60"/>
              <w:spacing w:after="0"/>
              <w:rPr>
                <w:sz w:val="20"/>
                <w:szCs w:val="20"/>
                <w:color w:val="auto"/>
              </w:rPr>
            </w:pPr>
            <w:r>
              <w:rPr>
                <w:rFonts w:ascii="Arial" w:cs="Arial" w:eastAsia="Arial" w:hAnsi="Arial"/>
                <w:sz w:val="18"/>
                <w:szCs w:val="18"/>
                <w:color w:val="auto"/>
              </w:rPr>
              <w:t>April 6, 2016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Form 8-K, as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Exhibit 3.3</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jc w:val="right"/>
              <w:ind w:right="275"/>
              <w:spacing w:after="0"/>
              <w:rPr>
                <w:sz w:val="20"/>
                <w:szCs w:val="20"/>
                <w:color w:val="auto"/>
              </w:rPr>
            </w:pPr>
            <w:r>
              <w:rPr>
                <w:rFonts w:ascii="Arial" w:cs="Arial" w:eastAsia="Arial" w:hAnsi="Arial"/>
                <w:sz w:val="18"/>
                <w:szCs w:val="18"/>
                <w:color w:val="auto"/>
                <w:w w:val="87"/>
              </w:rPr>
              <w:t>3.4</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Amended and Restated Bylaws of Arrowhead Pharmaceuticals, Inc.</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92"/>
              </w:rPr>
              <w:t>Current Report on</w:t>
            </w:r>
          </w:p>
        </w:tc>
        <w:tc>
          <w:tcPr>
            <w:tcW w:w="1400" w:type="dxa"/>
            <w:vAlign w:val="bottom"/>
          </w:tcPr>
          <w:p>
            <w:pPr>
              <w:ind w:left="60"/>
              <w:spacing w:after="0"/>
              <w:rPr>
                <w:sz w:val="20"/>
                <w:szCs w:val="20"/>
                <w:color w:val="auto"/>
              </w:rPr>
            </w:pPr>
            <w:r>
              <w:rPr>
                <w:rFonts w:ascii="Arial" w:cs="Arial" w:eastAsia="Arial" w:hAnsi="Arial"/>
                <w:sz w:val="18"/>
                <w:szCs w:val="18"/>
                <w:color w:val="auto"/>
              </w:rPr>
              <w:t>April 6, 2016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Form 8-K, as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Exhibit 3.4</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Pr>
          <w:p>
            <w:pPr>
              <w:jc w:val="right"/>
              <w:ind w:right="275"/>
              <w:spacing w:after="0"/>
              <w:rPr>
                <w:sz w:val="20"/>
                <w:szCs w:val="20"/>
                <w:color w:val="auto"/>
              </w:rPr>
            </w:pPr>
            <w:r>
              <w:rPr>
                <w:rFonts w:ascii="Arial" w:cs="Arial" w:eastAsia="Arial" w:hAnsi="Arial"/>
                <w:sz w:val="18"/>
                <w:szCs w:val="18"/>
                <w:color w:val="auto"/>
                <w:w w:val="87"/>
              </w:rPr>
              <w:t>4.1</w:t>
            </w: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Form of Common Stock Certificate of Arrowhead Pharmaceuticals, Inc.</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w w:val="92"/>
              </w:rPr>
              <w:t>Current Report on</w:t>
            </w:r>
          </w:p>
        </w:tc>
        <w:tc>
          <w:tcPr>
            <w:tcW w:w="1400" w:type="dxa"/>
            <w:vAlign w:val="bottom"/>
          </w:tcPr>
          <w:p>
            <w:pPr>
              <w:ind w:left="60"/>
              <w:spacing w:after="0"/>
              <w:rPr>
                <w:sz w:val="20"/>
                <w:szCs w:val="20"/>
                <w:color w:val="auto"/>
              </w:rPr>
            </w:pPr>
            <w:r>
              <w:rPr>
                <w:rFonts w:ascii="Arial" w:cs="Arial" w:eastAsia="Arial" w:hAnsi="Arial"/>
                <w:sz w:val="18"/>
                <w:szCs w:val="18"/>
                <w:color w:val="auto"/>
              </w:rPr>
              <w:t>April 6, 2016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Form 8-K, as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Exhibit 4.1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Lease Agreement between Arrowhead Madison Inc. and University Research Park, Incorporated, dated January 8, 2016</w:t>
      </w:r>
    </w:p>
    <w:p>
      <w:pPr>
        <w:spacing w:after="0" w:line="38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Rule 13a-14(a) of the Securities Exchange Act of 1934, as Adopted Pursuant to Section 302 of the Sarbanes-Oxley Act of 2002*</w:t>
      </w:r>
    </w:p>
    <w:p>
      <w:pPr>
        <w:spacing w:after="0" w:line="7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of the Securities Exchange Act of 1934, as Adopted Pursuant to Section 302 of the Sarbanes-Oxley Act of 2002*</w:t>
      </w:r>
    </w:p>
    <w:p>
      <w:pPr>
        <w:spacing w:after="0" w:line="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906 of the Sarbanes-Oxley Act of 2002**</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906 of the Sarbanes-Oxley Act of 2002**</w:t>
      </w:r>
    </w:p>
    <w:p>
      <w:pPr>
        <w:spacing w:after="0" w:line="116" w:lineRule="exact"/>
        <w:rPr>
          <w:sz w:val="20"/>
          <w:szCs w:val="20"/>
          <w:color w:val="auto"/>
        </w:rPr>
      </w:pPr>
    </w:p>
    <w:p>
      <w:pPr>
        <w:ind w:left="660" w:right="40" w:hanging="652"/>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materials from Registrant’s Quarterly Report on Form 10-Q for the quarter ended March 31, 2016,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00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Current Report on February 9,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3505" w:lineRule="exact"/>
        <w:rPr>
          <w:sz w:val="20"/>
          <w:szCs w:val="20"/>
          <w:color w:val="auto"/>
        </w:rPr>
      </w:pPr>
    </w:p>
    <w:p>
      <w:pPr>
        <w:sectPr>
          <w:pgSz w:w="11900" w:h="16838" w:orient="portrait"/>
          <w:cols w:equalWidth="0" w:num="2">
            <w:col w:w="8620" w:space="40"/>
            <w:col w:w="2760"/>
          </w:cols>
          <w:pgMar w:left="240" w:top="121" w:right="239" w:bottom="1440" w:gutter="0" w:footer="0" w:header="0"/>
          <w:type w:val="continuous"/>
        </w:sect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2016</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21"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3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1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3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March 31, 2016,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31" w:lineRule="exact"/>
        <w:rPr>
          <w:sz w:val="20"/>
          <w:szCs w:val="20"/>
          <w:color w:val="auto"/>
        </w:rPr>
      </w:pPr>
    </w:p>
    <w:p>
      <w:pPr>
        <w:jc w:val="center"/>
        <w:ind w:right="53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1260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March 31, 2016,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3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2019-12-29T11:27:25Z</dcterms:created>
  <dcterms:modified xsi:type="dcterms:W3CDTF">2019-12-29T11:27:25Z</dcterms:modified>
</cp:coreProperties>
</file>