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00" w:right="240" w:hanging="492"/>
        <w:spacing w:after="0" w:line="236" w:lineRule="auto"/>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08" w:lineRule="exact"/>
        <w:rPr>
          <w:sz w:val="24"/>
          <w:szCs w:val="24"/>
          <w:color w:val="auto"/>
        </w:rPr>
      </w:pPr>
    </w:p>
    <w:p>
      <w:pPr>
        <w:ind w:left="500" w:right="220" w:hanging="492"/>
        <w:spacing w:after="0" w:line="256" w:lineRule="auto"/>
        <w:tabs>
          <w:tab w:leader="none" w:pos="5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ind w:left="4000"/>
        <w:spacing w:after="0"/>
        <w:tabs>
          <w:tab w:leader="none" w:pos="6620" w:val="left"/>
          <w:tab w:leader="none" w:pos="70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117"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Commission file number 001-38042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ARROWHEAD PHARMACEUTICALS,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p>
      <w:pPr>
        <w:spacing w:after="0" w:line="273"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46-0408024</w:t>
      </w:r>
    </w:p>
    <w:p>
      <w:pPr>
        <w:spacing w:after="0" w:line="50" w:lineRule="exact"/>
        <w:rPr>
          <w:sz w:val="24"/>
          <w:szCs w:val="24"/>
          <w:color w:val="auto"/>
        </w:rPr>
      </w:pPr>
    </w:p>
    <w:p>
      <w:pPr>
        <w:sectPr>
          <w:pgSz w:w="11900" w:h="16838" w:orient="portrait"/>
          <w:cols w:equalWidth="0" w:num="2">
            <w:col w:w="7320" w:space="720"/>
            <w:col w:w="3200"/>
          </w:cols>
          <w:pgMar w:left="320" w:top="517" w:right="339" w:bottom="1440" w:gutter="0" w:footer="0" w:header="0"/>
          <w:type w:val="continuous"/>
        </w:sectPr>
      </w:pPr>
    </w:p>
    <w:p>
      <w:pPr>
        <w:ind w:left="96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56" w:lineRule="exact"/>
        <w:rPr>
          <w:sz w:val="24"/>
          <w:szCs w:val="24"/>
          <w:color w:val="auto"/>
        </w:rPr>
      </w:pPr>
    </w:p>
    <w:p>
      <w:pPr>
        <w:sectPr>
          <w:pgSz w:w="11900" w:h="16838" w:orient="portrait"/>
          <w:cols w:equalWidth="0" w:num="2">
            <w:col w:w="6660" w:space="720"/>
            <w:col w:w="3860"/>
          </w:cols>
          <w:pgMar w:left="320" w:top="517"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177 E. Colorado Blvd, Suite 700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Pasadena, California 91105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(626) 304-3400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and telephone number of principal executive offices)</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 N/A</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w w:val="98"/>
              </w:rPr>
              <w:t>Securities registered pursuant to Section 12(b) of the Exchange Act:</w:t>
            </w:r>
          </w:p>
        </w:tc>
        <w:tc>
          <w:tcPr>
            <w:tcW w:w="2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Pr>
          <w:p>
            <w:pPr>
              <w:spacing w:after="0"/>
              <w:rPr>
                <w:sz w:val="17"/>
                <w:szCs w:val="17"/>
                <w:color w:val="auto"/>
              </w:rPr>
            </w:pPr>
          </w:p>
        </w:tc>
      </w:tr>
      <w:tr>
        <w:trPr>
          <w:trHeight w:val="226"/>
        </w:trPr>
        <w:tc>
          <w:tcPr>
            <w:tcW w:w="4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0"/>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Stock, par value $0.001 per share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ARWR</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The Nasdaq Global Select Market</w:t>
            </w:r>
          </w:p>
        </w:tc>
      </w:tr>
    </w:tbl>
    <w:p>
      <w:pPr>
        <w:spacing w:after="0" w:line="56"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4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3460" w:type="dxa"/>
            <w:vAlign w:val="bottom"/>
          </w:tcPr>
          <w:p>
            <w:pPr>
              <w:spacing w:after="0"/>
              <w:rPr>
                <w:sz w:val="20"/>
                <w:szCs w:val="20"/>
                <w:color w:val="auto"/>
              </w:rPr>
            </w:pPr>
            <w:r>
              <w:rPr>
                <w:rFonts w:ascii="Arial" w:cs="Arial" w:eastAsia="Arial" w:hAnsi="Arial"/>
                <w:sz w:val="18"/>
                <w:szCs w:val="18"/>
                <w:color w:val="auto"/>
              </w:rPr>
              <w:t>Non-Accelerated Filer</w:t>
            </w:r>
          </w:p>
        </w:tc>
        <w:tc>
          <w:tcPr>
            <w:tcW w:w="19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340"/>
              <w:spacing w:after="0"/>
              <w:rPr>
                <w:sz w:val="20"/>
                <w:szCs w:val="20"/>
                <w:color w:val="auto"/>
              </w:rPr>
            </w:pPr>
            <w:r>
              <w:rPr>
                <w:rFonts w:ascii="Arial" w:cs="Arial" w:eastAsia="Arial" w:hAnsi="Arial"/>
                <w:sz w:val="18"/>
                <w:szCs w:val="18"/>
                <w:color w:val="auto"/>
              </w:rPr>
              <w:t>Smaller Reporting Company</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34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9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87"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right="17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the registrant’s common stock outstanding as of May 5, 2022 was 105,736,200.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3160" w:type="dxa"/>
            <w:vAlign w:val="bottom"/>
            <w:gridSpan w:val="9"/>
            <w:vMerge w:val="restart"/>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 — FINANCIAL INFORMATION</w:t>
              </w:r>
            </w:hyperlink>
          </w:p>
        </w:tc>
        <w:tc>
          <w:tcPr>
            <w:tcW w:w="7340" w:type="dxa"/>
            <w:vAlign w:val="bottom"/>
            <w:gridSpan w:val="8"/>
            <w:vMerge w:val="restart"/>
          </w:tcPr>
          <w:p>
            <w:pPr>
              <w:spacing w:after="0"/>
              <w:rPr>
                <w:sz w:val="14"/>
                <w:szCs w:val="14"/>
                <w:color w:val="auto"/>
              </w:rPr>
            </w:pP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47"/>
        </w:trPr>
        <w:tc>
          <w:tcPr>
            <w:tcW w:w="3160" w:type="dxa"/>
            <w:vAlign w:val="bottom"/>
            <w:tcBorders>
              <w:bottom w:val="single" w:sz="8" w:color="0000EE"/>
            </w:tcBorders>
            <w:gridSpan w:val="9"/>
            <w:vMerge w:val="continue"/>
          </w:tcPr>
          <w:p>
            <w:pPr>
              <w:spacing w:after="0"/>
              <w:rPr>
                <w:sz w:val="12"/>
                <w:szCs w:val="12"/>
                <w:color w:val="auto"/>
              </w:rPr>
            </w:pPr>
          </w:p>
        </w:tc>
        <w:tc>
          <w:tcPr>
            <w:tcW w:w="7340" w:type="dxa"/>
            <w:vAlign w:val="bottom"/>
            <w:gridSpan w:val="8"/>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10500" w:type="dxa"/>
            <w:vAlign w:val="bottom"/>
            <w:gridSpan w:val="17"/>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ITEM 1. FINANCIAL STATEMENTS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2240" w:type="dxa"/>
            <w:vAlign w:val="bottom"/>
            <w:tcBorders>
              <w:top w:val="single" w:sz="8" w:color="0000EE"/>
            </w:tcBorders>
            <w:gridSpan w:val="5"/>
          </w:tcPr>
          <w:p>
            <w:pPr>
              <w:spacing w:after="0"/>
              <w:rPr>
                <w:rFonts w:ascii="Arial" w:cs="Arial" w:eastAsia="Arial" w:hAnsi="Arial"/>
                <w:sz w:val="17"/>
                <w:szCs w:val="17"/>
                <w:color w:val="0000EE"/>
                <w:w w:val="99"/>
              </w:rPr>
            </w:pPr>
            <w:hyperlink w:anchor="page3">
              <w:r>
                <w:rPr>
                  <w:rFonts w:ascii="Arial" w:cs="Arial" w:eastAsia="Arial" w:hAnsi="Arial"/>
                  <w:sz w:val="17"/>
                  <w:szCs w:val="17"/>
                  <w:color w:val="0000EE"/>
                  <w:w w:val="99"/>
                </w:rPr>
                <w:t>Consolidated Balance Sheets</w:t>
              </w:r>
            </w:hyperlink>
          </w:p>
        </w:tc>
        <w:tc>
          <w:tcPr>
            <w:tcW w:w="7820" w:type="dxa"/>
            <w:vAlign w:val="bottom"/>
            <w:gridSpan w:val="11"/>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5120" w:type="dxa"/>
            <w:vAlign w:val="bottom"/>
            <w:tcBorders>
              <w:bottom w:val="single" w:sz="8" w:color="0000EE"/>
            </w:tcBorders>
            <w:gridSpan w:val="12"/>
          </w:tcPr>
          <w:p>
            <w:pPr>
              <w:spacing w:after="0"/>
              <w:rPr>
                <w:rFonts w:ascii="Arial" w:cs="Arial" w:eastAsia="Arial" w:hAnsi="Arial"/>
                <w:sz w:val="17"/>
                <w:szCs w:val="17"/>
                <w:color w:val="0000EE"/>
                <w:w w:val="90"/>
              </w:rPr>
            </w:pPr>
            <w:hyperlink w:anchor="page4">
              <w:r>
                <w:rPr>
                  <w:rFonts w:ascii="Arial" w:cs="Arial" w:eastAsia="Arial" w:hAnsi="Arial"/>
                  <w:sz w:val="17"/>
                  <w:szCs w:val="17"/>
                  <w:color w:val="0000EE"/>
                  <w:w w:val="90"/>
                </w:rPr>
                <w:t>Consolidated Statements of Operations and Comprehensive Income (Loss)</w:t>
              </w:r>
            </w:hyperlink>
          </w:p>
        </w:tc>
        <w:tc>
          <w:tcPr>
            <w:tcW w:w="494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060" w:type="dxa"/>
            <w:vAlign w:val="bottom"/>
            <w:gridSpan w:val="16"/>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Consolidated Statements of Stockholders’ Equity</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360" w:type="dxa"/>
            <w:vAlign w:val="bottom"/>
            <w:tcBorders>
              <w:top w:val="single" w:sz="8" w:color="0000EE"/>
            </w:tcBorders>
            <w:gridSpan w:val="11"/>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Consolidated Statements of Cash Flows</w:t>
              </w:r>
            </w:hyperlink>
          </w:p>
        </w:tc>
        <w:tc>
          <w:tcPr>
            <w:tcW w:w="670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060" w:type="dxa"/>
            <w:vAlign w:val="bottom"/>
            <w:gridSpan w:val="16"/>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Notes to Consolidated Financial Statements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80" w:type="dxa"/>
            <w:vAlign w:val="bottom"/>
            <w:tcBorders>
              <w:bottom w:val="single" w:sz="8" w:color="0000EE"/>
            </w:tcBorders>
            <w:gridSpan w:val="16"/>
          </w:tcPr>
          <w:p>
            <w:pPr>
              <w:spacing w:after="0"/>
              <w:rPr>
                <w:rFonts w:ascii="Arial" w:cs="Arial" w:eastAsia="Arial" w:hAnsi="Arial"/>
                <w:sz w:val="18"/>
                <w:szCs w:val="18"/>
                <w:color w:val="0000EE"/>
                <w:w w:val="98"/>
              </w:rPr>
            </w:pPr>
            <w:hyperlink w:anchor="page20">
              <w:r>
                <w:rPr>
                  <w:rFonts w:ascii="Arial" w:cs="Arial" w:eastAsia="Arial" w:hAnsi="Arial"/>
                  <w:sz w:val="18"/>
                  <w:szCs w:val="18"/>
                  <w:color w:val="0000EE"/>
                  <w:w w:val="98"/>
                </w:rPr>
                <w:t>ITEM 2. MANAGEMENT’S DISCUSSION AND ANALYSIS OF FINANCIAL CONDITION AND RESULTS OF OPERATIONS</w:t>
              </w:r>
            </w:hyperlink>
          </w:p>
        </w:tc>
        <w:tc>
          <w:tcPr>
            <w:tcW w:w="8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63"/>
        </w:trPr>
        <w:tc>
          <w:tcPr>
            <w:tcW w:w="10500" w:type="dxa"/>
            <w:vAlign w:val="bottom"/>
            <w:gridSpan w:val="17"/>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ITEM 3. QUANTITATIVE AND QUALITATIVE DISCLOSURES ABOUT MARKET RISK</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04"/>
        </w:trPr>
        <w:tc>
          <w:tcPr>
            <w:tcW w:w="6460" w:type="dxa"/>
            <w:vAlign w:val="bottom"/>
            <w:tcBorders>
              <w:top w:val="single" w:sz="8" w:color="0000EE"/>
            </w:tcBorders>
            <w:gridSpan w:val="15"/>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ITEM 4. CONTROLS AND PROCEDURES</w:t>
              </w:r>
            </w:hyperlink>
          </w:p>
        </w:tc>
        <w:tc>
          <w:tcPr>
            <w:tcW w:w="404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04"/>
        </w:trPr>
        <w:tc>
          <w:tcPr>
            <w:tcW w:w="3160" w:type="dxa"/>
            <w:vAlign w:val="bottom"/>
            <w:tcBorders>
              <w:top w:val="single" w:sz="8" w:color="0000EE"/>
            </w:tcBorders>
            <w:gridSpan w:val="9"/>
          </w:tcPr>
          <w:p>
            <w:pPr>
              <w:spacing w:after="0"/>
              <w:rPr>
                <w:rFonts w:ascii="Arial" w:cs="Arial" w:eastAsia="Arial" w:hAnsi="Arial"/>
                <w:sz w:val="17"/>
                <w:szCs w:val="17"/>
                <w:b w:val="1"/>
                <w:bCs w:val="1"/>
                <w:color w:val="0000EE"/>
              </w:rPr>
            </w:pPr>
            <w:hyperlink w:anchor="page32">
              <w:r>
                <w:rPr>
                  <w:rFonts w:ascii="Arial" w:cs="Arial" w:eastAsia="Arial" w:hAnsi="Arial"/>
                  <w:sz w:val="17"/>
                  <w:szCs w:val="17"/>
                  <w:b w:val="1"/>
                  <w:bCs w:val="1"/>
                  <w:color w:val="0000EE"/>
                </w:rPr>
                <w:t>PART II — OTHER INFORMATION</w:t>
              </w:r>
            </w:hyperlink>
          </w:p>
        </w:tc>
        <w:tc>
          <w:tcPr>
            <w:tcW w:w="734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304"/>
        </w:trPr>
        <w:tc>
          <w:tcPr>
            <w:tcW w:w="2420" w:type="dxa"/>
            <w:vAlign w:val="bottom"/>
            <w:tcBorders>
              <w:top w:val="single" w:sz="8" w:color="0000EE"/>
              <w:bottom w:val="single" w:sz="8" w:color="0000EE"/>
            </w:tcBorders>
            <w:gridSpan w:val="5"/>
          </w:tcPr>
          <w:p>
            <w:pPr>
              <w:spacing w:after="0"/>
              <w:rPr>
                <w:rFonts w:ascii="Arial" w:cs="Arial" w:eastAsia="Arial" w:hAnsi="Arial"/>
                <w:sz w:val="17"/>
                <w:szCs w:val="17"/>
                <w:color w:val="0000EE"/>
                <w:w w:val="96"/>
              </w:rPr>
            </w:pPr>
            <w:hyperlink w:anchor="page32">
              <w:r>
                <w:rPr>
                  <w:rFonts w:ascii="Arial" w:cs="Arial" w:eastAsia="Arial" w:hAnsi="Arial"/>
                  <w:sz w:val="17"/>
                  <w:szCs w:val="17"/>
                  <w:color w:val="0000EE"/>
                  <w:w w:val="96"/>
                </w:rPr>
                <w:t>ITEM 1. LEGAL PROCEEDINGS</w:t>
              </w:r>
            </w:hyperlink>
          </w:p>
        </w:tc>
        <w:tc>
          <w:tcPr>
            <w:tcW w:w="380" w:type="dxa"/>
            <w:vAlign w:val="bottom"/>
            <w:tcBorders>
              <w:top w:val="single" w:sz="8" w:color="0000EE"/>
            </w:tcBorders>
            <w:gridSpan w:val="2"/>
          </w:tcPr>
          <w:p>
            <w:pPr>
              <w:spacing w:after="0"/>
              <w:rPr>
                <w:sz w:val="24"/>
                <w:szCs w:val="24"/>
                <w:color w:val="auto"/>
              </w:rPr>
            </w:pPr>
          </w:p>
        </w:tc>
        <w:tc>
          <w:tcPr>
            <w:tcW w:w="7700" w:type="dxa"/>
            <w:vAlign w:val="bottom"/>
            <w:gridSpan w:val="10"/>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304"/>
        </w:trPr>
        <w:tc>
          <w:tcPr>
            <w:tcW w:w="10500" w:type="dxa"/>
            <w:vAlign w:val="bottom"/>
            <w:gridSpan w:val="17"/>
          </w:tcPr>
          <w:p>
            <w:pPr>
              <w:spacing w:after="0"/>
              <w:rPr>
                <w:rFonts w:ascii="Arial" w:cs="Arial" w:eastAsia="Arial" w:hAnsi="Arial"/>
                <w:sz w:val="17"/>
                <w:szCs w:val="17"/>
                <w:color w:val="0000EE"/>
              </w:rPr>
            </w:pPr>
            <w:hyperlink w:anchor="page32">
              <w:r>
                <w:rPr>
                  <w:rFonts w:ascii="Arial" w:cs="Arial" w:eastAsia="Arial" w:hAnsi="Arial"/>
                  <w:sz w:val="17"/>
                  <w:szCs w:val="17"/>
                  <w:color w:val="0000EE"/>
                </w:rPr>
                <w:t>ITEM 1A. RISK FACTORS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
        </w:trPr>
        <w:tc>
          <w:tcPr>
            <w:tcW w:w="9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00" w:type="dxa"/>
            <w:vAlign w:val="bottom"/>
            <w:gridSpan w:val="17"/>
          </w:tcPr>
          <w:p>
            <w:pPr>
              <w:spacing w:after="0"/>
              <w:rPr>
                <w:rFonts w:ascii="Arial" w:cs="Arial" w:eastAsia="Arial" w:hAnsi="Arial"/>
                <w:sz w:val="17"/>
                <w:szCs w:val="17"/>
                <w:color w:val="0000EE"/>
              </w:rPr>
            </w:pPr>
            <w:hyperlink w:anchor="page33">
              <w:r>
                <w:rPr>
                  <w:rFonts w:ascii="Arial" w:cs="Arial" w:eastAsia="Arial" w:hAnsi="Arial"/>
                  <w:sz w:val="17"/>
                  <w:szCs w:val="17"/>
                  <w:color w:val="0000EE"/>
                </w:rPr>
                <w:t>ITEM 2. UNREGISTERED SALES OF EQUITY SECURITIES AND USE OF PROCEEDS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304"/>
        </w:trPr>
        <w:tc>
          <w:tcPr>
            <w:tcW w:w="6400" w:type="dxa"/>
            <w:vAlign w:val="bottom"/>
            <w:tcBorders>
              <w:top w:val="single" w:sz="8" w:color="0000EE"/>
            </w:tcBorders>
            <w:gridSpan w:val="14"/>
          </w:tcPr>
          <w:p>
            <w:pPr>
              <w:spacing w:after="0"/>
              <w:rPr>
                <w:rFonts w:ascii="Arial" w:cs="Arial" w:eastAsia="Arial" w:hAnsi="Arial"/>
                <w:sz w:val="17"/>
                <w:szCs w:val="17"/>
                <w:color w:val="0000EE"/>
              </w:rPr>
            </w:pPr>
            <w:hyperlink w:anchor="page33">
              <w:r>
                <w:rPr>
                  <w:rFonts w:ascii="Arial" w:cs="Arial" w:eastAsia="Arial" w:hAnsi="Arial"/>
                  <w:sz w:val="17"/>
                  <w:szCs w:val="17"/>
                  <w:color w:val="0000EE"/>
                </w:rPr>
                <w:t>ITEM 3. DEFAULTS UPON SENIOR SECURITIES</w:t>
              </w:r>
            </w:hyperlink>
          </w:p>
        </w:tc>
        <w:tc>
          <w:tcPr>
            <w:tcW w:w="410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304"/>
        </w:trPr>
        <w:tc>
          <w:tcPr>
            <w:tcW w:w="2960" w:type="dxa"/>
            <w:vAlign w:val="bottom"/>
            <w:tcBorders>
              <w:top w:val="single" w:sz="8" w:color="0000EE"/>
              <w:bottom w:val="single" w:sz="8" w:color="0000EE"/>
            </w:tcBorders>
            <w:gridSpan w:val="8"/>
          </w:tcPr>
          <w:p>
            <w:pPr>
              <w:spacing w:after="0"/>
              <w:rPr>
                <w:rFonts w:ascii="Arial" w:cs="Arial" w:eastAsia="Arial" w:hAnsi="Arial"/>
                <w:sz w:val="17"/>
                <w:szCs w:val="17"/>
                <w:color w:val="0000EE"/>
                <w:w w:val="96"/>
              </w:rPr>
            </w:pPr>
            <w:hyperlink w:anchor="page33">
              <w:r>
                <w:rPr>
                  <w:rFonts w:ascii="Arial" w:cs="Arial" w:eastAsia="Arial" w:hAnsi="Arial"/>
                  <w:sz w:val="17"/>
                  <w:szCs w:val="17"/>
                  <w:color w:val="0000EE"/>
                  <w:w w:val="96"/>
                </w:rPr>
                <w:t>ITEM 4. MINE SAFETY DISCLOSURES</w:t>
              </w:r>
            </w:hyperlink>
          </w:p>
        </w:tc>
        <w:tc>
          <w:tcPr>
            <w:tcW w:w="700" w:type="dxa"/>
            <w:vAlign w:val="bottom"/>
            <w:tcBorders>
              <w:top w:val="single" w:sz="8" w:color="0000EE"/>
            </w:tcBorders>
            <w:gridSpan w:val="3"/>
          </w:tcPr>
          <w:p>
            <w:pPr>
              <w:spacing w:after="0"/>
              <w:rPr>
                <w:sz w:val="24"/>
                <w:szCs w:val="24"/>
                <w:color w:val="auto"/>
              </w:rPr>
            </w:pPr>
          </w:p>
        </w:tc>
        <w:tc>
          <w:tcPr>
            <w:tcW w:w="684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304"/>
        </w:trPr>
        <w:tc>
          <w:tcPr>
            <w:tcW w:w="10500" w:type="dxa"/>
            <w:vAlign w:val="bottom"/>
            <w:gridSpan w:val="17"/>
          </w:tcPr>
          <w:p>
            <w:pPr>
              <w:spacing w:after="0"/>
              <w:rPr>
                <w:rFonts w:ascii="Arial" w:cs="Arial" w:eastAsia="Arial" w:hAnsi="Arial"/>
                <w:sz w:val="17"/>
                <w:szCs w:val="17"/>
                <w:color w:val="0000EE"/>
              </w:rPr>
            </w:pPr>
            <w:hyperlink w:anchor="page33">
              <w:r>
                <w:rPr>
                  <w:rFonts w:ascii="Arial" w:cs="Arial" w:eastAsia="Arial" w:hAnsi="Arial"/>
                  <w:sz w:val="17"/>
                  <w:szCs w:val="17"/>
                  <w:color w:val="0000EE"/>
                </w:rPr>
                <w:t>ITEM 5. OTHER INFORMATION</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304"/>
        </w:trPr>
        <w:tc>
          <w:tcPr>
            <w:tcW w:w="1420" w:type="dxa"/>
            <w:vAlign w:val="bottom"/>
            <w:tcBorders>
              <w:top w:val="single" w:sz="8" w:color="0000EE"/>
              <w:bottom w:val="single" w:sz="8" w:color="0000EE"/>
            </w:tcBorders>
            <w:gridSpan w:val="3"/>
          </w:tcPr>
          <w:p>
            <w:pPr>
              <w:spacing w:after="0"/>
              <w:rPr>
                <w:rFonts w:ascii="Arial" w:cs="Arial" w:eastAsia="Arial" w:hAnsi="Arial"/>
                <w:sz w:val="17"/>
                <w:szCs w:val="17"/>
                <w:color w:val="0000EE"/>
                <w:w w:val="98"/>
              </w:rPr>
            </w:pPr>
            <w:hyperlink w:anchor="page34">
              <w:r>
                <w:rPr>
                  <w:rFonts w:ascii="Arial" w:cs="Arial" w:eastAsia="Arial" w:hAnsi="Arial"/>
                  <w:sz w:val="17"/>
                  <w:szCs w:val="17"/>
                  <w:color w:val="0000EE"/>
                  <w:w w:val="98"/>
                </w:rPr>
                <w:t>ITEM 6. EXHIBITS</w:t>
              </w:r>
            </w:hyperlink>
          </w:p>
        </w:tc>
        <w:tc>
          <w:tcPr>
            <w:tcW w:w="1000" w:type="dxa"/>
            <w:vAlign w:val="bottom"/>
            <w:tcBorders>
              <w:top w:val="single" w:sz="8" w:color="0000EE"/>
            </w:tcBorders>
            <w:gridSpan w:val="2"/>
          </w:tcPr>
          <w:p>
            <w:pPr>
              <w:spacing w:after="0"/>
              <w:rPr>
                <w:sz w:val="24"/>
                <w:szCs w:val="24"/>
                <w:color w:val="auto"/>
              </w:rPr>
            </w:pPr>
          </w:p>
        </w:tc>
        <w:tc>
          <w:tcPr>
            <w:tcW w:w="8080" w:type="dxa"/>
            <w:vAlign w:val="bottom"/>
            <w:gridSpan w:val="1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304"/>
        </w:trPr>
        <w:tc>
          <w:tcPr>
            <w:tcW w:w="10500" w:type="dxa"/>
            <w:vAlign w:val="bottom"/>
            <w:gridSpan w:val="17"/>
          </w:tcPr>
          <w:p>
            <w:pPr>
              <w:spacing w:after="0"/>
              <w:rPr>
                <w:rFonts w:ascii="Arial" w:cs="Arial" w:eastAsia="Arial" w:hAnsi="Arial"/>
                <w:sz w:val="17"/>
                <w:szCs w:val="17"/>
                <w:color w:val="0000EE"/>
              </w:rPr>
            </w:pPr>
            <w:hyperlink w:anchor="page35">
              <w:r>
                <w:rPr>
                  <w:rFonts w:ascii="Arial" w:cs="Arial" w:eastAsia="Arial" w:hAnsi="Arial"/>
                  <w:sz w:val="17"/>
                  <w:szCs w:val="17"/>
                  <w:color w:val="0000EE"/>
                </w:rPr>
                <w:t>SIGNATURE</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783"/>
        </w:trPr>
        <w:tc>
          <w:tcPr>
            <w:tcW w:w="440" w:type="dxa"/>
            <w:vAlign w:val="bottom"/>
            <w:tcBorders>
              <w:top w:val="single" w:sz="8" w:color="0000EE"/>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780" w:type="dxa"/>
            <w:vAlign w:val="bottom"/>
          </w:tcPr>
          <w:p>
            <w:pPr>
              <w:jc w:val="center"/>
              <w:ind w:left="2990"/>
              <w:spacing w:after="0"/>
              <w:rPr>
                <w:sz w:val="20"/>
                <w:szCs w:val="20"/>
                <w:color w:val="auto"/>
              </w:rPr>
            </w:pPr>
            <w:r>
              <w:rPr>
                <w:rFonts w:ascii="Arial" w:cs="Arial" w:eastAsia="Arial" w:hAnsi="Arial"/>
                <w:sz w:val="18"/>
                <w:szCs w:val="18"/>
                <w:b w:val="1"/>
                <w:bCs w:val="1"/>
                <w:color w:val="auto"/>
              </w:rPr>
              <w:t>PART I. FINANCIAL INFORMATION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780" w:type="dxa"/>
            <w:vAlign w:val="bottom"/>
          </w:tcPr>
          <w:p>
            <w:pPr>
              <w:ind w:left="460"/>
              <w:spacing w:after="0"/>
              <w:rPr>
                <w:sz w:val="20"/>
                <w:szCs w:val="20"/>
                <w:color w:val="auto"/>
              </w:rPr>
            </w:pPr>
            <w:r>
              <w:rPr>
                <w:rFonts w:ascii="Arial" w:cs="Arial" w:eastAsia="Arial" w:hAnsi="Arial"/>
                <w:sz w:val="18"/>
                <w:szCs w:val="18"/>
                <w:b w:val="1"/>
                <w:bCs w:val="1"/>
                <w:color w:val="auto"/>
              </w:rPr>
              <w:t>FINANCIAL STATEMENTS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0" w:type="dxa"/>
            <w:vAlign w:val="bottom"/>
          </w:tcPr>
          <w:p>
            <w:pPr>
              <w:spacing w:after="0"/>
              <w:rPr>
                <w:sz w:val="24"/>
                <w:szCs w:val="24"/>
                <w:color w:val="auto"/>
              </w:rPr>
            </w:pPr>
          </w:p>
        </w:tc>
        <w:tc>
          <w:tcPr>
            <w:tcW w:w="6780" w:type="dxa"/>
            <w:vAlign w:val="bottom"/>
          </w:tcPr>
          <w:p>
            <w:pPr>
              <w:jc w:val="center"/>
              <w:ind w:left="2990"/>
              <w:spacing w:after="0"/>
              <w:rPr>
                <w:sz w:val="20"/>
                <w:szCs w:val="20"/>
                <w:color w:val="auto"/>
              </w:rPr>
            </w:pPr>
            <w:r>
              <w:rPr>
                <w:rFonts w:ascii="Arial" w:cs="Arial" w:eastAsia="Arial" w:hAnsi="Arial"/>
                <w:sz w:val="18"/>
                <w:szCs w:val="18"/>
                <w:b w:val="1"/>
                <w:bCs w:val="1"/>
                <w:color w:val="auto"/>
                <w:w w:val="91"/>
              </w:rPr>
              <w:t>Arrowhead Pharmaceuticals, Inc.</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780" w:type="dxa"/>
            <w:vAlign w:val="bottom"/>
          </w:tcPr>
          <w:p>
            <w:pPr>
              <w:jc w:val="center"/>
              <w:ind w:left="2970"/>
              <w:spacing w:after="0"/>
              <w:rPr>
                <w:sz w:val="20"/>
                <w:szCs w:val="20"/>
                <w:color w:val="auto"/>
              </w:rPr>
            </w:pPr>
            <w:r>
              <w:rPr>
                <w:rFonts w:ascii="Arial" w:cs="Arial" w:eastAsia="Arial" w:hAnsi="Arial"/>
                <w:sz w:val="18"/>
                <w:szCs w:val="18"/>
                <w:b w:val="1"/>
                <w:bCs w:val="1"/>
                <w:color w:val="auto"/>
                <w:w w:val="87"/>
              </w:rPr>
              <w:t>Consolidated Balance Sheets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6780" w:type="dxa"/>
            <w:vAlign w:val="bottom"/>
          </w:tcPr>
          <w:p>
            <w:pPr>
              <w:jc w:val="center"/>
              <w:ind w:left="297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7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September 30, 2021</w:t>
            </w: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 2022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00" w:type="dxa"/>
            <w:vAlign w:val="bottom"/>
            <w:tcBorders>
              <w:top w:val="single" w:sz="8" w:color="CFF0FC"/>
            </w:tcBorders>
            <w:shd w:val="clear" w:color="auto" w:fill="CFF0FC"/>
          </w:tcPr>
          <w:p>
            <w:pPr>
              <w:spacing w:after="0"/>
              <w:rPr>
                <w:sz w:val="19"/>
                <w:szCs w:val="19"/>
                <w:color w:val="auto"/>
              </w:rPr>
            </w:pPr>
          </w:p>
        </w:tc>
        <w:tc>
          <w:tcPr>
            <w:tcW w:w="6780" w:type="dxa"/>
            <w:vAlign w:val="bottom"/>
            <w:tcBorders>
              <w:top w:val="single" w:sz="8" w:color="CFF0FC"/>
            </w:tcBorders>
            <w:shd w:val="clear" w:color="auto" w:fill="CFF0FC"/>
          </w:tcPr>
          <w:p>
            <w:pPr>
              <w:ind w:left="2720"/>
              <w:spacing w:after="0"/>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86,408</w:t>
            </w:r>
          </w:p>
        </w:tc>
        <w:tc>
          <w:tcPr>
            <w:tcW w:w="2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9"/>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ind w:left="50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1,317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tcPr>
          <w:p>
            <w:pPr>
              <w:ind w:left="50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7,796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122,575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Short term investments</w:t>
            </w: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192,912</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shd w:val="clear" w:color="auto" w:fill="CFF0FC"/>
          </w:tcPr>
          <w:p>
            <w:pPr>
              <w:spacing w:after="0"/>
              <w:rPr>
                <w:sz w:val="19"/>
                <w:szCs w:val="19"/>
                <w:color w:val="auto"/>
              </w:rPr>
            </w:pPr>
          </w:p>
        </w:tc>
        <w:tc>
          <w:tcPr>
            <w:tcW w:w="678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417,630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384,597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54,888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tcPr>
          <w:p>
            <w:pPr>
              <w:ind w:left="140"/>
              <w:spacing w:after="0"/>
              <w:rPr>
                <w:sz w:val="20"/>
                <w:szCs w:val="20"/>
                <w:color w:val="auto"/>
              </w:rPr>
            </w:pPr>
            <w:r>
              <w:rPr>
                <w:rFonts w:ascii="Arial" w:cs="Arial" w:eastAsia="Arial" w:hAnsi="Arial"/>
                <w:sz w:val="18"/>
                <w:szCs w:val="18"/>
                <w:color w:val="auto"/>
              </w:rPr>
              <w:t>Long term investments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201,590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245,595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Right-of-use assets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16,379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Borders>
              <w:bottom w:val="single" w:sz="8" w:color="CFF0FC"/>
            </w:tcBorders>
            <w:shd w:val="clear" w:color="auto" w:fill="CFF0FC"/>
          </w:tcPr>
          <w:p>
            <w:pPr>
              <w:spacing w:after="0"/>
              <w:rPr>
                <w:sz w:val="19"/>
                <w:szCs w:val="19"/>
                <w:color w:val="auto"/>
              </w:rPr>
            </w:pPr>
          </w:p>
        </w:tc>
        <w:tc>
          <w:tcPr>
            <w:tcW w:w="67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703,575</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710,148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780" w:type="dxa"/>
            <w:vAlign w:val="bottom"/>
            <w:vMerge w:val="restart"/>
          </w:tcPr>
          <w:p>
            <w:pPr>
              <w:ind w:left="110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6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tcPr>
          <w:p>
            <w:pPr>
              <w:ind w:left="50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10,603</w:t>
            </w:r>
          </w:p>
        </w:tc>
        <w:tc>
          <w:tcPr>
            <w:tcW w:w="260" w:type="dxa"/>
            <w:vAlign w:val="bottom"/>
          </w:tcPr>
          <w:p>
            <w:pPr>
              <w:spacing w:after="0"/>
              <w:rPr>
                <w:sz w:val="19"/>
                <w:szCs w:val="19"/>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23,710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ind w:left="500"/>
              <w:spacing w:after="0"/>
              <w:rPr>
                <w:sz w:val="20"/>
                <w:szCs w:val="20"/>
                <w:color w:val="auto"/>
              </w:rPr>
            </w:pPr>
            <w:r>
              <w:rPr>
                <w:rFonts w:ascii="Arial" w:cs="Arial" w:eastAsia="Arial" w:hAnsi="Arial"/>
                <w:sz w:val="18"/>
                <w:szCs w:val="18"/>
                <w:color w:val="auto"/>
              </w:rPr>
              <w:t>Accrued payroll and benefits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3,765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Lease liabilities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Deferred revenue</w:t>
            </w: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97,869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shd w:val="clear" w:color="auto" w:fill="CFF0FC"/>
          </w:tcPr>
          <w:p>
            <w:pPr>
              <w:spacing w:after="0"/>
              <w:rPr>
                <w:sz w:val="19"/>
                <w:szCs w:val="19"/>
                <w:color w:val="auto"/>
              </w:rPr>
            </w:pPr>
          </w:p>
        </w:tc>
        <w:tc>
          <w:tcPr>
            <w:tcW w:w="678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138,857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ind w:left="140"/>
              <w:spacing w:after="0"/>
              <w:rPr>
                <w:sz w:val="20"/>
                <w:szCs w:val="20"/>
                <w:color w:val="auto"/>
              </w:rPr>
            </w:pPr>
            <w:r>
              <w:rPr>
                <w:rFonts w:ascii="Arial" w:cs="Arial" w:eastAsia="Arial" w:hAnsi="Arial"/>
                <w:sz w:val="18"/>
                <w:szCs w:val="18"/>
                <w:color w:val="auto"/>
              </w:rPr>
              <w:t>LONG-TERM LIABILITIES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Lease liabilities, net of current portion</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Deferred revenue, net of current portion</w:t>
            </w: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89,754</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shd w:val="clear" w:color="auto" w:fill="CFF0FC"/>
          </w:tcPr>
          <w:p>
            <w:pPr>
              <w:spacing w:after="0"/>
              <w:rPr>
                <w:sz w:val="19"/>
                <w:szCs w:val="19"/>
                <w:color w:val="auto"/>
              </w:rPr>
            </w:pPr>
          </w:p>
        </w:tc>
        <w:tc>
          <w:tcPr>
            <w:tcW w:w="678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LONG-TERM LIABILITIES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112,452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tcPr>
          <w:p>
            <w:pPr>
              <w:ind w:left="140"/>
              <w:spacing w:after="0"/>
              <w:rPr>
                <w:sz w:val="20"/>
                <w:szCs w:val="20"/>
                <w:color w:val="auto"/>
              </w:rPr>
            </w:pPr>
            <w:r>
              <w:rPr>
                <w:rFonts w:ascii="Arial" w:cs="Arial" w:eastAsia="Arial" w:hAnsi="Arial"/>
                <w:sz w:val="18"/>
                <w:szCs w:val="18"/>
                <w:color w:val="auto"/>
              </w:rPr>
              <w:t>Commitments and contingencies (Note 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ind w:left="260"/>
              <w:spacing w:after="0"/>
              <w:rPr>
                <w:sz w:val="20"/>
                <w:szCs w:val="20"/>
                <w:color w:val="auto"/>
              </w:rPr>
            </w:pPr>
            <w:r>
              <w:rPr>
                <w:rFonts w:ascii="Arial" w:cs="Arial" w:eastAsia="Arial" w:hAnsi="Arial"/>
                <w:sz w:val="18"/>
                <w:szCs w:val="18"/>
                <w:color w:val="auto"/>
              </w:rPr>
              <w:t>Arrowhead Pharmaceuticals, Inc. stockholders’ equity:</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w w:val="88"/>
              </w:rPr>
              <w:t>Common stock, $0.001 par value; 145,000 shares authorized; 105,702 and 104,327 shares issued</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and outstanding as of March 31, 2022 and September 30, 2021, respectively</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ind w:left="50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1,115,373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1,053,386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7480" w:type="dxa"/>
            <w:vAlign w:val="bottom"/>
            <w:gridSpan w:val="2"/>
          </w:tcPr>
          <w:p>
            <w:pPr>
              <w:ind w:left="50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(663,198)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(644,692)</w:t>
            </w:r>
          </w:p>
        </w:tc>
        <w:tc>
          <w:tcPr>
            <w:tcW w:w="0" w:type="dxa"/>
            <w:vAlign w:val="bottom"/>
          </w:tcPr>
          <w:p>
            <w:pPr>
              <w:spacing w:after="0"/>
              <w:rPr>
                <w:sz w:val="1"/>
                <w:szCs w:val="1"/>
                <w:color w:val="auto"/>
              </w:rPr>
            </w:pPr>
          </w:p>
        </w:tc>
      </w:tr>
      <w:tr>
        <w:trPr>
          <w:trHeight w:val="223"/>
        </w:trPr>
        <w:tc>
          <w:tcPr>
            <w:tcW w:w="700" w:type="dxa"/>
            <w:vAlign w:val="bottom"/>
            <w:tcBorders>
              <w:top w:val="single" w:sz="8" w:color="CFF0FC"/>
            </w:tcBorders>
            <w:shd w:val="clear" w:color="auto" w:fill="CFF0FC"/>
          </w:tcPr>
          <w:p>
            <w:pPr>
              <w:spacing w:after="0"/>
              <w:rPr>
                <w:sz w:val="19"/>
                <w:szCs w:val="19"/>
                <w:color w:val="auto"/>
              </w:rPr>
            </w:pPr>
          </w:p>
        </w:tc>
        <w:tc>
          <w:tcPr>
            <w:tcW w:w="678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STOCKHOLDERS’ EQUITY</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452,266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408,822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780" w:type="dxa"/>
            <w:vAlign w:val="bottom"/>
          </w:tcPr>
          <w:p>
            <w:pPr>
              <w:ind w:left="300"/>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703,575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5"/>
          </w:tcPr>
          <w:p>
            <w:pPr>
              <w:jc w:val="right"/>
              <w:ind w:right="640"/>
              <w:spacing w:after="0"/>
              <w:rPr>
                <w:sz w:val="20"/>
                <w:szCs w:val="20"/>
                <w:color w:val="auto"/>
              </w:rPr>
            </w:pPr>
            <w:r>
              <w:rPr>
                <w:rFonts w:ascii="Arial" w:cs="Arial" w:eastAsia="Arial" w:hAnsi="Arial"/>
                <w:sz w:val="16"/>
                <w:szCs w:val="16"/>
                <w:b w:val="1"/>
                <w:bCs w:val="1"/>
                <w:color w:val="auto"/>
                <w:w w:val="95"/>
              </w:rPr>
              <w:t>Three Months Ended March 31,</w:t>
            </w:r>
          </w:p>
        </w:tc>
        <w:tc>
          <w:tcPr>
            <w:tcW w:w="220" w:type="dxa"/>
            <w:vAlign w:val="bottom"/>
          </w:tcPr>
          <w:p>
            <w:pPr>
              <w:spacing w:after="0"/>
              <w:rPr>
                <w:sz w:val="18"/>
                <w:szCs w:val="18"/>
                <w:color w:val="auto"/>
              </w:rPr>
            </w:pPr>
          </w:p>
        </w:tc>
        <w:tc>
          <w:tcPr>
            <w:tcW w:w="2620" w:type="dxa"/>
            <w:vAlign w:val="bottom"/>
            <w:gridSpan w:val="6"/>
          </w:tcPr>
          <w:p>
            <w:pPr>
              <w:jc w:val="right"/>
              <w:ind w:right="460"/>
              <w:spacing w:after="0"/>
              <w:rPr>
                <w:sz w:val="20"/>
                <w:szCs w:val="20"/>
                <w:color w:val="auto"/>
              </w:rPr>
            </w:pPr>
            <w:r>
              <w:rPr>
                <w:rFonts w:ascii="Arial" w:cs="Arial" w:eastAsia="Arial" w:hAnsi="Arial"/>
                <w:sz w:val="16"/>
                <w:szCs w:val="16"/>
                <w:b w:val="1"/>
                <w:bCs w:val="1"/>
                <w:color w:val="auto"/>
                <w:w w:val="98"/>
              </w:rPr>
              <w:t>Six Months Ended March 31,</w:t>
            </w:r>
          </w:p>
        </w:tc>
        <w:tc>
          <w:tcPr>
            <w:tcW w:w="0" w:type="dxa"/>
            <w:vAlign w:val="bottom"/>
          </w:tcPr>
          <w:p>
            <w:pPr>
              <w:spacing w:after="0"/>
              <w:rPr>
                <w:sz w:val="1"/>
                <w:szCs w:val="1"/>
                <w:color w:val="auto"/>
              </w:rPr>
            </w:pPr>
          </w:p>
        </w:tc>
      </w:tr>
      <w:tr>
        <w:trPr>
          <w:trHeight w:val="219"/>
        </w:trPr>
        <w:tc>
          <w:tcPr>
            <w:tcW w:w="50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151,805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32,811</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179,244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54,113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75,985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44,697</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141,750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16,346</w:t>
            </w:r>
          </w:p>
        </w:tc>
        <w:tc>
          <w:tcPr>
            <w:tcW w:w="3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59,262</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110,252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61,043</w:t>
            </w:r>
          </w:p>
        </w:tc>
        <w:tc>
          <w:tcPr>
            <w:tcW w:w="3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201,012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106,398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14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41,553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(28,232)</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(21,768)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500"/>
              <w:spacing w:after="0"/>
              <w:rPr>
                <w:sz w:val="20"/>
                <w:szCs w:val="20"/>
                <w:color w:val="auto"/>
              </w:rPr>
            </w:pPr>
            <w:r>
              <w:rPr>
                <w:rFonts w:ascii="Arial" w:cs="Arial" w:eastAsia="Arial" w:hAnsi="Arial"/>
                <w:sz w:val="18"/>
                <w:szCs w:val="18"/>
                <w:color w:val="auto"/>
              </w:rPr>
              <w:t>Interest income, net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1,524</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TOTAL OTHER INCOME (EXPENSE)</w:t>
            </w:r>
          </w:p>
        </w:tc>
        <w:tc>
          <w:tcPr>
            <w:tcW w:w="2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2,813</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1,414</w:t>
            </w:r>
          </w:p>
        </w:tc>
        <w:tc>
          <w:tcPr>
            <w:tcW w:w="3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3,262</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44,366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(26,818)</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(18,506)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(47,550)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44,366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(26,818)</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(18,506)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(47,550)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060" w:type="dxa"/>
            <w:vAlign w:val="bottom"/>
          </w:tcPr>
          <w:p>
            <w:pPr>
              <w:ind w:left="140"/>
              <w:spacing w:after="0"/>
              <w:rPr>
                <w:sz w:val="20"/>
                <w:szCs w:val="20"/>
                <w:color w:val="auto"/>
              </w:rPr>
            </w:pPr>
            <w:r>
              <w:rPr>
                <w:rFonts w:ascii="Arial" w:cs="Arial" w:eastAsia="Arial" w:hAnsi="Arial"/>
                <w:sz w:val="18"/>
                <w:szCs w:val="18"/>
                <w:color w:val="auto"/>
              </w:rPr>
              <w:t>NET INCOME (LOSS) PER SHARE - BASIC</w:t>
            </w:r>
          </w:p>
        </w:tc>
        <w:tc>
          <w:tcPr>
            <w:tcW w:w="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0.42</w:t>
            </w:r>
          </w:p>
        </w:tc>
        <w:tc>
          <w:tcPr>
            <w:tcW w:w="5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(0.26)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(0.18)</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0"/>
        </w:trPr>
        <w:tc>
          <w:tcPr>
            <w:tcW w:w="506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INCOME (LOSS) PER SHARE - DILUTED</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3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ind w:left="140"/>
              <w:spacing w:after="0"/>
              <w:rPr>
                <w:sz w:val="20"/>
                <w:szCs w:val="20"/>
                <w:color w:val="auto"/>
              </w:rPr>
            </w:pPr>
            <w:r>
              <w:rPr>
                <w:rFonts w:ascii="Arial" w:cs="Arial" w:eastAsia="Arial" w:hAnsi="Arial"/>
                <w:sz w:val="18"/>
                <w:szCs w:val="18"/>
                <w:color w:val="auto"/>
              </w:rPr>
              <w:t>Weighted average shares outstanding - basic</w:t>
            </w: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FF0FC"/>
            </w:tcBorders>
            <w:vMerge w:val="continue"/>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105,545</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103,867</w:t>
            </w:r>
          </w:p>
        </w:tc>
        <w:tc>
          <w:tcPr>
            <w:tcW w:w="3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105,034</w:t>
            </w:r>
          </w:p>
        </w:tc>
        <w:tc>
          <w:tcPr>
            <w:tcW w:w="24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103,303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 average shares outstanding - diluted</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107,929</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103,867</w:t>
            </w:r>
          </w:p>
        </w:tc>
        <w:tc>
          <w:tcPr>
            <w:tcW w:w="3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105,034</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103,303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ind w:left="1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140"/>
              <w:spacing w:after="0"/>
              <w:rPr>
                <w:sz w:val="20"/>
                <w:szCs w:val="20"/>
                <w:color w:val="auto"/>
              </w:rPr>
            </w:pPr>
            <w:r>
              <w:rPr>
                <w:rFonts w:ascii="Arial" w:cs="Arial" w:eastAsia="Arial" w:hAnsi="Arial"/>
                <w:sz w:val="18"/>
                <w:szCs w:val="18"/>
                <w:color w:val="auto"/>
              </w:rPr>
              <w:t>COMPREHENSIVE INCOME (LOSS)</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44,367</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(26,914)</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(18,544)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3"/>
                <w:szCs w:val="13"/>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8"/>
              </w:rPr>
              <w:t>Accumulated Other</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Common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16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 ($)</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90"/>
              </w:rPr>
              <w:t>Deficit</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Totals</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at December 31, 2020</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103,194</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195</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978,655</w:t>
            </w:r>
          </w:p>
        </w:tc>
        <w:tc>
          <w:tcPr>
            <w:tcW w:w="1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198</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(524,576)</w:t>
            </w:r>
          </w:p>
        </w:tc>
        <w:tc>
          <w:tcPr>
            <w:tcW w:w="240" w:type="dxa"/>
            <w:vAlign w:val="bottom"/>
            <w:shd w:val="clear" w:color="auto" w:fill="CFF0FC"/>
          </w:tcPr>
          <w:p>
            <w:pPr>
              <w:jc w:val="right"/>
              <w:ind w:right="115"/>
              <w:spacing w:after="0"/>
              <w:rPr>
                <w:sz w:val="20"/>
                <w:szCs w:val="20"/>
                <w:color w:val="auto"/>
              </w:rPr>
            </w:pPr>
            <w:r>
              <w:rPr>
                <w:rFonts w:ascii="Arial" w:cs="Arial" w:eastAsia="Arial" w:hAnsi="Arial"/>
                <w:sz w:val="13"/>
                <w:szCs w:val="13"/>
                <w:b w:val="1"/>
                <w:bCs w:val="1"/>
                <w:color w:val="auto"/>
                <w:w w:val="82"/>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454,472</w:t>
            </w:r>
          </w:p>
        </w:tc>
        <w:tc>
          <w:tcPr>
            <w:tcW w:w="120" w:type="dxa"/>
            <w:vAlign w:val="bottom"/>
            <w:tcBorders>
              <w:lef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6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15,359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15,359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Exercise of stock options</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282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2,632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2,632</w:t>
            </w:r>
          </w:p>
        </w:tc>
        <w:tc>
          <w:tcPr>
            <w:tcW w:w="120" w:type="dxa"/>
            <w:vAlign w:val="bottom"/>
            <w:tcBorders>
              <w:lef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tcPr>
          <w:p>
            <w:pPr>
              <w:ind w:left="140"/>
              <w:spacing w:after="0"/>
              <w:rPr>
                <w:sz w:val="20"/>
                <w:szCs w:val="20"/>
                <w:color w:val="auto"/>
              </w:rPr>
            </w:pPr>
            <w:r>
              <w:rPr>
                <w:rFonts w:ascii="Arial" w:cs="Arial" w:eastAsia="Arial" w:hAnsi="Arial"/>
                <w:sz w:val="13"/>
                <w:szCs w:val="13"/>
                <w:color w:val="auto"/>
              </w:rPr>
              <w:t>Common stock - restricted stock units vesting</w:t>
            </w:r>
          </w:p>
        </w:tc>
        <w:tc>
          <w:tcPr>
            <w:tcW w:w="860" w:type="dxa"/>
            <w:vAlign w:val="bottom"/>
          </w:tcPr>
          <w:p>
            <w:pPr>
              <w:jc w:val="right"/>
              <w:spacing w:after="0"/>
              <w:rPr>
                <w:sz w:val="20"/>
                <w:szCs w:val="20"/>
                <w:color w:val="auto"/>
              </w:rPr>
            </w:pPr>
            <w:r>
              <w:rPr>
                <w:rFonts w:ascii="Arial" w:cs="Arial" w:eastAsia="Arial" w:hAnsi="Arial"/>
                <w:sz w:val="13"/>
                <w:szCs w:val="13"/>
                <w:color w:val="auto"/>
              </w:rPr>
              <w:t>544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(96)</w:t>
            </w:r>
          </w:p>
        </w:tc>
        <w:tc>
          <w:tcPr>
            <w:tcW w:w="10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62"/>
        </w:trPr>
        <w:tc>
          <w:tcPr>
            <w:tcW w:w="4160" w:type="dxa"/>
            <w:vAlign w:val="bottom"/>
          </w:tcPr>
          <w:p>
            <w:pPr>
              <w:ind w:left="140"/>
              <w:spacing w:after="0"/>
              <w:rPr>
                <w:sz w:val="20"/>
                <w:szCs w:val="20"/>
                <w:color w:val="auto"/>
              </w:rPr>
            </w:pPr>
            <w:r>
              <w:rPr>
                <w:rFonts w:ascii="Arial" w:cs="Arial" w:eastAsia="Arial" w:hAnsi="Arial"/>
                <w:sz w:val="13"/>
                <w:szCs w:val="13"/>
                <w:color w:val="auto"/>
              </w:rPr>
              <w:t>Net income (loss) for the three months ended March 31, 2021</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(26,818)</w:t>
            </w:r>
          </w:p>
        </w:tc>
        <w:tc>
          <w:tcPr>
            <w:tcW w:w="24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(26,818)</w:t>
            </w:r>
          </w:p>
        </w:tc>
        <w:tc>
          <w:tcPr>
            <w:tcW w:w="0" w:type="dxa"/>
            <w:vAlign w:val="bottom"/>
          </w:tcPr>
          <w:p>
            <w:pPr>
              <w:spacing w:after="0"/>
              <w:rPr>
                <w:sz w:val="1"/>
                <w:szCs w:val="1"/>
                <w:color w:val="auto"/>
              </w:rPr>
            </w:pPr>
          </w:p>
        </w:tc>
      </w:tr>
      <w:tr>
        <w:trPr>
          <w:trHeight w:val="20"/>
        </w:trPr>
        <w:tc>
          <w:tcPr>
            <w:tcW w:w="416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Balance at March 31, 2021</w:t>
            </w: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60" w:type="dxa"/>
            <w:vAlign w:val="bottom"/>
            <w:vMerge w:val="continue"/>
            <w:shd w:val="clear" w:color="auto" w:fill="CFF0FC"/>
          </w:tcPr>
          <w:p>
            <w:pPr>
              <w:spacing w:after="0"/>
              <w:rPr>
                <w:sz w:val="13"/>
                <w:szCs w:val="13"/>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104,020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196</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996,645</w:t>
            </w:r>
          </w:p>
        </w:tc>
        <w:tc>
          <w:tcPr>
            <w:tcW w:w="1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102</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(551,394)</w:t>
            </w:r>
          </w:p>
        </w:tc>
        <w:tc>
          <w:tcPr>
            <w:tcW w:w="240" w:type="dxa"/>
            <w:vAlign w:val="bottom"/>
            <w:shd w:val="clear" w:color="auto" w:fill="CFF0FC"/>
          </w:tcPr>
          <w:p>
            <w:pPr>
              <w:jc w:val="right"/>
              <w:ind w:right="115"/>
              <w:spacing w:after="0"/>
              <w:rPr>
                <w:sz w:val="20"/>
                <w:szCs w:val="20"/>
                <w:color w:val="auto"/>
              </w:rPr>
            </w:pPr>
            <w:r>
              <w:rPr>
                <w:rFonts w:ascii="Arial" w:cs="Arial" w:eastAsia="Arial" w:hAnsi="Arial"/>
                <w:sz w:val="13"/>
                <w:szCs w:val="13"/>
                <w:b w:val="1"/>
                <w:bCs w:val="1"/>
                <w:color w:val="auto"/>
                <w:w w:val="82"/>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445,549</w:t>
            </w:r>
          </w:p>
        </w:tc>
        <w:tc>
          <w:tcPr>
            <w:tcW w:w="120" w:type="dxa"/>
            <w:vAlign w:val="bottom"/>
            <w:tcBorders>
              <w:lef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4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23"/>
                <w:szCs w:val="23"/>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8"/>
              </w:rPr>
              <w:t>Accumulated Other</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Common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16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 ($)</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90"/>
              </w:rPr>
              <w:t>Deficit</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Totals</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at December 31, 2021</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104,798</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197</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1,080,035</w:t>
            </w:r>
          </w:p>
        </w:tc>
        <w:tc>
          <w:tcPr>
            <w:tcW w:w="1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(108)</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(707,564)</w:t>
            </w:r>
          </w:p>
        </w:tc>
        <w:tc>
          <w:tcPr>
            <w:tcW w:w="240" w:type="dxa"/>
            <w:vAlign w:val="bottom"/>
            <w:shd w:val="clear" w:color="auto" w:fill="CFF0FC"/>
          </w:tcPr>
          <w:p>
            <w:pPr>
              <w:jc w:val="right"/>
              <w:ind w:right="115"/>
              <w:spacing w:after="0"/>
              <w:rPr>
                <w:sz w:val="20"/>
                <w:szCs w:val="20"/>
                <w:color w:val="auto"/>
              </w:rPr>
            </w:pPr>
            <w:r>
              <w:rPr>
                <w:rFonts w:ascii="Arial" w:cs="Arial" w:eastAsia="Arial" w:hAnsi="Arial"/>
                <w:sz w:val="13"/>
                <w:szCs w:val="13"/>
                <w:b w:val="1"/>
                <w:bCs w:val="1"/>
                <w:color w:val="auto"/>
                <w:w w:val="82"/>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372,560</w:t>
            </w:r>
          </w:p>
        </w:tc>
        <w:tc>
          <w:tcPr>
            <w:tcW w:w="120" w:type="dxa"/>
            <w:vAlign w:val="bottom"/>
            <w:tcBorders>
              <w:lef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6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33,802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33,802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Exercise of stock options</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237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1,537</w:t>
            </w:r>
          </w:p>
        </w:tc>
        <w:tc>
          <w:tcPr>
            <w:tcW w:w="120" w:type="dxa"/>
            <w:vAlign w:val="bottom"/>
            <w:tcBorders>
              <w:lef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tcPr>
          <w:p>
            <w:pPr>
              <w:ind w:left="140"/>
              <w:spacing w:after="0"/>
              <w:rPr>
                <w:sz w:val="20"/>
                <w:szCs w:val="20"/>
                <w:color w:val="auto"/>
              </w:rPr>
            </w:pPr>
            <w:r>
              <w:rPr>
                <w:rFonts w:ascii="Arial" w:cs="Arial" w:eastAsia="Arial" w:hAnsi="Arial"/>
                <w:sz w:val="13"/>
                <w:szCs w:val="13"/>
                <w:color w:val="auto"/>
              </w:rPr>
              <w:t>Common stock - restricted stock units vesting</w:t>
            </w:r>
          </w:p>
        </w:tc>
        <w:tc>
          <w:tcPr>
            <w:tcW w:w="860" w:type="dxa"/>
            <w:vAlign w:val="bottom"/>
          </w:tcPr>
          <w:p>
            <w:pPr>
              <w:jc w:val="right"/>
              <w:spacing w:after="0"/>
              <w:rPr>
                <w:sz w:val="20"/>
                <w:szCs w:val="20"/>
                <w:color w:val="auto"/>
              </w:rPr>
            </w:pPr>
            <w:r>
              <w:rPr>
                <w:rFonts w:ascii="Arial" w:cs="Arial" w:eastAsia="Arial" w:hAnsi="Arial"/>
                <w:sz w:val="13"/>
                <w:szCs w:val="13"/>
                <w:color w:val="auto"/>
              </w:rPr>
              <w:t>667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lef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tcBorders>
              <w:bottom w:val="single" w:sz="8" w:color="CFF0FC"/>
            </w:tcBorders>
          </w:tcPr>
          <w:p>
            <w:pPr>
              <w:ind w:left="140"/>
              <w:spacing w:after="0"/>
              <w:rPr>
                <w:sz w:val="20"/>
                <w:szCs w:val="20"/>
                <w:color w:val="auto"/>
              </w:rPr>
            </w:pPr>
            <w:r>
              <w:rPr>
                <w:rFonts w:ascii="Arial" w:cs="Arial" w:eastAsia="Arial" w:hAnsi="Arial"/>
                <w:sz w:val="13"/>
                <w:szCs w:val="13"/>
                <w:color w:val="auto"/>
              </w:rPr>
              <w:t>Net income (loss) for the three months ended March 31, 2022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44,366</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44,366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at March 31, 2022</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105,702</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198</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1,115,373</w:t>
            </w:r>
          </w:p>
        </w:tc>
        <w:tc>
          <w:tcPr>
            <w:tcW w:w="1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(107)</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(663,198)</w:t>
            </w:r>
          </w:p>
        </w:tc>
        <w:tc>
          <w:tcPr>
            <w:tcW w:w="240" w:type="dxa"/>
            <w:vAlign w:val="bottom"/>
            <w:shd w:val="clear" w:color="auto" w:fill="CFF0FC"/>
          </w:tcPr>
          <w:p>
            <w:pPr>
              <w:jc w:val="right"/>
              <w:ind w:right="115"/>
              <w:spacing w:after="0"/>
              <w:rPr>
                <w:sz w:val="20"/>
                <w:szCs w:val="20"/>
                <w:color w:val="auto"/>
              </w:rPr>
            </w:pPr>
            <w:r>
              <w:rPr>
                <w:rFonts w:ascii="Arial" w:cs="Arial" w:eastAsia="Arial" w:hAnsi="Arial"/>
                <w:sz w:val="13"/>
                <w:szCs w:val="13"/>
                <w:b w:val="1"/>
                <w:bCs w:val="1"/>
                <w:color w:val="auto"/>
                <w:w w:val="82"/>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452,266</w:t>
            </w:r>
          </w:p>
        </w:tc>
        <w:tc>
          <w:tcPr>
            <w:tcW w:w="120" w:type="dxa"/>
            <w:vAlign w:val="bottom"/>
            <w:tcBorders>
              <w:lef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20"/>
                <w:szCs w:val="20"/>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8"/>
              </w:rPr>
              <w:t>Accumulated Other</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Common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16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 ($)</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85"/>
              </w:rPr>
              <w:t>Deficit</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Totals</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at September 30, 2020</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102,376</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195</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965,410</w:t>
            </w:r>
          </w:p>
        </w:tc>
        <w:tc>
          <w:tcPr>
            <w:tcW w:w="1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18</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w:t>
            </w:r>
          </w:p>
        </w:tc>
        <w:tc>
          <w:tcPr>
            <w:tcW w:w="10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b w:val="1"/>
                <w:bCs w:val="1"/>
                <w:color w:val="auto"/>
              </w:rPr>
              <w:t>(503,844)</w:t>
            </w:r>
          </w:p>
        </w:tc>
        <w:tc>
          <w:tcPr>
            <w:tcW w:w="240" w:type="dxa"/>
            <w:vAlign w:val="bottom"/>
            <w:shd w:val="clear" w:color="auto" w:fill="CFF0FC"/>
          </w:tcPr>
          <w:p>
            <w:pPr>
              <w:jc w:val="right"/>
              <w:ind w:right="155"/>
              <w:spacing w:after="0"/>
              <w:rPr>
                <w:sz w:val="20"/>
                <w:szCs w:val="20"/>
                <w:color w:val="auto"/>
              </w:rPr>
            </w:pPr>
            <w:r>
              <w:rPr>
                <w:rFonts w:ascii="Arial" w:cs="Arial" w:eastAsia="Arial" w:hAnsi="Arial"/>
                <w:sz w:val="4"/>
                <w:szCs w:val="4"/>
                <w:b w:val="1"/>
                <w:bCs w:val="1"/>
                <w:color w:val="auto"/>
                <w:w w:val="87"/>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461,779</w:t>
            </w:r>
          </w:p>
        </w:tc>
        <w:tc>
          <w:tcPr>
            <w:tcW w:w="120" w:type="dxa"/>
            <w:vAlign w:val="bottom"/>
            <w:tcBorders>
              <w:lef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6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23,502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23,502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Exercise of stock options</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820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7,734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7,734</w:t>
            </w:r>
          </w:p>
        </w:tc>
        <w:tc>
          <w:tcPr>
            <w:tcW w:w="120" w:type="dxa"/>
            <w:vAlign w:val="bottom"/>
            <w:tcBorders>
              <w:lef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tcPr>
          <w:p>
            <w:pPr>
              <w:ind w:left="140"/>
              <w:spacing w:after="0"/>
              <w:rPr>
                <w:sz w:val="20"/>
                <w:szCs w:val="20"/>
                <w:color w:val="auto"/>
              </w:rPr>
            </w:pPr>
            <w:r>
              <w:rPr>
                <w:rFonts w:ascii="Arial" w:cs="Arial" w:eastAsia="Arial" w:hAnsi="Arial"/>
                <w:sz w:val="13"/>
                <w:szCs w:val="13"/>
                <w:color w:val="auto"/>
              </w:rPr>
              <w:t>Common stock - restricted stock units vesting</w:t>
            </w:r>
          </w:p>
        </w:tc>
        <w:tc>
          <w:tcPr>
            <w:tcW w:w="860" w:type="dxa"/>
            <w:vAlign w:val="bottom"/>
          </w:tcPr>
          <w:p>
            <w:pPr>
              <w:jc w:val="right"/>
              <w:spacing w:after="0"/>
              <w:rPr>
                <w:sz w:val="20"/>
                <w:szCs w:val="20"/>
                <w:color w:val="auto"/>
              </w:rPr>
            </w:pPr>
            <w:r>
              <w:rPr>
                <w:rFonts w:ascii="Arial" w:cs="Arial" w:eastAsia="Arial" w:hAnsi="Arial"/>
                <w:sz w:val="13"/>
                <w:szCs w:val="13"/>
                <w:color w:val="auto"/>
              </w:rPr>
              <w:t>824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Common stock - issued for cash</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lef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Net income (loss) for the six months ended March 31, 2021</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(47,550)</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(47,550)</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3"/>
                <w:szCs w:val="13"/>
                <w:b w:val="1"/>
                <w:bCs w:val="1"/>
                <w:color w:val="auto"/>
              </w:rPr>
              <w:t>Balance at March 31, 2021</w:t>
            </w: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60" w:type="dxa"/>
            <w:vAlign w:val="bottom"/>
            <w:vMerge w:val="continue"/>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104,020</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196</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996,645</w:t>
            </w:r>
          </w:p>
        </w:tc>
        <w:tc>
          <w:tcPr>
            <w:tcW w:w="1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102</w:t>
            </w:r>
          </w:p>
        </w:tc>
        <w:tc>
          <w:tcPr>
            <w:tcW w:w="120" w:type="dxa"/>
            <w:vAlign w:val="bottom"/>
          </w:tcPr>
          <w:p>
            <w:pPr>
              <w:spacing w:after="0"/>
              <w:rPr>
                <w:sz w:val="13"/>
                <w:szCs w:val="13"/>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(551,394)</w:t>
            </w:r>
          </w:p>
        </w:tc>
        <w:tc>
          <w:tcPr>
            <w:tcW w:w="240" w:type="dxa"/>
            <w:vAlign w:val="bottom"/>
          </w:tcPr>
          <w:p>
            <w:pPr>
              <w:jc w:val="right"/>
              <w:ind w:right="155"/>
              <w:spacing w:after="0"/>
              <w:rPr>
                <w:sz w:val="20"/>
                <w:szCs w:val="20"/>
                <w:color w:val="auto"/>
              </w:rPr>
            </w:pPr>
            <w:r>
              <w:rPr>
                <w:rFonts w:ascii="Arial" w:cs="Arial" w:eastAsia="Arial" w:hAnsi="Arial"/>
                <w:sz w:val="4"/>
                <w:szCs w:val="4"/>
                <w:b w:val="1"/>
                <w:bCs w:val="1"/>
                <w:color w:val="auto"/>
                <w:w w:val="87"/>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445,549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4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23"/>
                <w:szCs w:val="23"/>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8"/>
              </w:rPr>
              <w:t>Accumulated Other</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Common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16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 ($)</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85"/>
              </w:rPr>
              <w:t>Deficit</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Totals</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at September 30, 2021</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104,327</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197</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1,053,386</w:t>
            </w:r>
          </w:p>
        </w:tc>
        <w:tc>
          <w:tcPr>
            <w:tcW w:w="1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(69)</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w:t>
            </w:r>
          </w:p>
        </w:tc>
        <w:tc>
          <w:tcPr>
            <w:tcW w:w="10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b w:val="1"/>
                <w:bCs w:val="1"/>
                <w:color w:val="auto"/>
              </w:rPr>
              <w:t>(644,692)</w:t>
            </w:r>
          </w:p>
        </w:tc>
        <w:tc>
          <w:tcPr>
            <w:tcW w:w="240" w:type="dxa"/>
            <w:vAlign w:val="bottom"/>
            <w:shd w:val="clear" w:color="auto" w:fill="CFF0FC"/>
          </w:tcPr>
          <w:p>
            <w:pPr>
              <w:jc w:val="right"/>
              <w:ind w:right="155"/>
              <w:spacing w:after="0"/>
              <w:rPr>
                <w:sz w:val="20"/>
                <w:szCs w:val="20"/>
                <w:color w:val="auto"/>
              </w:rPr>
            </w:pPr>
            <w:r>
              <w:rPr>
                <w:rFonts w:ascii="Arial" w:cs="Arial" w:eastAsia="Arial" w:hAnsi="Arial"/>
                <w:sz w:val="4"/>
                <w:szCs w:val="4"/>
                <w:b w:val="1"/>
                <w:bCs w:val="1"/>
                <w:color w:val="auto"/>
                <w:w w:val="87"/>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408,822</w:t>
            </w:r>
          </w:p>
        </w:tc>
        <w:tc>
          <w:tcPr>
            <w:tcW w:w="120" w:type="dxa"/>
            <w:vAlign w:val="bottom"/>
            <w:tcBorders>
              <w:lef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6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58,306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58,306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Exercise of stock options</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444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3,682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3,682</w:t>
            </w:r>
          </w:p>
        </w:tc>
        <w:tc>
          <w:tcPr>
            <w:tcW w:w="120" w:type="dxa"/>
            <w:vAlign w:val="bottom"/>
            <w:tcBorders>
              <w:lef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tcPr>
          <w:p>
            <w:pPr>
              <w:ind w:left="140"/>
              <w:spacing w:after="0"/>
              <w:rPr>
                <w:sz w:val="20"/>
                <w:szCs w:val="20"/>
                <w:color w:val="auto"/>
              </w:rPr>
            </w:pPr>
            <w:r>
              <w:rPr>
                <w:rFonts w:ascii="Arial" w:cs="Arial" w:eastAsia="Arial" w:hAnsi="Arial"/>
                <w:sz w:val="13"/>
                <w:szCs w:val="13"/>
                <w:color w:val="auto"/>
              </w:rPr>
              <w:t>Common stock - restricted stock units vesting</w:t>
            </w:r>
          </w:p>
        </w:tc>
        <w:tc>
          <w:tcPr>
            <w:tcW w:w="860" w:type="dxa"/>
            <w:vAlign w:val="bottom"/>
          </w:tcPr>
          <w:p>
            <w:pPr>
              <w:jc w:val="right"/>
              <w:spacing w:after="0"/>
              <w:rPr>
                <w:sz w:val="20"/>
                <w:szCs w:val="20"/>
                <w:color w:val="auto"/>
              </w:rPr>
            </w:pPr>
            <w:r>
              <w:rPr>
                <w:rFonts w:ascii="Arial" w:cs="Arial" w:eastAsia="Arial" w:hAnsi="Arial"/>
                <w:sz w:val="13"/>
                <w:szCs w:val="13"/>
                <w:color w:val="auto"/>
              </w:rPr>
              <w:t>931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(38)</w:t>
            </w:r>
          </w:p>
        </w:tc>
        <w:tc>
          <w:tcPr>
            <w:tcW w:w="10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62"/>
        </w:trPr>
        <w:tc>
          <w:tcPr>
            <w:tcW w:w="4160" w:type="dxa"/>
            <w:vAlign w:val="bottom"/>
          </w:tcPr>
          <w:p>
            <w:pPr>
              <w:ind w:left="140"/>
              <w:spacing w:after="0"/>
              <w:rPr>
                <w:sz w:val="20"/>
                <w:szCs w:val="20"/>
                <w:color w:val="auto"/>
              </w:rPr>
            </w:pPr>
            <w:r>
              <w:rPr>
                <w:rFonts w:ascii="Arial" w:cs="Arial" w:eastAsia="Arial" w:hAnsi="Arial"/>
                <w:sz w:val="13"/>
                <w:szCs w:val="13"/>
                <w:color w:val="auto"/>
              </w:rPr>
              <w:t>Net income (loss) for the six months ended March 31, 2022</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(18,506)</w:t>
            </w:r>
          </w:p>
        </w:tc>
        <w:tc>
          <w:tcPr>
            <w:tcW w:w="2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(18,506)</w:t>
            </w:r>
          </w:p>
        </w:tc>
        <w:tc>
          <w:tcPr>
            <w:tcW w:w="0" w:type="dxa"/>
            <w:vAlign w:val="bottom"/>
          </w:tcPr>
          <w:p>
            <w:pPr>
              <w:spacing w:after="0"/>
              <w:rPr>
                <w:sz w:val="1"/>
                <w:szCs w:val="1"/>
                <w:color w:val="auto"/>
              </w:rPr>
            </w:pPr>
          </w:p>
        </w:tc>
      </w:tr>
      <w:tr>
        <w:trPr>
          <w:trHeight w:val="20"/>
        </w:trPr>
        <w:tc>
          <w:tcPr>
            <w:tcW w:w="416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Balance at March 31, 2022</w:t>
            </w: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60" w:type="dxa"/>
            <w:vAlign w:val="bottom"/>
            <w:vMerge w:val="continue"/>
            <w:shd w:val="clear" w:color="auto" w:fill="CFF0FC"/>
          </w:tcPr>
          <w:p>
            <w:pPr>
              <w:spacing w:after="0"/>
              <w:rPr>
                <w:sz w:val="13"/>
                <w:szCs w:val="13"/>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105,702</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198</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1,115,373</w:t>
            </w:r>
          </w:p>
        </w:tc>
        <w:tc>
          <w:tcPr>
            <w:tcW w:w="1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(107)</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w:t>
            </w:r>
          </w:p>
        </w:tc>
        <w:tc>
          <w:tcPr>
            <w:tcW w:w="10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b w:val="1"/>
                <w:bCs w:val="1"/>
                <w:color w:val="auto"/>
              </w:rPr>
              <w:t>(663,198)</w:t>
            </w:r>
          </w:p>
        </w:tc>
        <w:tc>
          <w:tcPr>
            <w:tcW w:w="240" w:type="dxa"/>
            <w:vAlign w:val="bottom"/>
            <w:shd w:val="clear" w:color="auto" w:fill="CFF0FC"/>
          </w:tcPr>
          <w:p>
            <w:pPr>
              <w:jc w:val="right"/>
              <w:ind w:right="155"/>
              <w:spacing w:after="0"/>
              <w:rPr>
                <w:sz w:val="20"/>
                <w:szCs w:val="20"/>
                <w:color w:val="auto"/>
              </w:rPr>
            </w:pPr>
            <w:r>
              <w:rPr>
                <w:rFonts w:ascii="Arial" w:cs="Arial" w:eastAsia="Arial" w:hAnsi="Arial"/>
                <w:sz w:val="4"/>
                <w:szCs w:val="4"/>
                <w:b w:val="1"/>
                <w:bCs w:val="1"/>
                <w:color w:val="auto"/>
                <w:w w:val="87"/>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452,266</w:t>
            </w:r>
          </w:p>
        </w:tc>
        <w:tc>
          <w:tcPr>
            <w:tcW w:w="120" w:type="dxa"/>
            <w:vAlign w:val="bottom"/>
            <w:tcBorders>
              <w:lef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 March 31,</w:t>
            </w:r>
          </w:p>
        </w:tc>
      </w:tr>
      <w:tr>
        <w:trPr>
          <w:trHeight w:val="188"/>
        </w:trPr>
        <w:tc>
          <w:tcPr>
            <w:tcW w:w="772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6"/>
                <w:szCs w:val="16"/>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(18,506)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(47,550)</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58,307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23,502</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5,167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3,766</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(gains) losses on marketable securities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(773)</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Amortization/(accretion) of note premiums/discounts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8,938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(7,914)</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(2,213)</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(54,926)</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247,118</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(1,530)</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224,951</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(10,530)</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(11,437)</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investments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(148,391)</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(40,000)</w:t>
            </w: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sale of investments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55,781</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47,545</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(103,140)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(3,892)</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the exercises of stock options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7,735</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3,731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7,735</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INCREASE (DECREASE) IN CASH</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(98,026)</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228,794</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184,434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143,583</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86,408</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372,377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to Arrowhead Madison Inc. (“Arrowhead Madison”) and Arrowhead Australia Pty Ltd (“Arrowhead Australia”), (4) the term “Common Stock” refers to Arrowhead’s Common Stock, par value $0.001 per share, (5) the term “Preferred Stock” refers to Arrowhead’s Preferred Stock, par value $0.001 per share, and (6) the term “Stockholder(s)” refers to the holders of Arrowhead’s Common Stock.</w:t>
      </w:r>
    </w:p>
    <w:p>
      <w:pPr>
        <w:spacing w:after="0" w:line="200" w:lineRule="exact"/>
        <w:rPr>
          <w:sz w:val="20"/>
          <w:szCs w:val="20"/>
          <w:color w:val="auto"/>
        </w:rPr>
      </w:pPr>
    </w:p>
    <w:p>
      <w:pPr>
        <w:spacing w:after="0" w:line="299" w:lineRule="exact"/>
        <w:rPr>
          <w:sz w:val="20"/>
          <w:szCs w:val="20"/>
          <w:color w:val="auto"/>
        </w:rPr>
      </w:pPr>
    </w:p>
    <w:p>
      <w:pPr>
        <w:ind w:right="5360"/>
        <w:spacing w:after="0" w:line="407"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 and Recent Developments</w:t>
      </w:r>
    </w:p>
    <w:p>
      <w:pPr>
        <w:spacing w:after="0" w:line="58" w:lineRule="exact"/>
        <w:rPr>
          <w:sz w:val="20"/>
          <w:szCs w:val="20"/>
          <w:color w:val="auto"/>
        </w:rPr>
      </w:pPr>
    </w:p>
    <w:p>
      <w:pPr>
        <w:ind w:firstLine="300"/>
        <w:spacing w:after="0" w:line="268" w:lineRule="auto"/>
        <w:rPr>
          <w:sz w:val="20"/>
          <w:szCs w:val="20"/>
          <w:color w:val="auto"/>
        </w:rPr>
      </w:pPr>
      <w:r>
        <w:rPr>
          <w:rFonts w:ascii="Arial" w:cs="Arial" w:eastAsia="Arial" w:hAnsi="Arial"/>
          <w:sz w:val="17"/>
          <w:szCs w:val="17"/>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Arrowhead’s RNAi-based therapeutics leverage this natural pathway of gene silencing. The Company’s pipeline includes ARO-APOC3 for hypertriglyceridemia, ARO-ANG3 for dyslipidemia, ARO-ENaC2 for cystic fibrosis, ARO-DUX4 for facioscapulohumeral muscular dystrophy, ARO-COV for the coronavirus that causes COVID-19 and other possible future pulmonary-borne pathogens, ARO-C3 for complement mediated diseases and ARO-RAGE and ARO-MUC5AC for various muco-obstructive or inflammatory pulmonary conditions. ARO-HSD for liver disease was out-licensed to Glaxosmithkline Intellectual Property (No. 3) Limited (“GSK”) in November 2021. ARO-XDH is being developed for uncontrolled gout under a collaboration agreement with Horizon Therapeutics Ireland DAC (“Horizon”). JNJ-75220795 (ARO-JNJ1) is being developed by Janssen as a potential treatment for patients with non-alcoholic steatohepatitis (NASH). ARO-AAT for liver disease associated with alpha-1 antitrypsin deficiency (“AATD”) was out-licensed to Takeda Pharmaceuticals U.S.A., Inc. (“Takeda”) in October 2020. JNJ-3989 (formerly referred to as ARO-HBV) for chronic hepatitis B virus was out-licensed to Janssen in October 2018. Olpasiran (formerly referred to as AMG 890 or ARO-LPA) for cardiovascular disease was out-licensed to Amgen Inc. (“Amgen”) in 2016. While the Company believes that initial ARO-HIF2 Phase 1 clinical data provides proof of concept for the ability to deliver siRNA to RCC tumors, the Company has decided not to pursue further clinical development of ARO-HIF2 based on a number of factors including the evolving competitive landscape for HIF2 inhibitors.</w:t>
      </w:r>
    </w:p>
    <w:p>
      <w:pPr>
        <w:spacing w:after="0" w:line="182" w:lineRule="exact"/>
        <w:rPr>
          <w:sz w:val="20"/>
          <w:szCs w:val="20"/>
          <w:color w:val="auto"/>
        </w:rPr>
      </w:pPr>
    </w:p>
    <w:p>
      <w:pPr>
        <w:ind w:right="360" w:firstLine="514"/>
        <w:spacing w:after="0" w:line="342" w:lineRule="auto"/>
        <w:rPr>
          <w:sz w:val="20"/>
          <w:szCs w:val="20"/>
          <w:color w:val="auto"/>
        </w:rPr>
      </w:pPr>
      <w:r>
        <w:rPr>
          <w:rFonts w:ascii="Arial" w:cs="Arial" w:eastAsia="Arial" w:hAnsi="Arial"/>
          <w:sz w:val="16"/>
          <w:szCs w:val="16"/>
          <w:color w:val="auto"/>
        </w:rPr>
        <w:t>Arrowhead operates lab facilities in Madison, Wisconsin and San Diego, California, where the Company’s research and development activities, including the development of RNAi therapeutics, take place. The Company’s principal executive offices are located in Pasadena, California.</w:t>
      </w:r>
    </w:p>
    <w:p>
      <w:pPr>
        <w:spacing w:after="0" w:line="124" w:lineRule="exact"/>
        <w:rPr>
          <w:sz w:val="20"/>
          <w:szCs w:val="20"/>
          <w:color w:val="auto"/>
        </w:rPr>
      </w:pPr>
    </w:p>
    <w:p>
      <w:pPr>
        <w:ind w:right="100" w:firstLine="514"/>
        <w:spacing w:after="0" w:line="277" w:lineRule="auto"/>
        <w:rPr>
          <w:sz w:val="20"/>
          <w:szCs w:val="20"/>
          <w:color w:val="auto"/>
        </w:rPr>
      </w:pPr>
      <w:r>
        <w:rPr>
          <w:rFonts w:ascii="Arial" w:cs="Arial" w:eastAsia="Arial" w:hAnsi="Arial"/>
          <w:sz w:val="18"/>
          <w:szCs w:val="18"/>
          <w:color w:val="auto"/>
        </w:rPr>
        <w:t>During the first half of fiscal 2022, the Company continued to develop and advance its pipeline and partnered candidates and expanded its facilities to support the Company’s growing pipeline. Several key recent developments include:</w:t>
      </w:r>
    </w:p>
    <w:p>
      <w:pPr>
        <w:spacing w:after="0" w:line="170" w:lineRule="exact"/>
        <w:rPr>
          <w:sz w:val="20"/>
          <w:szCs w:val="20"/>
          <w:color w:val="auto"/>
        </w:rPr>
      </w:pPr>
    </w:p>
    <w:p>
      <w:pPr>
        <w:ind w:left="1260" w:right="80" w:hanging="739"/>
        <w:spacing w:after="0" w:line="277"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dosed the first patients in its PALISADE study, a phase 3 clinical study to evaluate the safety and efficacy of ARO-APOC3 in adults with familial chylomicronemia syndrome (FCS);</w:t>
      </w:r>
    </w:p>
    <w:p>
      <w:pPr>
        <w:spacing w:after="0" w:line="170" w:lineRule="exact"/>
        <w:rPr>
          <w:rFonts w:ascii="Arial" w:cs="Arial" w:eastAsia="Arial" w:hAnsi="Arial"/>
          <w:sz w:val="18"/>
          <w:szCs w:val="18"/>
          <w:color w:val="auto"/>
        </w:rPr>
      </w:pPr>
    </w:p>
    <w:p>
      <w:pPr>
        <w:ind w:left="1260" w:hanging="739"/>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entered into an exclusive license agreement with GSK for ARO-HSD;</w:t>
      </w:r>
    </w:p>
    <w:p>
      <w:pPr>
        <w:spacing w:after="0" w:line="225" w:lineRule="exact"/>
        <w:rPr>
          <w:rFonts w:ascii="Arial" w:cs="Arial" w:eastAsia="Arial" w:hAnsi="Arial"/>
          <w:sz w:val="18"/>
          <w:szCs w:val="18"/>
          <w:color w:val="auto"/>
        </w:rPr>
      </w:pPr>
    </w:p>
    <w:p>
      <w:pPr>
        <w:ind w:left="1260" w:right="160" w:hanging="739"/>
        <w:spacing w:after="0" w:line="263"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Janssen presented clinical data from REEF-1, a Phase 2b study of different combination regimens, including JNJ-73763989 (JNJ-3989), formerly called ARO-HBV, and/or JNJ-56136379 (JNJ-6379), and a nucleos(t)ide analog (NA) for the treatment of chronic hepatitis B virus infection (CHB);</w:t>
      </w:r>
    </w:p>
    <w:p>
      <w:pPr>
        <w:spacing w:after="0" w:line="183" w:lineRule="exact"/>
        <w:rPr>
          <w:rFonts w:ascii="Arial" w:cs="Arial" w:eastAsia="Arial" w:hAnsi="Arial"/>
          <w:sz w:val="18"/>
          <w:szCs w:val="18"/>
          <w:color w:val="auto"/>
        </w:rPr>
      </w:pPr>
    </w:p>
    <w:p>
      <w:pPr>
        <w:ind w:left="1260" w:right="120" w:hanging="739"/>
        <w:spacing w:after="0" w:line="263"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filed for regulatory clearance to begin a Phase 1/2a study of ARO-C3 and subsequently dosed the first subjects in AROC3-1001, a Phase 1/2 clinical study of ARO-C3, the Company’s </w:t>
      </w:r>
      <w:r>
        <w:rPr>
          <w:rFonts w:ascii="Arial" w:cs="Arial" w:eastAsia="Arial" w:hAnsi="Arial"/>
          <w:sz w:val="18"/>
          <w:szCs w:val="18"/>
          <w:color w:val="676767"/>
          <w:highlight w:val="white"/>
        </w:rPr>
        <w:t>i</w:t>
      </w:r>
      <w:r>
        <w:rPr>
          <w:rFonts w:ascii="Arial" w:cs="Arial" w:eastAsia="Arial" w:hAnsi="Arial"/>
          <w:sz w:val="18"/>
          <w:szCs w:val="18"/>
          <w:color w:val="auto"/>
        </w:rPr>
        <w:t>nvestigational RNA interference (RNAi) therapeutic designed to reduce production of complement component 3 (C3) as a potential therapy for various complement mediated diseases;</w:t>
      </w:r>
    </w:p>
    <w:p>
      <w:pPr>
        <w:spacing w:after="0" w:line="183" w:lineRule="exact"/>
        <w:rPr>
          <w:rFonts w:ascii="Arial" w:cs="Arial" w:eastAsia="Arial" w:hAnsi="Arial"/>
          <w:sz w:val="18"/>
          <w:szCs w:val="18"/>
          <w:color w:val="auto"/>
        </w:rPr>
      </w:pPr>
    </w:p>
    <w:p>
      <w:pPr>
        <w:ind w:left="1260" w:hanging="739"/>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presented additional interim clinical data from AROHSD1001, AROAAT2002, and AROAPOC31001;</w:t>
      </w:r>
    </w:p>
    <w:p>
      <w:pPr>
        <w:spacing w:after="0" w:line="225" w:lineRule="exact"/>
        <w:rPr>
          <w:rFonts w:ascii="Arial" w:cs="Arial" w:eastAsia="Arial" w:hAnsi="Arial"/>
          <w:sz w:val="18"/>
          <w:szCs w:val="18"/>
          <w:color w:val="auto"/>
        </w:rPr>
      </w:pPr>
    </w:p>
    <w:p>
      <w:pPr>
        <w:ind w:left="1260" w:right="220" w:hanging="739"/>
        <w:spacing w:after="0" w:line="259"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the purchase of 13 acres of land in the Verona Technology Park in Verona, Wisconsin, which is planned to be the site of an approximately 140,000 square foot drug manufacturing facility and an approximately 115,000 square foot laboratory and office facility and entered into a lease agreement for a new 144,000 square foot laboratory and office facility in San Diego, California. Both facilities will provide additional space to support the Company’s continued growth;</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 w:name="page8"/>
    <w:bookmarkEnd w:id="7"/>
    <w:p>
      <w:pPr>
        <w:ind w:left="1260" w:hanging="739"/>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completed enrollment in Phase 2b ARCHES-2 study of investigational ARO-ANG3 for patients with mixed dyslipidemia;</w:t>
      </w:r>
    </w:p>
    <w:p>
      <w:pPr>
        <w:spacing w:after="0" w:line="225" w:lineRule="exact"/>
        <w:rPr>
          <w:rFonts w:ascii="Arial" w:cs="Arial" w:eastAsia="Arial" w:hAnsi="Arial"/>
          <w:sz w:val="18"/>
          <w:szCs w:val="18"/>
          <w:color w:val="auto"/>
        </w:rPr>
      </w:pPr>
    </w:p>
    <w:p>
      <w:pPr>
        <w:ind w:left="1260" w:hanging="739"/>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for regulatory clearance to initiate Phase 1/2a study of ARO-RAGE for treatment of Asthma;</w:t>
      </w:r>
    </w:p>
    <w:p>
      <w:pPr>
        <w:spacing w:after="0" w:line="225" w:lineRule="exact"/>
        <w:rPr>
          <w:rFonts w:ascii="Arial" w:cs="Arial" w:eastAsia="Arial" w:hAnsi="Arial"/>
          <w:sz w:val="18"/>
          <w:szCs w:val="18"/>
          <w:color w:val="auto"/>
        </w:rPr>
      </w:pPr>
    </w:p>
    <w:p>
      <w:pPr>
        <w:ind w:left="1260" w:hanging="739"/>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for regulatory clearance to initiate Phase 1/2a study of ARO-MUC5AC for treatment of muco-obstructive lung disease;</w:t>
      </w:r>
    </w:p>
    <w:p>
      <w:pPr>
        <w:spacing w:after="0" w:line="225" w:lineRule="exact"/>
        <w:rPr>
          <w:rFonts w:ascii="Arial" w:cs="Arial" w:eastAsia="Arial" w:hAnsi="Arial"/>
          <w:sz w:val="18"/>
          <w:szCs w:val="18"/>
          <w:color w:val="auto"/>
        </w:rPr>
      </w:pPr>
    </w:p>
    <w:p>
      <w:pPr>
        <w:ind w:left="1260" w:right="100" w:hanging="739"/>
        <w:spacing w:after="0" w:line="277"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initiated and dosed the first patients in the Phase 2 GATEWAY clinical study of investigational ARO-ANG3 for the treatment of patients with homozygous familial hypercholersterolemia;</w:t>
      </w:r>
    </w:p>
    <w:p>
      <w:pPr>
        <w:spacing w:after="0" w:line="170" w:lineRule="exact"/>
        <w:rPr>
          <w:rFonts w:ascii="Arial" w:cs="Arial" w:eastAsia="Arial" w:hAnsi="Arial"/>
          <w:sz w:val="18"/>
          <w:szCs w:val="18"/>
          <w:color w:val="auto"/>
        </w:rPr>
      </w:pPr>
    </w:p>
    <w:p>
      <w:pPr>
        <w:ind w:left="1260" w:right="560" w:hanging="739"/>
        <w:spacing w:after="0" w:line="277"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decided not to pursue further clinical development of ARO-HIF2 based on a number of factors including the evolving competitive landscape for HIF2 inhibitors.</w:t>
      </w:r>
    </w:p>
    <w:p>
      <w:pPr>
        <w:spacing w:after="0" w:line="170" w:lineRule="exact"/>
        <w:rPr>
          <w:sz w:val="20"/>
          <w:szCs w:val="20"/>
          <w:color w:val="auto"/>
        </w:rPr>
      </w:pPr>
    </w:p>
    <w:p>
      <w:pPr>
        <w:ind w:right="40" w:firstLine="300"/>
        <w:spacing w:after="0" w:line="253" w:lineRule="auto"/>
        <w:rPr>
          <w:sz w:val="20"/>
          <w:szCs w:val="20"/>
          <w:color w:val="auto"/>
        </w:rPr>
      </w:pPr>
      <w:r>
        <w:rPr>
          <w:rFonts w:ascii="Arial" w:cs="Arial" w:eastAsia="Arial" w:hAnsi="Arial"/>
          <w:sz w:val="18"/>
          <w:szCs w:val="18"/>
          <w:color w:val="auto"/>
        </w:rPr>
        <w:t>The Company is actively monitoring the ongoing COVID-19 pandemic. The financial results for the three and six months ended March 31, 2022 were not significantly impacted by COVID-19. Operationally, the Company has experienced delays in its earlier stage programs due to a shortage in non-human primates, which are critical to the Company’s preclinical programs. Additionally, the Company has experienced delays in enrollment in its clinical trials. The Company’s operations at its research and development facilities in Madison, Wisconsin and San Diego, California, and its corporate headquarters in Pasadena, California have continued with limited impact, other than for enhanced safety measures, including work from home policies and intermittent lab supply shortages. However, the Company cannot predict the impact the progression of COVID-19 will have on future financial and operational results due to a variety of factors, including the ability of the Company’s clinical sites to continue to enroll subjects, the ability of the Company’s suppliers to continue to operate, the continued good health and safety of the Company’s employees and the length and severity of the COVID-19 pandemic.</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Consolidated Financial Statements have been prepared in conformity with the accounting principles generally accepted in the United States of America (“GAAP”), which contemplate the continuation of the Company as a going concern. Historically, the Company’s primary sources of financing have been through the sale of its securities and revenue from its licensing and collaboration agreements. Research and development activities have required significant capital investment since the Company’s inception and are expected to continue to require significant cash expenditure in the future, particularly as the Company’s pipeline of drug candidates and its headcount have both expanded significantly. Additionally, significant capital investment will be required as the Company’s pipeline matures into later stage clinical trials, as well as with the Company’s plans to increase its internal manufacturing capabilities, as well as expand its footprint in Verona, Wisconsin and San Diego, California.</w:t>
      </w:r>
    </w:p>
    <w:p>
      <w:pPr>
        <w:spacing w:after="0" w:line="200" w:lineRule="exact"/>
        <w:rPr>
          <w:sz w:val="20"/>
          <w:szCs w:val="20"/>
          <w:color w:val="auto"/>
        </w:rPr>
      </w:pPr>
    </w:p>
    <w:p>
      <w:pPr>
        <w:spacing w:after="0" w:line="30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At March 31, 2022, the Company had $86.4 million in cash and cash equivalents (including $7.9 million in restricted cash), $192.9 million in short-term investments, $122.6 million in marketable securities and $201.6 million in long-term investments to fund operations. During the six months ended March 31, 2022, the Company’s cash and investments balance decreased by $9.9 million, which was primarily due to cash being used to fund the Company’s operations, partially offset by the $120.0 million upfront payment received from GSK.</w:t>
      </w:r>
    </w:p>
    <w:p>
      <w:pPr>
        <w:spacing w:after="0" w:line="187" w:lineRule="exact"/>
        <w:rPr>
          <w:sz w:val="20"/>
          <w:szCs w:val="20"/>
          <w:color w:val="auto"/>
        </w:rPr>
      </w:pPr>
    </w:p>
    <w:p>
      <w:pPr>
        <w:ind w:right="120" w:firstLine="510"/>
        <w:spacing w:after="0" w:line="308" w:lineRule="auto"/>
        <w:rPr>
          <w:sz w:val="20"/>
          <w:szCs w:val="20"/>
          <w:color w:val="auto"/>
        </w:rPr>
      </w:pPr>
      <w:r>
        <w:rPr>
          <w:rFonts w:ascii="Arial" w:cs="Arial" w:eastAsia="Arial" w:hAnsi="Arial"/>
          <w:sz w:val="17"/>
          <w:szCs w:val="17"/>
          <w:color w:val="auto"/>
        </w:rPr>
        <w:t>In total, the Company remains eligible for $4.9 billion in developmental, regulatory and sales milestones and various royalties on net sales from its licensing and collaboration agreements. The revenue recognition for these collaboration agreements is discussed further in Note 2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 have been no changes to the significant accounting policies disclosed in the Company’s most recent Annual Report on Form 10-K.</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680" w:firstLine="510"/>
        <w:spacing w:after="0" w:line="277" w:lineRule="auto"/>
        <w:rPr>
          <w:sz w:val="20"/>
          <w:szCs w:val="20"/>
          <w:color w:val="auto"/>
        </w:rPr>
      </w:pPr>
      <w:r>
        <w:rPr>
          <w:rFonts w:ascii="Arial" w:cs="Arial" w:eastAsia="Arial" w:hAnsi="Arial"/>
          <w:sz w:val="18"/>
          <w:szCs w:val="18"/>
          <w:color w:val="auto"/>
        </w:rPr>
        <w:t>There have been no recent accounting pronouncements that have significantly impacted this Quarterly Report on Form 10-Q, beyond those disclosed in the Company’s most recent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COLLABORATION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September 28, 2016, the Company entered into two collaboration and license agreements and a common stock purchase agreement with Amgen.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Under the Second Collaboration and License Agreement (the “Olpasiran Agreement”), Amgen has received a worldwide, exclusive license to Arrowhead’s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novel RNAi Olpasiran (previously referred to as AMG 890 or ARO-LPA) program. These RNAi molecules are designed to reduce elevated lipoprotein(a),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is a genetically validated, independent risk factor for atherosclerotic cardiovascular disease. Under the prior collaboration and license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“First Collaboration and License Agreement” or the “ARO-AMG1 Agreement”), Amgen received an option to a worldwide, exclusive license for ARO-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AMG1, an RNAi therapy for an undisclosed genetically validated cardiovascular target. Under both agreements, Amgen is wholly responsible for clinical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commercialization. Under the terms of the agreements taken together, the Company has received $35.0 million in upfront payments,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$21.5 million in the form of an equity investment by Amgen in the Company’s Common Stock, and $30.0 million in milestone payments, and may receive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 to an additional $400.0 million in remaining development, regulatory and sales milestone payments. The Company is further eligible to receive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low double-digit royalties for sales of products under the Olpasiran Agreement. In July 2019, Amgen informed the Company that it would not be exercising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option for an exclusive license for ARO-AMG1, and as such, there will be no further milestone or royalty payments under the ARO-AMG1</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60" w:firstLine="510"/>
        <w:spacing w:after="0" w:line="300" w:lineRule="auto"/>
        <w:rPr>
          <w:sz w:val="20"/>
          <w:szCs w:val="20"/>
          <w:color w:val="auto"/>
        </w:rPr>
      </w:pPr>
      <w:r>
        <w:rPr>
          <w:rFonts w:ascii="Arial" w:cs="Arial" w:eastAsia="Arial" w:hAnsi="Arial"/>
          <w:sz w:val="16"/>
          <w:szCs w:val="16"/>
          <w:color w:val="auto"/>
        </w:rPr>
        <w:t>The Company has evaluated these agreements in accordance with FASB Topics 808 – Collaboration Arrangements and 606 - Revenue for Contracts from Customers. The Company has substantially completed its performance obligations under the Olpasiran Agreement and the ARO-AMG1 Agreement. Future milestones and royalties achieved will be recognized in their entirety when earned. In July 2020, Amgen initiated a Phase 2 clinical study of Olpasiran, which resulted in a $20.0 million milestone payment to the Company. During the three and six months ended March 31, 2022 and 2021, the Company recognized $0 and $0 of revenue associated with its agreement with Amgen, respectively. As of March 31, 2022, there were $0 in contract assets recorded as accounts receivable and $0 contract liabilities recorded as current deferred revenue on the Company’s Consolidated Balance Sheets.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Pharmaceuticals, Inc.</w:t>
      </w:r>
    </w:p>
    <w:p>
      <w:pPr>
        <w:spacing w:after="0" w:line="117"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On October 3, 2018, the Company entered into a License Agreement (the “Janssen License Agreement”) and a Research Collaboration and Option Agreement (the “Janssen Collaboration Agreement”) with Janssen, part of the Janssen Pharmaceutical Companies of Johnson &amp; Johnson. The Company also entered into a stock purchase agreement with JJDC (“JJDC Stock Purchase Agreement”). Under the Janssen License Agreement, Janssen has received a worldwide, exclusive license to the Company’s JNJ-3989 (ARO-HBV) program, the Company’s third-generation subcutaneously administered RNAi therapeutic candidate being developed as a potential therapy for patients with chronic hepatitis B virus infection. Beyond the Company’s Phase 1/2 study of JNJ-3989 (ARO-HBV), which the Company was responsible for completing, Janssen is wholly responsible for clinical development and commercialization of JNJ-3989. Under the Janssen Collaboration Agreement, Janssen was able to select three new targets against which Arrowhead would develop clinical candidates. These candidates were subject to certain restrictions and do not include candidates that already were in the Company’s pipeline. The Company was obligated to perform discovery, optimization and preclinical research and development, entirely funded by Janssen, which on its own or in combination with Janssen development work, would have been sufficient to allow the filing of a U.S. Investigational New Drug Application or equivalent, at which time Janssen would have the option to take an exclusive license. If the option was exercised, Janssen would have been wholly responsible for clinical development and commercialization of each optioned candidate. Under the terms of the agreements taken together, the Company has received $175.0 million as an upfront payment, $75.0 million in the form of an equity investment by JJDC in Arrowhead Common Stock under the JJDC Stock Purchase Agreement, and milestone and option payments totaling $73.0 million, and the Company may receive up to $1.6 billion in development and sales milestones payments for the Janssen License Agreement, and up to $0.6 billion in development and sales milestone payments for the remaining target covered under the Janssen Collaboration Agreement. The Company is further eligible to receive tiered royalties on product sales up to mid-teens under the Janssen License Agreement and up to low teens under the Janssen Collaboration Agreement. During the three months ended March 31, 2022, Janssen’s option period expired unexercised for two of the three candidates (ARO-JNJ2 and ARO-JNJ3) under the Janssen Collaboration Agreement.</w:t>
      </w:r>
    </w:p>
    <w:p>
      <w:pPr>
        <w:spacing w:after="0" w:line="171"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The Company has evaluated these agreements in accordance with FASB Topics 808 – Collaboration Arrangements and 606 - Revenue for Contracts from Customers. At the inception of these agreements, the Company identified one distinct performance obligation. Regarding the Janssen License Agreement, the Company determined that the key deliverables included the license and certain R&amp;D services including the Company’s responsibility to complete the Phase 1/2 study of JNJ-3989 (ARO-HBV) and the Company’s responsibility to ensure certain manufacturing of JNJ-3989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is accounted for separately.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 w:name="page10"/>
    <w:bookmarkEnd w:id="9"/>
    <w:p>
      <w:pPr>
        <w:ind w:firstLine="510"/>
        <w:spacing w:after="0" w:line="253" w:lineRule="auto"/>
        <w:rPr>
          <w:sz w:val="20"/>
          <w:szCs w:val="20"/>
          <w:color w:val="auto"/>
        </w:rPr>
      </w:pPr>
      <w:r>
        <w:rPr>
          <w:rFonts w:ascii="Arial" w:cs="Arial" w:eastAsia="Arial" w:hAnsi="Arial"/>
          <w:sz w:val="18"/>
          <w:szCs w:val="18"/>
          <w:color w:val="auto"/>
        </w:rPr>
        <w:t>The Company determined the transaction price totaled approximately $252.7 million, which includes the upfront payment, the premium paid by JJDC for its equity investment in the Company, two $25.0 million milestone payments related to JNJ-3989 (ARO-HBV), and estimated payments for reimbursable Janssen R&amp;D Services to be performed. The Company has allocated the total $252.7 million initial transaction price to its one distinct performance obligation for the JNJ-3989 (ARO-HBV) license and the associated Janssen R&amp;D Services. The Company has recognized this transaction price in its entirety as of September 30, 2021, as its performance obligations were substantially completed. Future milestones and royalties achieved will be recognized in their entirety when earned. During the three months ended March 31, 2022 and 2021, the Company recognized approximately $0 and $7.5 million of revenue associated with this performance obligation, respectively. During the six months ended March 31, 2022 and 2021, the Company recognized approximately $0 and $20.2 million of revenue associated with this performance obligation, respectively. As of March 31, 2022, there were $0 in contract assets recorded as accounts receivable, and $0 of contract liabilities recorded as current deferred revenue on the Company’s Consolidated Balance Sheets.</w:t>
      </w:r>
    </w:p>
    <w:p>
      <w:pPr>
        <w:spacing w:after="0" w:line="194" w:lineRule="exact"/>
        <w:rPr>
          <w:sz w:val="20"/>
          <w:szCs w:val="20"/>
          <w:color w:val="auto"/>
        </w:rPr>
      </w:pPr>
    </w:p>
    <w:p>
      <w:pPr>
        <w:ind w:right="20" w:firstLine="510"/>
        <w:spacing w:after="0" w:line="297" w:lineRule="auto"/>
        <w:rPr>
          <w:sz w:val="20"/>
          <w:szCs w:val="20"/>
          <w:color w:val="auto"/>
        </w:rPr>
      </w:pPr>
      <w:r>
        <w:rPr>
          <w:rFonts w:ascii="Arial" w:cs="Arial" w:eastAsia="Arial" w:hAnsi="Arial"/>
          <w:sz w:val="16"/>
          <w:szCs w:val="16"/>
          <w:color w:val="auto"/>
        </w:rPr>
        <w:t>The Company has conducted its discovery, optimization and preclinical research and development of JNJ-75220795 (ARO-JNJ1), ARO-JNJ2, and ARO-JNJ3 under the Janssen Collaboration Agreement. All costs and labor hours spent by the Company have been entirely funded by Janssen. During the three months ended March 31, 2022, Janssen’s option period expired unexercised for two of the three candidates (ARO-JNJ2 and ARO-JNJ3) under the Janssen Collaboration Agreement. During the three months ended March 31, 2022 and 2021, the Company recognized $0.1 million and $0.1 million of revenue associated with these efforts, respectively. During the six months ended March 31, 2022 and 2021, the Company recognized $0.1 million and $0.3 million of revenue associated with these efforts, respectively. As of March 31, 2022, there were $0.1 million of contract assets recorded as accounts receivable and $0 of contract liabilities recorded as current deferred revenue on the Company’s Consolidated Balance Sheets.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Takeda Pharmaceuticals U.S.A., Inc.</w:t>
      </w:r>
    </w:p>
    <w:p>
      <w:pPr>
        <w:spacing w:after="0" w:line="117"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On October 7, 2020, the Company entered into an Exclusive License and Co-funding agreement (the “Takeda License Agreement”) with Takeda. Under the Takeda License Agreement, Takeda and the Company will co-develop the Company’s ARO-AAT program, the Company’s second-generation subcutaneously administered RNAi therapeutic candidate being developed as a treatment for liver disease associated with alpha-1 antitrypsin deficiency. Within the United States, ARO-AAT, if approved, will be co-commercialized under a 50/50 profit sharing structure. Outside the United States, Takeda will lead the global commercialization strategy and will receive an exclusive license to commercialize ARO-AAT, while the Company will be eligible to receive tiered royalties of 20% to 25% on net sales. In January 2021, the Company received $300.0 million as an upfront payment and is eligible to receive potential development, regulatory and commercial milestones of up to $740.0 million.</w:t>
      </w:r>
    </w:p>
    <w:p>
      <w:pPr>
        <w:spacing w:after="0" w:line="17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Company has evaluated the Takeda License Agreement in accordance with FASB Topics 808 – Collaborative Arrangements and 606 - Revenue for Contracts from Customers. At the inception of the Takeda License Agreement, the Company identified one distinct performance obligation. The Company determined that the key deliverables included the license and certain R&amp;D services including the Company’s responsibilities to complete the initial portion of the SEQUOIA study, to complete the ongoing Phase 2 AROAAT2002 study and to ensure certain manufacturing of ARO-AAT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Beyond the Takeda R&amp;D Services, which are the responsibility of the Company, Takeda will be responsible for managing future clinical development and commercialization outside the United States. Within the United States, the Company will also participate in co-development and co-commercialization efforts and will co-fund these efforts with Takeda as part of the 50/50 profit sharing structure within the United States. The Company considers the collaborative activities, including the co-development and co-commercialization, to be a separate unit of account within Topic 808, and as such, these co-funding amounts will be recorded as Research and Development Expenses or General and Administrative Expenses, as appropriate.</w:t>
      </w:r>
    </w:p>
    <w:p>
      <w:pPr>
        <w:spacing w:after="0" w:line="165" w:lineRule="exact"/>
        <w:rPr>
          <w:sz w:val="20"/>
          <w:szCs w:val="20"/>
          <w:color w:val="auto"/>
        </w:rPr>
      </w:pPr>
    </w:p>
    <w:p>
      <w:pPr>
        <w:ind w:firstLine="510"/>
        <w:spacing w:after="0" w:line="274" w:lineRule="auto"/>
        <w:rPr>
          <w:sz w:val="20"/>
          <w:szCs w:val="20"/>
          <w:color w:val="auto"/>
        </w:rPr>
      </w:pPr>
      <w:r>
        <w:rPr>
          <w:rFonts w:ascii="Arial" w:cs="Arial" w:eastAsia="Arial" w:hAnsi="Arial"/>
          <w:sz w:val="17"/>
          <w:szCs w:val="17"/>
          <w:color w:val="auto"/>
        </w:rPr>
        <w:t>The Company determined the initial transaction price totaled $300.0 million, which includes the upfront payment. The Company has excluded any future milestones or royalties from this transaction price to date. The Company has allocated the total $300.0 million initial transaction price to its one distinct performance obligation for the ARO-AAT license and the associated Takeda R&amp;D Services. Revenue will be recognized using a proportional performance method (based on actual patient visits completed versus total estimated visits completed for the ongoing SEQUOIA and AROAAT2002 clinical studies). Revenue for the three months ended March 31, 2022 and 2021 was $20.8 million and $25.4 million, respectively. Revenue for the six months ended March 31, 2022 and 2021 was $41.6 million and $33.6 million, respectively. As of March 31, 2022, there were $0 in contract assets recorded as accounts receivable, $77.9 million in contract liabilities recorded as deferred revenue and $89.8 million in contract liabilities recorded as deferred revenue, net of the current portion, and $5.0 million in contract liabilities recorded as accrued expenses. The $5.0 million in accrued expenses was primarily driven by co-development and co-commercialization activities.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Therapeutics Ireland DAC</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On June 18, 2021, the Company entered into the Horizon License Agreement with Horizon. Under the Horizon License Agreement, Horizon received a worldwide exclusive license for ARO-XDH, a previously undisclosed discovery-stage investigational RNAi therapeutic being developed by the Company as a potential treatment for people with uncontrolled gout. The Company will</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0" w:name="page11"/>
    <w:bookmarkEnd w:id="10"/>
    <w:p>
      <w:pPr>
        <w:ind w:right="200"/>
        <w:spacing w:after="0" w:line="259" w:lineRule="auto"/>
        <w:rPr>
          <w:sz w:val="20"/>
          <w:szCs w:val="20"/>
          <w:color w:val="auto"/>
        </w:rPr>
      </w:pPr>
      <w:r>
        <w:rPr>
          <w:rFonts w:ascii="Arial" w:cs="Arial" w:eastAsia="Arial" w:hAnsi="Arial"/>
          <w:sz w:val="18"/>
          <w:szCs w:val="18"/>
          <w:color w:val="auto"/>
        </w:rPr>
        <w:t>conduct all activities through the preclinical stages of development of ARO-XDH, and Horizon will be wholly responsible for clinical development and commercialization of ARO-XDH. In July 2021, the Company received $40 million as an upfront payment and is eligible to receive up to $660 million in potential development, regulatory and sales milestones. The Company is also eligible to receive royalties in the low- to mid-teens range on net product sales.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has evaluated the Horizon License Agreement in accordance with FASB Topics 808 – Collaborative Arrangements and 606 -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Revenue for Contracts from Customers. At the inception of the Horizon License Agreement, the Company identified one distinct performance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obligation. The Company determined that the key deliverables included the license and certain R&amp;D services, including the Company’s responsibilities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conduct all activities through the preclinical stages of development of ARO-XDH (the “Horizon R&amp;D Services”). Due to the specialized and unique nature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these Horizon R&amp;D Services and their direct relationship with the license, the Company determined that these deliverables represented one distinct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bundle and, thus, one performance obligation. Beyond the Horizon R&amp;D Services, which are the responsibility of the Company, Horizon will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responsible for managing future clinical development and commercialization of ARO-XDH.</w:t>
      </w:r>
    </w:p>
    <w:p>
      <w:pPr>
        <w:spacing w:after="0" w:line="211"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Company determined the initial transaction price totaled $40.0 million, including the upfront payment. The Company has excluded any future estimated milestones or royalties, from this transaction price to date. The Company will allocate the total $40.0 million initial transaction price to its one distinct performance obligation for the ARO-XDH license and the associated Horizon R&amp;D Services. Revenue will be recognized on a straight-line basis over the estimated timeframe for completing the Horizon R&amp;D Services. The Company determined that the straight-line basis was appropriate as its efforts will be expended evenly over the course of completing its performance obligation. Revenue for the three months ended March 31, 2022 and 2021 was $6.7 million and $0, respectively. Revenue for the six months ended March 31, 2022 and 2021 was $13.3 million and $0, respectively. As of March 31, 2022, there were $0 million in contract assets recorded as accounts receivable, $20.0 million in contract liabilities recorded as deferred revenue.</w:t>
      </w:r>
    </w:p>
    <w:p>
      <w:pPr>
        <w:spacing w:after="0" w:line="166" w:lineRule="exact"/>
        <w:rPr>
          <w:sz w:val="20"/>
          <w:szCs w:val="20"/>
          <w:color w:val="auto"/>
        </w:rPr>
      </w:pPr>
    </w:p>
    <w:p>
      <w:pPr>
        <w:ind w:right="300" w:firstLine="405"/>
        <w:spacing w:after="0" w:line="301" w:lineRule="auto"/>
        <w:rPr>
          <w:sz w:val="20"/>
          <w:szCs w:val="20"/>
          <w:color w:val="auto"/>
        </w:rPr>
      </w:pPr>
      <w:r>
        <w:rPr>
          <w:rFonts w:ascii="Arial" w:cs="Arial" w:eastAsia="Arial" w:hAnsi="Arial"/>
          <w:sz w:val="16"/>
          <w:szCs w:val="16"/>
          <w:color w:val="auto"/>
        </w:rPr>
        <w:t>The Company has manufactured ARO-XDH material for Horizon in furtherance of the research plan entered into pursuant to the Horizon License Agreement, for which the Company has been reimbursed for its costs. During the three and six months ended March 31, 2022 and 2021, the Company recognized $1.3 million and $0 with these efforts, respectively. As of March 31, 2022, there were $1.3 million of contract assets recorded as accounts receivable and $0 of contract liabilities recorded as current deferred revenue on the Company’s Consolidated Balance Sheets.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Glaxosmithkline Intellectual Property (No. 3) Limited</w:t>
      </w:r>
    </w:p>
    <w:p>
      <w:pPr>
        <w:spacing w:after="0" w:line="117" w:lineRule="exact"/>
        <w:rPr>
          <w:sz w:val="20"/>
          <w:szCs w:val="20"/>
          <w:color w:val="auto"/>
        </w:rPr>
      </w:pPr>
    </w:p>
    <w:p>
      <w:pPr>
        <w:ind w:right="200" w:firstLine="510"/>
        <w:spacing w:after="0" w:line="288" w:lineRule="auto"/>
        <w:rPr>
          <w:sz w:val="20"/>
          <w:szCs w:val="20"/>
          <w:color w:val="auto"/>
        </w:rPr>
      </w:pPr>
      <w:r>
        <w:rPr>
          <w:rFonts w:ascii="Arial" w:cs="Arial" w:eastAsia="Arial" w:hAnsi="Arial"/>
          <w:sz w:val="16"/>
          <w:szCs w:val="16"/>
          <w:color w:val="auto"/>
        </w:rPr>
        <w:t>On November 22, 2021, the Company entered into an Exclusive License Agreement (the “GSK License Agreement”) with GSK. Under the GSK License Agreement, GSK has received an exclusive license for ARO-HSD, the Company’s investigational RNAi therapeutic being developed as a treatment for patients with alcohol-related and nonalcohol related liver diseases, such as nonalcoholic steatohepatitis (NASH). The exclusive license is worldwide with the exception of greater China, for which the Company retained rights to develop and commercialize. Beyond the Company’s Phase 1/2 study of (ARO-HSD), which the Company is responsible for completing, GSK is wholly responsible for clinical development and commercialization of ARO-HSD in its territory. Under the terms of the agreement, the Company has received an upfront payment of $120 million and is eligible for additional payments of $30 million at the start of Phase 2 and $100 million upon achieving a successful Phase 2 trial readout and the first patient dosed in a Phase 3 trial. Furthermore, should the Phase 3 trial read out positively, and the potential new medicine receives regulatory approval in major markets, the deal provides for commercial milestone payments to the Company of up to $190 million at first commercial sale, and up to $590 million in sales-related milestone payments. The Company is further eligible to receive tiered royalties on net product sales in a range of mid-teens to twenty percent.</w:t>
      </w:r>
    </w:p>
    <w:p>
      <w:pPr>
        <w:spacing w:after="0" w:line="168" w:lineRule="exact"/>
        <w:rPr>
          <w:sz w:val="20"/>
          <w:szCs w:val="20"/>
          <w:color w:val="auto"/>
        </w:rPr>
      </w:pPr>
    </w:p>
    <w:p>
      <w:pPr>
        <w:ind w:right="180" w:firstLine="510"/>
        <w:spacing w:after="0" w:line="254" w:lineRule="auto"/>
        <w:rPr>
          <w:sz w:val="20"/>
          <w:szCs w:val="20"/>
          <w:color w:val="auto"/>
        </w:rPr>
      </w:pPr>
      <w:r>
        <w:rPr>
          <w:rFonts w:ascii="Arial" w:cs="Arial" w:eastAsia="Arial" w:hAnsi="Arial"/>
          <w:sz w:val="18"/>
          <w:szCs w:val="18"/>
          <w:color w:val="auto"/>
        </w:rPr>
        <w:t>The Company has evaluated the GSK License Agreement in accordance with FASB Topics 808 – Collaborative Arrangements and 606 - Revenue for Contracts from Customers. At the inception of the GSK License Agreement, the Company identified one distinct performance obligation. The Company determined that the key deliverables included the license and certain R&amp;D services, including the Company’s responsibility to complete the Phase 1/2 study, (the “GSK R&amp;D Services”). Due to the specialized and unique nature of these GSK R&amp;D Services and their direct relationship with the license, the Company determined that these deliverables represented one distinct bundle and, thus, one performance obligation. Beyond the GSK R&amp;D Services, which are the responsibility of the Company, GSK will be responsible for managing future clinical development and commercialization in its territory.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1" w:name="page12"/>
    <w:bookmarkEnd w:id="11"/>
    <w:p>
      <w:pPr>
        <w:ind w:firstLine="300"/>
        <w:spacing w:after="0" w:line="254" w:lineRule="auto"/>
        <w:rPr>
          <w:sz w:val="20"/>
          <w:szCs w:val="20"/>
          <w:color w:val="auto"/>
        </w:rPr>
      </w:pPr>
      <w:r>
        <w:rPr>
          <w:rFonts w:ascii="Arial" w:cs="Arial" w:eastAsia="Arial" w:hAnsi="Arial"/>
          <w:sz w:val="18"/>
          <w:szCs w:val="18"/>
          <w:color w:val="auto"/>
        </w:rPr>
        <w:t>The Company determined the initial transaction price totaled $120.0 million, including the upfront payment. The $120.0 million upfront payment was collected in January 2022. The Company has excluded any future estimated milestones or royalties from this transaction price to date. The Company has allocated the total $120.0 million initial transaction price to its one distinct performance obligation for the ARO-HSD license and the associated GSK R&amp;D Services. As the Company has completed its performance obligation related to this agreement, the upfront payment of $120.0 million will be fully recognized as of the three and six months ended March 31, 2022. Revenue for the three and six months ended March 31, 2022 and 2021 was $120.0 million and $0, respectively. As of March 31, 2022, there were $0 in contract assets recorded as accounts receivable, $0 in contract liabilities recorded as deferred revenue.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major classes of property and equipment:</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 2022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September 30, 2021</w:t>
            </w:r>
          </w:p>
        </w:tc>
      </w:tr>
      <w:tr>
        <w:trPr>
          <w:trHeight w:val="155"/>
        </w:trPr>
        <w:tc>
          <w:tcPr>
            <w:tcW w:w="4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100" w:type="dxa"/>
            <w:vAlign w:val="bottom"/>
            <w:tcBorders>
              <w:top w:val="single" w:sz="8" w:color="auto"/>
            </w:tcBorders>
            <w:gridSpan w:val="5"/>
          </w:tcPr>
          <w:p>
            <w:pPr>
              <w:jc w:val="right"/>
              <w:ind w:right="1112"/>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Computers, software, office equipment and furniture</w:t>
            </w:r>
          </w:p>
        </w:tc>
        <w:tc>
          <w:tcPr>
            <w:tcW w:w="10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w:t>
            </w:r>
          </w:p>
        </w:tc>
        <w:tc>
          <w:tcPr>
            <w:tcW w:w="24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w:t>
            </w:r>
          </w:p>
        </w:tc>
        <w:tc>
          <w:tcPr>
            <w:tcW w:w="80" w:type="dxa"/>
            <w:vAlign w:val="bottom"/>
            <w:shd w:val="clear" w:color="auto" w:fill="CFF0FC"/>
          </w:tcPr>
          <w:p>
            <w:pPr>
              <w:spacing w:after="0"/>
              <w:rPr>
                <w:sz w:val="19"/>
                <w:szCs w:val="19"/>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Research equipment</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28,370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27,500</w:t>
            </w:r>
          </w:p>
        </w:tc>
        <w:tc>
          <w:tcPr>
            <w:tcW w:w="80" w:type="dxa"/>
            <w:vAlign w:val="bottom"/>
          </w:tcPr>
          <w:p>
            <w:pPr>
              <w:spacing w:after="0"/>
              <w:rPr>
                <w:sz w:val="19"/>
                <w:szCs w:val="19"/>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42,017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41,524</w:t>
            </w:r>
          </w:p>
        </w:tc>
        <w:tc>
          <w:tcPr>
            <w:tcW w:w="80" w:type="dxa"/>
            <w:vAlign w:val="bottom"/>
            <w:shd w:val="clear" w:color="auto" w:fill="CFF0FC"/>
          </w:tcPr>
          <w:p>
            <w:pPr>
              <w:spacing w:after="0"/>
              <w:rPr>
                <w:sz w:val="19"/>
                <w:szCs w:val="19"/>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6,414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9"/>
                <w:szCs w:val="19"/>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9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Total gross fixed assets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82,069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71,539</w:t>
            </w:r>
          </w:p>
        </w:tc>
        <w:tc>
          <w:tcPr>
            <w:tcW w:w="80" w:type="dxa"/>
            <w:vAlign w:val="bottom"/>
          </w:tcPr>
          <w:p>
            <w:pPr>
              <w:spacing w:after="0"/>
              <w:rPr>
                <w:sz w:val="19"/>
                <w:szCs w:val="19"/>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(27,181)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(22,864)</w:t>
            </w:r>
          </w:p>
        </w:tc>
      </w:tr>
      <w:tr>
        <w:trPr>
          <w:trHeight w:val="223"/>
        </w:trPr>
        <w:tc>
          <w:tcPr>
            <w:tcW w:w="472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9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54,888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48,675</w:t>
            </w:r>
          </w:p>
        </w:tc>
        <w:tc>
          <w:tcPr>
            <w:tcW w:w="8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Depreciation and amortization expense for property and equipment for the three months ended March 31, 2022 and 2021 was $2.2 million and $1.5 million, respectively. Depreciation and amortization expense for property and equipment for the six months ended March 31, 2022 and 2021 was $4.3 million and $2.9 million, respectively. Construction in Progress relates to the Company’s Verona and San Diego research facilities. Land relates to the Company’s Verona, Wisconsin research facility.</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INVESTMENTS</w:t>
      </w:r>
    </w:p>
    <w:p>
      <w:pPr>
        <w:spacing w:after="0" w:line="121" w:lineRule="exact"/>
        <w:rPr>
          <w:sz w:val="20"/>
          <w:szCs w:val="20"/>
          <w:color w:val="auto"/>
        </w:rPr>
      </w:pPr>
    </w:p>
    <w:p>
      <w:pPr>
        <w:ind w:right="160" w:firstLine="510"/>
        <w:spacing w:after="0" w:line="288" w:lineRule="auto"/>
        <w:rPr>
          <w:sz w:val="20"/>
          <w:szCs w:val="20"/>
          <w:color w:val="auto"/>
        </w:rPr>
      </w:pPr>
      <w:r>
        <w:rPr>
          <w:rFonts w:ascii="Arial" w:cs="Arial" w:eastAsia="Arial" w:hAnsi="Arial"/>
          <w:sz w:val="16"/>
          <w:szCs w:val="16"/>
          <w:color w:val="auto"/>
        </w:rPr>
        <w:t>Investments at March 31, 2022 primarily consisted of corporate bonds that have maturities of less than 36 months, a certificate of deposit and marketable equity securities. The Company’s corporate bonds consist of both short-term and long-term bonds and are classified as “held-to-maturity” on the Company’s Consolidated Balance Sheets. The Company’s certificate of deposit matures in less than 12 months and is classified as “held-to-maturity” on the Company’s Consolidated Balance Sheet, or classified as cash and cash equivalents if the corporate bonds are purchased 90 days or less from maturity. The Company’s marketable equity securities consist of mutual funds that primarily invest in U.S. government bonds, U.S. government agency bonds, corporate bonds and other asset-backed debt securities. Dividends from these funds are automatically re-invested. The Company may also invest excess cash balances in money market accounts, government-sponsored enterprise securities, and/or commercial paper. These securities are classified as cash and cash equivalents on the Company’s Consolidated Balance Sheet. The Company accounts for its held to maturity investments in accordance with FASB ASC 320, Investments – Debt and Equity Securities and its marketable equity securities in accordance with ASC 321, Investments – Equity Securities. We did not record any impairment charges related to our marketable debt securities during the three and six months ended March 31, 2022.</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2" w:name="page13"/>
    <w:bookmarkEnd w:id="12"/>
    <w:p>
      <w:pPr>
        <w:ind w:left="520"/>
        <w:spacing w:after="0"/>
        <w:rPr>
          <w:sz w:val="20"/>
          <w:szCs w:val="20"/>
          <w:color w:val="auto"/>
        </w:rPr>
      </w:pPr>
      <w:r>
        <w:rPr>
          <w:rFonts w:ascii="Arial" w:cs="Arial" w:eastAsia="Arial" w:hAnsi="Arial"/>
          <w:sz w:val="17"/>
          <w:szCs w:val="17"/>
          <w:color w:val="auto"/>
        </w:rPr>
        <w:t>The following tables summarize the Company’s short-term and long-term investments and marketable securities as of March 31,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by measurement category:</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3"/>
              </w:rPr>
              <w:t>As of March 31, 2022</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Cost Basis</w:t>
            </w:r>
          </w:p>
        </w:tc>
        <w:tc>
          <w:tcPr>
            <w:tcW w:w="140" w:type="dxa"/>
            <w:vAlign w:val="bottom"/>
          </w:tcPr>
          <w:p>
            <w:pPr>
              <w:spacing w:after="0"/>
              <w:rPr>
                <w:sz w:val="12"/>
                <w:szCs w:val="12"/>
                <w:color w:val="auto"/>
              </w:rPr>
            </w:pPr>
          </w:p>
        </w:tc>
        <w:tc>
          <w:tcPr>
            <w:tcW w:w="8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Classified as Cash Equivalents</w:t>
            </w:r>
          </w:p>
        </w:tc>
        <w:tc>
          <w:tcPr>
            <w:tcW w:w="5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spacing w:after="0"/>
              <w:rPr>
                <w:sz w:val="20"/>
                <w:szCs w:val="20"/>
                <w:color w:val="auto"/>
              </w:rPr>
            </w:pPr>
            <w:r>
              <w:rPr>
                <w:rFonts w:ascii="Arial" w:cs="Arial" w:eastAsia="Arial" w:hAnsi="Arial"/>
                <w:sz w:val="18"/>
                <w:szCs w:val="18"/>
                <w:color w:val="auto"/>
              </w:rPr>
              <w:t>Commercial notes (due within ninety days)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26,678</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26,678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Classified as Held to Maturity</w:t>
            </w: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Commercial notes (due within one year)</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142,912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142,830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Commercial notes (due within one through three years)</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201,590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(5,864)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Certificate of deposit (due within one year)</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Classified as Marketable Securities</w:t>
            </w: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spacing w:after="0"/>
              <w:rPr>
                <w:sz w:val="20"/>
                <w:szCs w:val="20"/>
                <w:color w:val="auto"/>
              </w:rPr>
            </w:pPr>
            <w:r>
              <w:rPr>
                <w:rFonts w:ascii="Arial" w:cs="Arial" w:eastAsia="Arial" w:hAnsi="Arial"/>
                <w:sz w:val="18"/>
                <w:szCs w:val="18"/>
                <w:color w:val="auto"/>
              </w:rPr>
              <w:t>Marketable securities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128,805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(6,230)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122,575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549,985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537,809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4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0"/>
              </w:rPr>
              <w:t>As of September 30, 2021</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Cost Basis</w:t>
            </w:r>
          </w:p>
        </w:tc>
        <w:tc>
          <w:tcPr>
            <w:tcW w:w="140" w:type="dxa"/>
            <w:vAlign w:val="bottom"/>
          </w:tcPr>
          <w:p>
            <w:pPr>
              <w:spacing w:after="0"/>
              <w:rPr>
                <w:sz w:val="12"/>
                <w:szCs w:val="12"/>
                <w:color w:val="auto"/>
              </w:rPr>
            </w:pPr>
          </w:p>
        </w:tc>
        <w:tc>
          <w:tcPr>
            <w:tcW w:w="8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Classified as Held to Maturity</w:t>
            </w:r>
          </w:p>
        </w:tc>
        <w:tc>
          <w:tcPr>
            <w:tcW w:w="54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Commercial notes (due within one year)</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56,627</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57,430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Commercial notes (due within one through three years)</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195,595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196,643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Certificate of deposit (due within one through two years)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Classified as Marketable Securities</w:t>
            </w:r>
          </w:p>
        </w:tc>
        <w:tc>
          <w:tcPr>
            <w:tcW w:w="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Marketable securities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127,481</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126,728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vMerge w:val="continue"/>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429,703</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(856)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430,801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INTANGIBLE ASSETS</w:t>
      </w:r>
    </w:p>
    <w:p>
      <w:pPr>
        <w:spacing w:after="0" w:line="121" w:lineRule="exact"/>
        <w:rPr>
          <w:sz w:val="20"/>
          <w:szCs w:val="20"/>
          <w:color w:val="auto"/>
        </w:rPr>
      </w:pPr>
    </w:p>
    <w:p>
      <w:pPr>
        <w:ind w:right="20" w:firstLine="510"/>
        <w:spacing w:after="0" w:line="258" w:lineRule="auto"/>
        <w:rPr>
          <w:sz w:val="20"/>
          <w:szCs w:val="20"/>
          <w:color w:val="auto"/>
        </w:rPr>
      </w:pPr>
      <w:r>
        <w:rPr>
          <w:rFonts w:ascii="Arial" w:cs="Arial" w:eastAsia="Arial" w:hAnsi="Arial"/>
          <w:sz w:val="18"/>
          <w:szCs w:val="18"/>
          <w:color w:val="auto"/>
        </w:rPr>
        <w:t>Intangible assets subject to amortization include patents and a license agreement capitalized as part of the Novartis RNAi asset acquisition in March 2015. The license agreement associated with the Novartis RNAi asset acquisition is being amortized over the estimated life remaining at the time of acquisition, which was 21 years, and the accumulated amortization of the asset is $1.1 million. The patents associated with the Novartis RNAi asset acquisition are being amortized over the estimated life remaining at the time of acquisition, which was 14 years, and the accumulated amortization of the assets is $11.0 million. Amortization expense for the three months ended March 31, 2022 and 2021 was $0.4 million and $0.4 million, respectively. Amortization expense for the six months ended March 31, 2022 and 2021 was $0.9 million and $0.9 million, respectively. Amortization expense is expected to be $0.9 million for the remainder of fiscal 2022, $1.7 million in 2023, $1.7 million in 2024, $1.7 million in 2025, $1.7 million in 2026 and $5.2 million thereafter.</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on the Company’s intangible asset balances: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Intangible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Assets</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14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Balance at September 30, 2021</w:t>
            </w:r>
          </w:p>
        </w:tc>
        <w:tc>
          <w:tcPr>
            <w:tcW w:w="42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13,663</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Impairment</w:t>
            </w:r>
          </w:p>
        </w:tc>
        <w:tc>
          <w:tcPr>
            <w:tcW w:w="4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4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ind w:left="1140"/>
              <w:spacing w:after="0"/>
              <w:rPr>
                <w:sz w:val="20"/>
                <w:szCs w:val="20"/>
                <w:color w:val="auto"/>
              </w:rPr>
            </w:pPr>
            <w:r>
              <w:rPr>
                <w:rFonts w:ascii="Arial" w:cs="Arial" w:eastAsia="Arial" w:hAnsi="Arial"/>
                <w:sz w:val="18"/>
                <w:szCs w:val="18"/>
                <w:color w:val="auto"/>
              </w:rPr>
              <w:t>Balance at March 31, 2022</w:t>
            </w:r>
          </w:p>
        </w:tc>
        <w:tc>
          <w:tcPr>
            <w:tcW w:w="40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040" w:type="dxa"/>
            <w:vAlign w:val="bottom"/>
            <w:vMerge w:val="restart"/>
          </w:tcPr>
          <w:p>
            <w:pPr>
              <w:jc w:val="right"/>
              <w:ind w:right="269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STOCKHOLDERS’ EQUITY</w:t>
      </w:r>
    </w:p>
    <w:p>
      <w:pPr>
        <w:spacing w:after="0" w:line="121" w:lineRule="exact"/>
        <w:rPr>
          <w:sz w:val="20"/>
          <w:szCs w:val="20"/>
          <w:color w:val="auto"/>
        </w:rPr>
      </w:pPr>
    </w:p>
    <w:p>
      <w:pPr>
        <w:ind w:right="340" w:firstLine="510"/>
        <w:spacing w:after="0" w:line="308" w:lineRule="auto"/>
        <w:rPr>
          <w:sz w:val="20"/>
          <w:szCs w:val="20"/>
          <w:color w:val="auto"/>
        </w:rPr>
      </w:pPr>
      <w:r>
        <w:rPr>
          <w:rFonts w:ascii="Arial" w:cs="Arial" w:eastAsia="Arial" w:hAnsi="Arial"/>
          <w:sz w:val="17"/>
          <w:szCs w:val="17"/>
          <w:color w:val="auto"/>
        </w:rPr>
        <w:t>At March 31, 2022, the Company had a total of 150,000,000 shares of capital stock authorized for issuance, consisting of 145,000,000 shares of Common Stock, par value $0.001 per share, and 5,000,000 shares of Preferred Stock, par value $0.001 per share.</w:t>
      </w:r>
    </w:p>
    <w:p>
      <w:pPr>
        <w:spacing w:after="0" w:line="146"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At March 31, 2022, 105,702,499 shares of Common Stock were outstanding. At March 31, 2022, 14,054,083 shares of Common Stock were reserved for issuance upon exercise of options and vesting of restricted stock units granted or available for grant under Arrowhead’s 2004 Equity Incentive Plan, 2013 Incentive Plan, and 2021 Incentive Plan, as well as for inducement grants made to new employees under Rule 5635(c)(4) of the Nasdaq Listing Rules.</w:t>
      </w:r>
    </w:p>
    <w:p>
      <w:pPr>
        <w:spacing w:after="0" w:line="18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August 2020, the Company entered into an Open Market Sale Agreement (the “ATM Agreement”), pursuant to which the Company may, from time to time, sell up to $250,000,000 in shares of the Company’s Common Stock through Jefferies LLC, acting as the sales agent and/or principal, in an at-the-market offering. The Company is not required to sell shares under the ATM Agreement. The Company will pay Jefferies LLC a commission of up to 3.0% of the aggregate gross proceeds received from all sales of the common stock under the ATM Agreement. Unless otherwise terminated, the ATM Agreement continues until the earlier of selling all shares available under the ATM Agreement or December 2, 2022. At March 31, 2022, no shares have been sold under the ATM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ind w:right="340" w:firstLine="510"/>
        <w:spacing w:after="0" w:line="263" w:lineRule="auto"/>
        <w:rPr>
          <w:sz w:val="20"/>
          <w:szCs w:val="20"/>
          <w:color w:val="auto"/>
        </w:rPr>
      </w:pPr>
      <w:r>
        <w:rPr>
          <w:rFonts w:ascii="Arial" w:cs="Arial" w:eastAsia="Arial" w:hAnsi="Arial"/>
          <w:sz w:val="18"/>
          <w:szCs w:val="18"/>
          <w:color w:val="auto"/>
        </w:rPr>
        <w:t>From time to time, the Company may be subject to various claims and legal proceedings in the ordinary course of business. If the potential loss from any claim, asserted or unasserted, or legal proceeding is considered probable and the amount is reasonably estimable, the Company will accrue a liability for the estimated loss. There were no contingent liabilities recorded as of March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17" w:lineRule="exact"/>
        <w:rPr>
          <w:sz w:val="20"/>
          <w:szCs w:val="20"/>
          <w:color w:val="auto"/>
        </w:rPr>
      </w:pPr>
    </w:p>
    <w:p>
      <w:pPr>
        <w:ind w:firstLine="599"/>
        <w:spacing w:after="0" w:line="272" w:lineRule="auto"/>
        <w:rPr>
          <w:sz w:val="20"/>
          <w:szCs w:val="20"/>
          <w:color w:val="auto"/>
        </w:rPr>
      </w:pPr>
      <w:r>
        <w:rPr>
          <w:rFonts w:ascii="Arial" w:cs="Arial" w:eastAsia="Arial" w:hAnsi="Arial"/>
          <w:sz w:val="17"/>
          <w:szCs w:val="17"/>
          <w:color w:val="auto"/>
        </w:rPr>
        <w:t>On December 20, 2021, the Company completed a purchase of 13 acres of land in the Verona Technology Park in Verona, WI, which is planned to be the site of an approximately 140,000 square foot drug manufacturing facility and an approximately 115,000 square foot laboratory and office facility to support process development and analytical activities. Arrowhead intends to invest between $200 million and $250 million into the buildout of the facilities. As part of this acquisition, the Company also entered into a development agreement with the City of Verona to construct certain infrastructure improvements within the TIF district, and will be reimbursed by the City of Verona by future tax increment revenue generated from the developed property. The total amount of funding that City of Verona will pay as reimbursements under the TIF program for these improvements is not guaranteed and will depend on future tax revenues generated from the developed property.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License Commitments</w:t>
      </w:r>
    </w:p>
    <w:p>
      <w:pPr>
        <w:spacing w:after="0" w:line="117" w:lineRule="exact"/>
        <w:rPr>
          <w:sz w:val="20"/>
          <w:szCs w:val="20"/>
          <w:color w:val="auto"/>
        </w:rPr>
      </w:pPr>
    </w:p>
    <w:p>
      <w:pPr>
        <w:ind w:right="60" w:firstLine="510"/>
        <w:spacing w:after="0" w:line="277" w:lineRule="auto"/>
        <w:rPr>
          <w:sz w:val="20"/>
          <w:szCs w:val="20"/>
          <w:color w:val="auto"/>
        </w:rPr>
      </w:pPr>
      <w:r>
        <w:rPr>
          <w:rFonts w:ascii="Arial" w:cs="Arial" w:eastAsia="Arial" w:hAnsi="Arial"/>
          <w:sz w:val="17"/>
          <w:szCs w:val="17"/>
          <w:color w:val="auto"/>
        </w:rPr>
        <w:t>The Company has licensed from third parties the rights to use certain technologies for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a new drug application and upon certain sales level milestones. These milestone payments could amount to the mid to upper double-digit millions of dollars. During the three and six months ended March 31, 2022 and 2021, the Company did not reach any milestones. Under certain agreements, the Company may be required to make mid to high single-digit percentage royalty payments based on a percentage of sales of the relevant products.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firstLine="514"/>
        <w:spacing w:after="0" w:line="274" w:lineRule="auto"/>
        <w:rPr>
          <w:sz w:val="20"/>
          <w:szCs w:val="20"/>
          <w:color w:val="auto"/>
        </w:rPr>
      </w:pPr>
      <w:r>
        <w:rPr>
          <w:rFonts w:ascii="Arial" w:cs="Arial" w:eastAsia="Arial" w:hAnsi="Arial"/>
          <w:sz w:val="17"/>
          <w:szCs w:val="17"/>
          <w:color w:val="auto"/>
        </w:rPr>
        <w:t>In April 2019, the Company entered into a lease for its corporate headquarters in Pasadena, California. The 91 month office building lease between the Company and 177 Colorado Owner, LLC is for approximately 24,000 square feet of office space located at 177 E. Colorado Blvd, Pasadena, California. The increased capacity of this new office space compared to the Company’s prior corporate headquarters will accommodate increased personnel as the Company’s pipeline of drug candidates expands and moves closer to market. Lease payments began on September 30, 2019 and are estimated to total approximately $8.7 million over the term. The lease expires on April 30, 2027. The Company has paid approximately $3.5 million for leasehold improvements, net of tenant improvement allowances. The lease contains an option to renew for one term of five years. The exercise of this option was not determined to be reasonably certain and thus was not included in lease liabilities on the Company’s Consolidated Balance Sheet at March 31, 2022. On October 23, 2020, the Company entered into a lease expansion to add an additional approximately 24,000 square feet of office space at the same location for its corporate headquarters. Lease payments for the expansion began in July 2021 and the lease for the expansion expires in April 2027. The lease payments for the expansion are expected to total $6.9 million. The Company has paid approximately $4.0 million of leasehold improvements, net of tenant improvement allowances, for the lease expansion. The increased capacity of this additional office space compared to the Company’s current corporate headquarters is intended to accommodate increased personnel as the Company’s pipeline of drug candidates continues to expand and move closer to market.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14" w:name="page15"/>
    <w:bookmarkEnd w:id="14"/>
    <w:p>
      <w:pPr>
        <w:ind w:right="60" w:firstLine="514"/>
        <w:spacing w:after="0" w:line="295" w:lineRule="auto"/>
        <w:rPr>
          <w:sz w:val="20"/>
          <w:szCs w:val="20"/>
          <w:color w:val="auto"/>
        </w:rPr>
      </w:pPr>
      <w:r>
        <w:rPr>
          <w:rFonts w:ascii="Arial" w:cs="Arial" w:eastAsia="Arial" w:hAnsi="Arial"/>
          <w:sz w:val="16"/>
          <w:szCs w:val="16"/>
          <w:color w:val="auto"/>
        </w:rPr>
        <w:t>In January 2016, the Company entered into a lease for its research facility in Madison, Wisconsin. The lease was for approximately 60,000 square feet of office and laboratory space and had an expiration date of September 30, 2026. The lease was amended in January 2019 and May 2020 to expand the rentable square feet by an additional 40,000 square feet and to extend the lease expiration date to September 30, 2031. Lease payments are estimated to total approximately $26.2 million for the term. The Company incurred approximately $11.0 million of leasehold improvements for the additional 40,000 square feet, net of tenant improvement allowances. The lease contains two options to renew for two terms of five years. The exercise of these options were not determined to be reasonably certain and thus was not included in lease liabilities on the Company’s Consolidated Balance Sheet at March 31, 2022. In November 2020 and December 2020, the Company entered into amendments to expand the rentable square space by an additional 10,743 square feet and these amendments added a total of approximately $1.2 million of lease payments for the remainder of the term.</w:t>
      </w:r>
    </w:p>
    <w:p>
      <w:pPr>
        <w:spacing w:after="0" w:line="202"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In March 2020, the Company entered into a sublease agreement for additional research and development facility space in San Diego, California. The Sublease provides additional space needed to accommodate the recent growth of the Company’s personnel and discovery efforts. The Sublease is for approximately 21,000 rentable square feet. The term of the Sublease commenced on April 1, 2020 and will end on January 14, 2023. Sublease payments are estimated to total approximately $2.0 million over the term.</w:t>
      </w:r>
    </w:p>
    <w:p>
      <w:pPr>
        <w:spacing w:after="0" w:line="254"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On November 19, 2021, the Company entered into a new lease for a San Diego, California research facility. The 15-year lease is for approximately 144,000 square feet of office and research and development laboratory space to be constructed in San Diego, California. This lease will replace the Company’s current research facility sublease for property located in San Diego, California. The increased capacity of this new facility compared to the Company’s current research facility in San Diego will accommodate increased personnel for the Company’s expanding pipeline of current and future drug candidates. The estimated rent commencement date for the lease is in May 2023, after construction and leasehold improvements have been completed. The lease payments, which begin on the rent commencement date, will be approximately $119.0 million over the initial 15-year term. The Company also estimates payments for operating expenses to be approximately $3.0 million for the first year of the lease, and these payments will continue throughout the initial 15-year term. The Company expects to pay approximately $31.0 million for leasehold improvements, net of tenant improvement allowances. Pursuant to the lease, within twelve months of the expiration of the initial 15-year term, the Company has the option to extend the lease for up to one additional ten-year term, with certain annual increases in base rent. No lease liabilities have been recorded as of March 31, 2022 as the lease commencement date has not yet occurred.</w:t>
      </w:r>
    </w:p>
    <w:p>
      <w:pPr>
        <w:spacing w:after="0" w:line="182"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Operating lease cost during the three months ended March 31, 2022 and 2021 was $1.3 million and $1.1 million, respectively. Operating lease cost during the six months ended March 31, 2022 and 2021 was $2.6 million and $2.0 million, respectively. Variable lease costs for the three months ended March 31, 2022 and 2021 was $0.1 million and $0.2 million, respectively. Variable lease costs for the six months ended March 31, 2022 and 2021 was $0.3 million and $0.5 million, respectively. There was no short-term lease cost during the three and six months ended March 31, 2022 and 2021.</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payments of operating lease liabilities on an undiscounted basis as of March 31, 2022:</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2022 (remainder of fiscal year)</w:t>
            </w:r>
          </w:p>
        </w:tc>
        <w:tc>
          <w:tcPr>
            <w:tcW w:w="3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2,537</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2023</w:t>
            </w:r>
          </w:p>
        </w:tc>
        <w:tc>
          <w:tcPr>
            <w:tcW w:w="3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4,786</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4,621</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2025</w:t>
            </w:r>
          </w:p>
        </w:tc>
        <w:tc>
          <w:tcPr>
            <w:tcW w:w="3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4,749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3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5,050</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2027 and thereafter</w:t>
            </w:r>
          </w:p>
        </w:tc>
        <w:tc>
          <w:tcPr>
            <w:tcW w:w="3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13,200</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34,943</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ind w:left="1140"/>
              <w:spacing w:after="0"/>
              <w:rPr>
                <w:sz w:val="20"/>
                <w:szCs w:val="20"/>
                <w:color w:val="auto"/>
              </w:rPr>
            </w:pPr>
            <w:r>
              <w:rPr>
                <w:rFonts w:ascii="Arial" w:cs="Arial" w:eastAsia="Arial" w:hAnsi="Arial"/>
                <w:sz w:val="18"/>
                <w:szCs w:val="18"/>
                <w:color w:val="auto"/>
              </w:rPr>
              <w:t>Less imputed interest</w:t>
            </w:r>
          </w:p>
        </w:tc>
        <w:tc>
          <w:tcPr>
            <w:tcW w:w="334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gridSpan w:val="2"/>
            <w:vMerge w:val="continue"/>
          </w:tcPr>
          <w:p>
            <w:pPr>
              <w:spacing w:after="0"/>
              <w:rPr>
                <w:sz w:val="21"/>
                <w:szCs w:val="21"/>
                <w:color w:val="auto"/>
              </w:rPr>
            </w:pPr>
          </w:p>
        </w:tc>
        <w:tc>
          <w:tcPr>
            <w:tcW w:w="31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(9,335)</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4"/>
              </w:rPr>
              <w:t>Total operating lease liabilities (includes current portion)</w:t>
            </w:r>
          </w:p>
        </w:tc>
        <w:tc>
          <w:tcPr>
            <w:tcW w:w="31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25,608</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140" w:type="dxa"/>
            <w:vAlign w:val="bottom"/>
            <w:vMerge w:val="restart"/>
          </w:tcPr>
          <w:p>
            <w:pPr>
              <w:jc w:val="right"/>
              <w:ind w:right="2710"/>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ind w:firstLine="510"/>
        <w:spacing w:after="0" w:line="279" w:lineRule="auto"/>
        <w:rPr>
          <w:sz w:val="20"/>
          <w:szCs w:val="20"/>
          <w:color w:val="auto"/>
        </w:rPr>
      </w:pPr>
      <w:r>
        <w:rPr>
          <w:rFonts w:ascii="Arial" w:cs="Arial" w:eastAsia="Arial" w:hAnsi="Arial"/>
          <w:sz w:val="17"/>
          <w:szCs w:val="17"/>
          <w:color w:val="auto"/>
        </w:rPr>
        <w:t>Cash paid for the amounts included in the measurement of the operating lease liabilities on the Company’s Consolidated Balance Sheet and included in Other changes in operating assets and liabilities within cash flows from operating activities on the Company’s Consolidated Statements of Cash Flows for the six months ended March 31, 2022 and 2021 was $2.2 million and $1.4 million, respectively. The weighted-average remaining lease term and weighted-average discount rate for all leases as of March 31, 2022 was 7.6 years and 8.5%,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STOCK-BASED COMPENSATION</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Arrowhead has three plans that provide for equity-based compensation. Under the 2004 Equity Incentive Plan and the 2013 Incentive Plan, as of March 31, 2022, 218,107 and 4,183,395 shares, respectively, of Arrowhead’s Common Stock are reserved for the grant of stock options, stock appreciation rights, and restricted stock unit awards to employees, consultants and others. No further grants may be made under the 2004 Equity Incentive Plan. As of March 31, 2022, there were options granted and outstanding to purchase 218,107 and 1,871,258 shares of Common Stock under the 2004 Equity Incentive Plan and the 2013 Incentive Plan, respectively, and there were 2,312,137 restricted stock units granted and outstanding under the 2013 Incentive Plan. As of March 31, 2022, there were 857,290 shares reserved for options and 691,750 shares reserved for restricted stock units issued as inducement grants to new employees outside of equity compensation plans. As of March 31, 2022, there were 3,000 shares of Common Stock reserved for options and 1,474,350 shares of Common Stock reserved for restricted stock units granted and outstanding under the 2021 Incentive Plan. As of March 31, 2022, the total number of shares available under the 2021 Incentive Plan was 6,635,816 shares, which includes 110,791 shares that were forfeited under the 2013 Incentive Plan.</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stock options:</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Options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3"/>
              </w:rPr>
              <w:t>Price</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Outstanding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Per Share</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2021</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3,456,239</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(61,820)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44.77</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(444,764)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8.28</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2022</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2,949,655</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20.78</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w w:val="89"/>
              </w:rPr>
              <w:t>5.4 years</w:t>
            </w:r>
          </w:p>
        </w:tc>
        <w:tc>
          <w:tcPr>
            <w:tcW w:w="1040" w:type="dxa"/>
            <w:vAlign w:val="bottom"/>
            <w:tcBorders>
              <w:top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87"/>
              </w:rPr>
              <w:t>$ 83,259,543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Exercisable at March 31, 2022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2,342,356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180" w:type="dxa"/>
            <w:vAlign w:val="bottom"/>
          </w:tcPr>
          <w:p>
            <w:pPr>
              <w:spacing w:after="0"/>
              <w:rPr>
                <w:sz w:val="19"/>
                <w:szCs w:val="19"/>
                <w:color w:val="auto"/>
              </w:rPr>
            </w:pPr>
          </w:p>
        </w:tc>
        <w:tc>
          <w:tcPr>
            <w:tcW w:w="1000" w:type="dxa"/>
            <w:vAlign w:val="bottom"/>
          </w:tcPr>
          <w:p>
            <w:pPr>
              <w:ind w:left="320"/>
              <w:spacing w:after="0"/>
              <w:rPr>
                <w:sz w:val="20"/>
                <w:szCs w:val="20"/>
                <w:color w:val="auto"/>
              </w:rPr>
            </w:pPr>
            <w:r>
              <w:rPr>
                <w:rFonts w:ascii="Arial" w:cs="Arial" w:eastAsia="Arial" w:hAnsi="Arial"/>
                <w:sz w:val="18"/>
                <w:szCs w:val="18"/>
                <w:color w:val="auto"/>
                <w:w w:val="89"/>
              </w:rPr>
              <w:t>4.8 years</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7"/>
              </w:rPr>
              <w:t>$ 75,982,912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Stock-based compensation expense related to stock options for the three months ended March 31, 2022 and 2021 was $2.7 million and $3.3 million, respectively. Stock-based compensation expense related to stock options for the six months ended March 31, 2022 and 2021 was $5.7 million and $6.4 million, respectively. For non-qualified stock options, the expense creates a timing difference, resulting in a deferred tax asset, which is fully reserved by a valuation allowance.</w:t>
      </w:r>
    </w:p>
    <w:p>
      <w:pPr>
        <w:spacing w:after="0" w:line="18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The grant date fair value of the options granted by the Company for the three months ended March 31, 2022 and 2021 was $0 and $1.4 million, respectively. The grant date fair value of the options granted by the Company for the six months ended March 31, 2022 and 2021 was $0 and $8.1 million, respectively.</w:t>
      </w:r>
    </w:p>
    <w:p>
      <w:pPr>
        <w:spacing w:after="0" w:line="184" w:lineRule="exact"/>
        <w:rPr>
          <w:sz w:val="20"/>
          <w:szCs w:val="20"/>
          <w:color w:val="auto"/>
        </w:rPr>
      </w:pPr>
    </w:p>
    <w:p>
      <w:pPr>
        <w:ind w:right="460" w:firstLine="510"/>
        <w:spacing w:after="0" w:line="263" w:lineRule="auto"/>
        <w:rPr>
          <w:sz w:val="20"/>
          <w:szCs w:val="20"/>
          <w:color w:val="auto"/>
        </w:rPr>
      </w:pPr>
      <w:r>
        <w:rPr>
          <w:rFonts w:ascii="Arial" w:cs="Arial" w:eastAsia="Arial" w:hAnsi="Arial"/>
          <w:sz w:val="18"/>
          <w:szCs w:val="18"/>
          <w:color w:val="auto"/>
        </w:rPr>
        <w:t>The intrinsic value of the options exercised during the three months ended March 31, 2022 and 2021 was $10.8 million and $20.9 million, respectively. The intrinsic value of the options exercised during the six months ended March 31, 2022 and 2021 was $23.3 million and $52.8 million, respectively.</w:t>
      </w:r>
    </w:p>
    <w:p>
      <w:pPr>
        <w:spacing w:after="0" w:line="184" w:lineRule="exact"/>
        <w:rPr>
          <w:sz w:val="20"/>
          <w:szCs w:val="20"/>
          <w:color w:val="auto"/>
        </w:rPr>
      </w:pPr>
    </w:p>
    <w:p>
      <w:pPr>
        <w:ind w:right="760" w:firstLine="510"/>
        <w:spacing w:after="0" w:line="277" w:lineRule="auto"/>
        <w:rPr>
          <w:sz w:val="20"/>
          <w:szCs w:val="20"/>
          <w:color w:val="auto"/>
        </w:rPr>
      </w:pPr>
      <w:r>
        <w:rPr>
          <w:rFonts w:ascii="Arial" w:cs="Arial" w:eastAsia="Arial" w:hAnsi="Arial"/>
          <w:sz w:val="18"/>
          <w:szCs w:val="18"/>
          <w:color w:val="auto"/>
        </w:rPr>
        <w:t>As of March 31, 2022, the pre-tax compensation expense for all outstanding unvested stock options in the amount of $18.6 million will be recognized in the Company’s results of operations over a weighted average period of 1.9 years.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6" w:name="page17"/>
    <w:bookmarkEnd w:id="16"/>
    <w:p>
      <w:pPr>
        <w:ind w:firstLine="510"/>
        <w:spacing w:after="0" w:line="293"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to value stock options are as follows:</w:t>
      </w:r>
    </w:p>
    <w:p>
      <w:pPr>
        <w:spacing w:after="0" w:line="325"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Six Months Ended March 31,</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608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880" w:type="dxa"/>
            <w:vAlign w:val="bottom"/>
            <w:shd w:val="clear" w:color="auto" w:fill="CFF0FC"/>
          </w:tcPr>
          <w:p>
            <w:pPr>
              <w:spacing w:after="0"/>
              <w:rPr>
                <w:sz w:val="19"/>
                <w:szCs w:val="19"/>
                <w:color w:val="auto"/>
              </w:rPr>
            </w:pPr>
          </w:p>
        </w:tc>
        <w:tc>
          <w:tcPr>
            <w:tcW w:w="42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N/A</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gridSpan w:val="3"/>
          </w:tcPr>
          <w:p>
            <w:pPr>
              <w:ind w:left="100"/>
              <w:spacing w:after="0"/>
              <w:rPr>
                <w:sz w:val="20"/>
                <w:szCs w:val="20"/>
                <w:color w:val="auto"/>
              </w:rPr>
            </w:pPr>
            <w:r>
              <w:rPr>
                <w:rFonts w:ascii="Arial" w:cs="Arial" w:eastAsia="Arial" w:hAnsi="Arial"/>
                <w:sz w:val="18"/>
                <w:szCs w:val="18"/>
                <w:color w:val="auto"/>
              </w:rPr>
              <w:t>N/A</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0.4 – 0.6%</w:t>
            </w:r>
          </w:p>
        </w:tc>
      </w:tr>
      <w:tr>
        <w:trPr>
          <w:trHeight w:val="229"/>
        </w:trPr>
        <w:tc>
          <w:tcPr>
            <w:tcW w:w="6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Volatility</w:t>
            </w:r>
          </w:p>
        </w:tc>
        <w:tc>
          <w:tcPr>
            <w:tcW w:w="74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6"/>
              </w:rPr>
              <w:t>86.6 – 90.4%</w:t>
            </w:r>
          </w:p>
        </w:tc>
      </w:tr>
      <w:tr>
        <w:trPr>
          <w:trHeight w:val="229"/>
        </w:trPr>
        <w:tc>
          <w:tcPr>
            <w:tcW w:w="6960" w:type="dxa"/>
            <w:vAlign w:val="bottom"/>
            <w:gridSpan w:val="2"/>
          </w:tcPr>
          <w:p>
            <w:pPr>
              <w:spacing w:after="0"/>
              <w:rPr>
                <w:sz w:val="20"/>
                <w:szCs w:val="20"/>
                <w:color w:val="auto"/>
              </w:rPr>
            </w:pPr>
            <w:r>
              <w:rPr>
                <w:rFonts w:ascii="Arial" w:cs="Arial" w:eastAsia="Arial" w:hAnsi="Arial"/>
                <w:sz w:val="18"/>
                <w:szCs w:val="18"/>
                <w:color w:val="auto"/>
              </w:rPr>
              <w:t>Expected life (in years)</w:t>
            </w:r>
          </w:p>
        </w:tc>
        <w:tc>
          <w:tcPr>
            <w:tcW w:w="740" w:type="dxa"/>
            <w:vAlign w:val="bottom"/>
            <w:gridSpan w:val="3"/>
          </w:tcPr>
          <w:p>
            <w:pPr>
              <w:ind w:left="100"/>
              <w:spacing w:after="0"/>
              <w:rPr>
                <w:sz w:val="20"/>
                <w:szCs w:val="20"/>
                <w:color w:val="auto"/>
              </w:rPr>
            </w:pPr>
            <w:r>
              <w:rPr>
                <w:rFonts w:ascii="Arial" w:cs="Arial" w:eastAsia="Arial" w:hAnsi="Arial"/>
                <w:sz w:val="18"/>
                <w:szCs w:val="18"/>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19"/>
                <w:szCs w:val="19"/>
                <w:color w:val="auto"/>
              </w:rPr>
            </w:pPr>
          </w:p>
        </w:tc>
      </w:tr>
      <w:tr>
        <w:trPr>
          <w:trHeight w:val="230"/>
        </w:trPr>
        <w:tc>
          <w:tcPr>
            <w:tcW w:w="6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 options granted</w:t>
            </w:r>
          </w:p>
        </w:tc>
        <w:tc>
          <w:tcPr>
            <w:tcW w:w="74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N/A  $</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48.62</w:t>
            </w:r>
          </w:p>
        </w:tc>
        <w:tc>
          <w:tcPr>
            <w:tcW w:w="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risk-free interest rate is based on that of the U.S. Treasury bond.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Restricted stock units (“RSUs”), including time-based, market condition-based, and performance condition-based awards, have been granted under the Company’s 2013 Incentive Plan, 2021 Incentive Plan, and as inducements grants granted outside of the Company’s equity-based compensation plans under Rule 5635(c)(4) of the Nasdaq Listing Rules. At vesting, each outstanding RSU will be exchanged for one share of the Company’s Common Stock. RSU awards generally vest subject to the satisfaction of service requirements or the satisfaction of both service requirements and achievement of certain performance targets.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of the Company’s RSUs:</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3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RSUs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2021</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3,831,850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1,605,450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(931,063)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(37,625)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March 31, 2022</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4,468,612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During the three months ended March 31, 2022 and 2021, the Company recorded $28.2 million and $12.1 million of expense related to RSUs, respectively. During the six months ended March 31, 2022 and 2021, the Company recorded $49.7 million and $17.1 million of expense related to RSUs, respectively. Such expense is included in stock-based compensation expense in the Company’s Consolidated Statements of Operations and Comprehensive Income (Loss). For RSUs, the expense creates a timing difference, resulting in a deferred tax asset, which is fully reserved by a valuation allowance.</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17" w:name="page18"/>
    <w:bookmarkEnd w:id="17"/>
    <w:p>
      <w:pPr>
        <w:jc w:val="both"/>
        <w:ind w:right="380" w:firstLine="510"/>
        <w:spacing w:after="0" w:line="279" w:lineRule="auto"/>
        <w:rPr>
          <w:sz w:val="20"/>
          <w:szCs w:val="20"/>
          <w:color w:val="auto"/>
        </w:rPr>
      </w:pPr>
      <w:r>
        <w:rPr>
          <w:rFonts w:ascii="Arial" w:cs="Arial" w:eastAsia="Arial" w:hAnsi="Arial"/>
          <w:sz w:val="17"/>
          <w:szCs w:val="17"/>
          <w:color w:val="auto"/>
        </w:rPr>
        <w:t>For RSUs, the grant date fair value of the award is based on the Company’s closing stock price at the grant date, with consideration given to the probability of achieving performance conditions for performance-based awards. The grant date fair value of the RSUs granted by the Company for the three months ended March 31, 2022 and 2021 was $83.4 million and $101.6 million, respectively. The grant date fair value of the RSUs granted by the Company for the six months ended March 31, 2022 and 2021 was $91.1 million and $109.0 million, respectively.</w:t>
      </w:r>
    </w:p>
    <w:p>
      <w:pPr>
        <w:spacing w:after="0" w:line="171" w:lineRule="exact"/>
        <w:rPr>
          <w:sz w:val="20"/>
          <w:szCs w:val="20"/>
          <w:color w:val="auto"/>
        </w:rPr>
      </w:pPr>
    </w:p>
    <w:p>
      <w:pPr>
        <w:ind w:right="820" w:firstLine="510"/>
        <w:spacing w:after="0" w:line="277" w:lineRule="auto"/>
        <w:rPr>
          <w:sz w:val="20"/>
          <w:szCs w:val="20"/>
          <w:color w:val="auto"/>
        </w:rPr>
      </w:pPr>
      <w:r>
        <w:rPr>
          <w:rFonts w:ascii="Arial" w:cs="Arial" w:eastAsia="Arial" w:hAnsi="Arial"/>
          <w:sz w:val="18"/>
          <w:szCs w:val="18"/>
          <w:color w:val="auto"/>
        </w:rPr>
        <w:t>As of March 31, 2022, the pre-tax compensation expense for all unvested RSUs in the amount of $206.8 million will be recognized in the Company’s results of operations over a weighted average period of 2.7 years.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i w:val="1"/>
          <w:iCs w:val="1"/>
          <w:color w:val="auto"/>
        </w:rPr>
        <w:t>FAIR VALUE MEASUREMENTS</w:t>
      </w:r>
    </w:p>
    <w:p>
      <w:pPr>
        <w:spacing w:after="0" w:line="121"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62"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84"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following table summarizes fair value measurements at March 31, 2022 and September 30, 2021 for assets and liabilities measured at fair value on a recurring basis: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March 31, 2022:</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860" w:type="dxa"/>
            <w:vAlign w:val="bottom"/>
          </w:tcPr>
          <w:p>
            <w:pPr>
              <w:jc w:val="right"/>
              <w:ind w:right="255"/>
              <w:spacing w:after="0"/>
              <w:rPr>
                <w:sz w:val="20"/>
                <w:szCs w:val="20"/>
                <w:color w:val="auto"/>
              </w:rPr>
            </w:pPr>
            <w:r>
              <w:rPr>
                <w:rFonts w:ascii="Arial" w:cs="Arial" w:eastAsia="Arial" w:hAnsi="Arial"/>
                <w:sz w:val="14"/>
                <w:szCs w:val="14"/>
                <w:b w:val="1"/>
                <w:bCs w:val="1"/>
                <w:color w:val="auto"/>
              </w:rPr>
              <w:t>Level 2</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spacing w:after="0"/>
              <w:rPr>
                <w:sz w:val="14"/>
                <w:szCs w:val="14"/>
                <w:color w:val="auto"/>
              </w:rPr>
            </w:pPr>
          </w:p>
        </w:tc>
      </w:tr>
      <w:tr>
        <w:trPr>
          <w:trHeight w:val="155"/>
        </w:trPr>
        <w:tc>
          <w:tcPr>
            <w:tcW w:w="1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2"/>
          </w:tcPr>
          <w:p>
            <w:pPr>
              <w:jc w:val="right"/>
              <w:ind w:right="333"/>
              <w:spacing w:after="0" w:line="155" w:lineRule="exact"/>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30"/>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Classified as Cash and cash equivalents</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Commercial Notes</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26,678</w:t>
            </w:r>
          </w:p>
        </w:tc>
        <w:tc>
          <w:tcPr>
            <w:tcW w:w="86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26,678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Classified as Marketable Securities</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122,575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122,575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Classified as Held to Maturity</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Short-term investments</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142,830</w:t>
            </w:r>
          </w:p>
        </w:tc>
        <w:tc>
          <w:tcPr>
            <w:tcW w:w="86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142,830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195,726</w:t>
            </w:r>
          </w:p>
        </w:tc>
        <w:tc>
          <w:tcPr>
            <w:tcW w:w="86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195,726</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Certificate of deposits</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Classified as Contingent Consideration</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8"/>
        </w:trPr>
        <w:tc>
          <w:tcPr>
            <w:tcW w:w="4820" w:type="dxa"/>
            <w:vAlign w:val="bottom"/>
            <w:gridSpan w:val="2"/>
          </w:tcPr>
          <w:p>
            <w:pPr>
              <w:ind w:left="520"/>
              <w:spacing w:after="0"/>
              <w:rPr>
                <w:sz w:val="20"/>
                <w:szCs w:val="20"/>
                <w:color w:val="auto"/>
              </w:rPr>
            </w:pPr>
            <w:r>
              <w:rPr>
                <w:rFonts w:ascii="Arial" w:cs="Arial" w:eastAsia="Arial" w:hAnsi="Arial"/>
                <w:sz w:val="18"/>
                <w:szCs w:val="18"/>
                <w:color w:val="auto"/>
              </w:rPr>
              <w:t>September 30, 2021:</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72"/>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4"/>
                <w:szCs w:val="24"/>
                <w:color w:val="auto"/>
              </w:rPr>
            </w:pPr>
          </w:p>
        </w:tc>
        <w:tc>
          <w:tcPr>
            <w:tcW w:w="860" w:type="dxa"/>
            <w:vAlign w:val="bottom"/>
          </w:tcPr>
          <w:p>
            <w:pPr>
              <w:jc w:val="right"/>
              <w:ind w:right="255"/>
              <w:spacing w:after="0"/>
              <w:rPr>
                <w:sz w:val="20"/>
                <w:szCs w:val="20"/>
                <w:color w:val="auto"/>
              </w:rPr>
            </w:pPr>
            <w:r>
              <w:rPr>
                <w:rFonts w:ascii="Arial" w:cs="Arial" w:eastAsia="Arial" w:hAnsi="Arial"/>
                <w:sz w:val="14"/>
                <w:szCs w:val="14"/>
                <w:b w:val="1"/>
                <w:bCs w:val="1"/>
                <w:color w:val="auto"/>
              </w:rPr>
              <w:t>Level 2</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spacing w:after="0"/>
              <w:rPr>
                <w:sz w:val="24"/>
                <w:szCs w:val="24"/>
                <w:color w:val="auto"/>
              </w:rPr>
            </w:pPr>
          </w:p>
        </w:tc>
      </w:tr>
      <w:tr>
        <w:trPr>
          <w:trHeight w:val="155"/>
        </w:trPr>
        <w:tc>
          <w:tcPr>
            <w:tcW w:w="1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2"/>
          </w:tcPr>
          <w:p>
            <w:pPr>
              <w:jc w:val="right"/>
              <w:ind w:right="333"/>
              <w:spacing w:after="0" w:line="155" w:lineRule="exact"/>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30"/>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Classified as Marketable Securities</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126,728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126,728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Classified as Held to Maturity</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Short-term investments</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57,430</w:t>
            </w:r>
          </w:p>
        </w:tc>
        <w:tc>
          <w:tcPr>
            <w:tcW w:w="86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57,430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196,643</w:t>
            </w:r>
          </w:p>
        </w:tc>
        <w:tc>
          <w:tcPr>
            <w:tcW w:w="86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196,643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Certificate of deposit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Classified as Contingent Consideration</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1"/>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b w:val="1"/>
          <w:bCs w:val="1"/>
          <w:i w:val="1"/>
          <w:iCs w:val="1"/>
          <w:color w:val="auto"/>
        </w:rPr>
        <w:t>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Visirna Therapeutics, Inc</w:t>
      </w:r>
      <w:r>
        <w:rPr>
          <w:rFonts w:ascii="Arial" w:cs="Arial" w:eastAsia="Arial" w:hAnsi="Arial"/>
          <w:sz w:val="18"/>
          <w:szCs w:val="18"/>
          <w:color w:val="auto"/>
        </w:rPr>
        <w:t>.</w:t>
      </w:r>
    </w:p>
    <w:p>
      <w:pPr>
        <w:spacing w:after="0" w:line="279" w:lineRule="exact"/>
        <w:rPr>
          <w:sz w:val="20"/>
          <w:szCs w:val="20"/>
          <w:color w:val="auto"/>
        </w:rPr>
      </w:pPr>
    </w:p>
    <w:p>
      <w:pPr>
        <w:ind w:firstLine="453"/>
        <w:spacing w:after="0" w:line="296" w:lineRule="auto"/>
        <w:rPr>
          <w:sz w:val="20"/>
          <w:szCs w:val="20"/>
          <w:color w:val="auto"/>
        </w:rPr>
      </w:pPr>
      <w:r>
        <w:rPr>
          <w:rFonts w:ascii="Arial" w:cs="Arial" w:eastAsia="Arial" w:hAnsi="Arial"/>
          <w:sz w:val="16"/>
          <w:szCs w:val="16"/>
          <w:color w:val="auto"/>
        </w:rPr>
        <w:t>On April 25, 2022, Arrowhead Pharmaceuticals, Inc., entered into definitive agreements to form a joint venture, Visirna Therapeutics, Inc. (“Visirna”) with Vivo Capital (“Vivo”) through which the Company and Vivo intend to expand the reach of innovative medicines in Greater China. The Company licensed to Visirna the exclusive rights to develop and commercialize four of Arrowhead’s investigational RNA interference (RNAi) therapeutic candidates for cardiometabolic diseases in mainland China, Hong Kong, Macau, and Taiwan. Vivo will provide initial funding of $60.0 million to Visirna. The Company has a majority stake in Visirna following this initial funding and is further eligible to receive potential royalties on commercial sales.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42" w:right="459" w:bottom="1440" w:gutter="0" w:footer="0" w:header="0"/>
        </w:sectPr>
      </w:pPr>
    </w:p>
    <w:bookmarkStart w:id="19" w:name="page20"/>
    <w:bookmarkEnd w:id="19"/>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40" w:firstLine="578"/>
        <w:spacing w:after="0" w:line="272" w:lineRule="auto"/>
        <w:rPr>
          <w:sz w:val="20"/>
          <w:szCs w:val="20"/>
          <w:color w:val="auto"/>
        </w:rPr>
      </w:pPr>
      <w:r>
        <w:rPr>
          <w:rFonts w:ascii="Arial" w:cs="Arial" w:eastAsia="Arial" w:hAnsi="Arial"/>
          <w:sz w:val="17"/>
          <w:szCs w:val="17"/>
          <w:i w:val="1"/>
          <w:iCs w:val="1"/>
          <w:color w:val="auto"/>
        </w:rPr>
        <w:t>This Quarterly Report on Form 10-Q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“plan,” “project,” “could,” “estimate,” “target,” “forecast,” or “continue” or the negative of these words or other variations thereof or comparable terminology are intended to identify forward-looking statements. In addition, any statements that refer to projections of our future financial performance, trends in our business, or other characterizations of future events or circumstances are forward-looking statements.</w:t>
      </w:r>
    </w:p>
    <w:p>
      <w:pPr>
        <w:spacing w:after="0" w:line="69"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In addition, many of these risks and uncertainties may be exacerbated by the COVID-19 pandemic and any worsening of the global business and economic environment as a result. As such, our actual results may differ materially from those expressed in any forward-looking statements. Readers should carefully review the factors identified in our most recent Annual Report on Form 10-K under the caption “Risk Factors” as well as the additional risks and uncertainties described in other documents we file from time to time with the Securities and Exchange Commission (“SEC”), including this Quarterly Report on Form</w:t>
      </w:r>
    </w:p>
    <w:p>
      <w:pPr>
        <w:spacing w:after="0" w:line="4" w:lineRule="exact"/>
        <w:rPr>
          <w:sz w:val="20"/>
          <w:szCs w:val="20"/>
          <w:color w:val="auto"/>
        </w:rPr>
      </w:pPr>
    </w:p>
    <w:p>
      <w:pPr>
        <w:spacing w:after="0" w:line="295" w:lineRule="auto"/>
        <w:rPr>
          <w:sz w:val="20"/>
          <w:szCs w:val="20"/>
          <w:color w:val="auto"/>
        </w:rPr>
      </w:pPr>
      <w:r>
        <w:rPr>
          <w:rFonts w:ascii="Arial" w:cs="Arial" w:eastAsia="Arial" w:hAnsi="Arial"/>
          <w:sz w:val="16"/>
          <w:szCs w:val="16"/>
          <w:i w:val="1"/>
          <w:iCs w:val="1"/>
          <w:color w:val="auto"/>
        </w:rPr>
        <w:t>10-Q for the quarter ended March 31, 2022.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to Arrowhead Madison Inc. (“Arrowhead Madison”) and Arrowhead Australia Pty Ltd (“Arrowhead Australia”), (4) the term “Common Stock” refers to Arrowhead’s Common Stock, par value $0.001 per share, (5) the term “Preferred Stock” refers to Arrowhead’s Preferred Stock, par value $0.001 per share, and (6) the term “Stockholder(s)” refers to the holders of Arrowhead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Arrowhead’s RNAi-based therapeutics leverage this natural pathway of gene silencing. The Company’s pipeline includes ARO-APOC3 for hypertriglyceridemia, ARO-ANG3 for dyslipidemia, ARO-ENaC2 for cystic fibrosis, ARO-DUX4 for facioscapulohumeral muscular dystrophy, ARO-COV for the coronavirus that causes COVID-19 and other possible future pulmonary-borne pathogens, ARO-C3 for complement mediated diseases and ARO-RAGE and ARO-MUC5AC for various muco-obstructive or inflammatory pulmonary conditions. ARO-HSD for liver disease was out-licensed to Glaxosmithkline Intellectual Property (No. 3) Limited (“GSK”) in November 2021. ARO-XDH is being developed for uncontrolled gout under a collaboration agreement with Horizon Therapeutics Ireland DAC (“Horizon”). JNJ-75220795 (ARO-JNJ1) is being developed by Janssen as a potential treatment for patients with non-alcoholic steatohepatitis (NASH). ARO-AAT for liver disease associated with alpha-1 antitrypsin deficiency (“AATD”) was out-licensed to Takeda Pharmaceuticals U.S.A., Inc. (“Takeda”) in October 2020. JNJ-3989 (formerly referred to as ARO-HBV) for chronic hepatitis B virus was out-licensed to Janssen in October 2018. Olpasiran (formerly referred to as AMG 890 or ARO-LPA) for cardiovascular disease was out-licensed to Amgen Inc. (“Amgen”) in 2016. While the Company believes that initial ARO-HIF2 Phase 1 clinical data provides proof of concept for the ability to deliver siRNA to RCC tumors, the Company has decided not to pursue further clinical development of ARO-HIF2 based on a number of factors including the evolving competitive landscape for HIF2 inhibitors.</w:t>
      </w:r>
    </w:p>
    <w:p>
      <w:pPr>
        <w:spacing w:after="0" w:line="182" w:lineRule="exact"/>
        <w:rPr>
          <w:sz w:val="20"/>
          <w:szCs w:val="20"/>
          <w:color w:val="auto"/>
        </w:rPr>
      </w:pPr>
    </w:p>
    <w:p>
      <w:pPr>
        <w:ind w:right="380" w:firstLine="514"/>
        <w:spacing w:after="0" w:line="342" w:lineRule="auto"/>
        <w:rPr>
          <w:sz w:val="20"/>
          <w:szCs w:val="20"/>
          <w:color w:val="auto"/>
        </w:rPr>
      </w:pPr>
      <w:r>
        <w:rPr>
          <w:rFonts w:ascii="Arial" w:cs="Arial" w:eastAsia="Arial" w:hAnsi="Arial"/>
          <w:sz w:val="16"/>
          <w:szCs w:val="16"/>
          <w:color w:val="auto"/>
        </w:rPr>
        <w:t>Arrowhead operates lab facilities in Madison, Wisconsin and San Diego, California, where the Company’s research and development activities, including the development of RNAi therapeutics, take place. The Company’s principal executive offices are located in Pasadena, California.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ind w:right="120" w:firstLine="510"/>
        <w:spacing w:after="0" w:line="277" w:lineRule="auto"/>
        <w:rPr>
          <w:sz w:val="20"/>
          <w:szCs w:val="20"/>
          <w:color w:val="auto"/>
        </w:rPr>
      </w:pPr>
      <w:r>
        <w:rPr>
          <w:rFonts w:ascii="Arial" w:cs="Arial" w:eastAsia="Arial" w:hAnsi="Arial"/>
          <w:sz w:val="18"/>
          <w:szCs w:val="18"/>
          <w:color w:val="auto"/>
        </w:rPr>
        <w:t>During the first half of fiscal 2022, the Company continued to develop and advance its pipeline and partnered candidates and expanded its facilities to support the Company’s growing pipeline. Several key recent developments include:</w:t>
      </w:r>
    </w:p>
    <w:p>
      <w:pPr>
        <w:spacing w:after="0" w:line="170" w:lineRule="exact"/>
        <w:rPr>
          <w:sz w:val="20"/>
          <w:szCs w:val="20"/>
          <w:color w:val="auto"/>
        </w:rPr>
      </w:pPr>
    </w:p>
    <w:p>
      <w:pPr>
        <w:ind w:left="1500" w:right="220" w:hanging="750"/>
        <w:spacing w:after="0" w:line="277" w:lineRule="auto"/>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dosed the first patients in its PALISADE study, a phase 3 clinical study to evaluate the safety and efficacy of ARO-APOC3 in adults with familial chylomicronemia syndrome (FCS);</w:t>
      </w:r>
    </w:p>
    <w:p>
      <w:pPr>
        <w:spacing w:after="0" w:line="170" w:lineRule="exact"/>
        <w:rPr>
          <w:rFonts w:ascii="Arial" w:cs="Arial" w:eastAsia="Arial" w:hAnsi="Arial"/>
          <w:sz w:val="18"/>
          <w:szCs w:val="18"/>
          <w:color w:val="auto"/>
        </w:rPr>
      </w:pPr>
    </w:p>
    <w:p>
      <w:pPr>
        <w:ind w:left="1500" w:hanging="750"/>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entered into an exclusive license agreement with GSK for ARO-HSD;</w:t>
      </w:r>
    </w:p>
    <w:p>
      <w:pPr>
        <w:spacing w:after="0" w:line="225" w:lineRule="exact"/>
        <w:rPr>
          <w:rFonts w:ascii="Arial" w:cs="Arial" w:eastAsia="Arial" w:hAnsi="Arial"/>
          <w:sz w:val="18"/>
          <w:szCs w:val="18"/>
          <w:color w:val="auto"/>
        </w:rPr>
      </w:pPr>
    </w:p>
    <w:p>
      <w:pPr>
        <w:jc w:val="both"/>
        <w:ind w:left="1500" w:right="360" w:hanging="750"/>
        <w:spacing w:after="0" w:line="263" w:lineRule="auto"/>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Janssen presented clinical data from REEF-1, a Phase 2b study of different combination regimens, including JNJ-73763989 (JNJ-3989), formerly called ARO-HBV, and/or JNJ-56136379 (JNJ-6379), and a nucleos(t)ide analog (NA) for the treatment of chronic hepatitis B virus infection (CHB);</w:t>
      </w:r>
    </w:p>
    <w:p>
      <w:pPr>
        <w:spacing w:after="0" w:line="183" w:lineRule="exact"/>
        <w:rPr>
          <w:rFonts w:ascii="Arial" w:cs="Arial" w:eastAsia="Arial" w:hAnsi="Arial"/>
          <w:sz w:val="18"/>
          <w:szCs w:val="18"/>
          <w:color w:val="auto"/>
        </w:rPr>
      </w:pPr>
    </w:p>
    <w:p>
      <w:pPr>
        <w:ind w:left="1500" w:right="360" w:hanging="750"/>
        <w:spacing w:after="0" w:line="286" w:lineRule="auto"/>
        <w:tabs>
          <w:tab w:leader="none" w:pos="1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filed for regulatory clearance to begin a Phase 1/2a study of ARO-C3 and subsequently dosed the first subjects in AROC3-1001, a Phase 1/2 clinical study of ARO-C3, the Company’s </w:t>
      </w:r>
      <w:r>
        <w:rPr>
          <w:rFonts w:ascii="Arial" w:cs="Arial" w:eastAsia="Arial" w:hAnsi="Arial"/>
          <w:sz w:val="17"/>
          <w:szCs w:val="17"/>
          <w:color w:val="676767"/>
        </w:rPr>
        <w:t>i</w:t>
      </w:r>
      <w:r>
        <w:rPr>
          <w:rFonts w:ascii="Arial" w:cs="Arial" w:eastAsia="Arial" w:hAnsi="Arial"/>
          <w:sz w:val="17"/>
          <w:szCs w:val="17"/>
          <w:color w:val="auto"/>
        </w:rPr>
        <w:t>nvestigational RNA interference (RNAi) therapeutic designed to reduce production of complement component 3 (C3) as a potential therapy for various complement mediated diseases;</w:t>
      </w:r>
    </w:p>
    <w:p>
      <w:pPr>
        <w:spacing w:after="0" w:line="165" w:lineRule="exact"/>
        <w:rPr>
          <w:rFonts w:ascii="Arial" w:cs="Arial" w:eastAsia="Arial" w:hAnsi="Arial"/>
          <w:sz w:val="17"/>
          <w:szCs w:val="17"/>
          <w:color w:val="auto"/>
        </w:rPr>
      </w:pPr>
    </w:p>
    <w:p>
      <w:pPr>
        <w:ind w:left="1500" w:hanging="750"/>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presented additional interim clinical data from AROHSD1001, AROAAT2002, and AROAPOC31001;</w:t>
      </w:r>
    </w:p>
    <w:p>
      <w:pPr>
        <w:spacing w:after="0" w:line="225" w:lineRule="exact"/>
        <w:rPr>
          <w:rFonts w:ascii="Arial" w:cs="Arial" w:eastAsia="Arial" w:hAnsi="Arial"/>
          <w:sz w:val="18"/>
          <w:szCs w:val="18"/>
          <w:color w:val="auto"/>
        </w:rPr>
      </w:pPr>
    </w:p>
    <w:p>
      <w:pPr>
        <w:ind w:left="1500" w:hanging="750"/>
        <w:spacing w:after="0" w:line="259" w:lineRule="auto"/>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completed the purchase of 13 acres of land in the Verona Technology Park in Verona, Wisconsin, which is planned to be the site of an approximately 140,000 square foot drug manufacturing facility and an approximately 115,000 square foot laboratory and office facility and entered into a lease agreement for a new 144,000 square foot laboratory and office facility in San Diego, California. Both facilities will provide additional space to support the Company’s continued growth;</w:t>
      </w:r>
    </w:p>
    <w:p>
      <w:pPr>
        <w:spacing w:after="0" w:line="186" w:lineRule="exact"/>
        <w:rPr>
          <w:rFonts w:ascii="Arial" w:cs="Arial" w:eastAsia="Arial" w:hAnsi="Arial"/>
          <w:sz w:val="18"/>
          <w:szCs w:val="18"/>
          <w:color w:val="auto"/>
        </w:rPr>
      </w:pPr>
    </w:p>
    <w:p>
      <w:pPr>
        <w:ind w:left="1500" w:hanging="750"/>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completed enrollment in Phase 2b ARCHES-2 study of investigational ARO-ANG3 for patients with mixed dyslipidemia;</w:t>
      </w:r>
    </w:p>
    <w:p>
      <w:pPr>
        <w:spacing w:after="0" w:line="225" w:lineRule="exact"/>
        <w:rPr>
          <w:rFonts w:ascii="Arial" w:cs="Arial" w:eastAsia="Arial" w:hAnsi="Arial"/>
          <w:sz w:val="18"/>
          <w:szCs w:val="18"/>
          <w:color w:val="auto"/>
        </w:rPr>
      </w:pPr>
    </w:p>
    <w:p>
      <w:pPr>
        <w:ind w:left="1500" w:hanging="750"/>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for regulatory clearance to initiate Phase 1/2a study of ARO-RAGE for treatment of Asthma;</w:t>
      </w:r>
    </w:p>
    <w:p>
      <w:pPr>
        <w:spacing w:after="0" w:line="225" w:lineRule="exact"/>
        <w:rPr>
          <w:rFonts w:ascii="Arial" w:cs="Arial" w:eastAsia="Arial" w:hAnsi="Arial"/>
          <w:sz w:val="18"/>
          <w:szCs w:val="18"/>
          <w:color w:val="auto"/>
        </w:rPr>
      </w:pPr>
    </w:p>
    <w:p>
      <w:pPr>
        <w:ind w:left="1500" w:hanging="750"/>
        <w:spacing w:after="0"/>
        <w:tabs>
          <w:tab w:leader="none" w:pos="1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filed for regulatory clearance to initiate Phase 1/2a study of ARO-MUC5AC for treatment of muco-obstructive lung disease;</w:t>
      </w:r>
    </w:p>
    <w:p>
      <w:pPr>
        <w:spacing w:after="0" w:line="236" w:lineRule="exact"/>
        <w:rPr>
          <w:rFonts w:ascii="Arial" w:cs="Arial" w:eastAsia="Arial" w:hAnsi="Arial"/>
          <w:sz w:val="17"/>
          <w:szCs w:val="17"/>
          <w:color w:val="auto"/>
        </w:rPr>
      </w:pPr>
    </w:p>
    <w:p>
      <w:pPr>
        <w:ind w:left="1500" w:right="520" w:hanging="750"/>
        <w:spacing w:after="0" w:line="277" w:lineRule="auto"/>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initiated and dosed the first patients in the Phase 2 GATEWAY clinical study of investigational ARO-ANG3 for the treatment of patients with homozygous familial hypercholersterolemia;</w:t>
      </w:r>
    </w:p>
    <w:p>
      <w:pPr>
        <w:spacing w:after="0" w:line="170" w:lineRule="exact"/>
        <w:rPr>
          <w:rFonts w:ascii="Arial" w:cs="Arial" w:eastAsia="Arial" w:hAnsi="Arial"/>
          <w:sz w:val="18"/>
          <w:szCs w:val="18"/>
          <w:color w:val="auto"/>
        </w:rPr>
      </w:pPr>
    </w:p>
    <w:p>
      <w:pPr>
        <w:ind w:left="1500" w:right="380" w:hanging="750"/>
        <w:spacing w:after="0" w:line="277" w:lineRule="auto"/>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decided not to pursue further clinical development of ARO-HIF2 based on a number of factors including the evolving competitive landscape for HIF2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-2899410</wp:posOffset>
            </wp:positionV>
            <wp:extent cx="2540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50" w:lineRule="exact"/>
        <w:rPr>
          <w:sz w:val="20"/>
          <w:szCs w:val="20"/>
          <w:color w:val="auto"/>
        </w:rPr>
      </w:pPr>
    </w:p>
    <w:p>
      <w:pPr>
        <w:ind w:right="80" w:firstLine="300"/>
        <w:spacing w:after="0" w:line="253" w:lineRule="auto"/>
        <w:rPr>
          <w:sz w:val="20"/>
          <w:szCs w:val="20"/>
          <w:color w:val="auto"/>
        </w:rPr>
      </w:pPr>
      <w:r>
        <w:rPr>
          <w:rFonts w:ascii="Arial" w:cs="Arial" w:eastAsia="Arial" w:hAnsi="Arial"/>
          <w:sz w:val="18"/>
          <w:szCs w:val="18"/>
          <w:color w:val="auto"/>
        </w:rPr>
        <w:t>The Company is actively monitoring the ongoing COVID-19 pandemic. The financial results for the three and six months ended March 31, 2022 were not significantly impacted by COVID-19. Operationally, the Company has experienced delays in its earlier stage programs due to a shortage in non-human primates, which are critical to the Company’s preclinical programs. Additionally, the Company has experienced delays in enrollment in its clinical trials. The Company’s operations at its research and development facilities in Madison, Wisconsin and San Diego, California, and its corporate headquarters in Pasadena, California have continued with limited impact, other than for enhanced safety measures, including work from home policies and intermittent lab supply shortages. However, the Company cannot predict the impact the progression of COVID-19 will have on future financial and operational results due to a variety of factors, including the ability of the Company’s clinical sites to continue to enroll subjects, the ability of the Company’s suppliers to continue to operate, the continued good health and safety of the Company’s employees and the length and severity of the COVID-19 pandemic.</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income was $44.4 million for the three months ended March 31, 2022 as compared to net losses of $26.8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March 31, 2021. Net losses were $18.5 million for the six months ended March 31, 2022 as compared to net losses of $47.6 million for the six months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ended March 31, 2021. Net income per share-diluted was $0.41 for the three months ended March 31, 2022 as compared to net losses per share-diluted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$0.26 for the three months ended March 31, 2021. Net losses per share-diluted were $0.18 for the six months ended March 31, 2022 as compared to net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losses per share-diluted of $0.46 for the six months ended March 31, 2021. The net income during the three months ended March 31, 2022,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reduction in net loss for the six months ended March 31, 2022 as compared to the six months ended March 31, 2021 was due to the recognition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$120.0 million upfront payment received from GSK under the GSK License Agreement (as defined below). This increased revenue was partially offset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research and development and general and administrative expenses as the Company’s pipeline of candidates has expanded and progressed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through clinical trial phases.</w:t>
      </w:r>
    </w:p>
    <w:p>
      <w:pPr>
        <w:spacing w:after="0" w:line="211"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The Company has strengthened its liquidity and financial position through upfront and milestone payments received under its collaboration agreements, as well as equity financings. Under the terms of the Company’s agreements with Janssen, taken together, the Company has received $175.0 million as an upfront payment, $75.0 million in the form of an equity investment by JJDC 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spacing w:after="0" w:line="274" w:lineRule="auto"/>
        <w:rPr>
          <w:sz w:val="20"/>
          <w:szCs w:val="20"/>
          <w:color w:val="auto"/>
        </w:rPr>
      </w:pPr>
      <w:r>
        <w:rPr>
          <w:rFonts w:ascii="Arial" w:cs="Arial" w:eastAsia="Arial" w:hAnsi="Arial"/>
          <w:sz w:val="17"/>
          <w:szCs w:val="17"/>
          <w:color w:val="auto"/>
        </w:rPr>
        <w:t>Arrowhead Common Stock, and four milestone payments totaling $70.0 million. Under the terms of the Company’s agreements with Amgen, the Company has received $35.0 million in upfront payments, $21.5 million in the form of an equity investment by Amgen in the Company’s Common Stock and $30.0 million in milestone payments. The Takeda License Agreement resulted in a $300.0 million upfront payment, and the Horizon License Agreement resulted in a $40.0 million upfront payment. Finally, the GSK License Agreement resulted in an upfront payment of $120.0 million, which was received in January 2022. The Company had $86.4 million of cash and cash equivalents, $122.6 million of marketable securities, $192.9 million in short-term investments, $201.6 million of long term investments and $703.6 million of total assets as of March 31, 2022, as compared to $184.4 million of cash and cash equivalents, $126.7 million of marketable securities, $56.6 million in short-term investments, $245.6 million of long term investments and $710.1 million of total assets as of September 30, 2021. Based upon the Company’s current cash and investment resources and operating plan, the Company expects to have sufficient liquidity to fund operations for at least the next twelve months.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 have been no changes to the significant accounting policies disclosed in the Company’s most recent Annual Report on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data summarizes our results of operations for the following periods indicated:</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42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619"/>
              <w:spacing w:after="0" w:line="155"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r>
      <w:tr>
        <w:trPr>
          <w:trHeight w:val="133"/>
        </w:trPr>
        <w:tc>
          <w:tcPr>
            <w:tcW w:w="42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80" w:type="dxa"/>
            <w:vAlign w:val="bottom"/>
            <w:gridSpan w:val="3"/>
          </w:tcPr>
          <w:p>
            <w:pPr>
              <w:jc w:val="right"/>
              <w:ind w:right="394"/>
              <w:spacing w:after="0" w:line="133" w:lineRule="exact"/>
              <w:rPr>
                <w:sz w:val="20"/>
                <w:szCs w:val="20"/>
                <w:color w:val="auto"/>
              </w:rPr>
            </w:pPr>
            <w:r>
              <w:rPr>
                <w:rFonts w:ascii="Arial" w:cs="Arial" w:eastAsia="Arial" w:hAnsi="Arial"/>
                <w:sz w:val="14"/>
                <w:szCs w:val="14"/>
                <w:b w:val="1"/>
                <w:bCs w:val="1"/>
                <w:color w:val="auto"/>
                <w:w w:val="98"/>
              </w:rPr>
              <w:t>(in thousands, except per share</w:t>
            </w:r>
          </w:p>
        </w:tc>
        <w:tc>
          <w:tcPr>
            <w:tcW w:w="100" w:type="dxa"/>
            <w:vAlign w:val="bottom"/>
          </w:tcPr>
          <w:p>
            <w:pPr>
              <w:spacing w:after="0"/>
              <w:rPr>
                <w:sz w:val="11"/>
                <w:szCs w:val="11"/>
                <w:color w:val="auto"/>
              </w:rPr>
            </w:pPr>
          </w:p>
        </w:tc>
      </w:tr>
      <w:tr>
        <w:trPr>
          <w:trHeight w:val="171"/>
        </w:trPr>
        <w:tc>
          <w:tcPr>
            <w:tcW w:w="4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amounts)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151,805</w:t>
            </w: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32,811</w:t>
            </w:r>
          </w:p>
        </w:tc>
        <w:tc>
          <w:tcPr>
            <w:tcW w:w="100" w:type="dxa"/>
            <w:vAlign w:val="bottom"/>
            <w:shd w:val="clear" w:color="auto" w:fill="CFF0FC"/>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9"/>
              <w:spacing w:after="0"/>
              <w:rPr>
                <w:sz w:val="20"/>
                <w:szCs w:val="20"/>
                <w:color w:val="auto"/>
              </w:rPr>
            </w:pPr>
            <w:r>
              <w:rPr>
                <w:rFonts w:ascii="Arial" w:cs="Arial" w:eastAsia="Arial" w:hAnsi="Arial"/>
                <w:sz w:val="18"/>
                <w:szCs w:val="18"/>
                <w:color w:val="auto"/>
              </w:rPr>
              <w:t>41,553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(28,232)</w:t>
            </w: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44,366</w:t>
            </w: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(26,818)</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Net income (loss) per share-diluted</w:t>
            </w: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9"/>
              <w:spacing w:after="0"/>
              <w:rPr>
                <w:sz w:val="20"/>
                <w:szCs w:val="20"/>
                <w:color w:val="auto"/>
              </w:rPr>
            </w:pPr>
            <w:r>
              <w:rPr>
                <w:rFonts w:ascii="Arial" w:cs="Arial" w:eastAsia="Arial" w:hAnsi="Arial"/>
                <w:sz w:val="18"/>
                <w:szCs w:val="18"/>
                <w:color w:val="auto"/>
              </w:rPr>
              <w:t>0.41</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(0.26)</w:t>
            </w:r>
          </w:p>
        </w:tc>
      </w:tr>
      <w:tr>
        <w:trPr>
          <w:trHeight w:val="391"/>
        </w:trPr>
        <w:tc>
          <w:tcPr>
            <w:tcW w:w="4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Six Months Ended March 31,</w:t>
            </w:r>
          </w:p>
        </w:tc>
      </w:tr>
      <w:tr>
        <w:trPr>
          <w:trHeight w:val="156"/>
        </w:trPr>
        <w:tc>
          <w:tcPr>
            <w:tcW w:w="42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619"/>
              <w:spacing w:after="0" w:line="155"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r>
      <w:tr>
        <w:trPr>
          <w:trHeight w:val="133"/>
        </w:trPr>
        <w:tc>
          <w:tcPr>
            <w:tcW w:w="42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80" w:type="dxa"/>
            <w:vAlign w:val="bottom"/>
            <w:gridSpan w:val="3"/>
          </w:tcPr>
          <w:p>
            <w:pPr>
              <w:jc w:val="right"/>
              <w:ind w:right="394"/>
              <w:spacing w:after="0" w:line="133" w:lineRule="exact"/>
              <w:rPr>
                <w:sz w:val="20"/>
                <w:szCs w:val="20"/>
                <w:color w:val="auto"/>
              </w:rPr>
            </w:pPr>
            <w:r>
              <w:rPr>
                <w:rFonts w:ascii="Arial" w:cs="Arial" w:eastAsia="Arial" w:hAnsi="Arial"/>
                <w:sz w:val="14"/>
                <w:szCs w:val="14"/>
                <w:b w:val="1"/>
                <w:bCs w:val="1"/>
                <w:color w:val="auto"/>
                <w:w w:val="98"/>
              </w:rPr>
              <w:t>(in thousands, except per share</w:t>
            </w:r>
          </w:p>
        </w:tc>
        <w:tc>
          <w:tcPr>
            <w:tcW w:w="100" w:type="dxa"/>
            <w:vAlign w:val="bottom"/>
          </w:tcPr>
          <w:p>
            <w:pPr>
              <w:spacing w:after="0"/>
              <w:rPr>
                <w:sz w:val="11"/>
                <w:szCs w:val="11"/>
                <w:color w:val="auto"/>
              </w:rPr>
            </w:pPr>
          </w:p>
        </w:tc>
      </w:tr>
      <w:tr>
        <w:trPr>
          <w:trHeight w:val="171"/>
        </w:trPr>
        <w:tc>
          <w:tcPr>
            <w:tcW w:w="4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amounts)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179,244</w:t>
            </w: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54,113</w:t>
            </w:r>
          </w:p>
        </w:tc>
        <w:tc>
          <w:tcPr>
            <w:tcW w:w="100" w:type="dxa"/>
            <w:vAlign w:val="bottom"/>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(21,768)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(52,285)</w:t>
            </w: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(18,506)</w:t>
            </w: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(47,550)</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Net income (loss) per share-diluted</w:t>
            </w: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(0.18)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(0.46)</w:t>
            </w:r>
          </w:p>
        </w:tc>
      </w:tr>
    </w:tbl>
    <w:p>
      <w:pPr>
        <w:spacing w:after="0" w:line="200" w:lineRule="exact"/>
        <w:rPr>
          <w:sz w:val="20"/>
          <w:szCs w:val="20"/>
          <w:color w:val="auto"/>
        </w:rPr>
      </w:pPr>
    </w:p>
    <w:p>
      <w:pPr>
        <w:spacing w:after="0" w:line="325" w:lineRule="exact"/>
        <w:rPr>
          <w:sz w:val="20"/>
          <w:szCs w:val="20"/>
          <w:color w:val="auto"/>
        </w:rPr>
      </w:pPr>
    </w:p>
    <w:p>
      <w:pPr>
        <w:ind w:right="120" w:firstLine="300"/>
        <w:spacing w:after="0" w:line="277" w:lineRule="auto"/>
        <w:rPr>
          <w:sz w:val="20"/>
          <w:szCs w:val="20"/>
          <w:color w:val="auto"/>
        </w:rPr>
      </w:pPr>
      <w:r>
        <w:rPr>
          <w:rFonts w:ascii="Arial" w:cs="Arial" w:eastAsia="Arial" w:hAnsi="Arial"/>
          <w:sz w:val="18"/>
          <w:szCs w:val="18"/>
          <w:color w:val="auto"/>
        </w:rPr>
        <w:t>The increase in revenue and operating income for the three and six months ended March 31, 2022 compared to the three and six months ended March 31, 2021 was driven by the revenue recognized from the GSK, Takeda and Horizon License Agreements.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Total revenue for the three months ended March 31, 2022 and 2021 was $151.8 million and $32.8 million, respectively. Total revenue for the six months ended March 31, 2022 and 2021 was $179.2 million and $54.1 million, respectively. Revenue for the three months ended March 31, 2022 is primarily related to the recognition of the $120.0 million of revenue associated with the upfront payment received from GSK under the GSK License Agreement.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2" w:name="page23"/>
    <w:bookmarkEnd w:id="22"/>
    <w:p>
      <w:pPr>
        <w:ind w:left="520"/>
        <w:spacing w:after="0"/>
        <w:rPr>
          <w:sz w:val="20"/>
          <w:szCs w:val="20"/>
          <w:color w:val="auto"/>
        </w:rPr>
      </w:pPr>
      <w:r>
        <w:rPr>
          <w:rFonts w:ascii="Arial" w:cs="Arial" w:eastAsia="Arial" w:hAnsi="Arial"/>
          <w:sz w:val="16"/>
          <w:szCs w:val="16"/>
          <w:color w:val="auto"/>
        </w:rPr>
        <w:t>On September 28, 2016, the Company entered into two collaboration and license agreements and a common stock purchase agreement with Amgen.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Under the Second Collaboration and License Agreement (the “Olpasiran Agreement”), Amgen has received a worldwide, exclusive license to Arrowhead’s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novel RNAi Olpasiran (previously referred to as AMG 890 or ARO-LPA) program. These RNAi molecules are designed to reduce elevated lipoprotein(a),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is a genetically validated, independent risk factor for atherosclerotic cardiovascular disease. Under the prior collaboration and license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“First Collaboration and License Agreement” or the “ARO-AMG1 Agreement”), Amgen received an option to a worldwide, exclusive license for ARO-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AMG1, an RNAi therapy for an undisclosed genetically validated cardiovascular target. Under both agreements, Amgen is wholly responsible for clinical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commercialization. Under the terms of the agreements taken together, the Company has received $35.0 million in upfront payments,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$21.5 million in the form of an equity investment by Amgen in the Company’s Common Stock, and $30.0 million in milestone payments, and may receive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 to an additional $400.0 million in remaining development, regulatory and sales milestone payments. The Company is further eligible to receive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low double-digit royalties for sales of products under the Olpasiran Agreement. In July 2019, Amgen informed the Company that it would not be exercising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option for an exclusive license for ARO-AMG1, and as such, there will be no further milestone or royalty payments under the ARO-AMG1</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60" w:firstLine="510"/>
        <w:spacing w:after="0" w:line="300" w:lineRule="auto"/>
        <w:rPr>
          <w:sz w:val="20"/>
          <w:szCs w:val="20"/>
          <w:color w:val="auto"/>
        </w:rPr>
      </w:pPr>
      <w:r>
        <w:rPr>
          <w:rFonts w:ascii="Arial" w:cs="Arial" w:eastAsia="Arial" w:hAnsi="Arial"/>
          <w:sz w:val="16"/>
          <w:szCs w:val="16"/>
          <w:color w:val="auto"/>
        </w:rPr>
        <w:t>The Company has evaluated these agreements in accordance with FASB Topics 808 – Collaboration Arrangements and 606 - Revenue for Contracts from Customers. The Company has substantially completed its performance obligations under the Olpasiran Agreement and the ARO-AMG1 Agreement. Future milestones and royalties achieved will be recognized in their entirety when earned. In July 2020, Amgen initiated a Phase 2 clinical study of Olpasiran, which resulted in a $20.0 million milestone payment to the Company. During the three and six months ended March 31, 2022 and 2021, the Company recognized $0 and $0 of revenue associated with its agreement with Amgen, respectively. As of March 31, 2022, there were $0 in contract assets recorded as accounts receivable and $0 contract liabilities recorded as current deferred revenue on the Company’s Consolidated Balance Sheets.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Pharmaceuticals, Inc.</w:t>
      </w:r>
    </w:p>
    <w:p>
      <w:pPr>
        <w:spacing w:after="0" w:line="117"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On October 3, 2018, the Company entered into a License Agreement (the “Janssen License Agreement”) and a Research Collaboration and Option Agreement (the “Janssen Collaboration Agreement”) with Janssen, part of the Janssen Pharmaceutical Companies of Johnson &amp; Johnson. The Company also entered into a stock purchase agreement with JJDC (“JJDC Stock Purchase Agreement”). Under the Janssen License Agreement, Janssen has received a worldwide, exclusive license to the Company’s JNJ-3989 (ARO-HBV) program, the Company’s third-generation subcutaneously administered RNAi therapeutic candidate being developed as a potential therapy for patients with chronic hepatitis B virus infection. Beyond the Company’s Phase 1/2 study of JNJ-3989 (ARO-HBV), which the Company was responsible for completing, Janssen is wholly responsible for clinical development and commercialization of JNJ-3989. Under the Janssen Collaboration Agreement, Janssen was able to select three new targets against which Arrowhead would develop clinical candidates. These candidates were subject to certain restrictions and do not include candidates that already were in the Company’s pipeline. The Company was obligated to perform discovery, optimization and preclinical research and development, entirely funded by Janssen, which on its own or in combination with Janssen development work, would have been sufficient to allow the filing of a U.S. Investigational New Drug Application or equivalent, at which time Janssen would have the option to take an exclusive license. If the option was exercised, Janssen would have been wholly responsible for clinical development and commercialization of each optioned candidate. Under the terms of the agreements taken together, the Company has received $175.0 million as an upfront payment, $75.0 million in the form of an equity investment by JJDC in Arrowhead Common Stock under the JJDC Stock Purchase Agreement, and milestone and option payments totaling $73.0 million, and the Company may receive up to $1.6 billion in development and sales milestones payments for the Janssen License Agreement, and up to $0.6 billion in development and sales milestone payments for the remaining target covered under the Janssen Collaboration Agreement. The Company is further eligible to receive tiered royalties on product sales up to mid-teens under the Janssen License Agreement and up to low teens under the Janssen Collaboration Agreement. During the three months ended March 31, 2022, Janssen’s option period expired unexercised for two of the three candidates (ARO-JNJ2 and ARO-JNJ3) under the Janssen Collaboration Agreement.</w:t>
      </w:r>
    </w:p>
    <w:p>
      <w:pPr>
        <w:spacing w:after="0" w:line="171"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The Company has evaluated these agreements in accordance with FASB Topics 808 – Collaboration Arrangements and 606 - Revenue for Contracts from Customers. At the inception of these agreements, the Company identified one distinct performance obligation. Regarding the Janssen License Agreement, the Company determined that the key deliverables included the license and certain R&amp;D services including the Company’s responsibility to complete the Phase 1/2 study of JNJ-3989 (ARO-HBV) and the Company’s responsibility to ensure certain manufacturing of JNJ-3989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is accounted for separately.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ind w:firstLine="510"/>
        <w:spacing w:after="0" w:line="253" w:lineRule="auto"/>
        <w:rPr>
          <w:sz w:val="20"/>
          <w:szCs w:val="20"/>
          <w:color w:val="auto"/>
        </w:rPr>
      </w:pPr>
      <w:r>
        <w:rPr>
          <w:rFonts w:ascii="Arial" w:cs="Arial" w:eastAsia="Arial" w:hAnsi="Arial"/>
          <w:sz w:val="18"/>
          <w:szCs w:val="18"/>
          <w:color w:val="auto"/>
        </w:rPr>
        <w:t>The Company determined the transaction price totaled approximately $252.7 million, which includes the upfront payment, the premium paid by JJDC for its equity investment in the Company, two $25.0 million milestone payments related to JNJ-3989 (ARO-HBV), and estimated payments for reimbursable Janssen R&amp;D Services to be performed. The Company has allocated the total $252.7 million initial transaction price to its one distinct performance obligation for the JNJ-3989 (ARO-HBV) license and the associated Janssen R&amp;D Services. The Company has recognized this transaction price in its entirety as of September 30, 2021, as its performance obligations were substantially completed. Future milestones and royalties achieved will be recognized in their entirety when earned. During the three months ended March 31, 2022 and 2021, the Company recognized approximately $0 and $7.5 million of revenue associated with this performance obligation, respectively. During the six months ended March 31, 2022 and 2021, the Company recognized approximately $0 and $20.2 million of revenue associated with this performance obligation, respectively. As of March 31, 2022, there were $0 in contract assets recorded as accounts receivable, and $0 of contract liabilities recorded as current deferred revenue on the Company’s Consolidated Balance Sheets.</w:t>
      </w:r>
    </w:p>
    <w:p>
      <w:pPr>
        <w:spacing w:after="0" w:line="194" w:lineRule="exact"/>
        <w:rPr>
          <w:sz w:val="20"/>
          <w:szCs w:val="20"/>
          <w:color w:val="auto"/>
        </w:rPr>
      </w:pPr>
    </w:p>
    <w:p>
      <w:pPr>
        <w:ind w:right="20" w:firstLine="510"/>
        <w:spacing w:after="0" w:line="297" w:lineRule="auto"/>
        <w:rPr>
          <w:sz w:val="20"/>
          <w:szCs w:val="20"/>
          <w:color w:val="auto"/>
        </w:rPr>
      </w:pPr>
      <w:r>
        <w:rPr>
          <w:rFonts w:ascii="Arial" w:cs="Arial" w:eastAsia="Arial" w:hAnsi="Arial"/>
          <w:sz w:val="16"/>
          <w:szCs w:val="16"/>
          <w:color w:val="auto"/>
        </w:rPr>
        <w:t>The Company has conducted its discovery, optimization and preclinical research and development of JNJ-75220795 (ARO-JNJ1), ARO-JNJ2, and ARO-JNJ3 under the Janssen Collaboration Agreement. All costs and labor hours spent by the Company have been entirely funded by Janssen. During the three months ended March 31, 2022, Janssen’s option period expired unexercised for two of the three candidates (ARO-JNJ2 and ARO-JNJ3) under the Janssen Collaboration Agreement. During the three months ended March 31, 2022 and 2021, the Company recognized $0.1 million and $0.1 million of revenue associated with these efforts, respectively. During the six months ended March 31, 2022 and 2021, the Company recognized $0.1 million and $0.3 million of revenue associated with these efforts, respectively. As of March 31, 2022, there were $0.1 million of contract assets recorded as accounts receivable and $0 of contract liabilities recorded as current deferred revenue on the Company’s Consolidated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Takeda Pharmaceuticals U.S.A., Inc.</w:t>
      </w:r>
    </w:p>
    <w:p>
      <w:pPr>
        <w:spacing w:after="0" w:line="117"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On October 7, 2020, the Company entered into an Exclusive License and Co-funding agreement (the “Takeda License Agreement”) with Takeda. Under the Takeda License Agreement, Takeda and the Company will co-develop the Company’s ARO-AAT program, the Company’s second-generation subcutaneously administered RNAi therapeutic candidate being developed as a treatment for liver disease associated with alpha-1 antitrypsin deficiency. Within the United States, ARO-AAT, if approved, will be co-commercialized under a 50/50 profit sharing structure. Outside the United States, Takeda will lead the global commercialization strategy and will receive an exclusive license to commercialize ARO-AAT, while the Company will be eligible to receive tiered royalties of 20% to 25% on net sales. In January 2021, the Company received $300.0 million as an upfront payment and is eligible to receive potential development, regulatory and commercial milestones of up to $740.0 million.</w:t>
      </w:r>
    </w:p>
    <w:p>
      <w:pPr>
        <w:spacing w:after="0" w:line="17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Company has evaluated the Takeda License Agreement in accordance with FASB Topics 808 – Collaborative Arrangements and 606 - Revenue for Contracts from Customers. At the inception of the Takeda License Agreement, the Company identified one distinct performance obligation. The Company determined that the key deliverables included the license and certain R&amp;D services including the Company’s responsibilities to complete the initial portion of the SEQUOIA study, to complete the ongoing Phase 2 AROAAT2002 study and to ensure certain manufacturing of ARO-AAT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Beyond the Takeda R&amp;D Services, which are the responsibility of the Company, Takeda will be responsible for managing future clinical development and commercialization outside the United States. Within the United States, the Company will also participate in co-development and co-commercialization efforts and will co-fund these efforts with Takeda as part of the 50/50 profit sharing structure within the United States. The Company considers the collaborative activities, including the co-development and co-commercialization, to be a separate unit of account within Topic 808, and as such, these co-funding amounts will be recorded as Research and Development Expenses or General and Administrative Expenses, as appropriate.</w:t>
      </w:r>
    </w:p>
    <w:p>
      <w:pPr>
        <w:spacing w:after="0" w:line="165" w:lineRule="exact"/>
        <w:rPr>
          <w:sz w:val="20"/>
          <w:szCs w:val="20"/>
          <w:color w:val="auto"/>
        </w:rPr>
      </w:pPr>
    </w:p>
    <w:p>
      <w:pPr>
        <w:ind w:firstLine="300"/>
        <w:spacing w:after="0" w:line="270" w:lineRule="auto"/>
        <w:rPr>
          <w:sz w:val="20"/>
          <w:szCs w:val="20"/>
          <w:color w:val="auto"/>
        </w:rPr>
      </w:pPr>
      <w:r>
        <w:rPr>
          <w:rFonts w:ascii="Arial" w:cs="Arial" w:eastAsia="Arial" w:hAnsi="Arial"/>
          <w:sz w:val="17"/>
          <w:szCs w:val="17"/>
          <w:color w:val="auto"/>
        </w:rPr>
        <w:t>The Company determined the initial transaction price totaled $300.0 million, which includes the upfront payment. The Company has excluded any future milestones or royalties from this transaction price to date. The Company has allocated the total $300.0 million initial transaction price to its one distinct performance obligation for the ARO-AAT license and the associated Takeda R&amp;D Services. Revenue will be recognized using a proportional performance method (based on actual patient visits completed versus total estimated visits completed for the ongoing SEQUOIA and AROAAT2002 clinical studies). Revenue for the three months ended March 31, 2022 and 2021 was $20.8 million and $25.4 million, respectively. Revenue for the six months ended March 31, 2022 and 2021 was $41.6 million and $33.6 million, respectively. As of March 31, 2022, there were $0 in contract assets recorded as accounts receivable, $77.9 million in contract liabilities recorded as deferred revenue and $89.8 million in contract liabilities recorded as deferred revenue, net of the current portion, and $5.0 million in contract liabilities recorded as accrued expenses. The $5.0 million in accrued expenses was primarily driven by co-development and co-commercialization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Therapeutics Ireland DAC</w:t>
      </w:r>
    </w:p>
    <w:p>
      <w:pPr>
        <w:spacing w:after="0" w:line="117"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On June 18, 2021, the Company entered into the Horizon License Agreement with Horizon. Under the Horizon License Agreement, Horizon received a worldwide exclusive license for ARO-XDH, a previously undisclosed discovery-stage investigational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4" w:name="page25"/>
    <w:bookmarkEnd w:id="24"/>
    <w:p>
      <w:pPr>
        <w:ind w:right="100"/>
        <w:spacing w:after="0" w:line="301" w:lineRule="auto"/>
        <w:rPr>
          <w:sz w:val="20"/>
          <w:szCs w:val="20"/>
          <w:color w:val="auto"/>
        </w:rPr>
      </w:pPr>
      <w:r>
        <w:rPr>
          <w:rFonts w:ascii="Arial" w:cs="Arial" w:eastAsia="Arial" w:hAnsi="Arial"/>
          <w:sz w:val="16"/>
          <w:szCs w:val="16"/>
          <w:color w:val="auto"/>
        </w:rPr>
        <w:t>RNAi therapeutic being developed by the Company as a potential treatment for people with uncontrolled gout. The Company will conduct all activities through the preclinical stages of development of ARO-XDH, and Horizon will be wholly responsible for clinical development and commercialization of ARO-XDH. In July 2021, the Company received $40 million as an upfront payment and is eligible to receive up to $660 million in potential development, regulatory and sales milestones. The Company is also eligible to receive royalties in the low- to mid-teens range on net product sales.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has evaluated the Horizon License Agreement in accordance with FASB Topics 808 – Collaborative Arrangements and 606 -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Revenue for Contracts from Customers. At the inception of the Horizon License Agreement, the Company identified one distinct performance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obligation. The Company determined that the key deliverables included the license and certain R&amp;D services, including the Company’s responsibilities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conduct all activities through the preclinical stages of development of ARO-XDH (the “Horizon R&amp;D Services”). Due to the specialized and unique nature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these Horizon R&amp;D Services and their direct relationship with the license, the Company determined that these deliverables represented one distinct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bundle and, thus, one performance obligation. Beyond the Horizon R&amp;D Services, which are the responsibility of the Company, Horizon will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responsible for managing future clinical development and commercialization of ARO-XDH.</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determined the initial transaction price totaled $40.0 million, including the upfront payment. The Company has excluded any future estimated milestones or royalties, from this transaction price to date. The Company will allocate the total $40.0 million initial transaction price to its one distinct performance obligation for the ARO-XDH license and the associated Horizon R&amp;D Services. Revenue will be recognized on a straight-line basis over the estimated timeframe for completing the Horizon R&amp;D Services. The Company determined that the straight-line basis was appropriate as its efforts will be expended evenly over the course of completing its performance obligation. Revenue for the three months ended March 31, 2022 and 2021 was $6.7 million and $0, respectively. Revenue for the six months ended March 31, 2022 and 2021 was $13.3 million and $0, respectively. As of March 31, 2022, there were $0 million in contract assets recorded as accounts receivable, $20.0 million in contract liabilities recorded as deferred revenue.</w:t>
      </w:r>
    </w:p>
    <w:p>
      <w:pPr>
        <w:spacing w:after="0" w:line="166" w:lineRule="exact"/>
        <w:rPr>
          <w:sz w:val="20"/>
          <w:szCs w:val="20"/>
          <w:color w:val="auto"/>
        </w:rPr>
      </w:pPr>
    </w:p>
    <w:p>
      <w:pPr>
        <w:ind w:right="300" w:firstLine="405"/>
        <w:spacing w:after="0" w:line="301" w:lineRule="auto"/>
        <w:rPr>
          <w:sz w:val="20"/>
          <w:szCs w:val="20"/>
          <w:color w:val="auto"/>
        </w:rPr>
      </w:pPr>
      <w:r>
        <w:rPr>
          <w:rFonts w:ascii="Arial" w:cs="Arial" w:eastAsia="Arial" w:hAnsi="Arial"/>
          <w:sz w:val="16"/>
          <w:szCs w:val="16"/>
          <w:color w:val="auto"/>
        </w:rPr>
        <w:t>The Company has manufactured ARO-XDH material for Horizon in furtherance of the research plan entered into pursuant to the Horizon License Agreement, for which the Company has been reimbursed for its costs. During the three and six months ended March 31, 2022 and 2021, the Company recognized $1.3 million and $0 with these efforts, respectively. As of March 31, 2022, there were $1.3 million of contract assets recorded as accounts receivable and $0 of contract liabilities recorded as current deferred revenue on the Company’s Consolidated Balance Sheets.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Glaxosmithkline Intellectual Property (No. 3) Limited</w:t>
      </w:r>
    </w:p>
    <w:p>
      <w:pPr>
        <w:spacing w:after="0" w:line="225" w:lineRule="exact"/>
        <w:rPr>
          <w:sz w:val="20"/>
          <w:szCs w:val="20"/>
          <w:color w:val="auto"/>
        </w:rPr>
      </w:pPr>
    </w:p>
    <w:p>
      <w:pPr>
        <w:ind w:right="200" w:firstLine="510"/>
        <w:spacing w:after="0" w:line="288" w:lineRule="auto"/>
        <w:rPr>
          <w:sz w:val="20"/>
          <w:szCs w:val="20"/>
          <w:color w:val="auto"/>
        </w:rPr>
      </w:pPr>
      <w:r>
        <w:rPr>
          <w:rFonts w:ascii="Arial" w:cs="Arial" w:eastAsia="Arial" w:hAnsi="Arial"/>
          <w:sz w:val="16"/>
          <w:szCs w:val="16"/>
          <w:color w:val="auto"/>
        </w:rPr>
        <w:t>On November 22, 2021, the Company entered into an Exclusive License Agreement (the “GSK License Agreement”) with GSK. Under the GSK License Agreement, GSK has received an exclusive license for ARO-HSD, the Company’s investigational RNAi therapeutic being developed as a treatment for patients with alcohol-related and nonalcohol related liver diseases, such as nonalcoholic steatohepatitis (NASH). The exclusive license is worldwide with the exception of greater China, for which the Company retained rights to develop and commercialize. Beyond the Company’s Phase 1/2 study of (ARO-HSD), which the Company is responsible for completing, GSK is wholly responsible for clinical development and commercialization of ARO-HSD in its territory. Under the terms of the agreement, the Company has received an upfront payment of $120 million and is eligible for additional payments of $30 million at the start of Phase 2 and $100 million upon achieving a successful Phase 2 trial readout and the first patient dosed in a Phase 3 trial. Furthermore, should the Phase 3 trial read out positively, and the potential new medicine receives regulatory approval in major markets, the deal provides for commercial milestone payments to the Company of up to $190 million at first commercial sale, and up to $590 million in sales-related milestone payments. The Company is further eligible to receive tiered royalties on net product sales in a range of mid-teens to twenty percent.</w:t>
      </w:r>
    </w:p>
    <w:p>
      <w:pPr>
        <w:spacing w:after="0" w:line="168" w:lineRule="exact"/>
        <w:rPr>
          <w:sz w:val="20"/>
          <w:szCs w:val="20"/>
          <w:color w:val="auto"/>
        </w:rPr>
      </w:pPr>
    </w:p>
    <w:p>
      <w:pPr>
        <w:ind w:right="180" w:firstLine="510"/>
        <w:spacing w:after="0" w:line="254" w:lineRule="auto"/>
        <w:rPr>
          <w:sz w:val="20"/>
          <w:szCs w:val="20"/>
          <w:color w:val="auto"/>
        </w:rPr>
      </w:pPr>
      <w:r>
        <w:rPr>
          <w:rFonts w:ascii="Arial" w:cs="Arial" w:eastAsia="Arial" w:hAnsi="Arial"/>
          <w:sz w:val="18"/>
          <w:szCs w:val="18"/>
          <w:color w:val="auto"/>
        </w:rPr>
        <w:t>The Company has evaluated the GSK License Agreement in accordance with FASB Topics 808 – Collaborative Arrangements and 606 - Revenue for Contracts from Customers. At the inception of the GSK License Agreement, the Company identified one distinct performance obligation. The Company determined that the key deliverables included the license and certain R&amp;D services, including the Company’s responsibility to complete the Phase 1/2 study, (the “GSK R&amp;D Services”). Due to the specialized and unique nature of these GSK R&amp;D Services and their direct relationship with the license, the Company determined that these deliverables represented one distinct bundle and, thus, one performance obligation. Beyond the GSK R&amp;D Services, which are the responsibility of the Company, GSK will be responsible for managing future clinical development and commercialization in its territory.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5" w:name="page26"/>
    <w:bookmarkEnd w:id="25"/>
    <w:p>
      <w:pPr>
        <w:ind w:firstLine="300"/>
        <w:spacing w:after="0" w:line="254" w:lineRule="auto"/>
        <w:rPr>
          <w:sz w:val="20"/>
          <w:szCs w:val="20"/>
          <w:color w:val="auto"/>
        </w:rPr>
      </w:pPr>
      <w:r>
        <w:rPr>
          <w:rFonts w:ascii="Arial" w:cs="Arial" w:eastAsia="Arial" w:hAnsi="Arial"/>
          <w:sz w:val="18"/>
          <w:szCs w:val="18"/>
          <w:color w:val="auto"/>
        </w:rPr>
        <w:t>The Company determined the initial transaction price totaled $120.0 million, including the upfront payment. The $120.0 million upfront payment was collected in January 2022. The Company has excluded any future estimated milestones or royalties from this transaction price to date. The Company has allocated the total $120.0 million initial transaction price to its one distinct performance obligation for the ARO-HSD license and the associated GSK R&amp;D Services. As the Company has completed its performance obligation related to this agreement, the upfront payment of $120.0 million will be fully recognized as of the three and six months ended March 31, 2022. Revenue for the three and six months ended March 31, 2022 and 2021 was $120.0 million and $0, respectively. As of March 31, 2022, there were $0 in contract assets recorded as accounts receivable, $0 in contract liabilities recorded as deferred revenue.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80" w:firstLine="510"/>
        <w:spacing w:after="0" w:line="286" w:lineRule="auto"/>
        <w:rPr>
          <w:sz w:val="20"/>
          <w:szCs w:val="20"/>
          <w:color w:val="auto"/>
        </w:rPr>
      </w:pPr>
      <w:r>
        <w:rPr>
          <w:rFonts w:ascii="Arial" w:cs="Arial" w:eastAsia="Arial" w:hAnsi="Arial"/>
          <w:sz w:val="17"/>
          <w:szCs w:val="17"/>
          <w:color w:val="auto"/>
        </w:rPr>
        <w:t>The analysis below details the operating expenses and discusses the expenditures of the Company within the major expense categories. Certain reclassifications have been made to prior-period operating expense categories to conform to the current period presentation. For purposes of comparison, the amounts for the three and six months ended March 31, 2022 and 2021 are shown in the tables below.</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R&amp;D expenses are related to the Company’s research and development efforts and related program costs, which are comprised primarily of outsourced costs related to the manufacturing of clinical supplies, toxicity/efficacy studies and clinical trial expenses. Internal costs primarily relate to operations at our research facilities in Madison, Wisconsin and San Diego, California, including facility costs and laboratory-related expenses. Salaries and stock compensation expense consist of salary, bonuses, payroll taxes and related benefits and stock compensation for our R&amp;D personnel. Depreciation and amortization expense consist of depreciation on lab equipment and leasehold improvements at our research facilities. We do not separately track R&amp;D expenses by individual research and development projects, including by individual drug candidates. The Company operates in a cross-functional manner across projects and does not separately allocate facilities-related costs, candidate costs, discovery costs, compensation expenses, depreciation and amortization expenses, and other expenses for research and development activities. The following table provides details of research and development expenses for the periods indicated: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(table below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Three</w:t>
            </w: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Three</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Months</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Months</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2"/>
                <w:szCs w:val="12"/>
                <w:color w:val="auto"/>
              </w:rPr>
            </w:pPr>
          </w:p>
        </w:tc>
        <w:tc>
          <w:tcPr>
            <w:tcW w:w="19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Expense</w:t>
            </w:r>
          </w:p>
        </w:tc>
        <w:tc>
          <w:tcPr>
            <w:tcW w:w="1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Expense</w:t>
            </w:r>
          </w:p>
        </w:tc>
        <w:tc>
          <w:tcPr>
            <w:tcW w:w="220" w:type="dxa"/>
            <w:vAlign w:val="bottom"/>
          </w:tcPr>
          <w:p>
            <w:pPr>
              <w:spacing w:after="0"/>
              <w:rPr>
                <w:sz w:val="14"/>
                <w:szCs w:val="14"/>
                <w:color w:val="auto"/>
              </w:rPr>
            </w:pPr>
          </w:p>
        </w:tc>
        <w:tc>
          <w:tcPr>
            <w:tcW w:w="1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March 31,</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March 31,</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8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80" w:type="dxa"/>
            <w:vAlign w:val="bottom"/>
            <w:vMerge w:val="restart"/>
          </w:tcPr>
          <w:p>
            <w:pPr>
              <w:spacing w:after="0"/>
              <w:rPr>
                <w:sz w:val="20"/>
                <w:szCs w:val="20"/>
                <w:color w:val="auto"/>
              </w:rPr>
            </w:pPr>
            <w:r>
              <w:rPr>
                <w:rFonts w:ascii="Arial" w:cs="Arial" w:eastAsia="Arial" w:hAnsi="Arial"/>
                <w:sz w:val="18"/>
                <w:szCs w:val="18"/>
                <w:color w:val="auto"/>
              </w:rPr>
              <w:t>Salaries</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11,404</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8,685</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2,719</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Facilities related</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Candidate costs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37,713</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20,667</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17,046</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R&amp;D discovery costs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14,266</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5,502</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8,764</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w w:val="91"/>
              </w:rPr>
              <w:t>Total research and development expense, excluding non-cash</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vMerge w:val="continue"/>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65,162</w:t>
            </w:r>
          </w:p>
        </w:tc>
        <w:tc>
          <w:tcPr>
            <w:tcW w:w="220" w:type="dxa"/>
            <w:vAlign w:val="bottom"/>
          </w:tcPr>
          <w:p>
            <w:pPr>
              <w:spacing w:after="0"/>
              <w:rPr>
                <w:sz w:val="18"/>
                <w:szCs w:val="18"/>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86% $</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36,525</w:t>
            </w:r>
          </w:p>
        </w:tc>
        <w:tc>
          <w:tcPr>
            <w:tcW w:w="200" w:type="dxa"/>
            <w:vAlign w:val="bottom"/>
          </w:tcPr>
          <w:p>
            <w:pPr>
              <w:spacing w:after="0"/>
              <w:rPr>
                <w:sz w:val="18"/>
                <w:szCs w:val="18"/>
                <w:color w:val="auto"/>
              </w:rPr>
            </w:pPr>
          </w:p>
        </w:tc>
        <w:tc>
          <w:tcPr>
            <w:tcW w:w="1400" w:type="dxa"/>
            <w:vAlign w:val="bottom"/>
            <w:gridSpan w:val="3"/>
            <w:vMerge w:val="restart"/>
          </w:tcPr>
          <w:p>
            <w:pPr>
              <w:jc w:val="right"/>
              <w:ind w:right="30"/>
              <w:spacing w:after="0"/>
              <w:rPr>
                <w:sz w:val="20"/>
                <w:szCs w:val="20"/>
                <w:color w:val="auto"/>
              </w:rPr>
            </w:pPr>
            <w:r>
              <w:rPr>
                <w:rFonts w:ascii="Arial" w:cs="Arial" w:eastAsia="Arial" w:hAnsi="Arial"/>
                <w:sz w:val="18"/>
                <w:szCs w:val="18"/>
                <w:b w:val="1"/>
                <w:bCs w:val="1"/>
                <w:color w:val="auto"/>
              </w:rPr>
              <w:t>82% $</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28,637</w:t>
            </w:r>
          </w:p>
        </w:tc>
        <w:tc>
          <w:tcPr>
            <w:tcW w:w="200" w:type="dxa"/>
            <w:vAlign w:val="bottom"/>
          </w:tcPr>
          <w:p>
            <w:pPr>
              <w:spacing w:after="0"/>
              <w:rPr>
                <w:sz w:val="18"/>
                <w:szCs w:val="18"/>
                <w:color w:val="auto"/>
              </w:rPr>
            </w:pP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expense</w:t>
            </w:r>
          </w:p>
        </w:tc>
        <w:tc>
          <w:tcPr>
            <w:tcW w:w="10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3"/>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3"/>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Stock compensation</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8,642</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6,406</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2,236</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Depreciation/amortization</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2,181</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1,766</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415</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75,985</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44,697</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31,288</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592"/>
        </w:trPr>
        <w:tc>
          <w:tcPr>
            <w:tcW w:w="4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Six</w:t>
            </w:r>
          </w:p>
        </w:tc>
        <w:tc>
          <w:tcPr>
            <w:tcW w:w="2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4"/>
              </w:rPr>
              <w:t>Six</w:t>
            </w:r>
          </w:p>
        </w:tc>
        <w:tc>
          <w:tcPr>
            <w:tcW w:w="2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Months</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Months</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2"/>
                <w:szCs w:val="12"/>
                <w:color w:val="auto"/>
              </w:rPr>
            </w:pPr>
          </w:p>
        </w:tc>
        <w:tc>
          <w:tcPr>
            <w:tcW w:w="19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Expense</w:t>
            </w:r>
          </w:p>
        </w:tc>
        <w:tc>
          <w:tcPr>
            <w:tcW w:w="1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Expense</w:t>
            </w:r>
          </w:p>
        </w:tc>
        <w:tc>
          <w:tcPr>
            <w:tcW w:w="220" w:type="dxa"/>
            <w:vAlign w:val="bottom"/>
          </w:tcPr>
          <w:p>
            <w:pPr>
              <w:spacing w:after="0"/>
              <w:rPr>
                <w:sz w:val="14"/>
                <w:szCs w:val="14"/>
                <w:color w:val="auto"/>
              </w:rPr>
            </w:pPr>
          </w:p>
        </w:tc>
        <w:tc>
          <w:tcPr>
            <w:tcW w:w="1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March 31,</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March 31,</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8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Salaries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22,398</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16,857</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5,541</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Facilities related</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3,817</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3,150</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667</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Candidate costs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70,058</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35,684</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34,374</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R&amp;D discovery costs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25,266</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10,213</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15,053</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1"/>
              </w:rPr>
              <w:t>Total research and development expense, excluding non-cash</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121,539</w:t>
            </w:r>
          </w:p>
        </w:tc>
        <w:tc>
          <w:tcPr>
            <w:tcW w:w="22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86%</w:t>
            </w:r>
          </w:p>
        </w:tc>
        <w:tc>
          <w:tcPr>
            <w:tcW w:w="10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65,904</w:t>
            </w:r>
          </w:p>
        </w:tc>
        <w:tc>
          <w:tcPr>
            <w:tcW w:w="200" w:type="dxa"/>
            <w:vAlign w:val="bottom"/>
            <w:shd w:val="clear" w:color="auto" w:fill="CFF0FC"/>
          </w:tcPr>
          <w:p>
            <w:pPr>
              <w:spacing w:after="0"/>
              <w:rPr>
                <w:sz w:val="18"/>
                <w:szCs w:val="18"/>
                <w:color w:val="auto"/>
              </w:rPr>
            </w:pPr>
          </w:p>
        </w:tc>
        <w:tc>
          <w:tcPr>
            <w:tcW w:w="11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82%</w:t>
            </w:r>
          </w:p>
        </w:tc>
        <w:tc>
          <w:tcPr>
            <w:tcW w:w="220" w:type="dxa"/>
            <w:vAlign w:val="bottom"/>
            <w:shd w:val="clear" w:color="auto" w:fill="CFF0FC"/>
          </w:tcPr>
          <w:p>
            <w:pPr>
              <w:spacing w:after="0"/>
              <w:rPr>
                <w:sz w:val="18"/>
                <w:szCs w:val="18"/>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55,635</w:t>
            </w:r>
          </w:p>
        </w:tc>
        <w:tc>
          <w:tcPr>
            <w:tcW w:w="200" w:type="dxa"/>
            <w:vAlign w:val="bottom"/>
            <w:shd w:val="clear" w:color="auto" w:fill="CFF0FC"/>
          </w:tcPr>
          <w:p>
            <w:pPr>
              <w:spacing w:after="0"/>
              <w:rPr>
                <w:sz w:val="18"/>
                <w:szCs w:val="18"/>
                <w:color w:val="auto"/>
              </w:rPr>
            </w:pP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expense</w:t>
            </w:r>
          </w:p>
        </w:tc>
        <w:tc>
          <w:tcPr>
            <w:tcW w:w="100" w:type="dxa"/>
            <w:vAlign w:val="bottom"/>
            <w:shd w:val="clear" w:color="auto" w:fill="CFF0FC"/>
          </w:tcPr>
          <w:p>
            <w:pPr>
              <w:spacing w:after="0"/>
              <w:rPr>
                <w:sz w:val="20"/>
                <w:szCs w:val="20"/>
                <w:color w:val="auto"/>
              </w:rPr>
            </w:pPr>
          </w:p>
        </w:tc>
        <w:tc>
          <w:tcPr>
            <w:tcW w:w="76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tcBorders>
              <w:right w:val="single" w:sz="8" w:color="CFF0FC"/>
            </w:tcBorders>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6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Stock compensation</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15,860</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11,891</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3,969</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Depreciation/amortization</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4,351</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Total research and development expense</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141,750</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81,251</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60,499</w:t>
            </w:r>
          </w:p>
        </w:tc>
        <w:tc>
          <w:tcPr>
            <w:tcW w:w="2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Salaries expense increased by $2,719,000 from $8,685,000 during the three months ended March 31, 2021 to $11,404,000 during the current period. Salaries expense increased by $5,541,000 from $16,857,000 during the six months ended March 31, 2021 to $22,398,000 during the current period. This increase is primarily due to an increase in R&amp;D headcount that has occurred as the Company has expanded its pipeline of candidates. We anticipate this expense to continue to increase as we continue to expand our pipeline of candidates and increase headcount to support our discovery efforts to identify new drug candidates, in addition to inflationary pressures in the labor market.</w:t>
      </w:r>
    </w:p>
    <w:p>
      <w:pPr>
        <w:spacing w:after="0" w:line="188"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color w:val="auto"/>
        </w:rPr>
        <w:t>Facilities expense increased by $108,000 from $1,671,000 during the three months ended March 31, 2021 to $1,779,000 during the current period. Facilities expense increased by $667,000 from $3,150,000 during the six months ended March 31, 2021 to $3,817,000 during the current period. This category includes rental costs for our research and development facilities in Madison, Wisconsin and San Diego, California. We expect this expense to continue to increase as we continue to build out our manufacturing capabilities to support our discovery efforts to identify new drug candidates.</w:t>
      </w:r>
    </w:p>
    <w:p>
      <w:pPr>
        <w:spacing w:after="0" w:line="15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Candidate costs increased by $17,046,000 from $20,667,000 during the three months ended March 31, 2021 to $37,713,000 during the current period. Candidate costs increased by $34,374,000 from $35,684,000 during the six months ended March 31, 2021 to $70,058,000 during the current period. This increase is primarily due to the progression of our pipeline of candidates into and through clinical trials, which results in higher outsourced clinical trial, toxicity study and manufacturing costs. For example, our cardiometabolic candidates, ARO-ANG3 and ARO-APOC3, have advanced into phase 2 and phase 3 clinical trials. We anticipate these expenses to continue to increase as our pipeline of candidates grows and progresses to later phase clinical trials, in addition to unforeseen inflationary pressure on goods and services.</w:t>
      </w:r>
    </w:p>
    <w:p>
      <w:pPr>
        <w:spacing w:after="0" w:line="178"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R&amp;D discovery costs increased by $8,764,000 from $5,502,000 during the three months ended March 31, 2021 to $14,266,000 in the current period. R&amp;D discovery costs increased by $15,053,000 from $10,213,000 during the six months ended March 31, 2021 to $25,266,000 in the current period. This increase is primarily due to the growth of our discovery efforts, including the addition of our research facility in San Diego. We anticipate this expense to continue to increase as we increase headcount to support our discovery efforts to identify new drug candidates.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ind w:left="520"/>
        <w:spacing w:after="0"/>
        <w:rPr>
          <w:sz w:val="20"/>
          <w:szCs w:val="20"/>
          <w:color w:val="auto"/>
        </w:rPr>
      </w:pPr>
      <w:r>
        <w:rPr>
          <w:rFonts w:ascii="Arial" w:cs="Arial" w:eastAsia="Arial" w:hAnsi="Arial"/>
          <w:sz w:val="16"/>
          <w:szCs w:val="16"/>
          <w:color w:val="auto"/>
        </w:rPr>
        <w:t>Stock compensation expense, a non-cash expense, increased by $2,236,000 from $6,406,000 during the three months ended March 31, 2021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$8,642,000 during the current period. Stock compensation expense, a non-cash expense, increased by $3,969,000 from $11,891,000 during the six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March 31, 2021 to $15,860,000 during the current period. Stock compensation expense is based upon the valuation of stock options and restricted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units granted to employees, directors and certain consultants. Many variables affect the amount expensed, including the Company’s stock price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grant, as well as other assumptions. The increase in the expense in the current period is primarily due to the increased headcount discussed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above and a mix of higher grant date fair values of awards amortizing during the current period due to the Company’s stock price at the time of the grants.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generally expect future stock compensation expense to continue to increase as our headcount continues to increase to support our clinical pipeline.</w:t>
      </w:r>
    </w:p>
    <w:p>
      <w:pPr>
        <w:spacing w:after="0" w:line="23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Depreciation and amortization expense, a non-cash expense, increased by $415,000 from $1,766,000 during the three months ended March 31, 2021 to $2,181,000 during the current period. Depreciation and amortization expense, a non-cash expense, increased by $895,000 from $3,456,000 during the six months ended March 31, 2021 to $4,351,000 during the current period. The majority of depreciation and amortization expense relates to depreciation on lab equipment and leasehold improvements at our Madison and San Diego research facilities. The increase in depreciation and amortization expense is due to an increase in laboratory equipment and leasehold improvements. We expect this amount to increase in the future as we continue to purchase additional lab equipment to support our growing pipeline.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&amp;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our general and administrative expenses for the periods indicated: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below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Three</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Three</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Months</w:t>
            </w:r>
          </w:p>
        </w:tc>
        <w:tc>
          <w:tcPr>
            <w:tcW w:w="22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Months</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2"/>
                <w:szCs w:val="12"/>
                <w:color w:val="auto"/>
              </w:rPr>
            </w:pPr>
          </w:p>
        </w:tc>
        <w:tc>
          <w:tcPr>
            <w:tcW w:w="19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Expense</w:t>
            </w:r>
          </w:p>
        </w:tc>
        <w:tc>
          <w:tcPr>
            <w:tcW w:w="1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Expense</w:t>
            </w:r>
          </w:p>
        </w:tc>
        <w:tc>
          <w:tcPr>
            <w:tcW w:w="220" w:type="dxa"/>
            <w:vAlign w:val="bottom"/>
          </w:tcPr>
          <w:p>
            <w:pPr>
              <w:spacing w:after="0"/>
              <w:rPr>
                <w:sz w:val="14"/>
                <w:szCs w:val="14"/>
                <w:color w:val="auto"/>
              </w:rPr>
            </w:pPr>
          </w:p>
        </w:tc>
        <w:tc>
          <w:tcPr>
            <w:tcW w:w="1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March 31,</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8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Salaries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3,760</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3,257</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Professional/outside services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2,330</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1,838</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492</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Facilities related</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138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(85)</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Other G&amp;A</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1,911</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1,355</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556</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5"/>
              </w:rPr>
              <w:t>Total general &amp; administrative expense, excluding non-cash</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vMerge w:val="continue"/>
            <w:shd w:val="clear" w:color="auto" w:fill="CFF0FC"/>
          </w:tcPr>
          <w:p>
            <w:pPr>
              <w:spacing w:after="0"/>
              <w:rPr>
                <w:sz w:val="18"/>
                <w:szCs w:val="18"/>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8,703</w:t>
            </w:r>
          </w:p>
        </w:tc>
        <w:tc>
          <w:tcPr>
            <w:tcW w:w="220" w:type="dxa"/>
            <w:vAlign w:val="bottom"/>
            <w:vMerge w:val="restart"/>
            <w:shd w:val="clear" w:color="auto" w:fill="CFF0FC"/>
          </w:tcPr>
          <w:p>
            <w:pPr>
              <w:spacing w:after="0"/>
              <w:rPr>
                <w:sz w:val="18"/>
                <w:szCs w:val="18"/>
                <w:color w:val="auto"/>
              </w:rPr>
            </w:pPr>
          </w:p>
        </w:tc>
        <w:tc>
          <w:tcPr>
            <w:tcW w:w="11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26%</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7,237</w:t>
            </w:r>
          </w:p>
        </w:tc>
        <w:tc>
          <w:tcPr>
            <w:tcW w:w="200" w:type="dxa"/>
            <w:vAlign w:val="bottom"/>
            <w:shd w:val="clear" w:color="auto" w:fill="CFF0FC"/>
          </w:tcPr>
          <w:p>
            <w:pPr>
              <w:spacing w:after="0"/>
              <w:rPr>
                <w:sz w:val="18"/>
                <w:szCs w:val="18"/>
                <w:color w:val="auto"/>
              </w:rPr>
            </w:pPr>
          </w:p>
        </w:tc>
        <w:tc>
          <w:tcPr>
            <w:tcW w:w="11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44%</w:t>
            </w: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1,466</w:t>
            </w:r>
          </w:p>
        </w:tc>
        <w:tc>
          <w:tcPr>
            <w:tcW w:w="200" w:type="dxa"/>
            <w:vAlign w:val="bottom"/>
            <w:shd w:val="clear" w:color="auto" w:fill="CFF0FC"/>
          </w:tcPr>
          <w:p>
            <w:pPr>
              <w:spacing w:after="0"/>
              <w:rPr>
                <w:sz w:val="18"/>
                <w:szCs w:val="18"/>
                <w:color w:val="auto"/>
              </w:rPr>
            </w:pP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expense</w:t>
            </w:r>
          </w:p>
        </w:tc>
        <w:tc>
          <w:tcPr>
            <w:tcW w:w="100" w:type="dxa"/>
            <w:vAlign w:val="bottom"/>
            <w:vMerge w:val="continue"/>
            <w:shd w:val="clear" w:color="auto" w:fill="CFF0FC"/>
          </w:tcPr>
          <w:p>
            <w:pPr>
              <w:spacing w:after="0"/>
              <w:rPr>
                <w:sz w:val="20"/>
                <w:szCs w:val="20"/>
                <w:color w:val="auto"/>
              </w:rPr>
            </w:pPr>
          </w:p>
        </w:tc>
        <w:tc>
          <w:tcPr>
            <w:tcW w:w="760" w:type="dxa"/>
            <w:vAlign w:val="bottom"/>
            <w:vMerge w:val="continue"/>
            <w:shd w:val="clear" w:color="auto" w:fill="CFF0FC"/>
          </w:tcPr>
          <w:p>
            <w:pPr>
              <w:spacing w:after="0"/>
              <w:rPr>
                <w:sz w:val="20"/>
                <w:szCs w:val="20"/>
                <w:color w:val="auto"/>
              </w:rPr>
            </w:pPr>
          </w:p>
        </w:tc>
        <w:tc>
          <w:tcPr>
            <w:tcW w:w="220" w:type="dxa"/>
            <w:vAlign w:val="bottom"/>
            <w:vMerge w:val="continue"/>
            <w:shd w:val="clear" w:color="auto" w:fill="CFF0FC"/>
          </w:tcPr>
          <w:p>
            <w:pPr>
              <w:spacing w:after="0"/>
              <w:rPr>
                <w:sz w:val="20"/>
                <w:szCs w:val="20"/>
                <w:color w:val="auto"/>
              </w:rPr>
            </w:pPr>
          </w:p>
        </w:tc>
        <w:tc>
          <w:tcPr>
            <w:tcW w:w="1160" w:type="dxa"/>
            <w:vAlign w:val="bottom"/>
            <w:tcBorders>
              <w:right w:val="single" w:sz="8" w:color="CFF0FC"/>
            </w:tcBorders>
            <w:gridSpan w:val="2"/>
            <w:vMerge w:val="continue"/>
            <w:shd w:val="clear" w:color="auto" w:fill="CFF0FC"/>
          </w:tcPr>
          <w:p>
            <w:pPr>
              <w:spacing w:after="0"/>
              <w:rPr>
                <w:sz w:val="20"/>
                <w:szCs w:val="20"/>
                <w:color w:val="auto"/>
              </w:rPr>
            </w:pPr>
          </w:p>
        </w:tc>
        <w:tc>
          <w:tcPr>
            <w:tcW w:w="100" w:type="dxa"/>
            <w:vAlign w:val="bottom"/>
            <w:vMerge w:val="continue"/>
            <w:shd w:val="clear" w:color="auto" w:fill="CFF0FC"/>
          </w:tcPr>
          <w:p>
            <w:pPr>
              <w:spacing w:after="0"/>
              <w:rPr>
                <w:sz w:val="20"/>
                <w:szCs w:val="20"/>
                <w:color w:val="auto"/>
              </w:rPr>
            </w:pPr>
          </w:p>
        </w:tc>
        <w:tc>
          <w:tcPr>
            <w:tcW w:w="78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220" w:type="dxa"/>
            <w:vAlign w:val="bottom"/>
            <w:vMerge w:val="continue"/>
            <w:shd w:val="clear" w:color="auto" w:fill="CFF0FC"/>
          </w:tcPr>
          <w:p>
            <w:pPr>
              <w:spacing w:after="0"/>
              <w:rPr>
                <w:sz w:val="20"/>
                <w:szCs w:val="20"/>
                <w:color w:val="auto"/>
              </w:rPr>
            </w:pPr>
          </w:p>
        </w:tc>
        <w:tc>
          <w:tcPr>
            <w:tcW w:w="66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Stock compensation</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25,160</w:t>
            </w:r>
          </w:p>
        </w:tc>
        <w:tc>
          <w:tcPr>
            <w:tcW w:w="220" w:type="dxa"/>
            <w:vAlign w:val="bottom"/>
            <w:vMerge w:val="continue"/>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8,953</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16,207</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Depreciation/amortization</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Total general &amp; administrative expense</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34,267</w:t>
            </w:r>
          </w:p>
        </w:tc>
        <w:tc>
          <w:tcPr>
            <w:tcW w:w="220" w:type="dxa"/>
            <w:vAlign w:val="bottom"/>
            <w:vMerge w:val="continue"/>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16,346</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17,921</w:t>
            </w:r>
          </w:p>
        </w:tc>
        <w:tc>
          <w:tcPr>
            <w:tcW w:w="2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110%</w:t>
            </w:r>
          </w:p>
        </w:tc>
        <w:tc>
          <w:tcPr>
            <w:tcW w:w="0" w:type="dxa"/>
            <w:vAlign w:val="bottom"/>
          </w:tcPr>
          <w:p>
            <w:pPr>
              <w:spacing w:after="0"/>
              <w:rPr>
                <w:sz w:val="1"/>
                <w:szCs w:val="1"/>
                <w:color w:val="auto"/>
              </w:rPr>
            </w:pPr>
          </w:p>
        </w:tc>
      </w:tr>
      <w:tr>
        <w:trPr>
          <w:trHeight w:val="578"/>
        </w:trPr>
        <w:tc>
          <w:tcPr>
            <w:tcW w:w="4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Six</w:t>
            </w:r>
          </w:p>
        </w:tc>
        <w:tc>
          <w:tcPr>
            <w:tcW w:w="2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4"/>
              </w:rPr>
              <w:t>Six</w:t>
            </w:r>
          </w:p>
        </w:tc>
        <w:tc>
          <w:tcPr>
            <w:tcW w:w="2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Months</w:t>
            </w:r>
          </w:p>
        </w:tc>
        <w:tc>
          <w:tcPr>
            <w:tcW w:w="22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Months</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2"/>
                <w:szCs w:val="12"/>
                <w:color w:val="auto"/>
              </w:rPr>
            </w:pPr>
          </w:p>
        </w:tc>
        <w:tc>
          <w:tcPr>
            <w:tcW w:w="19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Expense</w:t>
            </w:r>
          </w:p>
        </w:tc>
        <w:tc>
          <w:tcPr>
            <w:tcW w:w="1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Expense</w:t>
            </w:r>
          </w:p>
        </w:tc>
        <w:tc>
          <w:tcPr>
            <w:tcW w:w="220" w:type="dxa"/>
            <w:vAlign w:val="bottom"/>
          </w:tcPr>
          <w:p>
            <w:pPr>
              <w:spacing w:after="0"/>
              <w:rPr>
                <w:sz w:val="14"/>
                <w:szCs w:val="14"/>
                <w:color w:val="auto"/>
              </w:rPr>
            </w:pPr>
          </w:p>
        </w:tc>
        <w:tc>
          <w:tcPr>
            <w:tcW w:w="1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March 31,</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8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Salaries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7,190</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5,841</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Professional/outside services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4,507</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3,820</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687</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Facilities related</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w:t>
            </w:r>
          </w:p>
        </w:tc>
        <w:tc>
          <w:tcPr>
            <w:tcW w:w="138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(135)</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Other G&amp;A</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2,929</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2,048</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881</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5"/>
              </w:rPr>
              <w:t>Total general &amp; administrative expense, excluding non-cash</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16,008</w:t>
            </w:r>
          </w:p>
        </w:tc>
        <w:tc>
          <w:tcPr>
            <w:tcW w:w="220" w:type="dxa"/>
            <w:vAlign w:val="bottom"/>
            <w:vMerge w:val="restart"/>
            <w:shd w:val="clear" w:color="auto" w:fill="CFF0FC"/>
          </w:tcPr>
          <w:p>
            <w:pPr>
              <w:spacing w:after="0"/>
              <w:rPr>
                <w:sz w:val="18"/>
                <w:szCs w:val="18"/>
                <w:color w:val="auto"/>
              </w:rPr>
            </w:pPr>
          </w:p>
        </w:tc>
        <w:tc>
          <w:tcPr>
            <w:tcW w:w="11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13,226</w:t>
            </w:r>
          </w:p>
        </w:tc>
        <w:tc>
          <w:tcPr>
            <w:tcW w:w="200" w:type="dxa"/>
            <w:vAlign w:val="bottom"/>
            <w:shd w:val="clear" w:color="auto" w:fill="CFF0FC"/>
          </w:tcPr>
          <w:p>
            <w:pPr>
              <w:spacing w:after="0"/>
              <w:rPr>
                <w:sz w:val="18"/>
                <w:szCs w:val="18"/>
                <w:color w:val="auto"/>
              </w:rPr>
            </w:pPr>
          </w:p>
        </w:tc>
        <w:tc>
          <w:tcPr>
            <w:tcW w:w="11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52%</w:t>
            </w:r>
          </w:p>
        </w:tc>
        <w:tc>
          <w:tcPr>
            <w:tcW w:w="220" w:type="dxa"/>
            <w:vAlign w:val="bottom"/>
            <w:shd w:val="clear" w:color="auto" w:fill="CFF0FC"/>
          </w:tcPr>
          <w:p>
            <w:pPr>
              <w:spacing w:after="0"/>
              <w:rPr>
                <w:sz w:val="18"/>
                <w:szCs w:val="18"/>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2,782</w:t>
            </w:r>
          </w:p>
        </w:tc>
        <w:tc>
          <w:tcPr>
            <w:tcW w:w="200" w:type="dxa"/>
            <w:vAlign w:val="bottom"/>
            <w:shd w:val="clear" w:color="auto" w:fill="CFF0FC"/>
          </w:tcPr>
          <w:p>
            <w:pPr>
              <w:spacing w:after="0"/>
              <w:rPr>
                <w:sz w:val="18"/>
                <w:szCs w:val="18"/>
                <w:color w:val="auto"/>
              </w:rPr>
            </w:pP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expense</w:t>
            </w:r>
          </w:p>
        </w:tc>
        <w:tc>
          <w:tcPr>
            <w:tcW w:w="100" w:type="dxa"/>
            <w:vAlign w:val="bottom"/>
            <w:shd w:val="clear" w:color="auto" w:fill="CFF0FC"/>
          </w:tcPr>
          <w:p>
            <w:pPr>
              <w:spacing w:after="0"/>
              <w:rPr>
                <w:sz w:val="20"/>
                <w:szCs w:val="20"/>
                <w:color w:val="auto"/>
              </w:rPr>
            </w:pPr>
          </w:p>
        </w:tc>
        <w:tc>
          <w:tcPr>
            <w:tcW w:w="760" w:type="dxa"/>
            <w:vAlign w:val="bottom"/>
            <w:vMerge w:val="continue"/>
            <w:shd w:val="clear" w:color="auto" w:fill="CFF0FC"/>
          </w:tcPr>
          <w:p>
            <w:pPr>
              <w:spacing w:after="0"/>
              <w:rPr>
                <w:sz w:val="20"/>
                <w:szCs w:val="20"/>
                <w:color w:val="auto"/>
              </w:rPr>
            </w:pPr>
          </w:p>
        </w:tc>
        <w:tc>
          <w:tcPr>
            <w:tcW w:w="220" w:type="dxa"/>
            <w:vAlign w:val="bottom"/>
            <w:vMerge w:val="continue"/>
            <w:shd w:val="clear" w:color="auto" w:fill="CFF0FC"/>
          </w:tcPr>
          <w:p>
            <w:pPr>
              <w:spacing w:after="0"/>
              <w:rPr>
                <w:sz w:val="20"/>
                <w:szCs w:val="20"/>
                <w:color w:val="auto"/>
              </w:rPr>
            </w:pPr>
          </w:p>
        </w:tc>
        <w:tc>
          <w:tcPr>
            <w:tcW w:w="1160" w:type="dxa"/>
            <w:vAlign w:val="bottom"/>
            <w:tcBorders>
              <w:right w:val="single" w:sz="8" w:color="CFF0FC"/>
            </w:tcBorders>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6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Stock compensation</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42,447</w:t>
            </w:r>
          </w:p>
        </w:tc>
        <w:tc>
          <w:tcPr>
            <w:tcW w:w="220" w:type="dxa"/>
            <w:vAlign w:val="bottom"/>
            <w:vMerge w:val="continue"/>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11,611</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30,836</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Depreciation/amortization</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Total general &amp; administrative expense</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59,262</w:t>
            </w:r>
          </w:p>
        </w:tc>
        <w:tc>
          <w:tcPr>
            <w:tcW w:w="220" w:type="dxa"/>
            <w:vAlign w:val="bottom"/>
            <w:vMerge w:val="continue"/>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25,147</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34,115</w:t>
            </w:r>
          </w:p>
        </w:tc>
        <w:tc>
          <w:tcPr>
            <w:tcW w:w="2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1"/>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gridSpan w:val="2"/>
          </w:tcPr>
          <w:p>
            <w:pPr>
              <w:jc w:val="right"/>
              <w:ind w:right="716"/>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ind w:firstLine="510"/>
        <w:spacing w:after="0" w:line="259" w:lineRule="auto"/>
        <w:rPr>
          <w:sz w:val="20"/>
          <w:szCs w:val="20"/>
          <w:color w:val="auto"/>
        </w:rPr>
      </w:pPr>
      <w:r>
        <w:rPr>
          <w:rFonts w:ascii="Arial" w:cs="Arial" w:eastAsia="Arial" w:hAnsi="Arial"/>
          <w:sz w:val="18"/>
          <w:szCs w:val="18"/>
          <w:color w:val="auto"/>
        </w:rPr>
        <w:t>Salaries expense increased by $503,000 from $3,257,000 during the three months ended March 31, 2021 to $3,760,000 during the current period. Salaries expense increased by $1,349,000 from $5,841,000 during the six months ended March 31, 2021 to $7,190,000 during the current period. This increase is primarily due to an increase in G&amp;A headcount that has occurred as the Company has grown. We expect salaries expense to continue to increase as our headcount continues to increase to support our expanding clinical pipeline.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Professional/outside services include legal, accounting, consulting, patent expenses, business insurance expenses and other outside services retained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by the Company. Professional/outside services expense increased by $492,000 from $1,838,000 during the three months ended March 31, 2021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$2,330,000 during the current period. Professional/outside services expense increased by $687,000 from $3,820,000 during the six months ended March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 2021 to $4,507,000 during the current period. We expect future professional/outside services expense to increase as we continue to increase discovery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efforts.</w:t>
      </w:r>
    </w:p>
    <w:p>
      <w:pPr>
        <w:spacing w:after="0" w:line="21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Facilities-related expense decreased by $85,000 from $787,000 during the three months ended March 31, 2021 to $702,000 during the current period. Facilities-related expense decreased by $135,000 from $1,517,000 during the six months ended March 31, 2021 to $1,382,000 during the current period. This category primarily includes rental costs for our corporate headquarters in Pasadena, California. The decrease in facilities related expenses is due to a decrease in building maintenance and repair costs. We expect future facilities related expenses to increase as we continue to increase our headcount &amp; footprint to support our discovery efforts.</w:t>
      </w:r>
    </w:p>
    <w:p>
      <w:pPr>
        <w:spacing w:after="0" w:line="18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Other G&amp;A expense increased by $556,000 from $1,355,000 during the three months ended March 31, 2021 to $1,911,000 during the current period. Other G&amp;A expense increased by $881,000 from $2,048,000 during the six months ended March 31, 2021 to $2,929,000 during the current period. This category consists primarily of travel, communication and technology, office expenses, and franchise and property tax expenses. The increase is due to increased information technology costs to support the Company’s increased headcount.</w:t>
      </w:r>
    </w:p>
    <w:p>
      <w:pPr>
        <w:spacing w:after="0" w:line="187" w:lineRule="exact"/>
        <w:rPr>
          <w:sz w:val="20"/>
          <w:szCs w:val="20"/>
          <w:color w:val="auto"/>
        </w:rPr>
      </w:pPr>
    </w:p>
    <w:p>
      <w:pPr>
        <w:ind w:right="80" w:firstLine="300"/>
        <w:spacing w:after="0" w:line="271" w:lineRule="auto"/>
        <w:rPr>
          <w:sz w:val="20"/>
          <w:szCs w:val="20"/>
          <w:color w:val="auto"/>
        </w:rPr>
      </w:pPr>
      <w:r>
        <w:rPr>
          <w:rFonts w:ascii="Arial" w:cs="Arial" w:eastAsia="Arial" w:hAnsi="Arial"/>
          <w:sz w:val="17"/>
          <w:szCs w:val="17"/>
          <w:color w:val="auto"/>
        </w:rPr>
        <w:t>Stock compensation expense, a non-cash expense, increased by $16,207,000 from $8,953,000 during the three months ended March 31, 2021 to $25,160,000 during the current period. Stock compensation expense, a non-cash expense, increased by $30,836,000 from $11,611,000 during the six months ended March 31, 2021 to $42,447,000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increase in the current period is due to a performance award that was achieved earlier than anticipated, as well as a modification of certain performance awards to include market conditions. The fair value of market condition-based awards is expensed ratably over the service period and is not adjusted for actual achievement. We generally expect future stock compensation expense to continue to increase as our headcount continues to increase to support our clinical pipeline.</w:t>
      </w:r>
    </w:p>
    <w:p>
      <w:pPr>
        <w:spacing w:after="0" w:line="17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Depreciation and amortization expense, a noncash expense, increased by $248,000 from $156,000 during the three months ended March 31, 2021 to $404,000 during the current period. Depreciation and amortization expense, a noncash expense, increased by $497,000 from $310,000 during the six months ended March 31, 2021 to $807,000 during the current period. The increase is primarily related to amortization of leasehold improvements for our corporate headquarters.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Other income/expense was income of $1,414,000 during the three months ended March 31, 2021 compared to $2,813,000 during the current period. Other income/expense was income of $4,735,000 during the six months ended March 31, 2021 compared to $3,262,000 during the current period. Other income is primarily related to interest income and realized and unrealized gain/loss on our marketable securities. The increase in other income/expense is due to lower yields on more recently purchased bonds and increase in unrealized loss on our marketable securities offset by a property tax credit the company received during the current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Arrowhead has historically financed its operations through the sale of its equity securities and revenue from its collaboration agreements. Research and development activities have required significant capital investment since the Company’s inception and are expected to continue to require significant cash expenditure as the Company’s pipeline continues to expand and matures into later stage clinical trials. Additionally, the Company’s plans to expand its facilities with its purchase of land in Verona, Wisconsin, and its entry into a new lease in San Diego, California. Each of these expansions is designed to increase the Company’s internal manufacturing and discovery capabilities, and each will require significant capital investment.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9" w:name="page30"/>
    <w:bookmarkEnd w:id="29"/>
    <w:p>
      <w:pPr>
        <w:ind w:right="40" w:firstLine="510"/>
        <w:spacing w:after="0" w:line="293" w:lineRule="auto"/>
        <w:rPr>
          <w:sz w:val="20"/>
          <w:szCs w:val="20"/>
          <w:color w:val="auto"/>
        </w:rPr>
      </w:pPr>
      <w:r>
        <w:rPr>
          <w:rFonts w:ascii="Arial" w:cs="Arial" w:eastAsia="Arial" w:hAnsi="Arial"/>
          <w:sz w:val="16"/>
          <w:szCs w:val="16"/>
          <w:color w:val="auto"/>
        </w:rPr>
        <w:t>At March 31, 2022, the Company had cash on hand of approximately $86.4 million as compared to $184.4 million at September 30, 2021. Cash invested in short-term fixed income securities and marketable securities was $315.5 million at March 31, 2022, compared to $183.4 million at September 30, 2021. Cash invested in long-term fixed income securities was $201.6 million at March 31, 2022, compared to $245.6 million at September 30, 2021. The Company also entered into an Open Market Sale Agreement (the “ATM Agreement”) in August 2020, pursuant to which the Company may, from time to time, sell up to $250,000,000 in shares of the Company’s Common Stock through Jefferies LLC. As of March 31, 2022, no shares have been sold under the ATM Agreement. The Company believes its current financial resources are sufficient to fund its operations through at least the next twelve months.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cash flows for the six months ended March 31, 2022 and 2021 is as follows: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1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220" w:type="dxa"/>
            <w:vAlign w:val="bottom"/>
          </w:tcPr>
          <w:p>
            <w:pPr>
              <w:spacing w:after="0"/>
              <w:rPr>
                <w:sz w:val="14"/>
                <w:szCs w:val="14"/>
                <w:color w:val="auto"/>
              </w:rPr>
            </w:pPr>
          </w:p>
        </w:tc>
        <w:tc>
          <w:tcPr>
            <w:tcW w:w="19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 2022</w:t>
            </w:r>
          </w:p>
        </w:tc>
        <w:tc>
          <w:tcPr>
            <w:tcW w:w="1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2021</w:t>
            </w:r>
          </w:p>
        </w:tc>
      </w:tr>
      <w:tr>
        <w:trPr>
          <w:trHeight w:val="156"/>
        </w:trPr>
        <w:tc>
          <w:tcPr>
            <w:tcW w:w="5220" w:type="dxa"/>
            <w:vAlign w:val="bottom"/>
          </w:tcPr>
          <w:p>
            <w:pPr>
              <w:spacing w:after="0"/>
              <w:rPr>
                <w:sz w:val="13"/>
                <w:szCs w:val="13"/>
                <w:color w:val="auto"/>
              </w:rPr>
            </w:pPr>
          </w:p>
        </w:tc>
        <w:tc>
          <w:tcPr>
            <w:tcW w:w="3660" w:type="dxa"/>
            <w:vAlign w:val="bottom"/>
            <w:tcBorders>
              <w:top w:val="single" w:sz="8" w:color="auto"/>
            </w:tcBorders>
            <w:gridSpan w:val="3"/>
          </w:tcPr>
          <w:p>
            <w:pPr>
              <w:jc w:val="right"/>
              <w:ind w:right="1315"/>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Cash flow from:</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Operating activities</w:t>
            </w:r>
          </w:p>
        </w:tc>
        <w:tc>
          <w:tcPr>
            <w:tcW w:w="1720" w:type="dxa"/>
            <w:vAlign w:val="bottom"/>
          </w:tcPr>
          <w:p>
            <w:pPr>
              <w:jc w:val="right"/>
              <w:spacing w:after="0"/>
              <w:rPr>
                <w:sz w:val="20"/>
                <w:szCs w:val="20"/>
                <w:color w:val="auto"/>
              </w:rPr>
            </w:pPr>
            <w:r>
              <w:rPr>
                <w:rFonts w:ascii="Arial" w:cs="Arial" w:eastAsia="Arial" w:hAnsi="Arial"/>
                <w:sz w:val="18"/>
                <w:szCs w:val="18"/>
                <w:color w:val="auto"/>
              </w:rPr>
              <w:t>1,383</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224,951</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(103,140)</w:t>
            </w: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(3,892)</w:t>
            </w:r>
          </w:p>
        </w:tc>
      </w:tr>
      <w:tr>
        <w:trPr>
          <w:trHeight w:val="229"/>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w:t>
            </w:r>
          </w:p>
        </w:tc>
        <w:tc>
          <w:tcPr>
            <w:tcW w:w="240" w:type="dxa"/>
            <w:vAlign w:val="bottom"/>
            <w:tcBorders>
              <w:bottom w:val="single" w:sz="8" w:color="CFF0FC"/>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7,735</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(98,026)</w:t>
            </w: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228,794</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184,434</w:t>
            </w:r>
          </w:p>
        </w:tc>
        <w:tc>
          <w:tcPr>
            <w:tcW w:w="240" w:type="dxa"/>
            <w:vAlign w:val="bottom"/>
            <w:tcBorders>
              <w:bottom w:val="single" w:sz="8" w:color="CFF0FC"/>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143,583</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86,408</w:t>
            </w:r>
          </w:p>
        </w:tc>
        <w:tc>
          <w:tcPr>
            <w:tcW w:w="24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372,377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During the six months ended March 31, 2022, cash flow used by operating activities was $1.4 million, which was primarily due to the receipt of the $120.0 million upfront payment from GSK, partially offset by the ongoing expenses related to the Company’s research and development programs and general and administrative expenses. Cash used in investing activities was $103.1 million, which was primarily related to the purchase of property and equipment of $10.5 million and net purchase of investments of $92.6 million. Cash provided by financing activities of $3.7 million was related to cash received from stock option exercises.</w:t>
      </w:r>
    </w:p>
    <w:p>
      <w:pPr>
        <w:spacing w:after="0" w:line="215"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During the six months ended March 31, 2021, cash flow provided by operating activities was $225.0 million, which was primarily due to the $300 million payment received under the Takeda License Agreement, partially offset by ongoing expenses of the Company’s research and development programs and general and administrative expenses. Cash used in investing activities was $3.9 million, which was primarily related to the purchase of property and equipment of $11.4 million, partially offset by the net sales of investments of $7.5 million. Cash provided by financing activities of $7.7 million was related to cash received from stock option exercises.</w:t>
      </w:r>
    </w:p>
    <w:p>
      <w:pPr>
        <w:spacing w:after="0" w:line="80" w:lineRule="exact"/>
        <w:rPr>
          <w:sz w:val="20"/>
          <w:szCs w:val="20"/>
          <w:color w:val="auto"/>
        </w:rPr>
      </w:pPr>
    </w:p>
    <w:p>
      <w:pPr>
        <w:ind w:firstLine="599"/>
        <w:spacing w:after="0" w:line="272" w:lineRule="auto"/>
        <w:rPr>
          <w:sz w:val="20"/>
          <w:szCs w:val="20"/>
          <w:color w:val="auto"/>
        </w:rPr>
      </w:pPr>
      <w:r>
        <w:rPr>
          <w:rFonts w:ascii="Arial" w:cs="Arial" w:eastAsia="Arial" w:hAnsi="Arial"/>
          <w:sz w:val="17"/>
          <w:szCs w:val="17"/>
          <w:color w:val="auto"/>
        </w:rPr>
        <w:t>On December 20, 2021, the Company completed a purchase of 13 acres of land in the Verona Technology Park in Verona, WI, which is planned to be the site of an approximately 140,000 square foot drug manufacturing facility and an approximately 115,000 square foot laboratory and office facility to support process development and analytical activities. Arrowhead intends to invest between $200 million and $250 million into the buildout of the facilities. As part of this acquisition, the Company also entered into a development agreement with the City of Verona to construct certain infrastructure improvements within the TIF district, and will be reimbursed by the City of Verona by future tax increment revenue generated from the developed property. The total amount of funding that City of Verona will pay as reimbursements under the TIF program for these improvements is not guaranteed and will depend on future tax revenues generated from the developed property.</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 and Material Cash Requirements</w:t>
      </w:r>
    </w:p>
    <w:p>
      <w:pPr>
        <w:spacing w:after="0" w:line="27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 summary of our capital resources and material cash requirements is presented in Item 7 of our Annual Report on Form 10-K for our fiscal year ended September 30, 2021. Other than as described above, there were no material changes to our capital resources and material cash requirements during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0" w:name="page31"/>
    <w:bookmarkEnd w:id="30"/>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There has been no material change in our exposure to market risk from that described in Item 7A of our Annual Report on Form 10-K for the year ended September 30, 2021.</w:t>
      </w: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Our Chief Executive Officer and our Chief Financial Officer, after evaluating our “disclosure controls and procedures” (as defined in Rules 13a-15(e) and 15d-15(e) of the Securities Exchange Act of 1934, as amended (the “Exchange Act”)) as of the end of the period covered by this Quarterly Report on Form 10-Q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Securities and Exchange Commission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77"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No change in the Company’s internal controls over financial reporting (as defined in Rules 13a-15(f) and 15d-15(f) of the Exchange Act) occurred during the Company’s most recent fiscal quarter that has materially affected, or is reasonably likely to materially affect, our internal control over financial reporting.</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From time to time, we may be involved in routine legal proceedings, as well as demands, claims and threatened litigation, which arise in the normal course of our business. Litigation can be expensive and disruptive to normal business operations. Moreover, the results of legal proceedings, particularly complex legal proceedings, cannot be predicted with any certainty. There have been no material developments in the legal proceedings that we disclosed in Part I, Item 3 of our Annual Report on Form 10-K for the year ended September 30, 2021.</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There have been no material changes to the risk factors included in our Annual Report on Form 10-K for the year ended September 30, 2021 other than the risk factors presented below. Please carefully consider the information set forth in this Quarterly Report on Form 10-Q and the risk factors discussed in Part I, “Item 1A. Risk Factors” in our Annual Report on Form 10-K for the year ended September 30, 2021, which could materially affect our business, financial condition or future results. The risks described herein and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Discovery, Development, and Commercialization of Medicines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the attraction and retention of senior management and scientists with relevant expertise.</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future success depends to a significant extent on the continued services of our key employees, including our senior scientific, technical and managerial personnel. We do not maintain key person life insurance for any of our executives and we do not maintain employment agreements with many senior employees. Competition for qualified employees in the pharmaceutical industry is high, and our ability to execute our strategy will depend in part on our ability to continue to attract and retain qualified scientists, management and other employees. This will depend in part on our ability to create and maintain a desirable workplace culture, which may be impacted by the long-term effects of the COVID-19 pandemic on the nature of the office environment and employee preferences for remote working. In addition, the market for qualified employees in the pharmaceutical industry is experiencing labor shortages and inflationary pressures are causing salaries and wages to increase, all of which exacerbates these competitive dynamics. If we are unable to find, hire and retain qualified individuals, we will have difficulty implementing our business plan in a timely manner, or at all.</w:t>
      </w:r>
    </w:p>
    <w:p>
      <w:pPr>
        <w:spacing w:after="0" w:line="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Geopolitical risks associated with the ongoing Russia-Ukraine conflict have impacted our clinical trial plans and could have an adverse impact on our business, financial condition and results of operations.</w:t>
      </w:r>
    </w:p>
    <w:p>
      <w:pPr>
        <w:spacing w:after="0" w:line="170"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The ongoing conflict between Russia and Ukraine has caused or exacerbated volatility and disruptions to various aspect of the global economy. The uncertain nature, magnitude, and duration of hostilities stemming from the conflict in Ukraine, including the potential effects of sanctions and counter-sanctions, retaliatory cyber-attacks on the world economy and markets, have contributed to increased market volatility and uncertainty, which could have an adverse impact on macroeconomic factors that affect our business and operations, such as worldwide supply chain issues. Sanctions imposed by the U.S., EU, and other countries in response to the Russia-Ukraine conflict and any response to such sanctions may have an adverse impact on our business, including our clinical trials, the financial markets and the global economy. Additionally, the ongoing conflict has impacted our business decisions with respect to potential clinical trial sites in Europe. For example, a number of our clinical trial sites we had previously planned to use in Russia, Ukraine and Belarus were shut down and we have sought alternatives in other geographies. We cannot be certain of the overall impact of the conflict on our ability to conduct and complete our clinical trials as planned. However, interruptions of our clinical trials can result in significant delays or termination of the research, development or commercialization of our drug candidates, which could impair our ability to generate revenues and harm our business and financial condition. The potential effects of the conflict could also amplify many of the other risks described in Part I, “Item 1A. Risk Factors” in our Annual Report on Form 10-K for the year ended September 30, 2021.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protect our patents and other proprietary rights is uncertain, exposing us to the possible loss of competitive advantage.</w:t>
      </w:r>
    </w:p>
    <w:p>
      <w:pPr>
        <w:spacing w:after="0" w:line="1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licensed rights to pending patents and have filed and expect to continue to file patent applications. Researchers sponsored by us may also file patent applications that we may need to license. Such patent applications may not be available for licensing or may not be economically feasible to license. Certain of our patents may not be granted or may not contain claims of the necessary breadth because, for example, prior patents exist. If a particular patent is not granted, the value of the invention described in the patent would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2" w:name="page33"/>
    <w:bookmarkEnd w:id="32"/>
    <w:p>
      <w:pPr>
        <w:spacing w:after="0" w:line="289" w:lineRule="auto"/>
        <w:rPr>
          <w:sz w:val="20"/>
          <w:szCs w:val="20"/>
          <w:color w:val="auto"/>
        </w:rPr>
      </w:pPr>
      <w:r>
        <w:rPr>
          <w:rFonts w:ascii="Arial" w:cs="Arial" w:eastAsia="Arial" w:hAnsi="Arial"/>
          <w:sz w:val="16"/>
          <w:szCs w:val="16"/>
          <w:color w:val="auto"/>
        </w:rPr>
        <w:t>be diminished. Further, even if these patents are granted, they may be difficult to enforce. Even if ultimately successful, efforts to enforce our patent rights could be expensive, distracting for management, cause our patents to be invalidated or held unenforceable, and thus frustrate commercialization of products. Even if patents are issued and are enforceable, others may develop similar, superior or parallel technologies to any technology developed by us and not infringe on our patents. Our technology may prove to infringe upon patents or rights owned by others. Patent prosecution and maintenance is expensive, and we may be forced to curtail prosecution or maintenance if our cash resources are limited. Thus, the patents held by or licensed to us may not afford us any meaningful competitive advantage. In addition, the laws of some foreign countries in which we do business, including through our joint ventures, do not protect intellectual property rights to the same extent or in the same manner as the laws of the United States. As a result, we may encounter significant problems in protecting and defending our intellectual property both in the United States and abroad. If we are unable to adequately protect our owned intellectual property or derive sufficient value from our licensed or owned intellectual property, the value of your investment may decline.</w:t>
      </w:r>
    </w:p>
    <w:p>
      <w:pPr>
        <w:spacing w:after="0" w:line="2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00" w:type="dxa"/>
            <w:vAlign w:val="bottom"/>
            <w:gridSpan w:val="10"/>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04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2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320" w:type="dxa"/>
            <w:vAlign w:val="bottom"/>
            <w:tcBorders>
              <w:bottom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040" w:type="dxa"/>
            <w:vAlign w:val="bottom"/>
            <w:gridSpan w:val="9"/>
          </w:tcPr>
          <w:p>
            <w:pPr>
              <w:spacing w:after="0"/>
              <w:rPr>
                <w:rFonts w:ascii="Arial" w:cs="Arial" w:eastAsia="Arial" w:hAnsi="Arial"/>
                <w:sz w:val="18"/>
                <w:szCs w:val="18"/>
                <w:color w:val="0000EE"/>
                <w:w w:val="96"/>
              </w:rPr>
            </w:pPr>
            <w:hyperlink w:anchor="page36">
              <w:r>
                <w:rPr>
                  <w:rFonts w:ascii="Arial" w:cs="Arial" w:eastAsia="Arial" w:hAnsi="Arial"/>
                  <w:sz w:val="18"/>
                  <w:szCs w:val="18"/>
                  <w:color w:val="0000EE"/>
                  <w:w w:val="96"/>
                </w:rPr>
                <w:t>First Amendment to Exclusive License and Co-Funding Agreement by and between Arrowhead Pharmaceuticals, Inc. and Takeda</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Pharmaceuticals U.S.A., Inc. dated March 15, 2022</w:t>
              </w:r>
            </w:hyperlink>
          </w:p>
        </w:tc>
        <w:tc>
          <w:tcPr>
            <w:tcW w:w="5640" w:type="dxa"/>
            <w:vAlign w:val="bottom"/>
            <w:tcBorders>
              <w:top w:val="single" w:sz="8" w:color="0000EE"/>
            </w:tcBorders>
          </w:tcPr>
          <w:p>
            <w:pPr>
              <w:spacing w:after="0"/>
              <w:rPr>
                <w:sz w:val="17"/>
                <w:szCs w:val="17"/>
                <w:color w:val="auto"/>
              </w:rPr>
            </w:pPr>
          </w:p>
        </w:tc>
        <w:tc>
          <w:tcPr>
            <w:tcW w:w="6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60" w:type="dxa"/>
            <w:vAlign w:val="bottom"/>
          </w:tcPr>
          <w:p>
            <w:pPr>
              <w:spacing w:after="0"/>
              <w:rPr>
                <w:sz w:val="17"/>
                <w:szCs w:val="17"/>
                <w:color w:val="auto"/>
              </w:rPr>
            </w:pPr>
          </w:p>
        </w:tc>
        <w:tc>
          <w:tcPr>
            <w:tcW w:w="95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Certification of Chief Executive Officer pursuant to Rule 13a-14(a) of the Securities Exchange Act of 1934, as Adopted Pursuant to</w:t>
              </w:r>
            </w:hyperlink>
          </w:p>
        </w:tc>
        <w:tc>
          <w:tcPr>
            <w:tcW w:w="5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9"/>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Section 302 of the Sarbanes-Oxley Act of 2002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1004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Certification of Chief Financial Officer pursuant to Rule 13a-14(a) of the Securities Exchange Act of 1934, as Adopted Pursuant to Section</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302 of the Sarbanes-Oxley Act of 2002</w:t>
              </w:r>
            </w:hyperlink>
          </w:p>
        </w:tc>
        <w:tc>
          <w:tcPr>
            <w:tcW w:w="7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98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Certification of Chief Executive Officer pursuant to 18 U.S.C. Section 1350, as Adopted Pursuant to Section 906 of the Sarbanes-Oxley</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9"/>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22"/>
                <w:szCs w:val="22"/>
                <w:color w:val="auto"/>
              </w:rPr>
              <w:t>32.2**</w:t>
            </w:r>
          </w:p>
        </w:tc>
        <w:tc>
          <w:tcPr>
            <w:tcW w:w="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88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7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Certification of Chief Financial Officer pursuant to 18 U.S.C. Section 1350, as Adopted Pursuant to Section 906 of the Sarbanes-Oxley</w:t>
              </w:r>
            </w:hyperlink>
          </w:p>
        </w:tc>
        <w:tc>
          <w:tcPr>
            <w:tcW w:w="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9"/>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1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212529"/>
              </w:rPr>
              <w:t>Inline XBRL Taxonomy Extension Calculation Linkbase Document</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212529"/>
              </w:rPr>
              <w:t>Inline XBRL Taxonomy Extension Label Linkbase Document</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212529"/>
              </w:rPr>
              <w:t>Inline XBRL Taxonomy Extension Presentation Linkbase Document</w:t>
            </w:r>
          </w:p>
        </w:tc>
        <w:tc>
          <w:tcPr>
            <w:tcW w:w="0" w:type="dxa"/>
            <w:vAlign w:val="bottom"/>
          </w:tcPr>
          <w:p>
            <w:pPr>
              <w:spacing w:after="0"/>
              <w:rPr>
                <w:sz w:val="1"/>
                <w:szCs w:val="1"/>
                <w:color w:val="auto"/>
              </w:rPr>
            </w:pPr>
          </w:p>
        </w:tc>
      </w:tr>
      <w:tr>
        <w:trPr>
          <w:trHeight w:val="469"/>
        </w:trPr>
        <w:tc>
          <w:tcPr>
            <w:tcW w:w="1040" w:type="dxa"/>
            <w:vAlign w:val="bottom"/>
          </w:tcPr>
          <w:p>
            <w:pPr>
              <w:spacing w:after="0"/>
              <w:rPr>
                <w:sz w:val="20"/>
                <w:szCs w:val="20"/>
                <w:color w:val="auto"/>
              </w:rPr>
            </w:pPr>
            <w:r>
              <w:rPr>
                <w:rFonts w:ascii="Arial" w:cs="Arial" w:eastAsia="Arial" w:hAnsi="Arial"/>
                <w:sz w:val="22"/>
                <w:szCs w:val="22"/>
                <w:color w:val="auto"/>
              </w:rPr>
              <w:t>101.DEF*</w:t>
            </w:r>
          </w:p>
        </w:tc>
        <w:tc>
          <w:tcPr>
            <w:tcW w:w="16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Arial" w:cs="Arial" w:eastAsia="Arial" w:hAnsi="Arial"/>
                <w:sz w:val="22"/>
                <w:szCs w:val="22"/>
                <w:color w:val="212529"/>
              </w:rPr>
              <w:t>Inline XBRL Taxonomy Extension Definition Linkbase Document</w:t>
            </w:r>
          </w:p>
        </w:tc>
        <w:tc>
          <w:tcPr>
            <w:tcW w:w="0" w:type="dxa"/>
            <w:vAlign w:val="bottom"/>
          </w:tcPr>
          <w:p>
            <w:pPr>
              <w:spacing w:after="0"/>
              <w:rPr>
                <w:sz w:val="1"/>
                <w:szCs w:val="1"/>
                <w:color w:val="auto"/>
              </w:rPr>
            </w:pPr>
          </w:p>
        </w:tc>
      </w:tr>
      <w:tr>
        <w:trPr>
          <w:trHeight w:val="459"/>
        </w:trPr>
        <w:tc>
          <w:tcPr>
            <w:tcW w:w="1040" w:type="dxa"/>
            <w:vAlign w:val="bottom"/>
          </w:tcPr>
          <w:p>
            <w:pPr>
              <w:spacing w:after="0"/>
              <w:rPr>
                <w:sz w:val="20"/>
                <w:szCs w:val="20"/>
                <w:color w:val="auto"/>
              </w:rPr>
            </w:pPr>
            <w:r>
              <w:rPr>
                <w:rFonts w:ascii="Arial" w:cs="Arial" w:eastAsia="Arial" w:hAnsi="Arial"/>
                <w:sz w:val="22"/>
                <w:szCs w:val="22"/>
                <w:color w:val="auto"/>
              </w:rPr>
              <w:t>104*</w:t>
            </w:r>
          </w:p>
        </w:tc>
        <w:tc>
          <w:tcPr>
            <w:tcW w:w="16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Arial" w:cs="Arial" w:eastAsia="Arial" w:hAnsi="Arial"/>
                <w:sz w:val="22"/>
                <w:szCs w:val="22"/>
                <w:color w:val="212529"/>
                <w:w w:val="95"/>
              </w:rPr>
              <w:t>The cover page from this Quarterly Report on Form 10-Q, formatted in Inline XBRL (included as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1073785</wp:posOffset>
            </wp:positionV>
            <wp:extent cx="9512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500" w:right="500" w:hanging="492"/>
        <w:spacing w:after="0" w:line="26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confidential portions of this exhibit were omitted by means of marking such portions with asterisks because the identified confidential portions (i) are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10, 2022</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ARROWHEAD PHARMACEUTICALS, INC.</w:t>
      </w:r>
    </w:p>
    <w:p>
      <w:pPr>
        <w:spacing w:after="0" w:line="225"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2143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Kenneth A. Myszkowski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 and Duly Authorized Officer)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337"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25"/>
          <w:szCs w:val="25"/>
          <w:b w:val="1"/>
          <w:bCs w:val="1"/>
          <w:color w:val="auto"/>
        </w:rPr>
        <w:t>Exhibit 10.1</w:t>
      </w:r>
    </w:p>
    <w:p>
      <w:pPr>
        <w:spacing w:after="0" w:line="162" w:lineRule="exact"/>
        <w:rPr>
          <w:sz w:val="20"/>
          <w:szCs w:val="20"/>
          <w:color w:val="auto"/>
        </w:rPr>
      </w:pPr>
    </w:p>
    <w:p>
      <w:pPr>
        <w:ind w:left="2580" w:right="120" w:hanging="2448"/>
        <w:spacing w:after="0" w:line="253" w:lineRule="auto"/>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 EXCLUSIVE LICENSE AND CO-FUNDING AGREEMENT</w:t>
      </w:r>
    </w:p>
    <w:p>
      <w:pPr>
        <w:spacing w:after="0" w:line="135"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This First Amendment (this “</w:t>
      </w:r>
      <w:r>
        <w:rPr>
          <w:rFonts w:ascii="Arial" w:cs="Arial" w:eastAsia="Arial" w:hAnsi="Arial"/>
          <w:sz w:val="18"/>
          <w:szCs w:val="18"/>
          <w:b w:val="1"/>
          <w:bCs w:val="1"/>
          <w:color w:val="auto"/>
        </w:rPr>
        <w:t>First Amendment</w:t>
      </w:r>
      <w:r>
        <w:rPr>
          <w:rFonts w:ascii="Arial" w:cs="Arial" w:eastAsia="Arial" w:hAnsi="Arial"/>
          <w:sz w:val="18"/>
          <w:szCs w:val="18"/>
          <w:color w:val="auto"/>
        </w:rPr>
        <w:t>”), entered into as of March 15, 2022 but effective retroactively as of October 7, 2020 (the “</w:t>
      </w:r>
      <w:r>
        <w:rPr>
          <w:rFonts w:ascii="Arial" w:cs="Arial" w:eastAsia="Arial" w:hAnsi="Arial"/>
          <w:sz w:val="18"/>
          <w:szCs w:val="18"/>
          <w:b w:val="1"/>
          <w:bCs w:val="1"/>
          <w:color w:val="auto"/>
        </w:rPr>
        <w:t>First Amendment Effective Date</w:t>
      </w:r>
      <w:r>
        <w:rPr>
          <w:rFonts w:ascii="Arial" w:cs="Arial" w:eastAsia="Arial" w:hAnsi="Arial"/>
          <w:sz w:val="18"/>
          <w:szCs w:val="18"/>
          <w:color w:val="auto"/>
        </w:rPr>
        <w:t>”), is made to that certain Exclusive License and Co-Funding Agreement (the “</w:t>
      </w:r>
      <w:r>
        <w:rPr>
          <w:rFonts w:ascii="Arial" w:cs="Arial" w:eastAsia="Arial" w:hAnsi="Arial"/>
          <w:sz w:val="18"/>
          <w:szCs w:val="18"/>
          <w:b w:val="1"/>
          <w:bCs w:val="1"/>
          <w:color w:val="auto"/>
        </w:rPr>
        <w:t>Agreement</w:t>
      </w:r>
      <w:r>
        <w:rPr>
          <w:rFonts w:ascii="Arial" w:cs="Arial" w:eastAsia="Arial" w:hAnsi="Arial"/>
          <w:sz w:val="18"/>
          <w:szCs w:val="18"/>
          <w:color w:val="auto"/>
        </w:rPr>
        <w:t>”), dated as of October 7, 2020, by and between Takeda Pharmaceuticals U.S.A., Inc., a company incorporated under the laws of the State of Delaware (“</w:t>
      </w:r>
      <w:r>
        <w:rPr>
          <w:rFonts w:ascii="Arial" w:cs="Arial" w:eastAsia="Arial" w:hAnsi="Arial"/>
          <w:sz w:val="18"/>
          <w:szCs w:val="18"/>
          <w:b w:val="1"/>
          <w:bCs w:val="1"/>
          <w:color w:val="auto"/>
        </w:rPr>
        <w:t>Takeda</w:t>
      </w:r>
      <w:r>
        <w:rPr>
          <w:rFonts w:ascii="Arial" w:cs="Arial" w:eastAsia="Arial" w:hAnsi="Arial"/>
          <w:sz w:val="18"/>
          <w:szCs w:val="18"/>
          <w:color w:val="auto"/>
        </w:rPr>
        <w:t>”), and Arrowhead Pharmaceuticals Inc., a company organized and existing under the Laws of the State of Delaware (“</w:t>
      </w:r>
      <w:r>
        <w:rPr>
          <w:rFonts w:ascii="Arial" w:cs="Arial" w:eastAsia="Arial" w:hAnsi="Arial"/>
          <w:sz w:val="18"/>
          <w:szCs w:val="18"/>
          <w:b w:val="1"/>
          <w:bCs w:val="1"/>
          <w:color w:val="auto"/>
        </w:rPr>
        <w:t>Arrowhead</w:t>
      </w:r>
      <w:r>
        <w:rPr>
          <w:rFonts w:ascii="Arial" w:cs="Arial" w:eastAsia="Arial" w:hAnsi="Arial"/>
          <w:sz w:val="18"/>
          <w:szCs w:val="18"/>
          <w:color w:val="auto"/>
        </w:rPr>
        <w:t>”). The parties to this Agreement are collectively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and individually as a “</w:t>
      </w:r>
      <w:r>
        <w:rPr>
          <w:rFonts w:ascii="Arial" w:cs="Arial" w:eastAsia="Arial" w:hAnsi="Arial"/>
          <w:sz w:val="18"/>
          <w:szCs w:val="18"/>
          <w:b w:val="1"/>
          <w:bCs w:val="1"/>
          <w:color w:val="auto"/>
        </w:rPr>
        <w:t>Party</w:t>
      </w:r>
      <w:r>
        <w:rPr>
          <w:rFonts w:ascii="Arial" w:cs="Arial" w:eastAsia="Arial" w:hAnsi="Arial"/>
          <w:sz w:val="18"/>
          <w:szCs w:val="18"/>
          <w:color w:val="auto"/>
        </w:rPr>
        <w:t>.” Capitalized terms used but not defined in this First Amendment have the meanings ascribed to them in the Agreement.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154"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WHEREAS, the Parties desire to amend the Agreement with respect to, among other things, the Parties’ respective funding obligations regarding the costs of certain Development activities; and</w:t>
      </w:r>
    </w:p>
    <w:p>
      <w:pPr>
        <w:spacing w:after="0" w:line="9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WHEREAS, each of the Parties has approved this First Amendment in accordance with Section 17.4 (Entire Agreement; Amendments) of the Agreement.</w:t>
      </w:r>
    </w:p>
    <w:p>
      <w:pPr>
        <w:spacing w:after="0" w:line="109"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NOW, THEREFORE, in consideration of the premises and mutual promises and covenants contained in this First Amendment, and for other good and valuable consideration, the receipt and sufficiency of which is hereby acknowledged, the Parties agree that as of the First Amendment Effective Date, the Agreement incorporates and includes these terms as amended and or added as follows: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135" w:lineRule="exact"/>
        <w:rPr>
          <w:sz w:val="20"/>
          <w:szCs w:val="20"/>
          <w:color w:val="auto"/>
        </w:rPr>
      </w:pPr>
    </w:p>
    <w:p>
      <w:pPr>
        <w:ind w:left="880" w:hanging="440"/>
        <w:spacing w:after="0"/>
        <w:tabs>
          <w:tab w:leader="none" w:pos="88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Amendment of Article 1 (Definitions)</w:t>
      </w:r>
      <w:r>
        <w:rPr>
          <w:rFonts w:ascii="Arial" w:cs="Arial" w:eastAsia="Arial" w:hAnsi="Arial"/>
          <w:sz w:val="20"/>
          <w:szCs w:val="20"/>
          <w:color w:val="auto"/>
        </w:rPr>
        <w:t>:</w:t>
      </w:r>
    </w:p>
    <w:p>
      <w:pPr>
        <w:spacing w:after="0" w:line="235" w:lineRule="exact"/>
        <w:rPr>
          <w:rFonts w:ascii="Arial" w:cs="Arial" w:eastAsia="Arial" w:hAnsi="Arial"/>
          <w:sz w:val="20"/>
          <w:szCs w:val="20"/>
          <w:color w:val="auto"/>
        </w:rPr>
      </w:pPr>
    </w:p>
    <w:p>
      <w:pPr>
        <w:ind w:left="1740" w:hanging="436"/>
        <w:spacing w:after="0"/>
        <w:tabs>
          <w:tab w:leader="none" w:pos="1740" w:val="left"/>
        </w:tabs>
        <w:numPr>
          <w:ilvl w:val="1"/>
          <w:numId w:val="10"/>
        </w:numPr>
        <w:rPr>
          <w:rFonts w:ascii="Arial" w:cs="Arial" w:eastAsia="Arial" w:hAnsi="Arial"/>
          <w:sz w:val="20"/>
          <w:szCs w:val="20"/>
          <w:color w:val="auto"/>
        </w:rPr>
      </w:pPr>
      <w:r>
        <w:rPr>
          <w:rFonts w:ascii="Arial" w:cs="Arial" w:eastAsia="Arial" w:hAnsi="Arial"/>
          <w:sz w:val="20"/>
          <w:szCs w:val="20"/>
          <w:color w:val="auto"/>
        </w:rPr>
        <w:t>The definition of “Additional Studies” is hereby deleted in its entirety and replaced with the following:</w:t>
      </w:r>
    </w:p>
    <w:p>
      <w:pPr>
        <w:spacing w:after="0" w:line="223" w:lineRule="exact"/>
        <w:rPr>
          <w:rFonts w:ascii="Arial" w:cs="Arial" w:eastAsia="Arial" w:hAnsi="Arial"/>
          <w:sz w:val="20"/>
          <w:szCs w:val="20"/>
          <w:color w:val="auto"/>
        </w:rPr>
      </w:pPr>
    </w:p>
    <w:p>
      <w:pPr>
        <w:jc w:val="both"/>
        <w:ind w:left="1740"/>
        <w:spacing w:after="0" w:line="245" w:lineRule="auto"/>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Studies</w:t>
      </w:r>
      <w:r>
        <w:rPr>
          <w:rFonts w:ascii="Arial" w:cs="Arial" w:eastAsia="Arial" w:hAnsi="Arial"/>
          <w:sz w:val="20"/>
          <w:szCs w:val="20"/>
          <w:color w:val="auto"/>
        </w:rPr>
        <w:t>” means, collectively, (a) a Phase III Clinical Trial for a Product that is focused on the treatment of cirrhotic patients (adult F4cc) conducted in or for the Profit-Share Territory, (b) any Phase III Clinical Trials for a Product that are focused on the treatment of pediatric patients conducted in or for the Profit-Share Territory, and (c) any other Clinical Trial that (i) is intended to support the Regulatory Approval of a Product for the treatment of cirrhotic patients or pediatric patients and (ii) is included under the Co-Funded Development Plan. For clarity, the [***] to be performed by Takeda is an Additional Study.</w:t>
      </w:r>
    </w:p>
    <w:p>
      <w:pPr>
        <w:spacing w:after="0" w:line="203" w:lineRule="exact"/>
        <w:rPr>
          <w:rFonts w:ascii="Arial" w:cs="Arial" w:eastAsia="Arial" w:hAnsi="Arial"/>
          <w:sz w:val="20"/>
          <w:szCs w:val="20"/>
          <w:color w:val="auto"/>
        </w:rPr>
      </w:pPr>
    </w:p>
    <w:p>
      <w:pPr>
        <w:ind w:left="1740" w:hanging="436"/>
        <w:spacing w:after="0"/>
        <w:tabs>
          <w:tab w:leader="none" w:pos="17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definition of “Co-Funded Development Activities” is hereby deleted in its entirety and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749300</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6" w:name="page37"/>
    <w:bookmarkEnd w:id="36"/>
    <w:p>
      <w:pPr>
        <w:ind w:left="6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Co-Funded Development Activities</w:t>
      </w:r>
      <w:r>
        <w:rPr>
          <w:rFonts w:ascii="Arial" w:cs="Arial" w:eastAsia="Arial" w:hAnsi="Arial"/>
          <w:sz w:val="20"/>
          <w:szCs w:val="20"/>
          <w:color w:val="auto"/>
        </w:rPr>
        <w:t>” means (a) the Additional Studies, (b) any PMR/PMC Activities, and (c) any Other Studies to be conducted by or on behalf of Takeda.</w:t>
      </w:r>
    </w:p>
    <w:p>
      <w:pPr>
        <w:spacing w:after="0" w:line="183" w:lineRule="exact"/>
        <w:rPr>
          <w:sz w:val="20"/>
          <w:szCs w:val="20"/>
          <w:color w:val="auto"/>
        </w:rPr>
      </w:pPr>
    </w:p>
    <w:p>
      <w:pPr>
        <w:ind w:left="620" w:right="20" w:hanging="436"/>
        <w:spacing w:after="0" w:line="260" w:lineRule="auto"/>
        <w:tabs>
          <w:tab w:leader="none" w:pos="6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definition of “Eligible Development Costs Share Ratio” is hereby deleted in its entirety and replaced with the following:</w:t>
      </w:r>
    </w:p>
    <w:p>
      <w:pPr>
        <w:spacing w:after="0" w:line="103" w:lineRule="exact"/>
        <w:rPr>
          <w:rFonts w:ascii="Arial" w:cs="Arial" w:eastAsia="Arial" w:hAnsi="Arial"/>
          <w:sz w:val="20"/>
          <w:szCs w:val="20"/>
          <w:color w:val="auto"/>
        </w:rPr>
      </w:pPr>
    </w:p>
    <w:p>
      <w:pPr>
        <w:ind w:left="620" w:right="20"/>
        <w:spacing w:after="0" w:line="267" w:lineRule="auto"/>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Eligible Development Expense Share Ratio</w:t>
      </w:r>
      <w:r>
        <w:rPr>
          <w:rFonts w:ascii="Arial" w:cs="Arial" w:eastAsia="Arial" w:hAnsi="Arial"/>
          <w:sz w:val="20"/>
          <w:szCs w:val="20"/>
          <w:color w:val="auto"/>
        </w:rPr>
        <w:t>” has the meaning set forth in Section 3.2.3(b) (Shared Development Expenses).</w:t>
      </w:r>
    </w:p>
    <w:p>
      <w:pPr>
        <w:spacing w:after="0" w:line="101" w:lineRule="exact"/>
        <w:rPr>
          <w:rFonts w:ascii="Arial" w:cs="Arial" w:eastAsia="Arial" w:hAnsi="Arial"/>
          <w:sz w:val="20"/>
          <w:szCs w:val="20"/>
          <w:color w:val="auto"/>
        </w:rPr>
      </w:pPr>
    </w:p>
    <w:p>
      <w:pPr>
        <w:ind w:left="620" w:hanging="436"/>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definition of “Eligible Development Expenses” is hereby deleted in its entirety and replaced with the following:</w:t>
      </w:r>
    </w:p>
    <w:p>
      <w:pPr>
        <w:spacing w:after="0" w:line="246" w:lineRule="exact"/>
        <w:rPr>
          <w:rFonts w:ascii="Arial" w:cs="Arial" w:eastAsia="Arial" w:hAnsi="Arial"/>
          <w:sz w:val="18"/>
          <w:szCs w:val="18"/>
          <w:color w:val="auto"/>
        </w:rPr>
      </w:pPr>
    </w:p>
    <w:p>
      <w:pPr>
        <w:jc w:val="both"/>
        <w:ind w:left="620"/>
        <w:spacing w:after="0" w:line="248" w:lineRule="auto"/>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Eligible Development Expenses</w:t>
      </w:r>
      <w:r>
        <w:rPr>
          <w:rFonts w:ascii="Arial" w:cs="Arial" w:eastAsia="Arial" w:hAnsi="Arial"/>
          <w:sz w:val="20"/>
          <w:szCs w:val="20"/>
          <w:color w:val="auto"/>
        </w:rPr>
        <w:t>” means all FTE Costs, Out-of-Pocket Costs, and other costs and expenses incurred by or on behalf of a Party or its Affiliates that are attributable to PMR/PMC Activities or Other Studies in accordance with the applicable Co-Funded Development Plan or Arrowhead Co-Funded Development Plan, including the following:</w:t>
      </w:r>
    </w:p>
    <w:p>
      <w:pPr>
        <w:spacing w:after="0" w:line="202" w:lineRule="exact"/>
        <w:rPr>
          <w:rFonts w:ascii="Arial" w:cs="Arial" w:eastAsia="Arial" w:hAnsi="Arial"/>
          <w:sz w:val="18"/>
          <w:szCs w:val="18"/>
          <w:color w:val="auto"/>
        </w:rPr>
      </w:pPr>
    </w:p>
    <w:p>
      <w:pPr>
        <w:ind w:left="1460" w:hanging="858"/>
        <w:spacing w:after="0"/>
        <w:tabs>
          <w:tab w:leader="none" w:pos="1460" w:val="left"/>
        </w:tabs>
        <w:numPr>
          <w:ilvl w:val="1"/>
          <w:numId w:val="11"/>
        </w:numPr>
        <w:rPr>
          <w:rFonts w:ascii="Arial" w:cs="Arial" w:eastAsia="Arial" w:hAnsi="Arial"/>
          <w:sz w:val="20"/>
          <w:szCs w:val="20"/>
          <w:color w:val="auto"/>
        </w:rPr>
      </w:pP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460" w:hanging="858"/>
        <w:spacing w:after="0"/>
        <w:tabs>
          <w:tab w:leader="none" w:pos="1460" w:val="left"/>
        </w:tabs>
        <w:numPr>
          <w:ilvl w:val="1"/>
          <w:numId w:val="11"/>
        </w:numPr>
        <w:rPr>
          <w:rFonts w:ascii="Arial" w:cs="Arial" w:eastAsia="Arial" w:hAnsi="Arial"/>
          <w:sz w:val="20"/>
          <w:szCs w:val="20"/>
          <w:color w:val="auto"/>
        </w:rPr>
      </w:pPr>
      <w:r>
        <w:rPr>
          <w:rFonts w:ascii="Arial" w:cs="Arial" w:eastAsia="Arial" w:hAnsi="Arial"/>
          <w:sz w:val="20"/>
          <w:szCs w:val="20"/>
          <w:color w:val="auto"/>
        </w:rPr>
        <w:t>[***]; and</w:t>
      </w:r>
    </w:p>
    <w:p>
      <w:pPr>
        <w:spacing w:after="0" w:line="229" w:lineRule="exact"/>
        <w:rPr>
          <w:sz w:val="20"/>
          <w:szCs w:val="20"/>
          <w:color w:val="auto"/>
        </w:rPr>
      </w:pPr>
    </w:p>
    <w:p>
      <w:pPr>
        <w:jc w:val="both"/>
        <w:ind w:left="620"/>
        <w:spacing w:after="0" w:line="316" w:lineRule="auto"/>
        <w:rPr>
          <w:sz w:val="20"/>
          <w:szCs w:val="20"/>
          <w:color w:val="auto"/>
        </w:rPr>
      </w:pPr>
      <w:r>
        <w:rPr>
          <w:rFonts w:ascii="Arial" w:cs="Arial" w:eastAsia="Arial" w:hAnsi="Arial"/>
          <w:sz w:val="16"/>
          <w:szCs w:val="16"/>
          <w:color w:val="auto"/>
        </w:rPr>
        <w:t xml:space="preserve">in each case, to the extent such costs are consistent with the applicable Co-Funded Development Budget or Arrowhead Co-Funded Development Budget, </w:t>
      </w:r>
      <w:r>
        <w:rPr>
          <w:rFonts w:ascii="Arial" w:cs="Arial" w:eastAsia="Arial" w:hAnsi="Arial"/>
          <w:sz w:val="16"/>
          <w:szCs w:val="16"/>
          <w:i w:val="1"/>
          <w:iCs w:val="1"/>
          <w:color w:val="auto"/>
        </w:rPr>
        <w:t>plus</w:t>
      </w:r>
      <w:r>
        <w:rPr>
          <w:rFonts w:ascii="Arial" w:cs="Arial" w:eastAsia="Arial" w:hAnsi="Arial"/>
          <w:sz w:val="16"/>
          <w:szCs w:val="16"/>
          <w:color w:val="auto"/>
        </w:rPr>
        <w:t xml:space="preserve"> applicable Allowable Overruns [***]. If any FTE Cost, Out-of-Pocket Cost, or other cost or expense is specifically identifiable or reasonably allocable to more than one Development cost category above, then such cost or expense will only be counted once. No expense included as an Eligible Development Expense will also be included as an Eligible Commercialization Expense or an Eligible Medical Affairs Expense. Eligible Development Expenses will be recognized and calculated in accordance with the applicable Accounting Standards.</w:t>
      </w:r>
    </w:p>
    <w:p>
      <w:pPr>
        <w:spacing w:after="0" w:line="153" w:lineRule="exact"/>
        <w:rPr>
          <w:sz w:val="20"/>
          <w:szCs w:val="20"/>
          <w:color w:val="auto"/>
        </w:rPr>
      </w:pPr>
    </w:p>
    <w:p>
      <w:pPr>
        <w:ind w:left="620" w:hanging="436"/>
        <w:spacing w:after="0" w:line="260" w:lineRule="auto"/>
        <w:tabs>
          <w:tab w:leader="none" w:pos="6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definition of “Eligible Development Expenses Report” is hereby deleted in its entirety and replaced with the following:</w:t>
      </w:r>
    </w:p>
    <w:p>
      <w:pPr>
        <w:spacing w:after="0" w:line="103" w:lineRule="exact"/>
        <w:rPr>
          <w:rFonts w:ascii="Arial" w:cs="Arial" w:eastAsia="Arial" w:hAnsi="Arial"/>
          <w:sz w:val="20"/>
          <w:szCs w:val="20"/>
          <w:color w:val="auto"/>
        </w:rPr>
      </w:pPr>
    </w:p>
    <w:p>
      <w:pPr>
        <w:ind w:left="620"/>
        <w:spacing w:after="0" w:line="267" w:lineRule="auto"/>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Eligible Development Expenses Report</w:t>
      </w:r>
      <w:r>
        <w:rPr>
          <w:rFonts w:ascii="Arial" w:cs="Arial" w:eastAsia="Arial" w:hAnsi="Arial"/>
          <w:sz w:val="20"/>
          <w:szCs w:val="20"/>
          <w:color w:val="auto"/>
        </w:rPr>
        <w:t>” has the meaning set forth in Section 3.2.3(b) (Shared Development Expenses).</w:t>
      </w:r>
    </w:p>
    <w:p>
      <w:pPr>
        <w:spacing w:after="0" w:line="88" w:lineRule="exact"/>
        <w:rPr>
          <w:rFonts w:ascii="Arial" w:cs="Arial" w:eastAsia="Arial" w:hAnsi="Arial"/>
          <w:sz w:val="20"/>
          <w:szCs w:val="20"/>
          <w:color w:val="auto"/>
        </w:rPr>
      </w:pPr>
    </w:p>
    <w:p>
      <w:pPr>
        <w:ind w:left="620" w:hanging="436"/>
        <w:spacing w:after="0"/>
        <w:tabs>
          <w:tab w:leader="none" w:pos="6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definition of “PMR/PMC Activities” is hereby deleted in its entirety and replaced with the following:</w:t>
      </w:r>
    </w:p>
    <w:p>
      <w:pPr>
        <w:spacing w:after="0" w:line="223" w:lineRule="exact"/>
        <w:rPr>
          <w:rFonts w:ascii="Arial" w:cs="Arial" w:eastAsia="Arial" w:hAnsi="Arial"/>
          <w:sz w:val="20"/>
          <w:szCs w:val="20"/>
          <w:color w:val="auto"/>
        </w:rPr>
      </w:pPr>
    </w:p>
    <w:p>
      <w:pPr>
        <w:jc w:val="both"/>
        <w:ind w:left="620"/>
        <w:spacing w:after="0" w:line="277" w:lineRule="auto"/>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PMR/PMC Activities</w:t>
      </w:r>
      <w:r>
        <w:rPr>
          <w:rFonts w:ascii="Arial" w:cs="Arial" w:eastAsia="Arial" w:hAnsi="Arial"/>
          <w:sz w:val="18"/>
          <w:szCs w:val="18"/>
          <w:color w:val="auto"/>
        </w:rPr>
        <w:t>” means any post-marketing requirements or post-marketing commitments, in each case, undertaken as a condition, or otherwise required by a Regulatory Authority in order, to obtain or maintain Regulatory Approval for a Product in the Profit-Share Territory. For the avoidance of doubt, any post-marketing requirements or post-marketing commitments will be considered to have been undertaken as a condition, or otherwise required by a Regulatory Authority, for example, if such activities are included in any written plan provided to a Regulatory Authority or if such activities are reflected in any meeting minutes related to a meeting with such Regulatory Authority.</w:t>
      </w:r>
    </w:p>
    <w:p>
      <w:pPr>
        <w:spacing w:after="0" w:line="395"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340360</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76" w:right="339" w:bottom="1440" w:gutter="0" w:footer="0" w:header="0"/>
        </w:sectPr>
      </w:pPr>
    </w:p>
    <w:bookmarkStart w:id="37" w:name="page38"/>
    <w:bookmarkEnd w:id="37"/>
    <w:p>
      <w:pPr>
        <w:ind w:left="1300"/>
        <w:spacing w:after="0"/>
        <w:rPr>
          <w:sz w:val="20"/>
          <w:szCs w:val="20"/>
          <w:color w:val="auto"/>
        </w:rPr>
      </w:pPr>
      <w:r>
        <w:rPr>
          <w:rFonts w:ascii="Arial" w:cs="Arial" w:eastAsia="Arial" w:hAnsi="Arial"/>
          <w:sz w:val="20"/>
          <w:szCs w:val="20"/>
          <w:color w:val="auto"/>
        </w:rPr>
        <w:t>The following new definitions are hereby added to Article 1 (Definitions):</w:t>
      </w:r>
    </w:p>
    <w:p>
      <w:pPr>
        <w:spacing w:after="0" w:line="223" w:lineRule="exact"/>
        <w:rPr>
          <w:sz w:val="20"/>
          <w:szCs w:val="20"/>
          <w:color w:val="auto"/>
        </w:rPr>
      </w:pPr>
    </w:p>
    <w:p>
      <w:pPr>
        <w:jc w:val="both"/>
        <w:ind w:left="130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Studies</w:t>
      </w:r>
      <w:r>
        <w:rPr>
          <w:rFonts w:ascii="Arial" w:cs="Arial" w:eastAsia="Arial" w:hAnsi="Arial"/>
          <w:sz w:val="20"/>
          <w:szCs w:val="20"/>
          <w:color w:val="auto"/>
        </w:rPr>
        <w:t>” means any Clinical Trial for a Product conducted by or on behalf of either Party in the Profit-Share Territory, other than any Additional Study, Ongoing Development Trials, New Phase III Trial, or PMR/PMC Activities. For clarity, open-label extension studies for a Product conducted by a Party in the Profit-Share Territory will constitute Other Studies.</w:t>
      </w:r>
    </w:p>
    <w:p>
      <w:pPr>
        <w:spacing w:after="0" w:line="197" w:lineRule="exact"/>
        <w:rPr>
          <w:sz w:val="20"/>
          <w:szCs w:val="20"/>
          <w:color w:val="auto"/>
        </w:rPr>
      </w:pPr>
    </w:p>
    <w:p>
      <w:pPr>
        <w:jc w:val="both"/>
        <w:ind w:left="1300"/>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Phase I Clinical Trial</w:t>
      </w:r>
      <w:r>
        <w:rPr>
          <w:rFonts w:ascii="Arial" w:cs="Arial" w:eastAsia="Arial" w:hAnsi="Arial"/>
          <w:sz w:val="19"/>
          <w:szCs w:val="19"/>
          <w:color w:val="auto"/>
        </w:rPr>
        <w:t>” means a Clinical Trial (or any arm thereof) of an investigational product that satisfies the requirements of U.S. federal regulation 21 C.F.R. § 312.21(a) and its successor regulation, or an equivalent Clinical Trial prescribed by the relevant Regulatory Authority in a country other than the United States.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23" w:lineRule="exact"/>
        <w:rPr>
          <w:sz w:val="20"/>
          <w:szCs w:val="20"/>
          <w:color w:val="auto"/>
        </w:rPr>
      </w:pPr>
    </w:p>
    <w:p>
      <w:pPr>
        <w:ind w:left="440" w:hanging="440"/>
        <w:spacing w:after="0"/>
        <w:tabs>
          <w:tab w:leader="none" w:pos="44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Amendment of Article 2 (License Grant):</w:t>
      </w:r>
    </w:p>
    <w:p>
      <w:pPr>
        <w:spacing w:after="0" w:line="235" w:lineRule="exact"/>
        <w:rPr>
          <w:rFonts w:ascii="Arial" w:cs="Arial" w:eastAsia="Arial" w:hAnsi="Arial"/>
          <w:sz w:val="20"/>
          <w:szCs w:val="20"/>
          <w:color w:val="auto"/>
        </w:rPr>
      </w:pPr>
    </w:p>
    <w:p>
      <w:pPr>
        <w:ind w:left="1300" w:hanging="436"/>
        <w:spacing w:after="0" w:line="260" w:lineRule="auto"/>
        <w:tabs>
          <w:tab w:leader="none" w:pos="1300" w:val="left"/>
        </w:tabs>
        <w:numPr>
          <w:ilvl w:val="1"/>
          <w:numId w:val="13"/>
        </w:numPr>
        <w:rPr>
          <w:rFonts w:ascii="Arial" w:cs="Arial" w:eastAsia="Arial" w:hAnsi="Arial"/>
          <w:sz w:val="20"/>
          <w:szCs w:val="20"/>
          <w:color w:val="auto"/>
        </w:rPr>
      </w:pPr>
      <w:r>
        <w:rPr>
          <w:rFonts w:ascii="Arial" w:cs="Arial" w:eastAsia="Arial" w:hAnsi="Arial"/>
          <w:sz w:val="20"/>
          <w:szCs w:val="20"/>
          <w:color w:val="auto"/>
        </w:rPr>
        <w:t>Section 2.6 (No Other Rights; Retained Rights) of the Agreement is hereby deleted in its entirety and replaced with the following:</w:t>
      </w:r>
    </w:p>
    <w:p>
      <w:pPr>
        <w:spacing w:after="0" w:line="184" w:lineRule="exact"/>
        <w:rPr>
          <w:rFonts w:ascii="Arial" w:cs="Arial" w:eastAsia="Arial" w:hAnsi="Arial"/>
          <w:sz w:val="20"/>
          <w:szCs w:val="20"/>
          <w:color w:val="auto"/>
        </w:rPr>
      </w:pPr>
    </w:p>
    <w:p>
      <w:pPr>
        <w:jc w:val="both"/>
        <w:ind w:left="1300"/>
        <w:spacing w:after="0" w:line="246" w:lineRule="auto"/>
        <w:rPr>
          <w:rFonts w:ascii="Arial" w:cs="Arial" w:eastAsia="Arial" w:hAnsi="Arial"/>
          <w:sz w:val="20"/>
          <w:szCs w:val="20"/>
          <w:color w:val="auto"/>
        </w:rPr>
      </w:pPr>
      <w:r>
        <w:rPr>
          <w:rFonts w:ascii="Arial" w:cs="Arial" w:eastAsia="Arial" w:hAnsi="Arial"/>
          <w:sz w:val="20"/>
          <w:szCs w:val="20"/>
          <w:b w:val="1"/>
          <w:bCs w:val="1"/>
          <w:color w:val="auto"/>
        </w:rPr>
        <w:t>No Other Rights and Retained Rights</w:t>
      </w:r>
      <w:r>
        <w:rPr>
          <w:rFonts w:ascii="Arial" w:cs="Arial" w:eastAsia="Arial" w:hAnsi="Arial"/>
          <w:sz w:val="20"/>
          <w:szCs w:val="20"/>
          <w:color w:val="auto"/>
        </w:rPr>
        <w:t>. Except as otherwise expressly provided in this Agreement, under no</w:t>
      </w:r>
      <w:r>
        <w:rPr>
          <w:rFonts w:ascii="Arial" w:cs="Arial" w:eastAsia="Arial" w:hAnsi="Arial"/>
          <w:sz w:val="20"/>
          <w:szCs w:val="20"/>
          <w:b w:val="1"/>
          <w:bCs w:val="1"/>
          <w:color w:val="auto"/>
        </w:rPr>
        <w:t xml:space="preserve"> </w:t>
      </w:r>
      <w:r>
        <w:rPr>
          <w:rFonts w:ascii="Arial" w:cs="Arial" w:eastAsia="Arial" w:hAnsi="Arial"/>
          <w:sz w:val="20"/>
          <w:szCs w:val="20"/>
          <w:color w:val="auto"/>
        </w:rPr>
        <w:t>circumstances will a Party or any of its Affiliates, as a result of this Agreement, obtain any ownership interest, license, or other right in or to any Know How, Patent Rights, or other intellectual property of the other Party, including tangible or intangible items owned, controlled, or developed by the other Party, or provided by the other Party to the receiving Party at any time, pursuant to this Agreement. [***].</w:t>
      </w:r>
    </w:p>
    <w:p>
      <w:pPr>
        <w:spacing w:after="0" w:line="198" w:lineRule="exact"/>
        <w:rPr>
          <w:rFonts w:ascii="Arial" w:cs="Arial" w:eastAsia="Arial" w:hAnsi="Arial"/>
          <w:sz w:val="20"/>
          <w:szCs w:val="20"/>
          <w:color w:val="auto"/>
        </w:rPr>
      </w:pPr>
    </w:p>
    <w:p>
      <w:pPr>
        <w:ind w:left="440" w:hanging="440"/>
        <w:spacing w:after="0"/>
        <w:tabs>
          <w:tab w:leader="none" w:pos="44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Amendment of Article 3 (Development):</w:t>
      </w:r>
    </w:p>
    <w:p>
      <w:pPr>
        <w:spacing w:after="0" w:line="235" w:lineRule="exact"/>
        <w:rPr>
          <w:rFonts w:ascii="Arial" w:cs="Arial" w:eastAsia="Arial" w:hAnsi="Arial"/>
          <w:sz w:val="20"/>
          <w:szCs w:val="20"/>
          <w:color w:val="auto"/>
        </w:rPr>
      </w:pPr>
    </w:p>
    <w:p>
      <w:pPr>
        <w:ind w:left="1300" w:right="220" w:hanging="436"/>
        <w:spacing w:after="0" w:line="260" w:lineRule="auto"/>
        <w:tabs>
          <w:tab w:leader="none" w:pos="1300" w:val="left"/>
        </w:tabs>
        <w:numPr>
          <w:ilvl w:val="1"/>
          <w:numId w:val="13"/>
        </w:numPr>
        <w:rPr>
          <w:rFonts w:ascii="Arial" w:cs="Arial" w:eastAsia="Arial" w:hAnsi="Arial"/>
          <w:sz w:val="20"/>
          <w:szCs w:val="20"/>
          <w:color w:val="auto"/>
        </w:rPr>
      </w:pPr>
      <w:r>
        <w:rPr>
          <w:rFonts w:ascii="Arial" w:cs="Arial" w:eastAsia="Arial" w:hAnsi="Arial"/>
          <w:sz w:val="20"/>
          <w:szCs w:val="20"/>
          <w:color w:val="auto"/>
        </w:rPr>
        <w:t>Section 3.1.5 (Co-Funded Development Plan) of the Agreement is hereby deleted in its entirety and replaced with the following:</w:t>
      </w:r>
    </w:p>
    <w:p>
      <w:pPr>
        <w:spacing w:after="0" w:line="184" w:lineRule="exact"/>
        <w:rPr>
          <w:rFonts w:ascii="Arial" w:cs="Arial" w:eastAsia="Arial" w:hAnsi="Arial"/>
          <w:sz w:val="20"/>
          <w:szCs w:val="20"/>
          <w:color w:val="auto"/>
        </w:rPr>
      </w:pPr>
    </w:p>
    <w:p>
      <w:pPr>
        <w:jc w:val="both"/>
        <w:ind w:left="2140" w:hanging="858"/>
        <w:spacing w:after="0" w:line="269" w:lineRule="auto"/>
        <w:tabs>
          <w:tab w:leader="none" w:pos="2140" w:val="left"/>
        </w:tabs>
        <w:numPr>
          <w:ilvl w:val="2"/>
          <w:numId w:val="13"/>
        </w:numPr>
        <w:rPr>
          <w:rFonts w:ascii="Arial" w:cs="Arial" w:eastAsia="Arial" w:hAnsi="Arial"/>
          <w:sz w:val="18"/>
          <w:szCs w:val="18"/>
          <w:color w:val="auto"/>
        </w:rPr>
      </w:pPr>
      <w:r>
        <w:rPr>
          <w:rFonts w:ascii="Arial" w:cs="Arial" w:eastAsia="Arial" w:hAnsi="Arial"/>
          <w:sz w:val="18"/>
          <w:szCs w:val="18"/>
          <w:b w:val="1"/>
          <w:bCs w:val="1"/>
          <w:color w:val="auto"/>
        </w:rPr>
        <w:t>Takeda Co-Funded Development Plan</w:t>
      </w:r>
      <w:r>
        <w:rPr>
          <w:rFonts w:ascii="Arial" w:cs="Arial" w:eastAsia="Arial" w:hAnsi="Arial"/>
          <w:sz w:val="18"/>
          <w:szCs w:val="18"/>
          <w:color w:val="auto"/>
        </w:rPr>
        <w:t>. At least [***] prior to the commencement of any Co-Funded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Activities, Takeda will prepare a detailed written plan for such activities and submit such plan to the JSC to review, discuss, and determine whether to approve. The development plan for the Co-Funded Development Activities is referred to as the “</w:t>
      </w:r>
      <w:r>
        <w:rPr>
          <w:rFonts w:ascii="Arial" w:cs="Arial" w:eastAsia="Arial" w:hAnsi="Arial"/>
          <w:sz w:val="18"/>
          <w:szCs w:val="18"/>
          <w:b w:val="1"/>
          <w:bCs w:val="1"/>
          <w:color w:val="auto"/>
        </w:rPr>
        <w:t>Co-Funded Development Plan</w:t>
      </w:r>
      <w:r>
        <w:rPr>
          <w:rFonts w:ascii="Arial" w:cs="Arial" w:eastAsia="Arial" w:hAnsi="Arial"/>
          <w:sz w:val="18"/>
          <w:szCs w:val="18"/>
          <w:color w:val="auto"/>
        </w:rPr>
        <w:t>.” The Co-Funded Development Plan will include: (a) [***] and (b) a detailed written budget, on an activity-by-activity basis, of expected FTE Costs, Out-of-Pocket Costs, and other costs and expenses relating to the performance of such PMR/PMC Activities, Additional Studies, and Other Studies to be conducted by or on behalf of Takeda under the Co-Funded Development Plan on a [***]basis for the subsequent [***], which budget will include</w:t>
      </w:r>
    </w:p>
    <w:p>
      <w:pPr>
        <w:spacing w:after="0" w:line="2" w:lineRule="exact"/>
        <w:rPr>
          <w:rFonts w:ascii="Arial" w:cs="Arial" w:eastAsia="Arial" w:hAnsi="Arial"/>
          <w:sz w:val="18"/>
          <w:szCs w:val="18"/>
          <w:color w:val="auto"/>
        </w:rPr>
      </w:pPr>
    </w:p>
    <w:p>
      <w:pPr>
        <w:jc w:val="both"/>
        <w:ind w:left="2140" w:hanging="7"/>
        <w:spacing w:after="0"/>
        <w:tabs>
          <w:tab w:leader="none" w:pos="2626" w:val="left"/>
        </w:tabs>
        <w:numPr>
          <w:ilvl w:val="3"/>
          <w:numId w:val="13"/>
        </w:numPr>
        <w:rPr>
          <w:rFonts w:ascii="Arial" w:cs="Arial" w:eastAsia="Arial" w:hAnsi="Arial"/>
          <w:sz w:val="20"/>
          <w:szCs w:val="20"/>
          <w:color w:val="auto"/>
        </w:rPr>
      </w:pPr>
      <w:r>
        <w:rPr>
          <w:rFonts w:ascii="Arial" w:cs="Arial" w:eastAsia="Arial" w:hAnsi="Arial"/>
          <w:sz w:val="20"/>
          <w:szCs w:val="20"/>
          <w:color w:val="auto"/>
        </w:rPr>
        <w:t>(as may be updated by the Parties from time to time, the “</w:t>
      </w:r>
      <w:r>
        <w:rPr>
          <w:rFonts w:ascii="Arial" w:cs="Arial" w:eastAsia="Arial" w:hAnsi="Arial"/>
          <w:sz w:val="20"/>
          <w:szCs w:val="20"/>
          <w:b w:val="1"/>
          <w:bCs w:val="1"/>
          <w:color w:val="auto"/>
        </w:rPr>
        <w:t>Initial Co-Funded Development Budget</w:t>
      </w:r>
      <w:r>
        <w:rPr>
          <w:rFonts w:ascii="Arial" w:cs="Arial" w:eastAsia="Arial" w:hAnsi="Arial"/>
          <w:sz w:val="20"/>
          <w:szCs w:val="20"/>
          <w:color w:val="auto"/>
        </w:rPr>
        <w:t>”, and together with such budget in respect of each subsequent Calendar Year, each, a “</w:t>
      </w:r>
      <w:r>
        <w:rPr>
          <w:rFonts w:ascii="Arial" w:cs="Arial" w:eastAsia="Arial" w:hAnsi="Arial"/>
          <w:sz w:val="20"/>
          <w:szCs w:val="20"/>
          <w:b w:val="1"/>
          <w:bCs w:val="1"/>
          <w:color w:val="auto"/>
        </w:rPr>
        <w:t>Co-Funded</w:t>
      </w:r>
      <w:r>
        <w:rPr>
          <w:rFonts w:ascii="Arial" w:cs="Arial" w:eastAsia="Arial" w:hAnsi="Arial"/>
          <w:sz w:val="20"/>
          <w:szCs w:val="20"/>
          <w:color w:val="auto"/>
        </w:rPr>
        <w:t xml:space="preserve"> </w:t>
      </w:r>
      <w:r>
        <w:rPr>
          <w:rFonts w:ascii="Arial" w:cs="Arial" w:eastAsia="Arial" w:hAnsi="Arial"/>
          <w:sz w:val="20"/>
          <w:szCs w:val="20"/>
          <w:b w:val="1"/>
          <w:bCs w:val="1"/>
          <w:color w:val="auto"/>
        </w:rPr>
        <w:t>Development Budget</w:t>
      </w:r>
      <w:r>
        <w:rPr>
          <w:rFonts w:ascii="Arial" w:cs="Arial" w:eastAsia="Arial" w:hAnsi="Arial"/>
          <w:sz w:val="20"/>
          <w:szCs w:val="20"/>
          <w:color w:val="auto"/>
        </w:rPr>
        <w:t>”). Takeda, through the JSC, will propose updates to the Co-Funded Development Plan</w:t>
      </w:r>
      <w:r>
        <w:rPr>
          <w:rFonts w:ascii="Arial" w:cs="Arial" w:eastAsia="Arial" w:hAnsi="Arial"/>
          <w:sz w:val="20"/>
          <w:szCs w:val="20"/>
          <w:b w:val="1"/>
          <w:bCs w:val="1"/>
          <w:color w:val="auto"/>
        </w:rPr>
        <w:t xml:space="preserve"> </w:t>
      </w:r>
      <w:r>
        <w:rPr>
          <w:rFonts w:ascii="Arial" w:cs="Arial" w:eastAsia="Arial" w:hAnsi="Arial"/>
          <w:sz w:val="20"/>
          <w:szCs w:val="20"/>
          <w:color w:val="auto"/>
        </w:rPr>
        <w:t>on an [***] basis, and will propose a Co-Funded Development Budget for each subsequent [***] no later than [***] of</w:t>
      </w:r>
    </w:p>
    <w:p>
      <w:pPr>
        <w:spacing w:after="0" w:line="200" w:lineRule="exact"/>
        <w:rPr>
          <w:sz w:val="20"/>
          <w:szCs w:val="20"/>
          <w:color w:val="auto"/>
        </w:rPr>
      </w:pPr>
    </w:p>
    <w:p>
      <w:pPr>
        <w:spacing w:after="0" w:line="214"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340360</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582" w:right="339" w:bottom="1440" w:gutter="0" w:footer="0" w:header="0"/>
        </w:sectPr>
      </w:pPr>
    </w:p>
    <w:bookmarkStart w:id="38" w:name="page39"/>
    <w:bookmarkEnd w:id="38"/>
    <w:p>
      <w:pPr>
        <w:jc w:val="both"/>
        <w:ind w:left="1460"/>
        <w:spacing w:after="0" w:line="260" w:lineRule="auto"/>
        <w:rPr>
          <w:sz w:val="20"/>
          <w:szCs w:val="20"/>
          <w:color w:val="auto"/>
        </w:rPr>
      </w:pPr>
      <w:r>
        <w:rPr>
          <w:rFonts w:ascii="Arial" w:cs="Arial" w:eastAsia="Arial" w:hAnsi="Arial"/>
          <w:sz w:val="19"/>
          <w:szCs w:val="19"/>
          <w:color w:val="auto"/>
        </w:rPr>
        <w:t>the then-current [***]. In addition, Takeda may propose updates to the Co-Funded Development Plan and the Co-Funded Development Budget as necessary from time-to-time during a Calendar Year. The JSC will review, discuss, and determine whether to approve the proposed Co-Funded Development Plan, including the Initial Co-Funded Development Budget, and each [***] update and any other such proposed material update, in accordance with Section 9.2.3 (Responsibilities of JSC).</w:t>
      </w:r>
    </w:p>
    <w:p>
      <w:pPr>
        <w:spacing w:after="0" w:line="174" w:lineRule="exact"/>
        <w:rPr>
          <w:sz w:val="20"/>
          <w:szCs w:val="20"/>
          <w:color w:val="auto"/>
        </w:rPr>
      </w:pPr>
    </w:p>
    <w:p>
      <w:pPr>
        <w:jc w:val="both"/>
        <w:ind w:left="1460" w:hanging="858"/>
        <w:spacing w:after="0" w:line="269"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Arrowhead Co-Funded Development Plan</w:t>
      </w:r>
      <w:r>
        <w:rPr>
          <w:rFonts w:ascii="Arial" w:cs="Arial" w:eastAsia="Arial" w:hAnsi="Arial"/>
          <w:sz w:val="18"/>
          <w:szCs w:val="18"/>
          <w:color w:val="auto"/>
        </w:rPr>
        <w:t>. If the JSC requests that Arrowhead perform any Other Study</w:t>
      </w:r>
      <w:r>
        <w:rPr>
          <w:rFonts w:ascii="Arial" w:cs="Arial" w:eastAsia="Arial" w:hAnsi="Arial"/>
          <w:sz w:val="18"/>
          <w:szCs w:val="18"/>
          <w:b w:val="1"/>
          <w:bCs w:val="1"/>
          <w:color w:val="auto"/>
        </w:rPr>
        <w:t xml:space="preserve"> </w:t>
      </w:r>
      <w:r>
        <w:rPr>
          <w:rFonts w:ascii="Arial" w:cs="Arial" w:eastAsia="Arial" w:hAnsi="Arial"/>
          <w:sz w:val="18"/>
          <w:szCs w:val="18"/>
          <w:color w:val="auto"/>
        </w:rPr>
        <w:t>for a Product, then Arrowhead will prepare a detailed written plan for such Other Study and submit such plan to the JSC to review, discuss, and determine whether to approve. The development plan for Development activities in support of any such Other Study is referred to as the “</w:t>
      </w:r>
      <w:r>
        <w:rPr>
          <w:rFonts w:ascii="Arial" w:cs="Arial" w:eastAsia="Arial" w:hAnsi="Arial"/>
          <w:sz w:val="18"/>
          <w:szCs w:val="18"/>
          <w:b w:val="1"/>
          <w:bCs w:val="1"/>
          <w:color w:val="auto"/>
        </w:rPr>
        <w:t>Arrowhead Co-Funded Development</w:t>
      </w:r>
      <w:r>
        <w:rPr>
          <w:rFonts w:ascii="Arial" w:cs="Arial" w:eastAsia="Arial" w:hAnsi="Arial"/>
          <w:sz w:val="18"/>
          <w:szCs w:val="18"/>
          <w:color w:val="auto"/>
        </w:rPr>
        <w:t xml:space="preserve"> </w:t>
      </w:r>
      <w:r>
        <w:rPr>
          <w:rFonts w:ascii="Arial" w:cs="Arial" w:eastAsia="Arial" w:hAnsi="Arial"/>
          <w:sz w:val="18"/>
          <w:szCs w:val="18"/>
          <w:b w:val="1"/>
          <w:bCs w:val="1"/>
          <w:color w:val="auto"/>
        </w:rPr>
        <w:t>Plan</w:t>
      </w:r>
      <w:r>
        <w:rPr>
          <w:rFonts w:ascii="Arial" w:cs="Arial" w:eastAsia="Arial" w:hAnsi="Arial"/>
          <w:sz w:val="18"/>
          <w:szCs w:val="18"/>
          <w:color w:val="auto"/>
        </w:rPr>
        <w:t>.” The Arrowhead Co-Funded Development Plan will include: (a) [***] and (b) a detailed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budget, on an activity-by-activity basis, of expected FTE Costs, Out-of-Pocket Costs, and other costs and expenses relating to the performance of such Other Study(ies) to be conducted by or on behalf of Arrowhead under the Arrowhead Co-Funded Development Plan on a [***] basis for the subsequent Calendar Year, which budget will include [***] (as may be updated by the Parties from time to time, the “</w:t>
      </w:r>
      <w:r>
        <w:rPr>
          <w:rFonts w:ascii="Arial" w:cs="Arial" w:eastAsia="Arial" w:hAnsi="Arial"/>
          <w:sz w:val="18"/>
          <w:szCs w:val="18"/>
          <w:b w:val="1"/>
          <w:bCs w:val="1"/>
          <w:color w:val="auto"/>
        </w:rPr>
        <w:t>Initial</w:t>
      </w:r>
      <w:r>
        <w:rPr>
          <w:rFonts w:ascii="Arial" w:cs="Arial" w:eastAsia="Arial" w:hAnsi="Arial"/>
          <w:sz w:val="18"/>
          <w:szCs w:val="18"/>
          <w:color w:val="auto"/>
        </w:rPr>
        <w:t xml:space="preserve"> </w:t>
      </w:r>
      <w:r>
        <w:rPr>
          <w:rFonts w:ascii="Arial" w:cs="Arial" w:eastAsia="Arial" w:hAnsi="Arial"/>
          <w:sz w:val="18"/>
          <w:szCs w:val="18"/>
          <w:b w:val="1"/>
          <w:bCs w:val="1"/>
          <w:color w:val="auto"/>
        </w:rPr>
        <w:t>Arrowhead Co-Funded Development Budget</w:t>
      </w:r>
      <w:r>
        <w:rPr>
          <w:rFonts w:ascii="Arial" w:cs="Arial" w:eastAsia="Arial" w:hAnsi="Arial"/>
          <w:sz w:val="18"/>
          <w:szCs w:val="18"/>
          <w:color w:val="auto"/>
        </w:rPr>
        <w:t>”, and together with such budget in respect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subsequent Calendar Year, each, a “</w:t>
      </w:r>
      <w:r>
        <w:rPr>
          <w:rFonts w:ascii="Arial" w:cs="Arial" w:eastAsia="Arial" w:hAnsi="Arial"/>
          <w:sz w:val="18"/>
          <w:szCs w:val="18"/>
          <w:b w:val="1"/>
          <w:bCs w:val="1"/>
          <w:color w:val="auto"/>
        </w:rPr>
        <w:t>Arrowhead Co-Funded Development Budget</w:t>
      </w:r>
      <w:r>
        <w:rPr>
          <w:rFonts w:ascii="Arial" w:cs="Arial" w:eastAsia="Arial" w:hAnsi="Arial"/>
          <w:sz w:val="18"/>
          <w:szCs w:val="18"/>
          <w:color w:val="auto"/>
        </w:rPr>
        <w:t>”). Arrowhead, through the JSC, will propose updates to the Arrowhead Co-Funded Development Plan on an [***] basis, and will propose a Arrowhead Co-Funded Development Budget for each subsequent [***] no later than [***] of the then-current [***]. In addition, Arrowhead may propose updates to the Arrowhead Co-Funded Development Plan and the Arrowhead Co-Funded Development Budget as necessary from time-to-time during a Calendar Year. The JSC will review, discuss, and determine whether to approve the proposed Arrowhead Co-Funded Development Plan, including the Initial Arrowhead Co-Funded Development Budget, and each [***] update and any other such proposed update, in accordance with Section 9.2.3 (Responsibilities of JSC).</w:t>
      </w:r>
    </w:p>
    <w:p>
      <w:pPr>
        <w:spacing w:after="0" w:line="177" w:lineRule="exact"/>
        <w:rPr>
          <w:rFonts w:ascii="Arial" w:cs="Arial" w:eastAsia="Arial" w:hAnsi="Arial"/>
          <w:sz w:val="18"/>
          <w:szCs w:val="18"/>
          <w:color w:val="auto"/>
        </w:rPr>
      </w:pPr>
    </w:p>
    <w:p>
      <w:pPr>
        <w:ind w:left="620" w:right="20" w:hanging="436"/>
        <w:spacing w:after="0" w:line="260"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Section 3.2.3(a) (Co-Funded Expenses) of the Agreement is hereby deleted in its entirety and replaced with the following:</w:t>
      </w:r>
    </w:p>
    <w:p>
      <w:pPr>
        <w:spacing w:after="0" w:line="103" w:lineRule="exact"/>
        <w:rPr>
          <w:rFonts w:ascii="Arial" w:cs="Arial" w:eastAsia="Arial" w:hAnsi="Arial"/>
          <w:sz w:val="20"/>
          <w:szCs w:val="20"/>
          <w:color w:val="auto"/>
        </w:rPr>
      </w:pPr>
    </w:p>
    <w:p>
      <w:pPr>
        <w:ind w:left="1460" w:hanging="858"/>
        <w:spacing w:after="0" w:line="267" w:lineRule="auto"/>
        <w:tabs>
          <w:tab w:leader="none" w:pos="1460" w:val="left"/>
        </w:tabs>
        <w:numPr>
          <w:ilvl w:val="1"/>
          <w:numId w:val="15"/>
        </w:numPr>
        <w:rPr>
          <w:rFonts w:ascii="Arial" w:cs="Arial" w:eastAsia="Arial" w:hAnsi="Arial"/>
          <w:sz w:val="20"/>
          <w:szCs w:val="20"/>
          <w:color w:val="auto"/>
        </w:rPr>
      </w:pPr>
      <w:r>
        <w:rPr>
          <w:rFonts w:ascii="Arial" w:cs="Arial" w:eastAsia="Arial" w:hAnsi="Arial"/>
          <w:sz w:val="20"/>
          <w:szCs w:val="20"/>
          <w:b w:val="1"/>
          <w:bCs w:val="1"/>
          <w:color w:val="auto"/>
        </w:rPr>
        <w:t>Co-Funded Expenses</w:t>
      </w:r>
      <w:r>
        <w:rPr>
          <w:rFonts w:ascii="Arial" w:cs="Arial" w:eastAsia="Arial" w:hAnsi="Arial"/>
          <w:sz w:val="20"/>
          <w:szCs w:val="20"/>
          <w:color w:val="auto"/>
        </w:rPr>
        <w:t>. (i) The Parties will share the Eligible Development Expenses incurred [***] and (ii)</w:t>
      </w:r>
      <w:r>
        <w:rPr>
          <w:rFonts w:ascii="Arial" w:cs="Arial" w:eastAsia="Arial" w:hAnsi="Arial"/>
          <w:sz w:val="20"/>
          <w:szCs w:val="20"/>
          <w:b w:val="1"/>
          <w:bCs w:val="1"/>
          <w:color w:val="auto"/>
        </w:rPr>
        <w:t xml:space="preserve"> </w:t>
      </w:r>
      <w:r>
        <w:rPr>
          <w:rFonts w:ascii="Arial" w:cs="Arial" w:eastAsia="Arial" w:hAnsi="Arial"/>
          <w:sz w:val="20"/>
          <w:szCs w:val="20"/>
          <w:color w:val="auto"/>
        </w:rPr>
        <w:t>Arrowhead will [***].</w:t>
      </w:r>
    </w:p>
    <w:p>
      <w:pPr>
        <w:spacing w:after="0" w:line="169" w:lineRule="exact"/>
        <w:rPr>
          <w:rFonts w:ascii="Arial" w:cs="Arial" w:eastAsia="Arial" w:hAnsi="Arial"/>
          <w:sz w:val="20"/>
          <w:szCs w:val="20"/>
          <w:color w:val="auto"/>
        </w:rPr>
      </w:pPr>
    </w:p>
    <w:p>
      <w:pPr>
        <w:ind w:left="620" w:hanging="436"/>
        <w:spacing w:after="0" w:line="260"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Section 3.2.3(b) (PMR/PMC Activities) of the Agreement is hereby deleted in its entirety and replaced with the following:</w:t>
      </w:r>
    </w:p>
    <w:p>
      <w:pPr>
        <w:spacing w:after="0" w:line="103" w:lineRule="exact"/>
        <w:rPr>
          <w:rFonts w:ascii="Arial" w:cs="Arial" w:eastAsia="Arial" w:hAnsi="Arial"/>
          <w:sz w:val="20"/>
          <w:szCs w:val="20"/>
          <w:color w:val="auto"/>
        </w:rPr>
      </w:pPr>
    </w:p>
    <w:p>
      <w:pPr>
        <w:jc w:val="both"/>
        <w:ind w:left="1460" w:hanging="858"/>
        <w:spacing w:after="0" w:line="274" w:lineRule="auto"/>
        <w:tabs>
          <w:tab w:leader="none" w:pos="1460"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t>Shared Development Expenses</w:t>
      </w:r>
      <w:r>
        <w:rPr>
          <w:rFonts w:ascii="Arial" w:cs="Arial" w:eastAsia="Arial" w:hAnsi="Arial"/>
          <w:sz w:val="18"/>
          <w:szCs w:val="18"/>
          <w:color w:val="auto"/>
        </w:rPr>
        <w:t>. Commencing from and after the Execution Date and during the Term,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will share all Eligible Development Expenses [***] at a ratio of [***] (Takeda: Arrowhead) (the “</w:t>
      </w:r>
      <w:r>
        <w:rPr>
          <w:rFonts w:ascii="Arial" w:cs="Arial" w:eastAsia="Arial" w:hAnsi="Arial"/>
          <w:sz w:val="18"/>
          <w:szCs w:val="18"/>
          <w:b w:val="1"/>
          <w:bCs w:val="1"/>
          <w:color w:val="auto"/>
        </w:rPr>
        <w:t>Eligible Development Costs Share Ratio</w:t>
      </w:r>
      <w:r>
        <w:rPr>
          <w:rFonts w:ascii="Arial" w:cs="Arial" w:eastAsia="Arial" w:hAnsi="Arial"/>
          <w:sz w:val="18"/>
          <w:szCs w:val="18"/>
          <w:color w:val="auto"/>
        </w:rPr>
        <w:t>”) in accordance with [***]. Within [***] after the end of each</w:t>
      </w:r>
    </w:p>
    <w:p>
      <w:pPr>
        <w:spacing w:after="0" w:line="1" w:lineRule="exact"/>
        <w:rPr>
          <w:rFonts w:ascii="Arial" w:cs="Arial" w:eastAsia="Arial" w:hAnsi="Arial"/>
          <w:sz w:val="18"/>
          <w:szCs w:val="18"/>
          <w:color w:val="auto"/>
        </w:rPr>
      </w:pPr>
    </w:p>
    <w:p>
      <w:pPr>
        <w:jc w:val="both"/>
        <w:ind w:left="1460" w:hanging="7"/>
        <w:spacing w:after="0" w:line="241" w:lineRule="auto"/>
        <w:tabs>
          <w:tab w:leader="none" w:pos="1965" w:val="left"/>
        </w:tabs>
        <w:numPr>
          <w:ilvl w:val="2"/>
          <w:numId w:val="16"/>
        </w:numPr>
        <w:rPr>
          <w:rFonts w:ascii="Arial" w:cs="Arial" w:eastAsia="Arial" w:hAnsi="Arial"/>
          <w:sz w:val="20"/>
          <w:szCs w:val="20"/>
          <w:color w:val="auto"/>
        </w:rPr>
      </w:pPr>
      <w:r>
        <w:rPr>
          <w:rFonts w:ascii="Arial" w:cs="Arial" w:eastAsia="Arial" w:hAnsi="Arial"/>
          <w:sz w:val="20"/>
          <w:szCs w:val="20"/>
          <w:color w:val="auto"/>
        </w:rPr>
        <w:t>after the Effective Date, ([***] (each such report, an “</w:t>
      </w:r>
      <w:r>
        <w:rPr>
          <w:rFonts w:ascii="Arial" w:cs="Arial" w:eastAsia="Arial" w:hAnsi="Arial"/>
          <w:sz w:val="20"/>
          <w:szCs w:val="20"/>
          <w:b w:val="1"/>
          <w:bCs w:val="1"/>
          <w:color w:val="auto"/>
        </w:rPr>
        <w:t>Eligible Development Expenses Report</w:t>
      </w:r>
      <w:r>
        <w:rPr>
          <w:rFonts w:ascii="Arial" w:cs="Arial" w:eastAsia="Arial" w:hAnsi="Arial"/>
          <w:sz w:val="20"/>
          <w:szCs w:val="20"/>
          <w:color w:val="auto"/>
        </w:rPr>
        <w:t>”). Following receipt of the Eligible Development Expenses Report(s) following a given [***], such Eligible Development Expenses Report(s) will be [***].</w:t>
      </w:r>
    </w:p>
    <w:p>
      <w:pPr>
        <w:spacing w:after="0" w:line="200" w:lineRule="exact"/>
        <w:rPr>
          <w:sz w:val="20"/>
          <w:szCs w:val="20"/>
          <w:color w:val="auto"/>
        </w:rPr>
      </w:pPr>
    </w:p>
    <w:p>
      <w:pPr>
        <w:spacing w:after="0" w:line="212"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340360</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52" w:right="339" w:bottom="1440" w:gutter="0" w:footer="0" w:header="0"/>
        </w:sectPr>
      </w:pPr>
    </w:p>
    <w:bookmarkStart w:id="39" w:name="page40"/>
    <w:bookmarkEnd w:id="39"/>
    <w:p>
      <w:pPr>
        <w:ind w:left="1300" w:hanging="436"/>
        <w:spacing w:after="0" w:line="260" w:lineRule="auto"/>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Section 3.2.3(d) (Reimbursement for Additional Studies) of the Agreement is hereby deleted in its entirety and replaced with the following:</w:t>
      </w:r>
    </w:p>
    <w:p>
      <w:pPr>
        <w:spacing w:after="0" w:line="184" w:lineRule="exact"/>
        <w:rPr>
          <w:sz w:val="20"/>
          <w:szCs w:val="20"/>
          <w:color w:val="auto"/>
        </w:rPr>
      </w:pPr>
    </w:p>
    <w:p>
      <w:pPr>
        <w:jc w:val="both"/>
        <w:ind w:left="860"/>
        <w:spacing w:after="0" w:line="248" w:lineRule="auto"/>
        <w:rPr>
          <w:sz w:val="20"/>
          <w:szCs w:val="20"/>
          <w:color w:val="auto"/>
        </w:rPr>
      </w:pPr>
      <w:r>
        <w:rPr>
          <w:rFonts w:ascii="Arial" w:cs="Arial" w:eastAsia="Arial" w:hAnsi="Arial"/>
          <w:sz w:val="20"/>
          <w:szCs w:val="20"/>
          <w:color w:val="auto"/>
        </w:rPr>
        <w:t>(d)</w:t>
      </w:r>
      <w:r>
        <w:rPr>
          <w:rFonts w:ascii="Arial" w:cs="Arial" w:eastAsia="Arial" w:hAnsi="Arial"/>
          <w:sz w:val="20"/>
          <w:szCs w:val="20"/>
          <w:b w:val="1"/>
          <w:bCs w:val="1"/>
          <w:color w:val="auto"/>
        </w:rPr>
        <w:t>Reimbursement for Additional Studies</w:t>
      </w:r>
      <w:r>
        <w:rPr>
          <w:rFonts w:ascii="Arial" w:cs="Arial" w:eastAsia="Arial" w:hAnsi="Arial"/>
          <w:sz w:val="20"/>
          <w:szCs w:val="20"/>
          <w:color w:val="auto"/>
        </w:rPr>
        <w:t>. Prior to the commencement of each Additional Study, Takeda will submit an invoice to Arrowhead for [***] (the “</w:t>
      </w:r>
      <w:r>
        <w:rPr>
          <w:rFonts w:ascii="Arial" w:cs="Arial" w:eastAsia="Arial" w:hAnsi="Arial"/>
          <w:sz w:val="20"/>
          <w:szCs w:val="20"/>
          <w:b w:val="1"/>
          <w:bCs w:val="1"/>
          <w:color w:val="auto"/>
        </w:rPr>
        <w:t>Forecasted Additional Study Credit</w:t>
      </w:r>
      <w:r>
        <w:rPr>
          <w:rFonts w:ascii="Arial" w:cs="Arial" w:eastAsia="Arial" w:hAnsi="Arial"/>
          <w:sz w:val="20"/>
          <w:szCs w:val="20"/>
          <w:color w:val="auto"/>
        </w:rPr>
        <w:t>”). For each Additional Study, Takeda may [***]. No later than [***] following the completion of each Additional Study, Takeda will provide Arrowhead with a [***] ([***], the “</w:t>
      </w:r>
      <w:r>
        <w:rPr>
          <w:rFonts w:ascii="Arial" w:cs="Arial" w:eastAsia="Arial" w:hAnsi="Arial"/>
          <w:sz w:val="20"/>
          <w:szCs w:val="20"/>
          <w:b w:val="1"/>
          <w:bCs w:val="1"/>
          <w:color w:val="auto"/>
        </w:rPr>
        <w:t>Actual Additional Study Credit</w:t>
      </w:r>
      <w:r>
        <w:rPr>
          <w:rFonts w:ascii="Arial" w:cs="Arial" w:eastAsia="Arial" w:hAnsi="Arial"/>
          <w:sz w:val="20"/>
          <w:szCs w:val="20"/>
          <w:color w:val="auto"/>
        </w:rPr>
        <w:t>”), and (A) if [***] and (B) if [***].</w:t>
      </w:r>
    </w:p>
    <w:p>
      <w:pPr>
        <w:spacing w:after="0" w:line="183" w:lineRule="exact"/>
        <w:rPr>
          <w:sz w:val="20"/>
          <w:szCs w:val="20"/>
          <w:color w:val="auto"/>
        </w:rPr>
      </w:pPr>
    </w:p>
    <w:p>
      <w:pPr>
        <w:ind w:left="440" w:hanging="440"/>
        <w:spacing w:after="0"/>
        <w:tabs>
          <w:tab w:leader="none" w:pos="440" w:val="left"/>
        </w:tabs>
        <w:numPr>
          <w:ilvl w:val="0"/>
          <w:numId w:val="18"/>
        </w:numPr>
        <w:rPr>
          <w:rFonts w:ascii="Arial" w:cs="Arial" w:eastAsia="Arial" w:hAnsi="Arial"/>
          <w:sz w:val="20"/>
          <w:szCs w:val="20"/>
          <w:color w:val="auto"/>
        </w:rPr>
      </w:pPr>
      <w:r>
        <w:rPr>
          <w:rFonts w:ascii="Arial" w:cs="Arial" w:eastAsia="Arial" w:hAnsi="Arial"/>
          <w:sz w:val="20"/>
          <w:szCs w:val="20"/>
          <w:b w:val="1"/>
          <w:bCs w:val="1"/>
          <w:color w:val="auto"/>
        </w:rPr>
        <w:t>Amendment of Article 9 (Governance):</w:t>
      </w:r>
    </w:p>
    <w:p>
      <w:pPr>
        <w:spacing w:after="0" w:line="235" w:lineRule="exact"/>
        <w:rPr>
          <w:rFonts w:ascii="Arial" w:cs="Arial" w:eastAsia="Arial" w:hAnsi="Arial"/>
          <w:sz w:val="20"/>
          <w:szCs w:val="20"/>
          <w:color w:val="auto"/>
        </w:rPr>
      </w:pPr>
    </w:p>
    <w:p>
      <w:pPr>
        <w:ind w:left="1300" w:right="260" w:hanging="436"/>
        <w:spacing w:after="0" w:line="260" w:lineRule="auto"/>
        <w:tabs>
          <w:tab w:leader="none" w:pos="1300" w:val="left"/>
        </w:tabs>
        <w:numPr>
          <w:ilvl w:val="1"/>
          <w:numId w:val="18"/>
        </w:numPr>
        <w:rPr>
          <w:rFonts w:ascii="Arial" w:cs="Arial" w:eastAsia="Arial" w:hAnsi="Arial"/>
          <w:sz w:val="20"/>
          <w:szCs w:val="20"/>
          <w:color w:val="auto"/>
        </w:rPr>
      </w:pPr>
      <w:r>
        <w:rPr>
          <w:rFonts w:ascii="Arial" w:cs="Arial" w:eastAsia="Arial" w:hAnsi="Arial"/>
          <w:sz w:val="20"/>
          <w:szCs w:val="20"/>
          <w:color w:val="auto"/>
        </w:rPr>
        <w:t>Section 9.2.3(a) (Responsibilities of the JSC) of the Agreement is hereby deleted in its entirety and replaced with the following:</w:t>
      </w:r>
    </w:p>
    <w:p>
      <w:pPr>
        <w:spacing w:after="0" w:line="109" w:lineRule="exact"/>
        <w:rPr>
          <w:rFonts w:ascii="Arial" w:cs="Arial" w:eastAsia="Arial" w:hAnsi="Arial"/>
          <w:sz w:val="20"/>
          <w:szCs w:val="20"/>
          <w:color w:val="auto"/>
        </w:rPr>
      </w:pPr>
    </w:p>
    <w:p>
      <w:pPr>
        <w:jc w:val="both"/>
        <w:ind w:left="2140" w:hanging="858"/>
        <w:spacing w:after="0" w:line="269" w:lineRule="auto"/>
        <w:tabs>
          <w:tab w:leader="none" w:pos="2140" w:val="left"/>
        </w:tabs>
        <w:numPr>
          <w:ilvl w:val="2"/>
          <w:numId w:val="18"/>
        </w:numPr>
        <w:rPr>
          <w:rFonts w:ascii="Arial" w:cs="Arial" w:eastAsia="Arial" w:hAnsi="Arial"/>
          <w:sz w:val="19"/>
          <w:szCs w:val="19"/>
          <w:color w:val="auto"/>
        </w:rPr>
      </w:pPr>
      <w:r>
        <w:rPr>
          <w:rFonts w:ascii="Arial" w:cs="Arial" w:eastAsia="Arial" w:hAnsi="Arial"/>
          <w:sz w:val="19"/>
          <w:szCs w:val="19"/>
          <w:color w:val="auto"/>
        </w:rPr>
        <w:t>review, discuss, and determine whether to approve (i) the Co-Funded Development Plan, Co-Funded Development Budget, and any updates thereto (ii) [***], (iii) any Arrowhead Co-Funded Development Plan, Arrowhead Co-Funded Development Budget, and any updates thereto, and (iv) [***];</w:t>
      </w:r>
    </w:p>
    <w:p>
      <w:pPr>
        <w:spacing w:after="0" w:line="163" w:lineRule="exact"/>
        <w:rPr>
          <w:rFonts w:ascii="Arial" w:cs="Arial" w:eastAsia="Arial" w:hAnsi="Arial"/>
          <w:sz w:val="19"/>
          <w:szCs w:val="19"/>
          <w:color w:val="auto"/>
        </w:rPr>
      </w:pPr>
    </w:p>
    <w:p>
      <w:pPr>
        <w:ind w:left="440" w:hanging="440"/>
        <w:spacing w:after="0"/>
        <w:tabs>
          <w:tab w:leader="none" w:pos="440" w:val="left"/>
        </w:tabs>
        <w:numPr>
          <w:ilvl w:val="0"/>
          <w:numId w:val="18"/>
        </w:numPr>
        <w:rPr>
          <w:rFonts w:ascii="Arial" w:cs="Arial" w:eastAsia="Arial" w:hAnsi="Arial"/>
          <w:sz w:val="20"/>
          <w:szCs w:val="20"/>
          <w:color w:val="auto"/>
        </w:rPr>
      </w:pPr>
      <w:r>
        <w:rPr>
          <w:rFonts w:ascii="Arial" w:cs="Arial" w:eastAsia="Arial" w:hAnsi="Arial"/>
          <w:sz w:val="20"/>
          <w:szCs w:val="20"/>
          <w:b w:val="1"/>
          <w:bCs w:val="1"/>
          <w:color w:val="auto"/>
        </w:rPr>
        <w:t>Amendment of Article 10 (Payments):</w:t>
      </w:r>
    </w:p>
    <w:p>
      <w:pPr>
        <w:spacing w:after="0" w:line="21" w:lineRule="exact"/>
        <w:rPr>
          <w:rFonts w:ascii="Arial" w:cs="Arial" w:eastAsia="Arial" w:hAnsi="Arial"/>
          <w:sz w:val="20"/>
          <w:szCs w:val="20"/>
          <w:color w:val="auto"/>
        </w:rPr>
      </w:pPr>
    </w:p>
    <w:p>
      <w:pPr>
        <w:ind w:left="1300" w:hanging="436"/>
        <w:spacing w:after="0" w:line="244" w:lineRule="auto"/>
        <w:tabs>
          <w:tab w:leader="none" w:pos="1300" w:val="left"/>
        </w:tabs>
        <w:numPr>
          <w:ilvl w:val="1"/>
          <w:numId w:val="18"/>
        </w:numPr>
        <w:rPr>
          <w:rFonts w:ascii="Arial" w:cs="Arial" w:eastAsia="Arial" w:hAnsi="Arial"/>
          <w:sz w:val="20"/>
          <w:szCs w:val="20"/>
          <w:color w:val="auto"/>
        </w:rPr>
      </w:pPr>
      <w:r>
        <w:rPr>
          <w:rFonts w:ascii="Arial" w:cs="Arial" w:eastAsia="Arial" w:hAnsi="Arial"/>
          <w:sz w:val="20"/>
          <w:szCs w:val="20"/>
          <w:color w:val="auto"/>
        </w:rPr>
        <w:t>Section 10.2.3 (Milestone Credits and Adjustments) of the Agreement is hereby deleted in its entirety and replaced with the following:</w:t>
      </w:r>
    </w:p>
    <w:p>
      <w:pPr>
        <w:spacing w:after="0" w:line="117" w:lineRule="exact"/>
        <w:rPr>
          <w:rFonts w:ascii="Arial" w:cs="Arial" w:eastAsia="Arial" w:hAnsi="Arial"/>
          <w:sz w:val="20"/>
          <w:szCs w:val="20"/>
          <w:color w:val="auto"/>
        </w:rPr>
      </w:pPr>
    </w:p>
    <w:p>
      <w:pPr>
        <w:ind w:left="3020" w:hanging="860"/>
        <w:spacing w:after="0"/>
        <w:tabs>
          <w:tab w:leader="none" w:pos="3020" w:val="left"/>
        </w:tabs>
        <w:numPr>
          <w:ilvl w:val="3"/>
          <w:numId w:val="18"/>
        </w:numPr>
        <w:rPr>
          <w:rFonts w:ascii="Arial" w:cs="Arial" w:eastAsia="Arial" w:hAnsi="Arial"/>
          <w:sz w:val="20"/>
          <w:szCs w:val="20"/>
          <w:color w:val="auto"/>
        </w:rPr>
      </w:pPr>
      <w:r>
        <w:rPr>
          <w:rFonts w:ascii="Arial" w:cs="Arial" w:eastAsia="Arial" w:hAnsi="Arial"/>
          <w:sz w:val="20"/>
          <w:szCs w:val="20"/>
          <w:b w:val="1"/>
          <w:bCs w:val="1"/>
          <w:color w:val="auto"/>
        </w:rPr>
        <w:t>Additional Studies Credit</w:t>
      </w:r>
      <w:r>
        <w:rPr>
          <w:rFonts w:ascii="Arial" w:cs="Arial" w:eastAsia="Arial" w:hAnsi="Arial"/>
          <w:sz w:val="20"/>
          <w:szCs w:val="20"/>
          <w:color w:val="auto"/>
        </w:rPr>
        <w:t>. Takeda will [***].</w:t>
      </w:r>
    </w:p>
    <w:p>
      <w:pPr>
        <w:spacing w:after="0" w:line="221" w:lineRule="exact"/>
        <w:rPr>
          <w:rFonts w:ascii="Arial" w:cs="Arial" w:eastAsia="Arial" w:hAnsi="Arial"/>
          <w:sz w:val="20"/>
          <w:szCs w:val="20"/>
          <w:color w:val="auto"/>
        </w:rPr>
      </w:pPr>
    </w:p>
    <w:p>
      <w:pPr>
        <w:ind w:left="1300" w:hanging="436"/>
        <w:spacing w:after="0" w:line="260" w:lineRule="auto"/>
        <w:tabs>
          <w:tab w:leader="none" w:pos="1300" w:val="left"/>
        </w:tabs>
        <w:numPr>
          <w:ilvl w:val="1"/>
          <w:numId w:val="18"/>
        </w:numPr>
        <w:rPr>
          <w:rFonts w:ascii="Arial" w:cs="Arial" w:eastAsia="Arial" w:hAnsi="Arial"/>
          <w:sz w:val="20"/>
          <w:szCs w:val="20"/>
          <w:color w:val="auto"/>
        </w:rPr>
      </w:pPr>
      <w:r>
        <w:rPr>
          <w:rFonts w:ascii="Arial" w:cs="Arial" w:eastAsia="Arial" w:hAnsi="Arial"/>
          <w:sz w:val="20"/>
          <w:szCs w:val="20"/>
          <w:color w:val="auto"/>
        </w:rPr>
        <w:t>Section 10.4.5(b) (Withholding Taxes) of the Agreement is hereby deleted in its entirety and replaced with the following:</w:t>
      </w:r>
    </w:p>
    <w:p>
      <w:pPr>
        <w:spacing w:after="0" w:line="103" w:lineRule="exact"/>
        <w:rPr>
          <w:rFonts w:ascii="Arial" w:cs="Arial" w:eastAsia="Arial" w:hAnsi="Arial"/>
          <w:sz w:val="20"/>
          <w:szCs w:val="20"/>
          <w:color w:val="auto"/>
        </w:rPr>
      </w:pPr>
    </w:p>
    <w:p>
      <w:pPr>
        <w:jc w:val="both"/>
        <w:ind w:left="2160"/>
        <w:spacing w:after="0" w:line="269" w:lineRule="auto"/>
        <w:tabs>
          <w:tab w:leader="none" w:pos="3088" w:val="left"/>
        </w:tabs>
        <w:numPr>
          <w:ilvl w:val="3"/>
          <w:numId w:val="19"/>
        </w:numPr>
        <w:rPr>
          <w:rFonts w:ascii="Arial" w:cs="Arial" w:eastAsia="Arial" w:hAnsi="Arial"/>
          <w:sz w:val="18"/>
          <w:szCs w:val="18"/>
          <w:color w:val="auto"/>
        </w:rPr>
      </w:pPr>
      <w:r>
        <w:rPr>
          <w:rFonts w:ascii="Arial" w:cs="Arial" w:eastAsia="Arial" w:hAnsi="Arial"/>
          <w:sz w:val="18"/>
          <w:szCs w:val="18"/>
          <w:b w:val="1"/>
          <w:bCs w:val="1"/>
          <w:color w:val="auto"/>
        </w:rPr>
        <w:t>Withholding Taxes</w:t>
      </w:r>
      <w:r>
        <w:rPr>
          <w:rFonts w:ascii="Arial" w:cs="Arial" w:eastAsia="Arial" w:hAnsi="Arial"/>
          <w:sz w:val="18"/>
          <w:szCs w:val="18"/>
          <w:color w:val="auto"/>
        </w:rPr>
        <w:t>. The amounts payable pursuant to this Agreement (“</w:t>
      </w:r>
      <w:r>
        <w:rPr>
          <w:rFonts w:ascii="Arial" w:cs="Arial" w:eastAsia="Arial" w:hAnsi="Arial"/>
          <w:sz w:val="18"/>
          <w:szCs w:val="18"/>
          <w:b w:val="1"/>
          <w:bCs w:val="1"/>
          <w:color w:val="auto"/>
        </w:rPr>
        <w:t>Payments</w:t>
      </w:r>
      <w:r>
        <w:rPr>
          <w:rFonts w:ascii="Arial" w:cs="Arial" w:eastAsia="Arial" w:hAnsi="Arial"/>
          <w:sz w:val="18"/>
          <w:szCs w:val="18"/>
          <w:color w:val="auto"/>
        </w:rPr>
        <w:t>”) will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reduced on account of any Taxes unless required by applicable Law. Any Party making payments pursuant to this Agreement (the “</w:t>
      </w:r>
      <w:r>
        <w:rPr>
          <w:rFonts w:ascii="Arial" w:cs="Arial" w:eastAsia="Arial" w:hAnsi="Arial"/>
          <w:sz w:val="18"/>
          <w:szCs w:val="18"/>
          <w:b w:val="1"/>
          <w:bCs w:val="1"/>
          <w:color w:val="auto"/>
        </w:rPr>
        <w:t>Paying Party</w:t>
      </w:r>
      <w:r>
        <w:rPr>
          <w:rFonts w:ascii="Arial" w:cs="Arial" w:eastAsia="Arial" w:hAnsi="Arial"/>
          <w:sz w:val="18"/>
          <w:szCs w:val="18"/>
          <w:color w:val="auto"/>
        </w:rPr>
        <w:t>”) will deduct and withhold from the Payments made to the other Party (the “</w:t>
      </w:r>
      <w:r>
        <w:rPr>
          <w:rFonts w:ascii="Arial" w:cs="Arial" w:eastAsia="Arial" w:hAnsi="Arial"/>
          <w:sz w:val="18"/>
          <w:szCs w:val="18"/>
          <w:b w:val="1"/>
          <w:bCs w:val="1"/>
          <w:color w:val="auto"/>
        </w:rPr>
        <w:t>Payee</w:t>
      </w:r>
      <w:r>
        <w:rPr>
          <w:rFonts w:ascii="Arial" w:cs="Arial" w:eastAsia="Arial" w:hAnsi="Arial"/>
          <w:sz w:val="18"/>
          <w:szCs w:val="18"/>
          <w:color w:val="auto"/>
        </w:rPr>
        <w:t>”) any Taxes that it is required by applicable Law to deduct or withhold (“</w:t>
      </w:r>
      <w:r>
        <w:rPr>
          <w:rFonts w:ascii="Arial" w:cs="Arial" w:eastAsia="Arial" w:hAnsi="Arial"/>
          <w:sz w:val="18"/>
          <w:szCs w:val="18"/>
          <w:b w:val="1"/>
          <w:bCs w:val="1"/>
          <w:color w:val="auto"/>
        </w:rPr>
        <w:t>Withholding Taxes</w:t>
      </w:r>
      <w:r>
        <w:rPr>
          <w:rFonts w:ascii="Arial" w:cs="Arial" w:eastAsia="Arial" w:hAnsi="Arial"/>
          <w:sz w:val="18"/>
          <w:szCs w:val="18"/>
          <w:color w:val="auto"/>
        </w:rPr>
        <w:t>”), and any such amounts deducted or withheld by the Paying Party will be treated as having been paid to the Payee for purposes of this Agreement. Any such Withholding Taxes will be an expense of and borne by the Payee. If any such Withholding Tax is assessed against, or paid (but in each case not withheld) by the Paying Party, then the Payee will pay the relevant amount of such Withholding Tax to the Paying Party. In the event that a Governmental Authority retroactively determines that a payment made by the Paying Party to the Payee under this Agreement should have been subject to Withholding Taxes (or to additional Withholding Taxes), and the Paying Party remits such Withholding Taxes to the Governmental Authority, including any interest and penalties that may be imposed thereon, at the option of the Paying Party, then the Payee will pay the relevant amount of any Withholding Tax (including any interest and penalties thereon) to the Paying Party. Notwithstanding the foregoing, if the Payee is entitled under any applicable tax treaty to a reduction of rate of, or the elimination of, or recovery of, applicable Withholding Tax, then it may deliver to the Paying Party or the appropriate Governmental Authority the prescribed forms necessary to reduce the applicable rate of withholding or to relieve the Paying Party of its</w:t>
      </w:r>
    </w:p>
    <w:p>
      <w:pPr>
        <w:spacing w:after="0" w:line="180"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340360</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798" w:right="339" w:bottom="1440" w:gutter="0" w:footer="0" w:header="0"/>
        </w:sectPr>
      </w:pPr>
    </w:p>
    <w:bookmarkStart w:id="40" w:name="page41"/>
    <w:bookmarkEnd w:id="40"/>
    <w:p>
      <w:pPr>
        <w:jc w:val="both"/>
        <w:ind w:left="2160"/>
        <w:spacing w:after="0" w:line="273" w:lineRule="auto"/>
        <w:rPr>
          <w:sz w:val="20"/>
          <w:szCs w:val="20"/>
          <w:color w:val="auto"/>
        </w:rPr>
      </w:pPr>
      <w:r>
        <w:rPr>
          <w:rFonts w:ascii="Arial" w:cs="Arial" w:eastAsia="Arial" w:hAnsi="Arial"/>
          <w:sz w:val="18"/>
          <w:szCs w:val="18"/>
          <w:color w:val="auto"/>
        </w:rPr>
        <w:t xml:space="preserve">obligation to withhold tax. If the Payee timely delivers to the Paying Party a validly executed form establishing a reduced rate or exemption from withholding, the Paying Party shall apply the reduced rate of withholding, or not withhold, as the case may be,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Paying Party is in receipt of evidence, in a form reasonably satisfactory to the Paying Party, for example the Payee’s delivery of all applicable documentation, at least two weeks prior to the time that the Payments are due. If, in accordance with the foregoing, the Paying Party withholds any amount, then it will pay to the Payee the balance when due, make timely payment (or cause its agent to make timely payment) to the proper taxing authority of the withheld amount, and send the Payee proof of such payment within [***]following that payment.</w:t>
      </w:r>
    </w:p>
    <w:p>
      <w:pPr>
        <w:spacing w:after="0" w:line="162" w:lineRule="exact"/>
        <w:rPr>
          <w:sz w:val="20"/>
          <w:szCs w:val="20"/>
          <w:color w:val="auto"/>
        </w:rPr>
      </w:pPr>
    </w:p>
    <w:p>
      <w:pPr>
        <w:jc w:val="both"/>
        <w:ind w:left="440" w:hanging="440"/>
        <w:spacing w:after="0" w:line="294"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Other Terms Unchanged</w:t>
      </w:r>
      <w:r>
        <w:rPr>
          <w:rFonts w:ascii="Arial" w:cs="Arial" w:eastAsia="Arial" w:hAnsi="Arial"/>
          <w:sz w:val="18"/>
          <w:szCs w:val="18"/>
          <w:color w:val="auto"/>
        </w:rPr>
        <w:t>. The Agreement, except where explicitly amended by this First Amendment, will remain unchanged</w:t>
      </w:r>
      <w:r>
        <w:rPr>
          <w:rFonts w:ascii="Arial" w:cs="Arial" w:eastAsia="Arial" w:hAnsi="Arial"/>
          <w:sz w:val="18"/>
          <w:szCs w:val="18"/>
          <w:b w:val="1"/>
          <w:bCs w:val="1"/>
          <w:color w:val="auto"/>
        </w:rPr>
        <w:t xml:space="preserve"> </w:t>
      </w:r>
      <w:r>
        <w:rPr>
          <w:rFonts w:ascii="Arial" w:cs="Arial" w:eastAsia="Arial" w:hAnsi="Arial"/>
          <w:sz w:val="18"/>
          <w:szCs w:val="18"/>
          <w:color w:val="auto"/>
        </w:rPr>
        <w:t>and in full force and effect and is in all respects agreed to, ratified and confirmed hereby. Any reference to the Agreement after the First Amendment Effective Date will be deemed to be a reference to the Agreement, as amended by this First Amendment.</w:t>
      </w:r>
    </w:p>
    <w:p>
      <w:pPr>
        <w:spacing w:after="0" w:line="157" w:lineRule="exact"/>
        <w:rPr>
          <w:rFonts w:ascii="Arial" w:cs="Arial" w:eastAsia="Arial" w:hAnsi="Arial"/>
          <w:sz w:val="18"/>
          <w:szCs w:val="18"/>
          <w:color w:val="auto"/>
        </w:rPr>
      </w:pPr>
    </w:p>
    <w:p>
      <w:pPr>
        <w:ind w:left="440" w:hanging="440"/>
        <w:spacing w:after="0"/>
        <w:tabs>
          <w:tab w:leader="none" w:pos="440" w:val="left"/>
        </w:tabs>
        <w:numPr>
          <w:ilvl w:val="0"/>
          <w:numId w:val="20"/>
        </w:numPr>
        <w:rPr>
          <w:rFonts w:ascii="Arial" w:cs="Arial" w:eastAsia="Arial" w:hAnsi="Arial"/>
          <w:sz w:val="20"/>
          <w:szCs w:val="20"/>
          <w:color w:val="auto"/>
        </w:rPr>
      </w:pPr>
      <w:r>
        <w:rPr>
          <w:rFonts w:ascii="Arial" w:cs="Arial" w:eastAsia="Arial" w:hAnsi="Arial"/>
          <w:sz w:val="20"/>
          <w:szCs w:val="20"/>
          <w:b w:val="1"/>
          <w:bCs w:val="1"/>
          <w:color w:val="auto"/>
        </w:rPr>
        <w:t>Effectiveness</w:t>
      </w:r>
      <w:r>
        <w:rPr>
          <w:rFonts w:ascii="Arial" w:cs="Arial" w:eastAsia="Arial" w:hAnsi="Arial"/>
          <w:sz w:val="20"/>
          <w:szCs w:val="20"/>
          <w:color w:val="auto"/>
        </w:rPr>
        <w:t>. This First Amendment will be effective as of the First Amendment Effective Date.</w:t>
      </w:r>
    </w:p>
    <w:p>
      <w:pPr>
        <w:spacing w:after="0" w:line="229" w:lineRule="exact"/>
        <w:rPr>
          <w:rFonts w:ascii="Arial" w:cs="Arial" w:eastAsia="Arial" w:hAnsi="Arial"/>
          <w:sz w:val="20"/>
          <w:szCs w:val="20"/>
          <w:color w:val="auto"/>
        </w:rPr>
      </w:pPr>
    </w:p>
    <w:p>
      <w:pPr>
        <w:ind w:left="440" w:hanging="440"/>
        <w:spacing w:after="0" w:line="267" w:lineRule="auto"/>
        <w:tabs>
          <w:tab w:leader="none" w:pos="440" w:val="left"/>
        </w:tabs>
        <w:numPr>
          <w:ilvl w:val="0"/>
          <w:numId w:val="20"/>
        </w:numPr>
        <w:rPr>
          <w:rFonts w:ascii="Arial" w:cs="Arial" w:eastAsia="Arial" w:hAnsi="Arial"/>
          <w:sz w:val="20"/>
          <w:szCs w:val="20"/>
          <w:color w:val="auto"/>
        </w:rPr>
      </w:pPr>
      <w:r>
        <w:rPr>
          <w:rFonts w:ascii="Arial" w:cs="Arial" w:eastAsia="Arial" w:hAnsi="Arial"/>
          <w:sz w:val="20"/>
          <w:szCs w:val="20"/>
          <w:b w:val="1"/>
          <w:bCs w:val="1"/>
          <w:color w:val="auto"/>
        </w:rPr>
        <w:t>Governing Law</w:t>
      </w:r>
      <w:r>
        <w:rPr>
          <w:rFonts w:ascii="Arial" w:cs="Arial" w:eastAsia="Arial" w:hAnsi="Arial"/>
          <w:sz w:val="20"/>
          <w:szCs w:val="20"/>
          <w:color w:val="auto"/>
        </w:rPr>
        <w:t>. This First Amendment will be construed in accordance with and governed by the laws of the State of New York,</w:t>
      </w:r>
      <w:r>
        <w:rPr>
          <w:rFonts w:ascii="Arial" w:cs="Arial" w:eastAsia="Arial" w:hAnsi="Arial"/>
          <w:sz w:val="20"/>
          <w:szCs w:val="20"/>
          <w:b w:val="1"/>
          <w:bCs w:val="1"/>
          <w:color w:val="auto"/>
        </w:rPr>
        <w:t xml:space="preserve"> </w:t>
      </w:r>
      <w:r>
        <w:rPr>
          <w:rFonts w:ascii="Arial" w:cs="Arial" w:eastAsia="Arial" w:hAnsi="Arial"/>
          <w:sz w:val="20"/>
          <w:szCs w:val="20"/>
          <w:color w:val="auto"/>
        </w:rPr>
        <w:t>without giving effect to the provisions, policies or principles thereof relating to choice or conflict of laws.</w:t>
      </w:r>
    </w:p>
    <w:p>
      <w:pPr>
        <w:spacing w:after="0" w:line="176" w:lineRule="exact"/>
        <w:rPr>
          <w:rFonts w:ascii="Arial" w:cs="Arial" w:eastAsia="Arial" w:hAnsi="Arial"/>
          <w:sz w:val="20"/>
          <w:szCs w:val="20"/>
          <w:color w:val="auto"/>
        </w:rPr>
      </w:pPr>
    </w:p>
    <w:p>
      <w:pPr>
        <w:jc w:val="both"/>
        <w:ind w:left="440" w:hanging="440"/>
        <w:spacing w:after="0" w:line="294"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provision of this First Amendment or the application thereof to any Person or circumstance will,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and to any extent, be invalid or unenforceable, the remainder of this First Amendment and the application of that provision to other Persons or circumstances will not be affected, but rather will be enforced to the extent permitted by Applicable Law.</w:t>
      </w:r>
    </w:p>
    <w:p>
      <w:pPr>
        <w:spacing w:after="0" w:line="157" w:lineRule="exact"/>
        <w:rPr>
          <w:rFonts w:ascii="Arial" w:cs="Arial" w:eastAsia="Arial" w:hAnsi="Arial"/>
          <w:sz w:val="18"/>
          <w:szCs w:val="18"/>
          <w:color w:val="auto"/>
        </w:rPr>
      </w:pPr>
    </w:p>
    <w:p>
      <w:pPr>
        <w:ind w:left="440" w:hanging="440"/>
        <w:spacing w:after="0" w:line="267" w:lineRule="auto"/>
        <w:tabs>
          <w:tab w:leader="none" w:pos="440" w:val="left"/>
        </w:tabs>
        <w:numPr>
          <w:ilvl w:val="0"/>
          <w:numId w:val="20"/>
        </w:numPr>
        <w:rPr>
          <w:rFonts w:ascii="Arial" w:cs="Arial" w:eastAsia="Arial" w:hAnsi="Arial"/>
          <w:sz w:val="20"/>
          <w:szCs w:val="20"/>
          <w:color w:val="auto"/>
        </w:rPr>
      </w:pPr>
      <w:r>
        <w:rPr>
          <w:rFonts w:ascii="Arial" w:cs="Arial" w:eastAsia="Arial" w:hAnsi="Arial"/>
          <w:sz w:val="20"/>
          <w:szCs w:val="20"/>
          <w:b w:val="1"/>
          <w:bCs w:val="1"/>
          <w:color w:val="auto"/>
        </w:rPr>
        <w:t>Headings</w:t>
      </w:r>
      <w:r>
        <w:rPr>
          <w:rFonts w:ascii="Arial" w:cs="Arial" w:eastAsia="Arial" w:hAnsi="Arial"/>
          <w:sz w:val="20"/>
          <w:szCs w:val="20"/>
          <w:color w:val="auto"/>
        </w:rPr>
        <w:t>. The section headings used in this First Amendment are for convenience only and will not be read or construed as</w:t>
      </w:r>
      <w:r>
        <w:rPr>
          <w:rFonts w:ascii="Arial" w:cs="Arial" w:eastAsia="Arial" w:hAnsi="Arial"/>
          <w:sz w:val="20"/>
          <w:szCs w:val="20"/>
          <w:b w:val="1"/>
          <w:bCs w:val="1"/>
          <w:color w:val="auto"/>
        </w:rPr>
        <w:t xml:space="preserve"> </w:t>
      </w:r>
      <w:r>
        <w:rPr>
          <w:rFonts w:ascii="Arial" w:cs="Arial" w:eastAsia="Arial" w:hAnsi="Arial"/>
          <w:sz w:val="20"/>
          <w:szCs w:val="20"/>
          <w:color w:val="auto"/>
        </w:rPr>
        <w:t>limiting the substance or generality of this First Amendment.</w:t>
      </w:r>
    </w:p>
    <w:p>
      <w:pPr>
        <w:spacing w:after="0" w:line="176" w:lineRule="exact"/>
        <w:rPr>
          <w:rFonts w:ascii="Arial" w:cs="Arial" w:eastAsia="Arial" w:hAnsi="Arial"/>
          <w:sz w:val="20"/>
          <w:szCs w:val="20"/>
          <w:color w:val="auto"/>
        </w:rPr>
      </w:pPr>
    </w:p>
    <w:p>
      <w:pPr>
        <w:ind w:left="440" w:right="20" w:hanging="440"/>
        <w:spacing w:after="0" w:line="267" w:lineRule="auto"/>
        <w:tabs>
          <w:tab w:leader="none" w:pos="440" w:val="left"/>
        </w:tabs>
        <w:numPr>
          <w:ilvl w:val="0"/>
          <w:numId w:val="20"/>
        </w:numPr>
        <w:rPr>
          <w:rFonts w:ascii="Arial" w:cs="Arial" w:eastAsia="Arial" w:hAnsi="Arial"/>
          <w:sz w:val="20"/>
          <w:szCs w:val="20"/>
          <w:color w:val="auto"/>
        </w:rPr>
      </w:pPr>
      <w:r>
        <w:rPr>
          <w:rFonts w:ascii="Arial" w:cs="Arial" w:eastAsia="Arial" w:hAnsi="Arial"/>
          <w:sz w:val="20"/>
          <w:szCs w:val="20"/>
          <w:b w:val="1"/>
          <w:bCs w:val="1"/>
          <w:color w:val="auto"/>
        </w:rPr>
        <w:t>Counterparts</w:t>
      </w:r>
      <w:r>
        <w:rPr>
          <w:rFonts w:ascii="Arial" w:cs="Arial" w:eastAsia="Arial" w:hAnsi="Arial"/>
          <w:sz w:val="20"/>
          <w:szCs w:val="20"/>
          <w:color w:val="auto"/>
        </w:rPr>
        <w:t>. This First Amendment may be signed in one or more counterparts, each of which will be considered an original,</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same effect as if the signatures were upon the same instrument.</w:t>
      </w:r>
    </w:p>
    <w:p>
      <w:pPr>
        <w:spacing w:after="0" w:line="176" w:lineRule="exact"/>
        <w:rPr>
          <w:rFonts w:ascii="Arial" w:cs="Arial" w:eastAsia="Arial" w:hAnsi="Arial"/>
          <w:sz w:val="20"/>
          <w:szCs w:val="20"/>
          <w:color w:val="auto"/>
        </w:rPr>
      </w:pPr>
    </w:p>
    <w:p>
      <w:pPr>
        <w:ind w:left="440" w:hanging="440"/>
        <w:spacing w:after="0" w:line="267" w:lineRule="auto"/>
        <w:tabs>
          <w:tab w:leader="none" w:pos="440" w:val="left"/>
        </w:tabs>
        <w:numPr>
          <w:ilvl w:val="0"/>
          <w:numId w:val="20"/>
        </w:numPr>
        <w:rPr>
          <w:rFonts w:ascii="Arial" w:cs="Arial" w:eastAsia="Arial" w:hAnsi="Arial"/>
          <w:sz w:val="20"/>
          <w:szCs w:val="20"/>
          <w:color w:val="auto"/>
        </w:rPr>
      </w:pPr>
      <w:r>
        <w:rPr>
          <w:rFonts w:ascii="Arial" w:cs="Arial" w:eastAsia="Arial" w:hAnsi="Arial"/>
          <w:sz w:val="20"/>
          <w:szCs w:val="20"/>
          <w:b w:val="1"/>
          <w:bCs w:val="1"/>
          <w:color w:val="auto"/>
        </w:rPr>
        <w:t>Modification</w:t>
      </w:r>
      <w:r>
        <w:rPr>
          <w:rFonts w:ascii="Arial" w:cs="Arial" w:eastAsia="Arial" w:hAnsi="Arial"/>
          <w:sz w:val="20"/>
          <w:szCs w:val="20"/>
          <w:color w:val="auto"/>
        </w:rPr>
        <w:t>. This First Amendment may be amended, modified, renewed or extended only by written instrument executed by</w:t>
      </w:r>
      <w:r>
        <w:rPr>
          <w:rFonts w:ascii="Arial" w:cs="Arial" w:eastAsia="Arial" w:hAnsi="Arial"/>
          <w:sz w:val="20"/>
          <w:szCs w:val="20"/>
          <w:b w:val="1"/>
          <w:bCs w:val="1"/>
          <w:color w:val="auto"/>
        </w:rPr>
        <w:t xml:space="preserve"> </w:t>
      </w:r>
      <w:r>
        <w:rPr>
          <w:rFonts w:ascii="Arial" w:cs="Arial" w:eastAsia="Arial" w:hAnsi="Arial"/>
          <w:sz w:val="20"/>
          <w:szCs w:val="20"/>
          <w:color w:val="auto"/>
        </w:rPr>
        <w:t>all Parties hereto.</w:t>
      </w:r>
    </w:p>
    <w:p>
      <w:pPr>
        <w:spacing w:after="0" w:line="331" w:lineRule="exact"/>
        <w:rPr>
          <w:sz w:val="20"/>
          <w:szCs w:val="20"/>
          <w:color w:val="auto"/>
        </w:rPr>
      </w:pPr>
    </w:p>
    <w:p>
      <w:pPr>
        <w:ind w:left="2940"/>
        <w:spacing w:after="0"/>
        <w:rPr>
          <w:sz w:val="20"/>
          <w:szCs w:val="20"/>
          <w:color w:val="auto"/>
        </w:rPr>
      </w:pPr>
      <w:r>
        <w:rPr>
          <w:rFonts w:ascii="Arial" w:cs="Arial" w:eastAsia="Arial" w:hAnsi="Arial"/>
          <w:sz w:val="20"/>
          <w:szCs w:val="20"/>
          <w:color w:val="auto"/>
        </w:rPr>
        <w:t>SIGNATURES APPEAR ON THE FOLLOWING PAGE</w:t>
      </w:r>
    </w:p>
    <w:p>
      <w:pPr>
        <w:spacing w:after="0" w:line="200" w:lineRule="exact"/>
        <w:rPr>
          <w:sz w:val="20"/>
          <w:szCs w:val="20"/>
          <w:color w:val="auto"/>
        </w:rPr>
      </w:pPr>
    </w:p>
    <w:p>
      <w:pPr>
        <w:spacing w:after="0" w:line="394"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340360</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52" w:right="339" w:bottom="1440" w:gutter="0" w:footer="0" w:header="0"/>
        </w:sectPr>
      </w:pPr>
    </w:p>
    <w:bookmarkStart w:id="41" w:name="page42"/>
    <w:bookmarkEnd w:id="41"/>
    <w:p>
      <w:pPr>
        <w:spacing w:after="0" w:line="260" w:lineRule="auto"/>
        <w:rPr>
          <w:sz w:val="20"/>
          <w:szCs w:val="20"/>
          <w:color w:val="auto"/>
        </w:rPr>
      </w:pPr>
      <w:r>
        <w:rPr>
          <w:rFonts w:ascii="Arial" w:cs="Arial" w:eastAsia="Arial" w:hAnsi="Arial"/>
          <w:sz w:val="20"/>
          <w:szCs w:val="20"/>
          <w:color w:val="auto"/>
        </w:rPr>
        <w:t>IN WITNESS WHEREOF, the Parties hereto have caused this First Amendment to be executed as of the First Amendment Effective Date by their respective officers thereunto duly authorized.</w:t>
      </w:r>
    </w:p>
    <w:p>
      <w:pPr>
        <w:spacing w:after="0" w:line="200" w:lineRule="exact"/>
        <w:rPr>
          <w:sz w:val="20"/>
          <w:szCs w:val="20"/>
          <w:color w:val="auto"/>
        </w:r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TAKEDA PHARMACEUTICALS U.S.A., INC.</w:t>
      </w:r>
    </w:p>
    <w:p>
      <w:pPr>
        <w:sectPr>
          <w:pgSz w:w="11900" w:h="16838" w:orient="portrait"/>
          <w:cols w:equalWidth="0" w:num="1">
            <w:col w:w="11160"/>
          </w:cols>
          <w:pgMar w:left="320" w:top="582" w:right="41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/s/ Nenad Grmusa</w:t>
      </w:r>
    </w:p>
    <w:p>
      <w:pPr>
        <w:spacing w:after="0" w:line="222" w:lineRule="exact"/>
        <w:rPr>
          <w:sz w:val="20"/>
          <w:szCs w:val="20"/>
          <w:color w:val="auto"/>
        </w:rPr>
      </w:pPr>
    </w:p>
    <w:p>
      <w:pPr>
        <w:sectPr>
          <w:pgSz w:w="11900" w:h="16838" w:orient="portrait"/>
          <w:cols w:equalWidth="0" w:num="2">
            <w:col w:w="5640" w:space="720"/>
            <w:col w:w="4800"/>
          </w:cols>
          <w:pgMar w:left="320" w:top="582" w:right="419" w:bottom="1440" w:gutter="0" w:footer="0" w:header="0"/>
          <w:type w:val="continuous"/>
        </w:sectPr>
      </w:pPr>
    </w:p>
    <w:p>
      <w:pPr>
        <w:spacing w:after="0" w:line="52"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Nenad Grmusa</w:t>
      </w:r>
    </w:p>
    <w:p>
      <w:pPr>
        <w:spacing w:after="0" w:line="234" w:lineRule="exact"/>
        <w:rPr>
          <w:sz w:val="20"/>
          <w:szCs w:val="20"/>
          <w:color w:val="auto"/>
        </w:rPr>
      </w:pPr>
    </w:p>
    <w:p>
      <w:pPr>
        <w:sectPr>
          <w:pgSz w:w="11900" w:h="16838" w:orient="portrait"/>
          <w:cols w:equalWidth="0" w:num="2">
            <w:col w:w="5960" w:space="720"/>
            <w:col w:w="4480"/>
          </w:cols>
          <w:pgMar w:left="320" w:top="582" w:right="419" w:bottom="1440" w:gutter="0" w:footer="0" w:header="0"/>
          <w:type w:val="continuous"/>
        </w:sectPr>
      </w:pPr>
    </w:p>
    <w:p>
      <w:pPr>
        <w:spacing w:after="0" w:line="41"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Head, Center for External Innovation</w:t>
      </w:r>
    </w:p>
    <w:p>
      <w:pPr>
        <w:spacing w:after="0" w:line="211" w:lineRule="exact"/>
        <w:rPr>
          <w:sz w:val="20"/>
          <w:szCs w:val="20"/>
          <w:color w:val="auto"/>
        </w:rPr>
      </w:pPr>
    </w:p>
    <w:p>
      <w:pPr>
        <w:sectPr>
          <w:pgSz w:w="11900" w:h="16838" w:orient="portrait"/>
          <w:cols w:equalWidth="0" w:num="2">
            <w:col w:w="5940" w:space="720"/>
            <w:col w:w="4500"/>
          </w:cols>
          <w:pgMar w:left="320" w:top="582"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ARROWHEAD PHARMACEUTICALS, INC.</w:t>
      </w:r>
    </w:p>
    <w:p>
      <w:pPr>
        <w:spacing w:after="0" w:line="200" w:lineRule="exact"/>
        <w:rPr>
          <w:sz w:val="20"/>
          <w:szCs w:val="20"/>
          <w:color w:val="auto"/>
        </w:rPr>
      </w:pPr>
    </w:p>
    <w:p>
      <w:pPr>
        <w:spacing w:after="0" w:line="265" w:lineRule="exact"/>
        <w:rPr>
          <w:sz w:val="20"/>
          <w:szCs w:val="20"/>
          <w:color w:val="auto"/>
        </w:rPr>
      </w:pPr>
    </w:p>
    <w:p>
      <w:pPr>
        <w:ind w:left="5200"/>
        <w:spacing w:after="0"/>
        <w:tabs>
          <w:tab w:leader="none" w:pos="6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Chris Anzalone</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 Chris Anzalone</w:t>
      </w:r>
    </w:p>
    <w:p>
      <w:pPr>
        <w:spacing w:after="0" w:line="229" w:lineRule="exact"/>
        <w:rPr>
          <w:sz w:val="20"/>
          <w:szCs w:val="20"/>
          <w:color w:val="auto"/>
        </w:rPr>
      </w:pPr>
    </w:p>
    <w:p>
      <w:pPr>
        <w:ind w:left="5200"/>
        <w:spacing w:after="0"/>
        <w:tabs>
          <w:tab w:leader="none" w:pos="9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auto"/>
        </w:rPr>
        <w:t>[Signature Page to First Amendment to Exclusive License and Co-Funding Agreement]</w:t>
      </w:r>
    </w:p>
    <w:p>
      <w:pPr>
        <w:sectPr>
          <w:pgSz w:w="11900" w:h="16838" w:orient="portrait"/>
          <w:cols w:equalWidth="0" w:num="1">
            <w:col w:w="11160"/>
          </w:cols>
          <w:pgMar w:left="320" w:top="582" w:right="41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Pharmaceuticals, Inc., certify that:</w:t>
      </w:r>
    </w:p>
    <w:p>
      <w:pPr>
        <w:spacing w:after="0" w:line="77" w:lineRule="exact"/>
        <w:rPr>
          <w:sz w:val="20"/>
          <w:szCs w:val="20"/>
          <w:color w:val="auto"/>
        </w:rPr>
      </w:pPr>
    </w:p>
    <w:p>
      <w:pPr>
        <w:ind w:left="700" w:hanging="182"/>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71"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518"/>
        <w:spacing w:after="0" w:line="263" w:lineRule="auto"/>
        <w:tabs>
          <w:tab w:leader="none" w:pos="6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520" w:right="420" w:firstLine="484"/>
        <w:spacing w:after="0" w:line="263" w:lineRule="auto"/>
        <w:tabs>
          <w:tab w:leader="none" w:pos="125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jc w:val="both"/>
        <w:ind w:left="520" w:right="160" w:firstLine="484"/>
        <w:spacing w:after="0" w:line="263" w:lineRule="auto"/>
        <w:tabs>
          <w:tab w:leader="none" w:pos="126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520" w:right="300" w:firstLine="484"/>
        <w:spacing w:after="0" w:line="334" w:lineRule="auto"/>
        <w:tabs>
          <w:tab w:leader="none" w:pos="1251"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right="260" w:firstLine="484"/>
        <w:spacing w:after="0" w:line="263" w:lineRule="auto"/>
        <w:tabs>
          <w:tab w:leader="none" w:pos="126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0" w:firstLine="518"/>
        <w:spacing w:after="0" w:line="306" w:lineRule="auto"/>
        <w:tabs>
          <w:tab w:leader="none" w:pos="69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520" w:firstLine="484"/>
        <w:spacing w:after="0" w:line="306" w:lineRule="auto"/>
        <w:tabs>
          <w:tab w:leader="none" w:pos="1241"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200" w:firstLine="484"/>
        <w:spacing w:after="0" w:line="277" w:lineRule="auto"/>
        <w:tabs>
          <w:tab w:leader="none" w:pos="12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2022</w:t>
      </w:r>
    </w:p>
    <w:p>
      <w:pPr>
        <w:spacing w:after="0" w:line="22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Christopher Anzalone</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35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Pharmaceuticals, Inc., certify that:</w:t>
      </w:r>
    </w:p>
    <w:p>
      <w:pPr>
        <w:spacing w:after="0" w:line="77" w:lineRule="exact"/>
        <w:rPr>
          <w:sz w:val="20"/>
          <w:szCs w:val="20"/>
          <w:color w:val="auto"/>
        </w:rPr>
      </w:pPr>
    </w:p>
    <w:p>
      <w:pPr>
        <w:ind w:left="700" w:hanging="182"/>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71"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518"/>
        <w:spacing w:after="0" w:line="263" w:lineRule="auto"/>
        <w:tabs>
          <w:tab w:leader="none" w:pos="69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520" w:right="420" w:firstLine="483"/>
        <w:spacing w:after="0" w:line="263" w:lineRule="auto"/>
        <w:tabs>
          <w:tab w:leader="none" w:pos="125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jc w:val="both"/>
        <w:ind w:left="520" w:right="160" w:firstLine="483"/>
        <w:spacing w:after="0" w:line="263" w:lineRule="auto"/>
        <w:tabs>
          <w:tab w:leader="none" w:pos="126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520" w:right="300" w:firstLine="483"/>
        <w:spacing w:after="0" w:line="334" w:lineRule="auto"/>
        <w:tabs>
          <w:tab w:leader="none" w:pos="1251"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right="260" w:firstLine="483"/>
        <w:spacing w:after="0" w:line="263" w:lineRule="auto"/>
        <w:tabs>
          <w:tab w:leader="none" w:pos="126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0" w:firstLine="518"/>
        <w:spacing w:after="0" w:line="306" w:lineRule="auto"/>
        <w:tabs>
          <w:tab w:leader="none" w:pos="69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520" w:firstLine="483"/>
        <w:spacing w:after="0" w:line="306" w:lineRule="auto"/>
        <w:tabs>
          <w:tab w:leader="none" w:pos="1241"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200" w:firstLine="483"/>
        <w:spacing w:after="0" w:line="277" w:lineRule="auto"/>
        <w:tabs>
          <w:tab w:leader="none" w:pos="1251"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2022</w:t>
      </w:r>
    </w:p>
    <w:p>
      <w:pPr>
        <w:spacing w:after="0" w:line="225"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Kenneth A. Myszkowski,</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35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 Christopher Anzalone, Chief Executive Officer of Arrowhead Pharmaceuticals, Inc. (the “Company”), certify, pursuant to Rule 13(a)-14(b) or Rule 15(d)-14(b) of the Securities Exchange Act of 1934 and 18 U.S.C. Section 1350, that (i) the Quarterly Report on Form 10-Q of the Company for the quarterly period ended March 31, 2022,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2022</w:t>
      </w:r>
    </w:p>
    <w:p>
      <w:pPr>
        <w:spacing w:after="0" w:line="131"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Christopher Anzalone</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Chief Executive Officer</w:t>
      </w:r>
    </w:p>
    <w:p>
      <w:pPr>
        <w:spacing w:after="0" w:line="386"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p>
      <w:pPr>
        <w:sectPr>
          <w:pgSz w:w="11900" w:h="16838" w:orient="portrait"/>
          <w:cols w:equalWidth="0" w:num="1">
            <w:col w:w="11240"/>
          </w:cols>
          <w:pgMar w:left="320" w:top="35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jc w:val="both"/>
        <w:ind w:right="60" w:firstLine="510"/>
        <w:spacing w:after="0" w:line="257" w:lineRule="auto"/>
        <w:rPr>
          <w:sz w:val="20"/>
          <w:szCs w:val="20"/>
          <w:color w:val="auto"/>
        </w:rPr>
      </w:pPr>
      <w:r>
        <w:rPr>
          <w:rFonts w:ascii="Arial" w:cs="Arial" w:eastAsia="Arial" w:hAnsi="Arial"/>
          <w:sz w:val="18"/>
          <w:szCs w:val="18"/>
          <w:color w:val="auto"/>
        </w:rPr>
        <w:t>I, Kenneth A. Myszkowski, Chief Financial Officer of Arrowhead Pharmaceuticals, Inc. (the “Company”), certify, pursuant to Rule 13(a)-14(b) or Rule 15(d)-14(b) of the Securities Exchange Act of 1934 and 18 U.S.C. Section 1350, that (i) the Quarterly Report on Form 10-Q of the Company for the quarterly period ended March 31, 2022,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2022</w:t>
      </w:r>
    </w:p>
    <w:p>
      <w:pPr>
        <w:spacing w:after="0" w:line="13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Kenneth A. Myszkowski</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Chief Financial Officer</w:t>
      </w:r>
    </w:p>
    <w:p>
      <w:pPr>
        <w:spacing w:after="0" w:line="386" w:lineRule="exact"/>
        <w:rPr>
          <w:sz w:val="20"/>
          <w:szCs w:val="20"/>
          <w:color w:val="auto"/>
        </w:rPr>
      </w:pPr>
    </w:p>
    <w:p>
      <w:pPr>
        <w:jc w:val="both"/>
        <w:ind w:right="60" w:firstLine="510"/>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Roman"/>
      <w:start w:val="1"/>
    </w:lvl>
  </w:abstractNum>
  <w:abstractNum w:abstractNumId="3">
    <w:nsid w:val="3352255A"/>
    <w:multiLevelType w:val="hybridMultilevel"/>
    <w:lvl w:ilvl="0">
      <w:lvlJc w:val="left"/>
      <w:lvlText w:val="%1)"/>
      <w:numFmt w:val="lowerRoman"/>
      <w:start w:val="7"/>
    </w:lvl>
  </w:abstractNum>
  <w:abstractNum w:abstractNumId="4">
    <w:nsid w:val="109CF92E"/>
    <w:multiLevelType w:val="hybridMultilevel"/>
    <w:lvl w:ilvl="0">
      <w:lvlJc w:val="left"/>
      <w:lvlText w:val="%1)"/>
      <w:numFmt w:val="lowerRoman"/>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lvl w:ilvl="1">
      <w:lvlJc w:val="left"/>
      <w:lvlText w:val="%2."/>
      <w:numFmt w:val="lowerLetter"/>
      <w:start w:val="1"/>
    </w:lvl>
  </w:abstractNum>
  <w:abstractNum w:abstractNumId="10">
    <w:nsid w:val="4E6AFB66"/>
    <w:multiLevelType w:val="hybridMultilevel"/>
    <w:lvl w:ilvl="0">
      <w:lvlJc w:val="left"/>
      <w:lvlText w:val="%1."/>
      <w:numFmt w:val="lowerLetter"/>
      <w:start w:val="3"/>
    </w:lvl>
    <w:lvl w:ilvl="1">
      <w:lvlJc w:val="left"/>
      <w:lvlText w:val="(%2)"/>
      <w:numFmt w:val="lowerLetter"/>
      <w:start w:val="1"/>
    </w:lvl>
  </w:abstractNum>
  <w:abstractNum w:abstractNumId="11">
    <w:nsid w:val="25E45D32"/>
    <w:multiLevelType w:val="hybridMultilevel"/>
    <w:lvl w:ilvl="0">
      <w:lvlJc w:val="left"/>
      <w:lvlText w:val="%1."/>
      <w:numFmt w:val="lowerLetter"/>
      <w:start w:val="5"/>
    </w:lvl>
  </w:abstractNum>
  <w:abstractNum w:abstractNumId="12">
    <w:nsid w:val="519B500D"/>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13">
    <w:nsid w:val="431BD7B7"/>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14">
    <w:nsid w:val="3F2DBA31"/>
    <w:multiLevelType w:val="hybridMultilevel"/>
    <w:lvl w:ilvl="0">
      <w:lvlJc w:val="left"/>
      <w:lvlText w:val="%1."/>
      <w:numFmt w:val="lowerLetter"/>
      <w:start w:val="2"/>
    </w:lvl>
    <w:lvl w:ilvl="1">
      <w:lvlJc w:val="left"/>
      <w:lvlText w:val="(%2)"/>
      <w:numFmt w:val="lowerLetter"/>
      <w:start w:val="1"/>
    </w:lvl>
    <w:lvl w:ilvl="2">
      <w:lvlJc w:val="left"/>
      <w:lvlText w:val="[***]"/>
      <w:numFmt w:val="bullet"/>
      <w:start w:val="1"/>
    </w:lvl>
  </w:abstractNum>
  <w:abstractNum w:abstractNumId="15">
    <w:nsid w:val="7C83E458"/>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16">
    <w:nsid w:val="257130A3"/>
    <w:multiLevelType w:val="hybridMultilevel"/>
    <w:lvl w:ilvl="0">
      <w:lvlJc w:val="left"/>
      <w:lvlText w:val="%1."/>
      <w:numFmt w:val="lowerLetter"/>
      <w:start w:val="4"/>
    </w:lvl>
  </w:abstractNum>
  <w:abstractNum w:abstractNumId="17">
    <w:nsid w:val="62BBD95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19">
    <w:nsid w:val="628C895D"/>
    <w:multiLevelType w:val="hybridMultilevel"/>
    <w:lvl w:ilvl="0">
      <w:lvlJc w:val="left"/>
      <w:lvlText w:val="%1."/>
      <w:numFmt w:val="decimal"/>
      <w:start w:val="6"/>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2022-05-10T15:32:38Z</dcterms:created>
  <dcterms:modified xsi:type="dcterms:W3CDTF">2022-05-10T15:32:38Z</dcterms:modified>
</cp:coreProperties>
</file>