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89"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1" w:lineRule="exact"/>
        <w:rPr>
          <w:sz w:val="24"/>
          <w:szCs w:val="24"/>
          <w:color w:val="auto"/>
        </w:rPr>
      </w:pPr>
    </w:p>
    <w:tbl>
      <w:tblPr>
        <w:tblLayout w:type="fixed"/>
        <w:tblInd w:w="2140" w:type="dxa"/>
        <w:tblCellMar>
          <w:top w:w="0" w:type="dxa"/>
          <w:left w:w="0" w:type="dxa"/>
          <w:bottom w:w="0" w:type="dxa"/>
          <w:right w:w="0" w:type="dxa"/>
        </w:tblCellMar>
      </w:tblPr>
      <w:tr>
        <w:trPr>
          <w:trHeight w:val="212"/>
        </w:trPr>
        <w:tc>
          <w:tcPr>
            <w:tcW w:w="1560" w:type="dxa"/>
            <w:vAlign w:val="bottom"/>
          </w:tcPr>
          <w:p>
            <w:pPr>
              <w:jc w:val="center"/>
              <w:ind w:right="39"/>
              <w:spacing w:after="0"/>
              <w:rPr>
                <w:sz w:val="20"/>
                <w:szCs w:val="20"/>
                <w:color w:val="auto"/>
              </w:rPr>
            </w:pPr>
            <w:r>
              <w:rPr>
                <w:rFonts w:ascii="Arial" w:cs="Arial" w:eastAsia="Arial" w:hAnsi="Arial"/>
                <w:sz w:val="18"/>
                <w:szCs w:val="18"/>
                <w:b w:val="1"/>
                <w:bCs w:val="1"/>
                <w:color w:val="auto"/>
                <w:w w:val="91"/>
              </w:rPr>
              <w:t>Delaware</w:t>
            </w:r>
          </w:p>
        </w:tc>
        <w:tc>
          <w:tcPr>
            <w:tcW w:w="602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46-0408024</w:t>
            </w:r>
          </w:p>
        </w:tc>
      </w:tr>
      <w:tr>
        <w:trPr>
          <w:trHeight w:val="186"/>
        </w:trPr>
        <w:tc>
          <w:tcPr>
            <w:tcW w:w="15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of incorporation)</w:t>
            </w:r>
          </w:p>
        </w:tc>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jc w:val="center"/>
              <w:ind w:left="58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1560" w:type="dxa"/>
            <w:vAlign w:val="bottom"/>
          </w:tcPr>
          <w:p>
            <w:pPr>
              <w:spacing w:after="0"/>
              <w:rPr>
                <w:sz w:val="24"/>
                <w:szCs w:val="24"/>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8"/>
                <w:szCs w:val="18"/>
                <w:b w:val="1"/>
                <w:bCs w:val="1"/>
                <w:color w:val="auto"/>
                <w:w w:val="89"/>
              </w:rPr>
              <w:t>225 S. Lake Avenue, Suite 1050</w:t>
            </w:r>
          </w:p>
        </w:tc>
      </w:tr>
      <w:tr>
        <w:trPr>
          <w:trHeight w:val="216"/>
        </w:trPr>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40" w:type="dxa"/>
            <w:vAlign w:val="bottom"/>
            <w:gridSpan w:val="2"/>
          </w:tcPr>
          <w:p>
            <w:pPr>
              <w:jc w:val="center"/>
              <w:ind w:right="2808"/>
              <w:spacing w:after="0"/>
              <w:rPr>
                <w:sz w:val="20"/>
                <w:szCs w:val="20"/>
                <w:color w:val="auto"/>
              </w:rPr>
            </w:pPr>
            <w:r>
              <w:rPr>
                <w:rFonts w:ascii="Arial" w:cs="Arial" w:eastAsia="Arial" w:hAnsi="Arial"/>
                <w:sz w:val="18"/>
                <w:szCs w:val="18"/>
                <w:b w:val="1"/>
                <w:bCs w:val="1"/>
                <w:color w:val="auto"/>
                <w:w w:val="90"/>
              </w:rPr>
              <w:t>Pasadena, California 91101</w:t>
            </w:r>
          </w:p>
        </w:tc>
      </w:tr>
      <w:tr>
        <w:trPr>
          <w:trHeight w:val="212"/>
        </w:trPr>
        <w:tc>
          <w:tcPr>
            <w:tcW w:w="1560" w:type="dxa"/>
            <w:vAlign w:val="bottom"/>
          </w:tcPr>
          <w:p>
            <w:pPr>
              <w:spacing w:after="0"/>
              <w:rPr>
                <w:sz w:val="18"/>
                <w:szCs w:val="18"/>
                <w:color w:val="auto"/>
              </w:rPr>
            </w:pPr>
          </w:p>
        </w:tc>
        <w:tc>
          <w:tcPr>
            <w:tcW w:w="3160" w:type="dxa"/>
            <w:vAlign w:val="bottom"/>
            <w:gridSpan w:val="2"/>
          </w:tcPr>
          <w:p>
            <w:pPr>
              <w:jc w:val="center"/>
              <w:ind w:left="794"/>
              <w:spacing w:after="0"/>
              <w:rPr>
                <w:sz w:val="20"/>
                <w:szCs w:val="20"/>
                <w:color w:val="auto"/>
              </w:rPr>
            </w:pPr>
            <w:r>
              <w:rPr>
                <w:rFonts w:ascii="Arial" w:cs="Arial" w:eastAsia="Arial" w:hAnsi="Arial"/>
                <w:sz w:val="18"/>
                <w:szCs w:val="18"/>
                <w:b w:val="1"/>
                <w:bCs w:val="1"/>
                <w:color w:val="auto"/>
                <w:w w:val="90"/>
              </w:rPr>
              <w:t>(626) 304-3400</w:t>
            </w:r>
          </w:p>
        </w:tc>
        <w:tc>
          <w:tcPr>
            <w:tcW w:w="2860" w:type="dxa"/>
            <w:vAlign w:val="bottom"/>
          </w:tcPr>
          <w:p>
            <w:pPr>
              <w:spacing w:after="0"/>
              <w:rPr>
                <w:sz w:val="18"/>
                <w:szCs w:val="18"/>
                <w:color w:val="auto"/>
              </w:rPr>
            </w:pPr>
          </w:p>
        </w:tc>
      </w:tr>
      <w:tr>
        <w:trPr>
          <w:trHeight w:val="186"/>
        </w:trPr>
        <w:tc>
          <w:tcPr>
            <w:tcW w:w="1560" w:type="dxa"/>
            <w:vAlign w:val="bottom"/>
          </w:tcPr>
          <w:p>
            <w:pPr>
              <w:spacing w:after="0"/>
              <w:rPr>
                <w:sz w:val="16"/>
                <w:szCs w:val="16"/>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4"/>
                <w:szCs w:val="14"/>
                <w:b w:val="1"/>
                <w:bCs w:val="1"/>
                <w:color w:val="auto"/>
                <w:w w:val="91"/>
              </w:rPr>
              <w:t>(Address and telephone number of principal executive offices)</w:t>
            </w:r>
          </w:p>
        </w:tc>
      </w:tr>
      <w:tr>
        <w:trPr>
          <w:trHeight w:val="147"/>
        </w:trPr>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r>
    </w:tbl>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68" w:right="29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700" w:space="720"/>
            <w:col w:w="4920" w:space="720"/>
            <w:col w:w="2380" w:space="720"/>
            <w:col w:w="200"/>
          </w:cols>
          <w:pgMar w:left="240" w:top="368"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700" w:space="720"/>
            <w:col w:w="160" w:space="80"/>
            <w:col w:w="4680" w:space="720"/>
            <w:col w:w="2380" w:space="720"/>
            <w:col w:w="200"/>
          </w:cols>
          <w:pgMar w:left="240" w:top="368" w:right="29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00"/>
          </w:cols>
          <w:pgMar w:left="240" w:top="368" w:right="29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July 31, 2015 was 59,500,862.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0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80" w:type="dxa"/>
            <w:vAlign w:val="bottom"/>
            <w:gridSpan w:val="10"/>
            <w:vMerge w:val="restart"/>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9"/>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Operations</w:t>
              </w:r>
            </w:hyperlink>
          </w:p>
        </w:tc>
        <w:tc>
          <w:tcPr>
            <w:tcW w:w="7660" w:type="dxa"/>
            <w:vAlign w:val="bottom"/>
            <w:gridSpan w:val="9"/>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w:t>
              </w:r>
            </w:hyperlink>
          </w:p>
        </w:tc>
        <w:tc>
          <w:tcPr>
            <w:tcW w:w="734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7"/>
                <w:szCs w:val="17"/>
                <w:color w:val="0000EE"/>
                <w:w w:val="97"/>
              </w:rPr>
            </w:pPr>
            <w:hyperlink w:anchor="page20">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7"/>
          </w:tcPr>
          <w:p>
            <w:pPr>
              <w:spacing w:after="0"/>
              <w:rPr>
                <w:rFonts w:ascii="Arial" w:cs="Arial" w:eastAsia="Arial" w:hAnsi="Arial"/>
                <w:sz w:val="17"/>
                <w:szCs w:val="17"/>
                <w:color w:val="0000EE"/>
                <w:w w:val="98"/>
              </w:rPr>
            </w:pPr>
            <w:hyperlink w:anchor="page29">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6"/>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1">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60" w:type="dxa"/>
            <w:vAlign w:val="bottom"/>
          </w:tcPr>
          <w:p>
            <w:pPr>
              <w:jc w:val="center"/>
              <w:ind w:left="3082"/>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6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6860" w:type="dxa"/>
            <w:vAlign w:val="bottom"/>
          </w:tcPr>
          <w:p>
            <w:pPr>
              <w:jc w:val="center"/>
              <w:ind w:left="3102"/>
              <w:spacing w:after="0"/>
              <w:rPr>
                <w:sz w:val="20"/>
                <w:szCs w:val="20"/>
                <w:color w:val="auto"/>
              </w:rPr>
            </w:pPr>
            <w:r>
              <w:rPr>
                <w:rFonts w:ascii="Arial" w:cs="Arial" w:eastAsia="Arial" w:hAnsi="Arial"/>
                <w:sz w:val="18"/>
                <w:szCs w:val="18"/>
                <w:b w:val="1"/>
                <w:bCs w:val="1"/>
                <w:color w:val="auto"/>
                <w:w w:val="91"/>
              </w:rPr>
              <w:t>Arrowhead Research Corporation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6860" w:type="dxa"/>
            <w:vAlign w:val="bottom"/>
          </w:tcPr>
          <w:p>
            <w:pPr>
              <w:jc w:val="center"/>
              <w:ind w:left="3102"/>
              <w:spacing w:after="0"/>
              <w:rPr>
                <w:sz w:val="20"/>
                <w:szCs w:val="20"/>
                <w:color w:val="auto"/>
              </w:rPr>
            </w:pPr>
            <w:r>
              <w:rPr>
                <w:rFonts w:ascii="Arial" w:cs="Arial" w:eastAsia="Arial" w:hAnsi="Arial"/>
                <w:sz w:val="18"/>
                <w:szCs w:val="18"/>
                <w:b w:val="1"/>
                <w:bCs w:val="1"/>
                <w:color w:val="auto"/>
                <w:w w:val="87"/>
              </w:rPr>
              <w:t>Consolidated Balance Sheets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6"/>
        </w:trPr>
        <w:tc>
          <w:tcPr>
            <w:tcW w:w="7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September 30, 2014</w:t>
            </w: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860" w:type="dxa"/>
            <w:vAlign w:val="bottom"/>
            <w:tcBorders>
              <w:top w:val="single" w:sz="8" w:color="CFF0FC"/>
            </w:tcBorders>
            <w:shd w:val="clear" w:color="auto" w:fill="CFF0FC"/>
          </w:tcPr>
          <w:p>
            <w:pPr>
              <w:ind w:left="2960"/>
              <w:spacing w:after="0" w:line="155" w:lineRule="exact"/>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87,252,813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132,510,610</w:t>
            </w:r>
          </w:p>
        </w:tc>
        <w:tc>
          <w:tcPr>
            <w:tcW w:w="120" w:type="dxa"/>
            <w:vAlign w:val="bottom"/>
            <w:shd w:val="clear" w:color="auto" w:fill="CFF0FC"/>
          </w:tcPr>
          <w:p>
            <w:pPr>
              <w:spacing w:after="0"/>
              <w:rPr>
                <w:sz w:val="14"/>
                <w:szCs w:val="14"/>
                <w:color w:val="auto"/>
              </w:rPr>
            </w:pPr>
          </w:p>
        </w:tc>
      </w:tr>
      <w:tr>
        <w:trPr>
          <w:trHeight w:val="162"/>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Prepaid expenses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3,499,324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588,626</w:t>
            </w:r>
          </w:p>
        </w:tc>
        <w:tc>
          <w:tcPr>
            <w:tcW w:w="120" w:type="dxa"/>
            <w:vAlign w:val="bottom"/>
          </w:tcPr>
          <w:p>
            <w:pPr>
              <w:spacing w:after="0"/>
              <w:rPr>
                <w:sz w:val="14"/>
                <w:szCs w:val="14"/>
                <w:color w:val="auto"/>
              </w:rPr>
            </w:pPr>
          </w:p>
        </w:tc>
      </w:tr>
      <w:tr>
        <w:trPr>
          <w:trHeight w:val="162"/>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assets</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654,924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48,502</w:t>
            </w:r>
          </w:p>
        </w:tc>
        <w:tc>
          <w:tcPr>
            <w:tcW w:w="120" w:type="dxa"/>
            <w:vAlign w:val="bottom"/>
            <w:shd w:val="clear" w:color="auto" w:fill="CFF0FC"/>
          </w:tcPr>
          <w:p>
            <w:pPr>
              <w:spacing w:after="0"/>
              <w:rPr>
                <w:sz w:val="14"/>
                <w:szCs w:val="14"/>
                <w:color w:val="auto"/>
              </w:rPr>
            </w:pPr>
          </w:p>
        </w:tc>
      </w:tr>
      <w:tr>
        <w:trPr>
          <w:trHeight w:val="176"/>
        </w:trPr>
        <w:tc>
          <w:tcPr>
            <w:tcW w:w="756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Short term investments</w:t>
            </w:r>
          </w:p>
        </w:tc>
        <w:tc>
          <w:tcPr>
            <w:tcW w:w="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23,280,640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21,653,032</w:t>
            </w:r>
          </w:p>
        </w:tc>
        <w:tc>
          <w:tcPr>
            <w:tcW w:w="12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6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114,687,701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154,800,770</w:t>
            </w:r>
          </w:p>
        </w:tc>
        <w:tc>
          <w:tcPr>
            <w:tcW w:w="120" w:type="dxa"/>
            <w:vAlign w:val="bottom"/>
            <w:shd w:val="clear" w:color="auto" w:fill="CFF0FC"/>
          </w:tcPr>
          <w:p>
            <w:pPr>
              <w:spacing w:after="0"/>
              <w:rPr>
                <w:sz w:val="14"/>
                <w:szCs w:val="14"/>
                <w:color w:val="auto"/>
              </w:rPr>
            </w:pPr>
          </w:p>
        </w:tc>
      </w:tr>
      <w:tr>
        <w:trPr>
          <w:trHeight w:val="176"/>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4,108,667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3,872,753</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25,262,886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1,013,473</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1,085,282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23,088,346</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3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45,789</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41,414</w:t>
            </w:r>
          </w:p>
        </w:tc>
        <w:tc>
          <w:tcPr>
            <w:tcW w:w="120" w:type="dxa"/>
            <w:vAlign w:val="bottom"/>
            <w:shd w:val="clear" w:color="auto" w:fill="CFF0FC"/>
          </w:tcPr>
          <w:p>
            <w:pPr>
              <w:spacing w:after="0"/>
              <w:rPr>
                <w:sz w:val="15"/>
                <w:szCs w:val="15"/>
                <w:color w:val="auto"/>
              </w:rPr>
            </w:pPr>
          </w:p>
        </w:tc>
      </w:tr>
      <w:tr>
        <w:trPr>
          <w:trHeight w:val="209"/>
        </w:trPr>
        <w:tc>
          <w:tcPr>
            <w:tcW w:w="70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Arial" w:cs="Arial" w:eastAsia="Arial" w:hAnsi="Arial"/>
                <w:sz w:val="14"/>
                <w:szCs w:val="14"/>
                <w:b w:val="1"/>
                <w:bCs w:val="1"/>
                <w:color w:val="auto"/>
              </w:rPr>
              <w:t>TOTAL ASSETS</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145,190,325</w:t>
            </w:r>
          </w:p>
        </w:tc>
        <w:tc>
          <w:tcPr>
            <w:tcW w:w="22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182,816,756</w:t>
            </w:r>
          </w:p>
        </w:tc>
        <w:tc>
          <w:tcPr>
            <w:tcW w:w="120" w:type="dxa"/>
            <w:vAlign w:val="bottom"/>
          </w:tcPr>
          <w:p>
            <w:pPr>
              <w:spacing w:after="0"/>
              <w:rPr>
                <w:sz w:val="18"/>
                <w:szCs w:val="18"/>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860" w:type="dxa"/>
            <w:vAlign w:val="bottom"/>
            <w:tcBorders>
              <w:top w:val="single" w:sz="8" w:color="CFF0FC"/>
            </w:tcBorders>
            <w:shd w:val="clear" w:color="auto" w:fill="CFF0FC"/>
          </w:tcPr>
          <w:p>
            <w:pPr>
              <w:ind w:left="166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76"/>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4,862,263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2,579,478</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1,726,449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1,399,486</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payroll and benefits</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884,373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3,268,506</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71,875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103,125</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Derivative liabilities</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1,724,468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4,173,943</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Capital lease obligation</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216,653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213,991</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Notes payable</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58,495</w:t>
            </w:r>
          </w:p>
        </w:tc>
        <w:tc>
          <w:tcPr>
            <w:tcW w:w="12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6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9,532,488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11,847,024</w:t>
            </w:r>
          </w:p>
        </w:tc>
        <w:tc>
          <w:tcPr>
            <w:tcW w:w="120" w:type="dxa"/>
            <w:vAlign w:val="bottom"/>
            <w:shd w:val="clear" w:color="auto" w:fill="CFF0FC"/>
          </w:tcPr>
          <w:p>
            <w:pPr>
              <w:spacing w:after="0"/>
              <w:rPr>
                <w:sz w:val="14"/>
                <w:szCs w:val="14"/>
                <w:color w:val="auto"/>
              </w:rPr>
            </w:pPr>
          </w:p>
        </w:tc>
      </w:tr>
      <w:tr>
        <w:trPr>
          <w:trHeight w:val="176"/>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LONG-TERM LIABILITIES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Capital lease obligation, net of current portion</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595,516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758,340</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Contingent consideration obligations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3,970,931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3,970,931</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non-current liabilities</w:t>
            </w:r>
          </w:p>
        </w:tc>
        <w:tc>
          <w:tcPr>
            <w:tcW w:w="3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346,996</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255,206</w:t>
            </w:r>
          </w:p>
        </w:tc>
        <w:tc>
          <w:tcPr>
            <w:tcW w:w="120" w:type="dxa"/>
            <w:vAlign w:val="bottom"/>
            <w:shd w:val="clear" w:color="auto" w:fill="CFF0FC"/>
          </w:tcPr>
          <w:p>
            <w:pPr>
              <w:spacing w:after="0"/>
              <w:rPr>
                <w:sz w:val="15"/>
                <w:szCs w:val="15"/>
                <w:color w:val="auto"/>
              </w:rPr>
            </w:pPr>
          </w:p>
        </w:tc>
      </w:tr>
      <w:tr>
        <w:trPr>
          <w:trHeight w:val="169"/>
        </w:trPr>
        <w:tc>
          <w:tcPr>
            <w:tcW w:w="700" w:type="dxa"/>
            <w:vAlign w:val="bottom"/>
          </w:tcPr>
          <w:p>
            <w:pPr>
              <w:spacing w:after="0"/>
              <w:rPr>
                <w:sz w:val="14"/>
                <w:szCs w:val="14"/>
                <w:color w:val="auto"/>
              </w:rPr>
            </w:pPr>
          </w:p>
        </w:tc>
        <w:tc>
          <w:tcPr>
            <w:tcW w:w="686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4,913,443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4,984,477</w:t>
            </w:r>
          </w:p>
        </w:tc>
        <w:tc>
          <w:tcPr>
            <w:tcW w:w="120" w:type="dxa"/>
            <w:vAlign w:val="bottom"/>
          </w:tcPr>
          <w:p>
            <w:pPr>
              <w:spacing w:after="0"/>
              <w:rPr>
                <w:sz w:val="14"/>
                <w:szCs w:val="14"/>
                <w:color w:val="auto"/>
              </w:rPr>
            </w:pPr>
          </w:p>
        </w:tc>
      </w:tr>
      <w:tr>
        <w:trPr>
          <w:trHeight w:val="176"/>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Commitments and contingencies</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Arrowhead Research Corporation stockholders' equity:</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43"/>
        </w:trPr>
        <w:tc>
          <w:tcPr>
            <w:tcW w:w="756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Preferred stock, $0.001 par value; 5,000,000 shares authorized; 15,652 and 18,300 shares issued and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560" w:type="dxa"/>
            <w:vAlign w:val="bottom"/>
            <w:gridSpan w:val="2"/>
          </w:tcPr>
          <w:p>
            <w:pPr>
              <w:ind w:left="600"/>
              <w:spacing w:after="0"/>
              <w:rPr>
                <w:sz w:val="20"/>
                <w:szCs w:val="20"/>
                <w:color w:val="auto"/>
              </w:rPr>
            </w:pPr>
            <w:r>
              <w:rPr>
                <w:rFonts w:ascii="Arial" w:cs="Arial" w:eastAsia="Arial" w:hAnsi="Arial"/>
                <w:sz w:val="14"/>
                <w:szCs w:val="14"/>
                <w:color w:val="auto"/>
              </w:rPr>
              <w:t>outstanding as of June 30, 2015 and September 30, 2014, respectively</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r>
      <w:tr>
        <w:trPr>
          <w:trHeight w:val="143"/>
        </w:trPr>
        <w:tc>
          <w:tcPr>
            <w:tcW w:w="756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59,498,362 and 54,656,936 shares</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756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issued and outstanding as of June 30, 2015 and September 30, 2014, respectively</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151,868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147,026</w:t>
            </w:r>
          </w:p>
        </w:tc>
        <w:tc>
          <w:tcPr>
            <w:tcW w:w="120" w:type="dxa"/>
            <w:vAlign w:val="bottom"/>
            <w:shd w:val="clear" w:color="auto" w:fill="CFF0FC"/>
          </w:tcPr>
          <w:p>
            <w:pPr>
              <w:spacing w:after="0"/>
              <w:rPr>
                <w:sz w:val="14"/>
                <w:szCs w:val="14"/>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423,182,550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391,164,558</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(65,947)</w:t>
            </w: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(291,968,905)</w:t>
            </w:r>
          </w:p>
        </w:tc>
        <w:tc>
          <w:tcPr>
            <w:tcW w:w="120" w:type="dxa"/>
            <w:vAlign w:val="bottom"/>
          </w:tcPr>
          <w:p>
            <w:pPr>
              <w:spacing w:after="0"/>
              <w:rPr>
                <w:sz w:val="15"/>
                <w:szCs w:val="15"/>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(224,771,159)</w:t>
            </w:r>
          </w:p>
        </w:tc>
      </w:tr>
      <w:tr>
        <w:trPr>
          <w:trHeight w:val="169"/>
        </w:trPr>
        <w:tc>
          <w:tcPr>
            <w:tcW w:w="756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4"/>
                <w:szCs w:val="14"/>
                <w:color w:val="auto"/>
              </w:rPr>
              <w:t>Total Arrowhead Research Corporation stockholders' equity</w:t>
            </w:r>
          </w:p>
        </w:tc>
        <w:tc>
          <w:tcPr>
            <w:tcW w:w="30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131,299,582</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166,540,443</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7560" w:type="dxa"/>
            <w:vAlign w:val="bottom"/>
            <w:gridSpan w:val="2"/>
          </w:tcPr>
          <w:p>
            <w:pPr>
              <w:ind w:left="260"/>
              <w:spacing w:after="0"/>
              <w:rPr>
                <w:sz w:val="20"/>
                <w:szCs w:val="20"/>
                <w:color w:val="auto"/>
              </w:rPr>
            </w:pPr>
            <w:r>
              <w:rPr>
                <w:rFonts w:ascii="Arial" w:cs="Arial" w:eastAsia="Arial" w:hAnsi="Arial"/>
                <w:sz w:val="14"/>
                <w:szCs w:val="14"/>
                <w:color w:val="auto"/>
              </w:rPr>
              <w:t>Noncontrolling interest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(555,188)</w:t>
            </w:r>
          </w:p>
        </w:tc>
        <w:tc>
          <w:tcPr>
            <w:tcW w:w="120" w:type="dxa"/>
            <w:vAlign w:val="bottom"/>
          </w:tcPr>
          <w:p>
            <w:pPr>
              <w:spacing w:after="0"/>
              <w:rPr>
                <w:sz w:val="15"/>
                <w:szCs w:val="15"/>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(555,188)</w:t>
            </w: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68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130,744,394</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165,985,255</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700" w:type="dxa"/>
            <w:vAlign w:val="bottom"/>
          </w:tcPr>
          <w:p>
            <w:pPr>
              <w:spacing w:after="0"/>
              <w:rPr>
                <w:sz w:val="14"/>
                <w:szCs w:val="14"/>
                <w:color w:val="auto"/>
              </w:rPr>
            </w:pPr>
          </w:p>
        </w:tc>
        <w:tc>
          <w:tcPr>
            <w:tcW w:w="6860" w:type="dxa"/>
            <w:vAlign w:val="bottom"/>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145,190,325</w:t>
            </w:r>
          </w:p>
        </w:tc>
        <w:tc>
          <w:tcPr>
            <w:tcW w:w="2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182,816,756</w:t>
            </w:r>
          </w:p>
        </w:tc>
        <w:tc>
          <w:tcPr>
            <w:tcW w:w="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Three Months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Three Months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Nine Months</w:t>
            </w:r>
          </w:p>
        </w:tc>
        <w:tc>
          <w:tcPr>
            <w:tcW w:w="14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Nine Months</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14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9"/>
        </w:trPr>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2014</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2015</w:t>
            </w:r>
          </w:p>
        </w:tc>
        <w:tc>
          <w:tcPr>
            <w:tcW w:w="14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2014</w:t>
            </w:r>
          </w:p>
        </w:tc>
        <w:tc>
          <w:tcPr>
            <w:tcW w:w="0" w:type="dxa"/>
            <w:vAlign w:val="bottom"/>
          </w:tcPr>
          <w:p>
            <w:pPr>
              <w:spacing w:after="0"/>
              <w:rPr>
                <w:sz w:val="1"/>
                <w:szCs w:val="1"/>
                <w:color w:val="auto"/>
              </w:rPr>
            </w:pPr>
          </w:p>
        </w:tc>
      </w:tr>
      <w:tr>
        <w:trPr>
          <w:trHeight w:val="226"/>
        </w:trPr>
        <w:tc>
          <w:tcPr>
            <w:tcW w:w="54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123,750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43,750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338,250</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131,250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7,490,400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6,392,200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36,877,925</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14,719,739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10,142,786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Salaries and payroll-related costs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3,570,531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2,454,449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10,262,799</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7,634,142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1,829,393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1,582,465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5,612,219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3,865,845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2,486,074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2,038,682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6,706,009</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3,758,264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276,054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1,480,656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1,075,238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16,117,456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12,743,850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71,082,394</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31,053,228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(15,993,706)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(12,700,100)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(70,744,144)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(30,921,978)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Equity in income (loss) of unconsolidated affiliates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78,702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(69,350)</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Gain (loss) on sale of fixed assets, net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19,195</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(58,878)</w:t>
            </w: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162,366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226,424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597,896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value of derivatives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(104,713)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758,469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2,446,403</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(5,712,335)</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482,904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57,653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1,073,649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3,546,398</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(5,372,902)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(15,936,053)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(11,626,451)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(67,197,746)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(36,294,880)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(15,936,053)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(11,626,451)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(67,197,746)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(36,294,880)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(2,468)</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LOSS ATTRIBUTABLE TO ARROWHEAD</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(15,936,053</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(11,628,919</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(67,197,746</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(36,199,748</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ATTRIBUTABLE TO ARROWHEAD</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SHAREHOLDERS - BASIC &amp; DILUTED:</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Weighted average shares outstanding - basic and diluted</w:t>
            </w: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59,492,867</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51,931,989</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56,631,297</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44,565,008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(65,947)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COMPREHENSIVE LOSS ATTRIBUTABLE TO</w:t>
            </w: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vMerge w:val="continue"/>
            <w:shd w:val="clear" w:color="auto" w:fill="CFF0FC"/>
          </w:tcPr>
          <w:p>
            <w:pPr>
              <w:spacing w:after="0"/>
              <w:rPr>
                <w:sz w:val="18"/>
                <w:szCs w:val="18"/>
                <w:color w:val="auto"/>
              </w:rPr>
            </w:pPr>
          </w:p>
        </w:tc>
        <w:tc>
          <w:tcPr>
            <w:tcW w:w="10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(15,938,035)</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(11,628,919)</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(67,263,693)</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(36,199,748)</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ARROWHEAD</w:t>
            </w:r>
          </w:p>
        </w:tc>
        <w:tc>
          <w:tcPr>
            <w:tcW w:w="100" w:type="dxa"/>
            <w:vAlign w:val="bottom"/>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180" w:type="dxa"/>
            <w:vAlign w:val="bottom"/>
            <w:gridSpan w:val="2"/>
            <w:vMerge w:val="continue"/>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140" w:type="dxa"/>
            <w:vAlign w:val="bottom"/>
            <w:vMerge w:val="continue"/>
            <w:shd w:val="clear" w:color="auto" w:fill="CFF0FC"/>
          </w:tcPr>
          <w:p>
            <w:pPr>
              <w:spacing w:after="0"/>
              <w:rPr>
                <w:sz w:val="20"/>
                <w:szCs w:val="20"/>
                <w:color w:val="auto"/>
              </w:rPr>
            </w:pPr>
          </w:p>
        </w:tc>
        <w:tc>
          <w:tcPr>
            <w:tcW w:w="1360" w:type="dxa"/>
            <w:vAlign w:val="bottom"/>
            <w:tcBorders>
              <w:right w:val="single" w:sz="8" w:color="CFF0FC"/>
            </w:tcBorders>
            <w:gridSpan w:val="2"/>
            <w:vMerge w:val="continue"/>
            <w:shd w:val="clear" w:color="auto" w:fill="CFF0FC"/>
          </w:tcPr>
          <w:p>
            <w:pPr>
              <w:spacing w:after="0"/>
              <w:rPr>
                <w:sz w:val="20"/>
                <w:szCs w:val="20"/>
                <w:color w:val="auto"/>
              </w:rPr>
            </w:pPr>
          </w:p>
        </w:tc>
        <w:tc>
          <w:tcPr>
            <w:tcW w:w="140" w:type="dxa"/>
            <w:vAlign w:val="bottom"/>
            <w:vMerge w:val="continue"/>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54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right"/>
              <w:ind w:right="220"/>
              <w:spacing w:after="0" w:line="133"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10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800" w:type="dxa"/>
            <w:vAlign w:val="bottom"/>
            <w:gridSpan w:val="2"/>
          </w:tcPr>
          <w:p>
            <w:pPr>
              <w:jc w:val="center"/>
              <w:ind w:right="168"/>
              <w:spacing w:after="0" w:line="133"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10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8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2013</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9,900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w:t>
            </w: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32,489,444</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124,859</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$ 193,514,766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8"/>
              </w:rPr>
              <w:t>$ (166,140,969)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(1,763,877)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25,734,789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2,911,919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2,911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10,145,133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10,148,044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454,863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2,729,545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5,696,173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5,696,173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issued @ $5.86</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3,071,672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3,072</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14,057,040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14,060,112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Common stock issued @ $18.95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6,325,000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6,325</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112,575,234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112,581,559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Preferred stock issued @ $1,000 per</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share</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45,999,954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Common stock issued to Galloway</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131,579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499,868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Settlements related to derivative</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liability</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5,956,079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5,956,079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Preferred stock converted to common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stock</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(37,600)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(38)</w:t>
            </w:r>
          </w:p>
        </w:tc>
        <w:tc>
          <w:tcPr>
            <w:tcW w:w="780" w:type="dxa"/>
            <w:vAlign w:val="bottom"/>
          </w:tcPr>
          <w:p>
            <w:pPr>
              <w:jc w:val="right"/>
              <w:spacing w:after="0"/>
              <w:rPr>
                <w:sz w:val="20"/>
                <w:szCs w:val="20"/>
                <w:color w:val="auto"/>
              </w:rPr>
            </w:pPr>
            <w:r>
              <w:rPr>
                <w:rFonts w:ascii="Arial" w:cs="Arial" w:eastAsia="Arial" w:hAnsi="Arial"/>
                <w:sz w:val="14"/>
                <w:szCs w:val="14"/>
                <w:color w:val="auto"/>
              </w:rPr>
              <w:t>9,272,459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9,272</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(9,234)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Deconsolidation of Calando</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Pharmaceuticals, Inc.</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1,303,911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1,303,911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September 30, 2014</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4"/>
                <w:szCs w:val="14"/>
                <w:color w:val="auto"/>
              </w:rPr>
              <w:t>(58,630,190)</w:t>
            </w:r>
          </w:p>
        </w:tc>
        <w:tc>
          <w:tcPr>
            <w:tcW w:w="100" w:type="dxa"/>
            <w:vAlign w:val="bottom"/>
          </w:tcPr>
          <w:p>
            <w:pPr>
              <w:spacing w:after="0"/>
              <w:rPr>
                <w:sz w:val="14"/>
                <w:szCs w:val="14"/>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(95,222)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(58,725,412)</w:t>
            </w:r>
          </w:p>
        </w:tc>
        <w:tc>
          <w:tcPr>
            <w:tcW w:w="0" w:type="dxa"/>
            <w:vAlign w:val="bottom"/>
          </w:tcPr>
          <w:p>
            <w:pPr>
              <w:spacing w:after="0"/>
              <w:rPr>
                <w:sz w:val="1"/>
                <w:szCs w:val="1"/>
                <w:color w:val="auto"/>
              </w:rPr>
            </w:pPr>
          </w:p>
        </w:tc>
      </w:tr>
      <w:tr>
        <w:trPr>
          <w:trHeight w:val="156"/>
        </w:trPr>
        <w:tc>
          <w:tcPr>
            <w:tcW w:w="25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2014</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18,300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w:t>
            </w: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54,656,936</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147,026</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$ 391,164,558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8"/>
              </w:rPr>
              <w:t>$ (224,771,159)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165,985,255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53,578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270,571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270,625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43,108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6,706,009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6,706,009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exchange rights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Preferred stock converted to common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stock</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780" w:type="dxa"/>
            <w:vAlign w:val="bottom"/>
          </w:tcPr>
          <w:p>
            <w:pPr>
              <w:jc w:val="right"/>
              <w:spacing w:after="0"/>
              <w:rPr>
                <w:sz w:val="20"/>
                <w:szCs w:val="20"/>
                <w:color w:val="auto"/>
              </w:rPr>
            </w:pPr>
            <w:r>
              <w:rPr>
                <w:rFonts w:ascii="Arial" w:cs="Arial" w:eastAsia="Arial" w:hAnsi="Arial"/>
                <w:sz w:val="14"/>
                <w:szCs w:val="14"/>
                <w:color w:val="auto"/>
              </w:rPr>
              <w:t>1,316,215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1,316</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stock-RSU 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127,500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to Novartis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 $7.53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3,321,383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3,321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24,996,679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Foreign currency translation</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adjustments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(65,947)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(65,947)</w:t>
            </w: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Net loss for the nine months ended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June 30, 2015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4"/>
                <w:szCs w:val="14"/>
                <w:color w:val="auto"/>
              </w:rPr>
              <w:t>(67,197,746)</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(67,197,746)</w:t>
            </w:r>
          </w:p>
        </w:tc>
        <w:tc>
          <w:tcPr>
            <w:tcW w:w="0" w:type="dxa"/>
            <w:vAlign w:val="bottom"/>
          </w:tcPr>
          <w:p>
            <w:pPr>
              <w:spacing w:after="0"/>
              <w:rPr>
                <w:sz w:val="1"/>
                <w:szCs w:val="1"/>
                <w:color w:val="auto"/>
              </w:rPr>
            </w:pPr>
          </w:p>
        </w:tc>
      </w:tr>
      <w:tr>
        <w:trPr>
          <w:trHeight w:val="156"/>
        </w:trPr>
        <w:tc>
          <w:tcPr>
            <w:tcW w:w="25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2015</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59,498,362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151,868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$ 423,182,550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(65,947)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(291,968,905</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130,744,394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Nine months ended</w:t>
            </w:r>
          </w:p>
        </w:tc>
        <w:tc>
          <w:tcPr>
            <w:tcW w:w="14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16"/>
                <w:szCs w:val="16"/>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56"/>
        </w:trPr>
        <w:tc>
          <w:tcPr>
            <w:tcW w:w="612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17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Net loss</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(67,197,746)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(36,294,880)</w:t>
            </w: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 attributable to non-controlling interests</w:t>
            </w:r>
          </w:p>
        </w:tc>
        <w:tc>
          <w:tcPr>
            <w:tcW w:w="17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95,132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tcPr>
          <w:p>
            <w:pPr>
              <w:ind w:left="380"/>
              <w:spacing w:after="0" w:line="155" w:lineRule="exact"/>
              <w:rPr>
                <w:sz w:val="20"/>
                <w:szCs w:val="20"/>
                <w:color w:val="auto"/>
              </w:rPr>
            </w:pPr>
            <w:r>
              <w:rPr>
                <w:rFonts w:ascii="Arial" w:cs="Arial" w:eastAsia="Arial" w:hAnsi="Arial"/>
                <w:sz w:val="14"/>
                <w:szCs w:val="14"/>
                <w:color w:val="auto"/>
              </w:rPr>
              <w:t>Net loss attributable to Arrowhead</w:t>
            </w: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4"/>
                <w:szCs w:val="14"/>
                <w:color w:val="auto"/>
              </w:rPr>
              <w:t>(67,197,746)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4"/>
                <w:szCs w:val="14"/>
                <w:color w:val="auto"/>
              </w:rPr>
              <w:t>(36,199,748)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loss on disposal of fixed assets</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Change in value of derivatives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(2,446,403)</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5,712,335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Acquired in-process research and development</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10,142,786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6,706,009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3,758,264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1,480,656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1,075,238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Amortization of note premiums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945,114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416,291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gain in equity investment</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(87,197)</w:t>
            </w:r>
          </w:p>
        </w:tc>
        <w:tc>
          <w:tcPr>
            <w:tcW w:w="0" w:type="dxa"/>
            <w:vAlign w:val="bottom"/>
          </w:tcPr>
          <w:p>
            <w:pPr>
              <w:spacing w:after="0"/>
              <w:rPr>
                <w:sz w:val="1"/>
                <w:szCs w:val="1"/>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Non-controlling interest</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(95,132)</w:t>
            </w: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620"/>
              <w:spacing w:after="0"/>
              <w:rPr>
                <w:sz w:val="20"/>
                <w:szCs w:val="20"/>
                <w:color w:val="auto"/>
              </w:rPr>
            </w:pPr>
            <w:r>
              <w:rPr>
                <w:rFonts w:ascii="Arial" w:cs="Arial" w:eastAsia="Arial" w:hAnsi="Arial"/>
                <w:sz w:val="14"/>
                <w:szCs w:val="14"/>
                <w:color w:val="auto"/>
              </w:rPr>
              <w:t>Receivables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 receivables</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(620,395)</w:t>
            </w: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(517,986)</w:t>
            </w:r>
          </w:p>
        </w:tc>
        <w:tc>
          <w:tcPr>
            <w:tcW w:w="0" w:type="dxa"/>
            <w:vAlign w:val="bottom"/>
          </w:tcPr>
          <w:p>
            <w:pPr>
              <w:spacing w:after="0"/>
              <w:rPr>
                <w:sz w:val="1"/>
                <w:szCs w:val="1"/>
                <w:color w:val="auto"/>
              </w:rPr>
            </w:pPr>
          </w:p>
        </w:tc>
      </w:tr>
      <w:tr>
        <w:trPr>
          <w:trHeight w:val="162"/>
        </w:trPr>
        <w:tc>
          <w:tcPr>
            <w:tcW w:w="6120" w:type="dxa"/>
            <w:vAlign w:val="bottom"/>
          </w:tcPr>
          <w:p>
            <w:pPr>
              <w:ind w:left="620"/>
              <w:spacing w:after="0"/>
              <w:rPr>
                <w:sz w:val="20"/>
                <w:szCs w:val="20"/>
                <w:color w:val="auto"/>
              </w:rPr>
            </w:pPr>
            <w:r>
              <w:rPr>
                <w:rFonts w:ascii="Arial" w:cs="Arial" w:eastAsia="Arial" w:hAnsi="Arial"/>
                <w:sz w:val="14"/>
                <w:szCs w:val="14"/>
                <w:color w:val="auto"/>
              </w:rPr>
              <w:t>Other current assets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(2,902,368)</w:t>
            </w:r>
          </w:p>
        </w:tc>
        <w:tc>
          <w:tcPr>
            <w:tcW w:w="14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(138,650)</w:t>
            </w: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2,328,360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(2,155,033)</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459,691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31,639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(4,480)</w:t>
            </w:r>
          </w:p>
        </w:tc>
        <w:tc>
          <w:tcPr>
            <w:tcW w:w="0" w:type="dxa"/>
            <w:vAlign w:val="bottom"/>
          </w:tcPr>
          <w:p>
            <w:pPr>
              <w:spacing w:after="0"/>
              <w:rPr>
                <w:sz w:val="1"/>
                <w:szCs w:val="1"/>
                <w:color w:val="auto"/>
              </w:rPr>
            </w:pPr>
          </w:p>
        </w:tc>
      </w:tr>
      <w:tr>
        <w:trPr>
          <w:trHeight w:val="156"/>
        </w:trPr>
        <w:tc>
          <w:tcPr>
            <w:tcW w:w="6120" w:type="dxa"/>
            <w:vAlign w:val="bottom"/>
          </w:tcPr>
          <w:p>
            <w:pPr>
              <w:ind w:left="380"/>
              <w:spacing w:after="0" w:line="155" w:lineRule="exact"/>
              <w:rPr>
                <w:sz w:val="20"/>
                <w:szCs w:val="20"/>
                <w:color w:val="auto"/>
              </w:rPr>
            </w:pPr>
            <w:r>
              <w:rPr>
                <w:rFonts w:ascii="Arial" w:cs="Arial" w:eastAsia="Arial" w:hAnsi="Arial"/>
                <w:sz w:val="14"/>
                <w:szCs w:val="14"/>
                <w:color w:val="auto"/>
              </w:rPr>
              <w:t>NET CASH USED IN OPERATING ACTIVITIES</w:t>
            </w:r>
          </w:p>
        </w:tc>
        <w:tc>
          <w:tcPr>
            <w:tcW w:w="1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(53,687,381)</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(24,496,567)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Cash paid for acquisitions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(10,000,000)</w:t>
            </w: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(1,135,651)</w:t>
            </w: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(1,251,987)</w:t>
            </w:r>
          </w:p>
        </w:tc>
        <w:tc>
          <w:tcPr>
            <w:tcW w:w="0" w:type="dxa"/>
            <w:vAlign w:val="bottom"/>
          </w:tcPr>
          <w:p>
            <w:pPr>
              <w:spacing w:after="0"/>
              <w:rPr>
                <w:sz w:val="1"/>
                <w:szCs w:val="1"/>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Proceeds from sale of fixed assets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 of marketable securities</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(46,365,528)</w:t>
            </w:r>
          </w:p>
        </w:tc>
        <w:tc>
          <w:tcPr>
            <w:tcW w:w="0" w:type="dxa"/>
            <w:vAlign w:val="bottom"/>
          </w:tcPr>
          <w:p>
            <w:pPr>
              <w:spacing w:after="0"/>
              <w:rPr>
                <w:sz w:val="1"/>
                <w:szCs w:val="1"/>
                <w:color w:val="auto"/>
              </w:rPr>
            </w:pPr>
          </w:p>
        </w:tc>
      </w:tr>
      <w:tr>
        <w:trPr>
          <w:trHeight w:val="162"/>
        </w:trPr>
        <w:tc>
          <w:tcPr>
            <w:tcW w:w="61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7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19,411,146</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6,590,824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8,275,995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(41,026,691)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140"/>
              <w:spacing w:after="0"/>
              <w:rPr>
                <w:sz w:val="20"/>
                <w:szCs w:val="20"/>
                <w:color w:val="auto"/>
              </w:rPr>
            </w:pPr>
            <w:r>
              <w:rPr>
                <w:rFonts w:ascii="Arial" w:cs="Arial" w:eastAsia="Arial" w:hAnsi="Arial"/>
                <w:sz w:val="14"/>
                <w:szCs w:val="14"/>
                <w:color w:val="auto"/>
              </w:rPr>
              <w:t>CASH FLOWS FROM FINANCING ACTIVITIES: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capital leases and notes payable</w:t>
            </w:r>
          </w:p>
        </w:tc>
        <w:tc>
          <w:tcPr>
            <w:tcW w:w="1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(160,162)</w:t>
            </w: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(257,178)</w:t>
            </w:r>
          </w:p>
        </w:tc>
        <w:tc>
          <w:tcPr>
            <w:tcW w:w="0" w:type="dxa"/>
            <w:vAlign w:val="bottom"/>
          </w:tcPr>
          <w:p>
            <w:pPr>
              <w:spacing w:after="0"/>
              <w:rPr>
                <w:sz w:val="1"/>
                <w:szCs w:val="1"/>
                <w:color w:val="auto"/>
              </w:rPr>
            </w:pPr>
          </w:p>
        </w:tc>
      </w:tr>
      <w:tr>
        <w:trPr>
          <w:trHeight w:val="162"/>
        </w:trPr>
        <w:tc>
          <w:tcPr>
            <w:tcW w:w="6120" w:type="dxa"/>
            <w:vAlign w:val="bottom"/>
          </w:tcPr>
          <w:p>
            <w:pPr>
              <w:ind w:left="380"/>
              <w:spacing w:after="0"/>
              <w:rPr>
                <w:sz w:val="20"/>
                <w:szCs w:val="20"/>
                <w:color w:val="auto"/>
              </w:rPr>
            </w:pPr>
            <w:r>
              <w:rPr>
                <w:rFonts w:ascii="Arial" w:cs="Arial" w:eastAsia="Arial" w:hAnsi="Arial"/>
                <w:sz w:val="14"/>
                <w:szCs w:val="14"/>
                <w:color w:val="auto"/>
              </w:rPr>
              <w:t>Proceeds from issuance of common stock and preferred stock, net</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172,641,720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 of warrants and stock options</w:t>
            </w:r>
          </w:p>
        </w:tc>
        <w:tc>
          <w:tcPr>
            <w:tcW w:w="17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313,751</w:t>
            </w: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12,374,005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7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153,589</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184,758,547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shd w:val="clear" w:color="auto" w:fill="CFF0FC"/>
          </w:tcPr>
          <w:p>
            <w:pPr>
              <w:ind w:left="880"/>
              <w:spacing w:after="0" w:line="155" w:lineRule="exact"/>
              <w:rPr>
                <w:sz w:val="20"/>
                <w:szCs w:val="20"/>
                <w:color w:val="auto"/>
              </w:rPr>
            </w:pPr>
            <w:r>
              <w:rPr>
                <w:rFonts w:ascii="Arial" w:cs="Arial" w:eastAsia="Arial" w:hAnsi="Arial"/>
                <w:sz w:val="14"/>
                <w:szCs w:val="14"/>
                <w:color w:val="auto"/>
              </w:rPr>
              <w:t>NET INCREASE (DECREASE) IN CASH</w:t>
            </w:r>
          </w:p>
        </w:tc>
        <w:tc>
          <w:tcPr>
            <w:tcW w:w="1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(45,257,797)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119,235,289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CASH AT BEGINNING OF PERIOD</w:t>
            </w:r>
          </w:p>
        </w:tc>
        <w:tc>
          <w:tcPr>
            <w:tcW w:w="17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132,510,610</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19,114,444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17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87,252,813</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138,349,733</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140"/>
              <w:spacing w:after="0"/>
              <w:rPr>
                <w:sz w:val="20"/>
                <w:szCs w:val="20"/>
                <w:color w:val="auto"/>
              </w:rPr>
            </w:pPr>
            <w:r>
              <w:rPr>
                <w:rFonts w:ascii="Arial" w:cs="Arial" w:eastAsia="Arial" w:hAnsi="Arial"/>
                <w:sz w:val="14"/>
                <w:szCs w:val="14"/>
                <w:color w:val="auto"/>
              </w:rPr>
              <w:t>Supplementary disclosures:</w:t>
            </w: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paid</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120" w:type="dxa"/>
            <w:vAlign w:val="bottom"/>
          </w:tcPr>
          <w:p>
            <w:pPr>
              <w:ind w:left="380"/>
              <w:spacing w:after="0"/>
              <w:rPr>
                <w:sz w:val="20"/>
                <w:szCs w:val="20"/>
                <w:color w:val="auto"/>
              </w:rPr>
            </w:pPr>
            <w:r>
              <w:rPr>
                <w:rFonts w:ascii="Arial" w:cs="Arial" w:eastAsia="Arial" w:hAnsi="Arial"/>
                <w:sz w:val="14"/>
                <w:szCs w:val="14"/>
                <w:color w:val="auto"/>
              </w:rPr>
              <w:t>Common stock issued to Novartis for asset acquisition</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25,000,000</w:t>
            </w:r>
          </w:p>
        </w:tc>
        <w:tc>
          <w:tcPr>
            <w:tcW w:w="220" w:type="dxa"/>
            <w:vAlign w:val="bottom"/>
          </w:tcPr>
          <w:p>
            <w:pPr>
              <w:spacing w:after="0"/>
              <w:rPr>
                <w:sz w:val="15"/>
                <w:szCs w:val="15"/>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Arrowhead Australia Pty Ltd (“Arrowhead Australia”) and Ablaris Therapeutics, Inc. (“Ablaris”), (4) the term “Common Stock” refers to Arrowhead’s Common Stock, (5) the term “Preferred Stock” refers to Arrowhead’s Preferred Stock and the term “Stockholder(s)” refers to the holders of Arrowhead Common Stock.</w:t>
      </w:r>
    </w:p>
    <w:p>
      <w:pPr>
        <w:spacing w:after="0" w:line="317"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ind w:right="480" w:firstLine="518"/>
        <w:spacing w:after="0" w:line="255" w:lineRule="auto"/>
        <w:rPr>
          <w:sz w:val="20"/>
          <w:szCs w:val="20"/>
          <w:color w:val="auto"/>
        </w:rPr>
      </w:pPr>
      <w:r>
        <w:rPr>
          <w:rFonts w:ascii="Arial" w:cs="Arial" w:eastAsia="Arial" w:hAnsi="Arial"/>
          <w:sz w:val="18"/>
          <w:szCs w:val="18"/>
          <w:color w:val="auto"/>
        </w:rPr>
        <w:t>Arrowhead Research Corporation develops novel drugs to treat intractable diseases by silencing the genes that cause them. Using the broadest portfolio of RNA chemistries and efficient modes of delivery, Arrowhead therapies trigger the RNA interference mechanism to induce rapid, deep and durable knockdown of target genes. Arrowhead’s most advanced drug candidate in clinical development is ARC-520, which is designed to treat chronic hepatitis B infection by inhibiting the production of all HBV gene products. The goal is to reverse the immune suppression that prevents the body from controlling the virus and clearing the disease. Arrowhead’s second clinical candidate is ARC-AAT, a treatment for a rare liver disease associated with a genetic disorder that causes alpha-1 antitrypsin deficiency.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8"/>
          <w:szCs w:val="18"/>
          <w:color w:val="auto"/>
        </w:rPr>
        <w:t>Historically, the Company’s primary source of financing has been through the sale of its securities. Research and development activities have required significant capital investment since the Company’s inception. We expect our operations to continue to require cash investment to pursue our research and development goals, including clinical trials and related drug manufacturing. Based upon the Company’s current cash resources and operating plan, the Company expects to have sufficient liquidity to fund operations for at least the next twelve months.</w:t>
      </w:r>
    </w:p>
    <w:p>
      <w:pPr>
        <w:spacing w:after="0" w:line="176"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At June 30, 2015, the Company had $87.3 million in cash to fund operations. In addition to its cash resources, the Company has invested excess cash in investment grade commercial bonds maturing in less than 24 months. These bonds provide a source of liquidity, though the Company plans to hold them until maturity. At June 30, 2015, the Company had invested $24.4 million in bonds. During the nine months ended June 30, 2015, the Company’s cash position decreased by $45.3 million which was primarily the result of cash outflows related to operating activities of $53.7 million, cash paid for the acquisition of certain RNAi assets from Novartis Institutes for Biomedical Research Inc. of $10.0 million (see footnote 2) and capital expenditures of $1.1 million, partially offset by maturities of fixed income investments totaling $19.4 million and proceeds from the exercise of warrants and options of $0.3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w:t>
      </w:r>
    </w:p>
    <w:p>
      <w:pPr>
        <w:spacing w:after="0" w:line="193"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June 30, 2015 and September 30, 2014.</w:t>
      </w:r>
    </w:p>
    <w:p>
      <w:pPr>
        <w:spacing w:after="0" w:line="170" w:lineRule="exact"/>
        <w:rPr>
          <w:sz w:val="20"/>
          <w:szCs w:val="20"/>
          <w:color w:val="auto"/>
        </w:rPr>
      </w:pPr>
    </w:p>
    <w:p>
      <w:pPr>
        <w:ind w:right="50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for its operations at two financial institutions.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28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At June 30, 2015, the Company classified all of its investments as held-to-maturity.</w:t>
      </w:r>
    </w:p>
    <w:p>
      <w:pPr>
        <w:spacing w:after="0" w:line="170"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Intangible Assets Subject to Amortization—At June 30, 2015, 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In-Process Research &amp; Development (IPR&amp;D)—IPR&amp;D assets represent capitalized on-going research projects that were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are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Contingent Consideration - The consideration for the Company’s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the Company’s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right="200" w:firstLine="518"/>
        <w:spacing w:after="0" w:line="257" w:lineRule="auto"/>
        <w:rPr>
          <w:sz w:val="20"/>
          <w:szCs w:val="20"/>
          <w:color w:val="auto"/>
        </w:rPr>
      </w:pPr>
      <w:r>
        <w:rPr>
          <w:rFonts w:ascii="Arial" w:cs="Arial" w:eastAsia="Arial" w:hAnsi="Arial"/>
          <w:sz w:val="18"/>
          <w:szCs w:val="18"/>
          <w:color w:val="auto"/>
        </w:rPr>
        <w:t>Revenue Recognition—Revenue from license fees are recorded when persuasive evidence of an arrangement exists, title has passed or services have been rendered, a price is fixed and determinable, and collection is reasonably assured. The Company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Payments under collaborative research and development agreements are recognized as revenue ratably over the relevant periods specified in the agreement, generally the period during which research and development is conducted.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and nine months ended June 30, 2015 and 2014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The Company uses historical data and other information to estimate the expected price volatility and the expected forfeiture rate. For performance-based stock awards, the value of the awards is measured at the grant date. Expense is recognized over the vesting period, commencing at the time the Company determines the achievement of such performance conditions is probable. This determination requires significant judgment by management.</w:t>
      </w:r>
    </w:p>
    <w:p>
      <w:pPr>
        <w:spacing w:after="0" w:line="178"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ACQUISITIONS</w:t>
      </w:r>
    </w:p>
    <w:p>
      <w:pPr>
        <w:spacing w:after="0" w:line="121"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On March 3, 2015, the Company entered into an Asset Purchase and Exclusive License Agreement (the “RNAi Purchase Agreement”) with Novartis Institutes for BioMedical Research, Inc., a Delaware corporation (“Novartis”), pursuant to which the Company acquired Novartis’ RNAi assets and rights thereunder. Pursuant to the RNAi Purchase Agreement, the Company acquired or licensed certain patents and patent applications owned or controlled by Novartis related to RNAi therapeutics, assignment of a third-party license, rights to three pre-clinical RNAi candidates, and other related assets (collectively, the “Purchased Assets”). The acquisition of the Purchased Assets closed on March 3, 2015, concurrent with execution of the RNAi Purchase Agreement (the “Closing”).</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consideration for the Purchased Assets, the Company made certain payments to Novartis, including: (a) an initial payment of $10,000,000 in cash of which $7,000,000 was paid during the Company’s first fiscal quarter of 2015 to secure an exclusivity period whereby the Company was able to exclusively examine the Novartis RNAi assets prior to finalizing the purchase, and the remaining $3,000,000 was paid in April 2015, and 3,321,383 shares of the Company’s common stock (the “Shares”) which were issued during the Company’s second fiscal quarter; (b) escalating royalties in the single digits based upon annual net sales thresholds for certain RNAi products sold by the Company; and (c) milestone payments tied to the achievement of certain development and sales milestones for each target being developed by the Company.</w:t>
      </w:r>
    </w:p>
    <w:p>
      <w:pPr>
        <w:spacing w:after="0" w:line="19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 xml:space="preserve">Pursuant to the RNAi Purchase Agreement, prior to initiation of a phase 2 </w:t>
      </w:r>
      <w:r>
        <w:rPr>
          <w:rFonts w:ascii="Arial" w:cs="Arial" w:eastAsia="Arial" w:hAnsi="Arial"/>
          <w:sz w:val="17"/>
          <w:szCs w:val="17"/>
          <w:i w:val="1"/>
          <w:iCs w:val="1"/>
          <w:color w:val="auto"/>
        </w:rPr>
        <w:t>Clinical Trial</w:t>
      </w:r>
      <w:r>
        <w:rPr>
          <w:rFonts w:ascii="Arial" w:cs="Arial" w:eastAsia="Arial" w:hAnsi="Arial"/>
          <w:sz w:val="17"/>
          <w:szCs w:val="17"/>
          <w:color w:val="auto"/>
        </w:rPr>
        <w:t xml:space="preserve"> for a given </w:t>
      </w:r>
      <w:r>
        <w:rPr>
          <w:rFonts w:ascii="Arial" w:cs="Arial" w:eastAsia="Arial" w:hAnsi="Arial"/>
          <w:sz w:val="17"/>
          <w:szCs w:val="17"/>
          <w:i w:val="1"/>
          <w:iCs w:val="1"/>
          <w:color w:val="auto"/>
        </w:rPr>
        <w:t>RNAi</w:t>
      </w:r>
      <w:r>
        <w:rPr>
          <w:rFonts w:ascii="Arial" w:cs="Arial" w:eastAsia="Arial" w:hAnsi="Arial"/>
          <w:sz w:val="17"/>
          <w:szCs w:val="17"/>
          <w:color w:val="auto"/>
        </w:rPr>
        <w:t xml:space="preserve"> Product or </w:t>
      </w:r>
      <w:r>
        <w:rPr>
          <w:rFonts w:ascii="Arial" w:cs="Arial" w:eastAsia="Arial" w:hAnsi="Arial"/>
          <w:sz w:val="17"/>
          <w:szCs w:val="17"/>
          <w:i w:val="1"/>
          <w:iCs w:val="1"/>
          <w:color w:val="auto"/>
        </w:rPr>
        <w:t>Arrowhead RNAi Product</w:t>
      </w:r>
      <w:r>
        <w:rPr>
          <w:rFonts w:ascii="Arial" w:cs="Arial" w:eastAsia="Arial" w:hAnsi="Arial"/>
          <w:sz w:val="17"/>
          <w:szCs w:val="17"/>
          <w:color w:val="auto"/>
        </w:rPr>
        <w:t xml:space="preserve"> directed to an </w:t>
      </w:r>
      <w:r>
        <w:rPr>
          <w:rFonts w:ascii="Arial" w:cs="Arial" w:eastAsia="Arial" w:hAnsi="Arial"/>
          <w:sz w:val="17"/>
          <w:szCs w:val="17"/>
          <w:i w:val="1"/>
          <w:iCs w:val="1"/>
          <w:color w:val="auto"/>
        </w:rPr>
        <w:t>Initial Target</w:t>
      </w:r>
      <w:r>
        <w:rPr>
          <w:rFonts w:ascii="Arial" w:cs="Arial" w:eastAsia="Arial" w:hAnsi="Arial"/>
          <w:sz w:val="17"/>
          <w:szCs w:val="17"/>
          <w:color w:val="auto"/>
        </w:rPr>
        <w:t xml:space="preserve">, Novartis has an exclusive right to negotiate a license under any </w:t>
      </w:r>
      <w:r>
        <w:rPr>
          <w:rFonts w:ascii="Arial" w:cs="Arial" w:eastAsia="Arial" w:hAnsi="Arial"/>
          <w:sz w:val="17"/>
          <w:szCs w:val="17"/>
          <w:i w:val="1"/>
          <w:iCs w:val="1"/>
          <w:color w:val="auto"/>
        </w:rPr>
        <w:t>Intellectual Property Rights</w:t>
      </w:r>
      <w:r>
        <w:rPr>
          <w:rFonts w:ascii="Arial" w:cs="Arial" w:eastAsia="Arial" w:hAnsi="Arial"/>
          <w:sz w:val="17"/>
          <w:szCs w:val="17"/>
          <w:color w:val="auto"/>
        </w:rPr>
        <w:t xml:space="preserve"> owned or exclusively licensed to the Company to make, sell or otherwise commercially exploit such </w:t>
      </w:r>
      <w:r>
        <w:rPr>
          <w:rFonts w:ascii="Arial" w:cs="Arial" w:eastAsia="Arial" w:hAnsi="Arial"/>
          <w:sz w:val="17"/>
          <w:szCs w:val="17"/>
          <w:i w:val="1"/>
          <w:iCs w:val="1"/>
          <w:color w:val="auto"/>
        </w:rPr>
        <w:t>RNAi Product</w:t>
      </w:r>
      <w:r>
        <w:rPr>
          <w:rFonts w:ascii="Arial" w:cs="Arial" w:eastAsia="Arial" w:hAnsi="Arial"/>
          <w:sz w:val="17"/>
          <w:szCs w:val="17"/>
          <w:color w:val="auto"/>
        </w:rPr>
        <w:t xml:space="preserve"> or </w:t>
      </w:r>
      <w:r>
        <w:rPr>
          <w:rFonts w:ascii="Arial" w:cs="Arial" w:eastAsia="Arial" w:hAnsi="Arial"/>
          <w:sz w:val="17"/>
          <w:szCs w:val="17"/>
          <w:i w:val="1"/>
          <w:iCs w:val="1"/>
          <w:color w:val="auto"/>
        </w:rPr>
        <w:t>Arrowhead RNAi Product</w:t>
      </w:r>
      <w:r>
        <w:rPr>
          <w:rFonts w:ascii="Arial" w:cs="Arial" w:eastAsia="Arial" w:hAnsi="Arial"/>
          <w:sz w:val="17"/>
          <w:szCs w:val="17"/>
          <w:color w:val="auto"/>
        </w:rPr>
        <w:t xml:space="preserve"> (as such italicized terms are defined in the RNAi Purchase Agreement). After initiation of a phase 2 </w:t>
      </w:r>
      <w:r>
        <w:rPr>
          <w:rFonts w:ascii="Arial" w:cs="Arial" w:eastAsia="Arial" w:hAnsi="Arial"/>
          <w:sz w:val="17"/>
          <w:szCs w:val="17"/>
          <w:i w:val="1"/>
          <w:iCs w:val="1"/>
          <w:color w:val="auto"/>
        </w:rPr>
        <w:t>Clinical Trial</w:t>
      </w:r>
      <w:r>
        <w:rPr>
          <w:rFonts w:ascii="Arial" w:cs="Arial" w:eastAsia="Arial" w:hAnsi="Arial"/>
          <w:sz w:val="17"/>
          <w:szCs w:val="17"/>
          <w:color w:val="auto"/>
        </w:rPr>
        <w:t xml:space="preserve"> for a given </w:t>
      </w:r>
      <w:r>
        <w:rPr>
          <w:rFonts w:ascii="Arial" w:cs="Arial" w:eastAsia="Arial" w:hAnsi="Arial"/>
          <w:sz w:val="17"/>
          <w:szCs w:val="17"/>
          <w:i w:val="1"/>
          <w:iCs w:val="1"/>
          <w:color w:val="auto"/>
        </w:rPr>
        <w:t>Arrowhead RNAi Product</w:t>
      </w:r>
      <w:r>
        <w:rPr>
          <w:rFonts w:ascii="Arial" w:cs="Arial" w:eastAsia="Arial" w:hAnsi="Arial"/>
          <w:sz w:val="17"/>
          <w:szCs w:val="17"/>
          <w:color w:val="auto"/>
        </w:rPr>
        <w:t xml:space="preserve"> (“ROFN Candidate”), Novartis shall have a right of first negotiation on the ROFN Candidate developed by the Company and its affiliates relating to the purchased assets. If the Company proposes to out-license, or enters into substantive negotiations to out-license, any ROFN Candidate, the Company must give notice of the ROFN Candidate it proposes to out-license and negotiate exclusively and in good faith with Novartis for a period of time regarding the applicable out-license.</w:t>
      </w:r>
    </w:p>
    <w:p>
      <w:pPr>
        <w:spacing w:after="0" w:line="17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In addition to the consideration paid by the Company at the closing of the Transaction, the Company is obligated to make certain royalty and milestone payments to Novartis upon the occurrence of certain events. For sales of any </w:t>
      </w:r>
      <w:r>
        <w:rPr>
          <w:rFonts w:ascii="Arial" w:cs="Arial" w:eastAsia="Arial" w:hAnsi="Arial"/>
          <w:sz w:val="17"/>
          <w:szCs w:val="17"/>
          <w:i w:val="1"/>
          <w:iCs w:val="1"/>
          <w:color w:val="auto"/>
        </w:rPr>
        <w:t>RNAi Products</w:t>
      </w:r>
      <w:r>
        <w:rPr>
          <w:rFonts w:ascii="Arial" w:cs="Arial" w:eastAsia="Arial" w:hAnsi="Arial"/>
          <w:sz w:val="17"/>
          <w:szCs w:val="17"/>
          <w:color w:val="auto"/>
        </w:rPr>
        <w:t xml:space="preserve"> for which Novartis and the Company do not enter into a licensing arrangement, the Company will be obligated to pay royalty rates ranging in the low to mid-single digits on </w:t>
      </w:r>
      <w:r>
        <w:rPr>
          <w:rFonts w:ascii="Arial" w:cs="Arial" w:eastAsia="Arial" w:hAnsi="Arial"/>
          <w:sz w:val="17"/>
          <w:szCs w:val="17"/>
          <w:i w:val="1"/>
          <w:iCs w:val="1"/>
          <w:color w:val="auto"/>
        </w:rPr>
        <w:t>Net Sales</w:t>
      </w:r>
      <w:r>
        <w:rPr>
          <w:rFonts w:ascii="Arial" w:cs="Arial" w:eastAsia="Arial" w:hAnsi="Arial"/>
          <w:sz w:val="17"/>
          <w:szCs w:val="17"/>
          <w:color w:val="auto"/>
        </w:rPr>
        <w:t xml:space="preserve"> depending upon the type of </w:t>
      </w:r>
      <w:r>
        <w:rPr>
          <w:rFonts w:ascii="Arial" w:cs="Arial" w:eastAsia="Arial" w:hAnsi="Arial"/>
          <w:sz w:val="17"/>
          <w:szCs w:val="17"/>
          <w:i w:val="1"/>
          <w:iCs w:val="1"/>
          <w:color w:val="auto"/>
        </w:rPr>
        <w:t>RNAi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 </w:t>
      </w:r>
      <w:r>
        <w:rPr>
          <w:rFonts w:ascii="Arial" w:cs="Arial" w:eastAsia="Arial" w:hAnsi="Arial"/>
          <w:sz w:val="17"/>
          <w:szCs w:val="17"/>
          <w:color w:val="auto"/>
        </w:rPr>
        <w:t>provided that the royalty rate may be reduced or offset in certain circumstances. The obligation to pay royalties on such candidates will last until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later of (i) the expiration of the last to </w:t>
      </w:r>
      <w:r>
        <w:rPr>
          <w:rFonts w:ascii="Arial" w:cs="Arial" w:eastAsia="Arial" w:hAnsi="Arial"/>
          <w:sz w:val="17"/>
          <w:szCs w:val="17"/>
          <w:i w:val="1"/>
          <w:iCs w:val="1"/>
          <w:color w:val="auto"/>
        </w:rPr>
        <w:t>Valid Claim Covering</w:t>
      </w:r>
      <w:r>
        <w:rPr>
          <w:rFonts w:ascii="Arial" w:cs="Arial" w:eastAsia="Arial" w:hAnsi="Arial"/>
          <w:sz w:val="17"/>
          <w:szCs w:val="17"/>
          <w:color w:val="auto"/>
        </w:rPr>
        <w:t xml:space="preserve"> such </w:t>
      </w:r>
      <w:r>
        <w:rPr>
          <w:rFonts w:ascii="Arial" w:cs="Arial" w:eastAsia="Arial" w:hAnsi="Arial"/>
          <w:sz w:val="17"/>
          <w:szCs w:val="17"/>
          <w:i w:val="1"/>
          <w:iCs w:val="1"/>
          <w:color w:val="auto"/>
        </w:rPr>
        <w:t>RNAi Product</w:t>
      </w:r>
      <w:r>
        <w:rPr>
          <w:rFonts w:ascii="Arial" w:cs="Arial" w:eastAsia="Arial" w:hAnsi="Arial"/>
          <w:sz w:val="17"/>
          <w:szCs w:val="17"/>
          <w:color w:val="auto"/>
        </w:rPr>
        <w:t xml:space="preserve"> in such country and (ii) 11 years after the first commercial sale of such </w:t>
      </w:r>
      <w:r>
        <w:rPr>
          <w:rFonts w:ascii="Arial" w:cs="Arial" w:eastAsia="Arial" w:hAnsi="Arial"/>
          <w:sz w:val="17"/>
          <w:szCs w:val="17"/>
          <w:i w:val="1"/>
          <w:iCs w:val="1"/>
          <w:color w:val="auto"/>
        </w:rPr>
        <w:t>RNAi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 </w:t>
      </w:r>
      <w:r>
        <w:rPr>
          <w:rFonts w:ascii="Arial" w:cs="Arial" w:eastAsia="Arial" w:hAnsi="Arial"/>
          <w:sz w:val="17"/>
          <w:szCs w:val="17"/>
          <w:color w:val="auto"/>
        </w:rPr>
        <w:t>(as such italicized terms are defined in the RNAi Purchase Agreement).</w:t>
      </w:r>
    </w:p>
    <w:p>
      <w:pPr>
        <w:spacing w:after="0" w:line="17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 xml:space="preserve">The Company will also be obligated to make cash payments to Novartis upon the achievement of various milestones for any </w:t>
      </w:r>
      <w:r>
        <w:rPr>
          <w:rFonts w:ascii="Arial" w:cs="Arial" w:eastAsia="Arial" w:hAnsi="Arial"/>
          <w:sz w:val="16"/>
          <w:szCs w:val="16"/>
          <w:i w:val="1"/>
          <w:iCs w:val="1"/>
          <w:color w:val="auto"/>
        </w:rPr>
        <w:t>RNAi Products</w:t>
      </w:r>
      <w:r>
        <w:rPr>
          <w:rFonts w:ascii="Arial" w:cs="Arial" w:eastAsia="Arial" w:hAnsi="Arial"/>
          <w:sz w:val="16"/>
          <w:szCs w:val="16"/>
          <w:color w:val="auto"/>
        </w:rPr>
        <w:t xml:space="preserve"> for which Novartis and the Company do not enter into a licensing arrangement. These milestones include the initiation of a phase 2 and 3 clinical trials, US and other regulatory approvals, and annual sales milestones. These milestone payments could amount to the mid to upper double digit millions of dollars.</w:t>
      </w:r>
    </w:p>
    <w:p>
      <w:pPr>
        <w:spacing w:after="0" w:line="14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w w:val="98"/>
              </w:rPr>
              <w:t>The following table summarizes the estimated fair values of the assets acquired at the date of acquisition: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patents</w:t>
            </w:r>
          </w:p>
        </w:tc>
        <w:tc>
          <w:tcPr>
            <w:tcW w:w="60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21,728,334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Intangible assets – license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 - Pre-Clinical Candidates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10,142,786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The purchase consideration was composed of the following:</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0" w:type="dxa"/>
            <w:vAlign w:val="bottom"/>
            <w:vMerge w:val="restart"/>
          </w:tcPr>
          <w:p>
            <w:pPr>
              <w:spacing w:after="0"/>
              <w:rPr>
                <w:sz w:val="22"/>
                <w:szCs w:val="22"/>
                <w:color w:val="auto"/>
              </w:rPr>
            </w:pPr>
          </w:p>
        </w:tc>
        <w:tc>
          <w:tcPr>
            <w:tcW w:w="7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60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Issued</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20" w:type="dxa"/>
            <w:vAlign w:val="bottom"/>
            <w:gridSpan w:val="2"/>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The Company accounted for this transaction as an acquisition of RNAi assets, including patents, a third-party license and in process research and development for the pre-clinical candidates. The allocation of the purchase price to each asset was determined by estimating the relative fair value of each asset acquired and applying that to the total cost of the acquisition for the Company. The Company capitalized the patents and license acquired as Intangible Assets as they require no future development and will have alternative future uses as the Company expands its RNAi capabilities (see footnote 5 for additional discussion of the useful lives and amortization of these Intangible Assets). The Company expensed the portion of the purchase consideration allocated to the pre-clinical candidates as they will require future development in order to be commercialized. This expense is recorded in the “Acquired in-process research and development” line item of the Consolidated Statements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major classes of property and equipment:</w:t>
      </w:r>
    </w:p>
    <w:p>
      <w:pPr>
        <w:spacing w:after="0" w:line="2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0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372,401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Research equipment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5,552,187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4,614,176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3,117,537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9,152,553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(5,043,886)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(4,190,230)</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4,108,667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3,872,753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and long-term debt securities. Investments at June 30, 2015 consisted of corporate bonds with maturities remaining of less than two years.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June 30, 2015,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 and long-term investments as of June 30, 2015, and September 30,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As of June 30, 2015</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23,280,640</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(207,165)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23,073,475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1,085,282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(30,412)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1,054,870</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24,365,922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(237,577)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24,128,345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September 30, 2014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21,653,032</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(189,830)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21,463,202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23,088,346</w:t>
            </w:r>
          </w:p>
        </w:tc>
        <w:tc>
          <w:tcPr>
            <w:tcW w:w="4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(217,693)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22,870,653</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44,741,378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(407,523)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44,333,855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patents and license agreements subject to amortization, which were capitalized as a part of an asset acquisition or business combination.</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the Company will determine the useful life of the asset, reclassify the asset out of IPR&amp;D and begin amortization. If the associated R&amp;D effort is abandoned the related IPR&amp;D assets will likely be written off and the Company would record an impairment loss. Intangible assets not subject to amortization include IPR&amp;D capitalized as part of a business combination from the acquisition of Roche Madison.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ind w:right="20" w:firstLine="518"/>
        <w:spacing w:after="0" w:line="270" w:lineRule="auto"/>
        <w:rPr>
          <w:sz w:val="20"/>
          <w:szCs w:val="20"/>
          <w:color w:val="auto"/>
        </w:rPr>
      </w:pPr>
      <w:r>
        <w:rPr>
          <w:rFonts w:ascii="Arial" w:cs="Arial" w:eastAsia="Arial" w:hAnsi="Arial"/>
          <w:sz w:val="17"/>
          <w:szCs w:val="17"/>
          <w:color w:val="auto"/>
        </w:rPr>
        <w:t>Intangible assets subject to amortization include patents and a license agreement capitalized as part of the Novartis RNAi asset acquisition and a business combination from the acquisition of Roche Madison. The license agreement associated with the Novartis RNAi asset acquisition is being amortized over the estimated life remaining at the time of acquisition which was 21 years, and the accumulated amortization of the asset is approximately $49,468. The license agreements associated with the acquisition of Roche Madison are being amortized over the estimated life remaining at the time of acquisition, which was 4 years, and the accumulated amortization of the assets is approximately $202,453. The patents associated with the Novartis RNAi asset acquisition are being amortized over the estimated life remaining at the time of acquisition which was 14 years, and the accumulated amortization of the assets is approximately $517,341. Amortization expense for the three and nine months ended June 30, 2015 was $438,770 and $607,801, respectively. Amortization expense for the three and nine months ended June 30, 2014 was $13,663 and $40,990, respectively. Amortization expense is expected to be approximately $438,771 for the remainder of fiscal year 2015, $1,714,313 in 2016, $1,700,429 in 2017, $1,700,429 in 2018, $1,700,429 in 2019, $1,700,429 in 2020, and $15,363,151 thereafter.</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Intangible assets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Intangible assets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not subject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subject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Intangible assets</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3,117,322</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123,191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3,240,513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(2,172,387)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(2,172,387)</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(54,653)</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(54,653)</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944,935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Novartis RNAi Assets</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24,857,214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24,857,214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(607,801)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(607,801)</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2015</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944,935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24,317,951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25,262,886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640" w:firstLine="518"/>
        <w:spacing w:after="0" w:line="308" w:lineRule="auto"/>
        <w:rPr>
          <w:sz w:val="20"/>
          <w:szCs w:val="20"/>
          <w:color w:val="auto"/>
        </w:rPr>
      </w:pPr>
      <w:r>
        <w:rPr>
          <w:rFonts w:ascii="Arial" w:cs="Arial" w:eastAsia="Arial" w:hAnsi="Arial"/>
          <w:sz w:val="17"/>
          <w:szCs w:val="17"/>
          <w:color w:val="auto"/>
        </w:rPr>
        <w:t>At June 30, 2015, the Company had a total of 150,000,000 shares of capital stock authorized for issuance, consisting of 145,000,000 shares of Common Stock, par value $0.001 per share, and 5,000,000 shares of Preferred Stock, par value $0.001 per share.</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At June 30, 2015, 59,498,362 shares of Common Stock were outstanding. Additionally, 15,652 shares of Series C Preferred Stock were outstanding, which are convertible into 2,670,990 shares of Common Stock. At June 30, 2015, 8,127,404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Preferred Stock is convertible to Common Stock by its holder at its stated conversion price, though it is not convertible to the extent the holder would beneficially own more than 9.99% of the number of shares of outstanding Common Stock immediately after the conversion. The holders of Preferred Stock are eligible to vote with the Common Stock of the Company on an as-converted basis, but only to the extent they are eligible for conversion without exceeding the 9.99% ownership limitation. The Preferred Stock does not carry a coupon, but it is entitled to receive dividends on a pari passu basis with Common Stock, when and if declared. In any liquidation or dissolution of the Company, the holders of Preferred Stock are entitled to participate in the distribution of the assets, to the extent legally available for distribution, on a pari passu basis with the Common Stock.</w:t>
      </w:r>
    </w:p>
    <w:p>
      <w:pPr>
        <w:spacing w:after="0" w:line="178"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On October 11, 2013, the Company sold 3,071,672 shares of Common Stock, at a price of $5.86 per share, and 46,000 shares of Series C Preferred Stock, at a price of $1,000 per share. The Preferred Shares are convertible into shares of common stock at a conversion price of $5.86. The aggregate purchase price paid by the purchasers for the Common Stock and Series C Preferred Stock was $64,000,000 and the Company received net proceeds of approximately $60,000,000, after advisory fees and offering expenses.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On February 24, 2014, the Company sold 6,325,000 shares of Common Stock, at a public offering price of $18.95 per share. Net proceeds were approximately $112.6 million after underwriting commissions and discounts and other offering expenses.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following table summarizes information about warrants outstanding at June 30, 2015:</w:t>
      </w:r>
    </w:p>
    <w:p>
      <w:pPr>
        <w:spacing w:after="0" w:line="231"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tcBorders>
              <w:top w:val="single" w:sz="8" w:color="auto"/>
            </w:tcBorders>
            <w:shd w:val="clear" w:color="auto" w:fill="CFF0FC"/>
          </w:tcPr>
          <w:p>
            <w:pPr>
              <w:jc w:val="right"/>
              <w:ind w:right="2870"/>
              <w:spacing w:after="0"/>
              <w:rPr>
                <w:sz w:val="20"/>
                <w:szCs w:val="20"/>
                <w:color w:val="auto"/>
              </w:rPr>
            </w:pPr>
            <w:r>
              <w:rPr>
                <w:rFonts w:ascii="Arial" w:cs="Arial" w:eastAsia="Arial" w:hAnsi="Arial"/>
                <w:sz w:val="18"/>
                <w:szCs w:val="18"/>
                <w:color w:val="auto"/>
              </w:rPr>
              <w:t>70.60</w:t>
            </w:r>
          </w:p>
        </w:tc>
        <w:tc>
          <w:tcPr>
            <w:tcW w:w="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390,625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239,534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334,347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CFF0FC"/>
            </w:tcBorders>
          </w:tcPr>
          <w:p>
            <w:pPr>
              <w:jc w:val="right"/>
              <w:ind w:right="2870"/>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277,284</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warrants outstanding</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1,437,011</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380" w:firstLine="518"/>
        <w:spacing w:after="0" w:line="312" w:lineRule="auto"/>
        <w:rPr>
          <w:sz w:val="20"/>
          <w:szCs w:val="20"/>
          <w:color w:val="auto"/>
        </w:rPr>
      </w:pPr>
      <w:r>
        <w:rPr>
          <w:rFonts w:ascii="Arial" w:cs="Arial" w:eastAsia="Arial" w:hAnsi="Arial"/>
          <w:sz w:val="16"/>
          <w:szCs w:val="16"/>
          <w:color w:val="auto"/>
        </w:rPr>
        <w:t>The Company leases office space for its corporate headquarters in Pasadena, California. In March 2014, the Company signed a lease addendum to expand its corporate headquarters, and the new space became available in September 2014. The leases for the expansion space and the current space will expire in September 2019. Rental costs, including the expansion space, are approximately $23,000 per month, increasing approximately 3% annually.</w:t>
      </w:r>
    </w:p>
    <w:p>
      <w:pPr>
        <w:spacing w:after="0" w:line="14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Company’s research facility in Madison, Wisconsin is leased through February 28, 2019. Monthly rental expense is approximately $26,000. Other monthly rental expenses include common area maintenance and real estate taxes totaling approximately $18,000 per month. Utilities costs are approximately $16,000 per month. Total monthly costs are approximately $79,000 per month, including monthly payments recorded under a capital lease of approximately $19,000.</w:t>
      </w:r>
    </w:p>
    <w:p>
      <w:pPr>
        <w:spacing w:after="0" w:line="18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Facility rent expense for the three and nine months ended June 30, 2015 was $182,000 and $544,000, respectively. Facility rent expense for the three and nine months ended June 30, 2014 was $138,000 and $403,000,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2015, future minimum lease payments due in fiscal years under capitalized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2015 (remainder of)</w:t>
            </w:r>
          </w:p>
        </w:tc>
        <w:tc>
          <w:tcPr>
            <w:tcW w:w="340" w:type="dxa"/>
            <w:vAlign w:val="bottom"/>
            <w:gridSpan w:val="2"/>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57,105</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95,175</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2020 and thereafter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(25,371)</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812,169</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(216,653)</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595,516</w:t>
            </w:r>
          </w:p>
        </w:tc>
        <w:tc>
          <w:tcPr>
            <w:tcW w:w="12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2015, future minimum lease payments due in fiscal years under operating leases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2015 (remainder of)</w:t>
            </w:r>
          </w:p>
        </w:tc>
        <w:tc>
          <w:tcPr>
            <w:tcW w:w="40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146,060</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2016</w:t>
            </w: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596,877</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3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613,664</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2018</w:t>
            </w: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637,897</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459,633</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 and thereafter</w:t>
            </w:r>
          </w:p>
        </w:tc>
        <w:tc>
          <w:tcPr>
            <w:tcW w:w="37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2,454,131</w:t>
            </w:r>
          </w:p>
        </w:tc>
        <w:tc>
          <w:tcPr>
            <w:tcW w:w="120" w:type="dxa"/>
            <w:vAlign w:val="bottom"/>
            <w:tcBorders>
              <w:bottom w:val="single" w:sz="8" w:color="CFF0FC"/>
            </w:tcBorders>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60" w:type="dxa"/>
            <w:vAlign w:val="bottom"/>
            <w:vMerge w:val="restart"/>
          </w:tcPr>
          <w:p>
            <w:pPr>
              <w:jc w:val="right"/>
              <w:ind w:right="233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its Chief Executive Officer and its Chief Operating Officer have been named as defendants in two securities class actions filed in the United States District Court for the Central District of California regarding certain public statements in connection with the Company’s hepatitis B drug research. Both actions assert claims under Sections 10(b) and 20(a) of the Securities Exchange Act of 1934 and seek damages in an unspecified amount. Two actions with similar claims under California State law are currently pending in Los Angeles Superior Court. Additionally, three putative stockholder derivative actions have been filed in the United States District Court for the Central District of California, alleging breach of fiduciary duty by the Company’s Board of Directors in connection with the facts underlying the securities claims. Each of these seven suits seeks damages in unspecified amounts and some seek various forms of injunctive relief.</w:t>
      </w:r>
    </w:p>
    <w:p>
      <w:pPr>
        <w:spacing w:after="0" w:line="189"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Company and two of its former executives have been named as defendants in a complaint filed by William Marsh Rice University (“Rice University”) currently pending in the United States District Court for the Southern District of Texas relating to alleged breaches of a license agreement between Rice University and the Company’s former subsidiary, Unidym, Inc. The plaintiff has alleged that the Company and its former executives acted fraudulently with respect to Unidym’s license from Rice University and seeks injunctive relief, damages, including unspecified compensatory and punitive damages, and attorneys’ fees.</w:t>
      </w:r>
    </w:p>
    <w:p>
      <w:pPr>
        <w:spacing w:after="0" w:line="188"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The Company believes it has meritorious defenses and intends to vigorously defend itself in each of the above matters. The Company makes provisions for liabilities when it is both probable that a liability has been incurred and the amount can be reasonably estimated. No such liability has been recorded related to these matters. The Company does not expect these matters to have any material effect on its Consolidated Financial Statements. With regard to legal fees, such as attorney fees related to these matters or any other legal matters, the Company’s accounting policy is to recognize such cost as incurred.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toxicology studies, and for clinical studies. As of June 30, 2015, these future commitments were approximately $51 million, of which approximately $13 million is expected to be incurred in the remainder of fiscal 2015, and $38 million is expected to be incurred beyond fiscal 2015.</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has licensed from third parties the rights to use certain technologies that it uses in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 digit millions of dollars. In certain agreements, the Company may be required to make mid to high single digit percentage royalty payments based on a percentage of the sales of the relevant products.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Arrowhead has two plans that provide for equity-based compensation. Under the 2004 Equity Incentive Plan and 2013 Incentive Plan, as of June 30, 2015, 2,543,268 and 5,094,314 shares, respectively, of Arrowhead’s Common Stock are reserved for the grant of stock options, stock appreciation rights, restricted stock awards and performance unit/share award to employees, consultants and others. No further grants may be made under the 2004 Equity Incentive Plan. As of June 30, 2015, there were options granted and outstanding to purchase 2,543,268 and 2,316,802 shares of Common Stock under the 2004 Equity Incentive Plan and the 2013 Incentive Plan, respectively, and there were 1,017,500 restricted stock units granted and outstanding under the 2013 Incentive Plan. Also, as of June 30, 2015, there were 547,322 shares reserved for options and 70,000 restricted stock units issued as inducement grants to new employees outside of equity compensation plans. During the three months ended June 30, 2015, no options were granted under the 2004 Equity Incentive Plan, 61,000 options and 0 restricted stock units were granted under the 2013 Incentive Plan, and no options and restricted stock units were granted as inducement awards to new employees outside of equity incentive plans. During the nine months ended June 30, 2015, no options were granted under the</w:t>
      </w:r>
    </w:p>
    <w:p>
      <w:pPr>
        <w:spacing w:after="0" w:line="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2004 Equity Incentive Plan, 1,550,000 options and 675,000 restricted stock units were granted under the 2013 Incentive Plan, and 120,000 options and 30,000 restricted stock units were granted as inducement awards to new employees outside of equity incentive plans. Additionally, the Company’s 2000 Stock Option Plan and 38,000 stock options that were outstanding under the 2000 Stock Option Plan expired during the nine months ended June 30, 2015.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3,419,285</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1,039,000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14.05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(152,582)</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(454,863)</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2014</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3,850,840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6.99</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1,670,000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(95,948)</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12.03</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(17,500)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2015</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5,407,392</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gridSpan w:val="2"/>
            <w:shd w:val="clear" w:color="auto" w:fill="CFF0FC"/>
          </w:tcPr>
          <w:p>
            <w:pPr>
              <w:ind w:left="340"/>
              <w:spacing w:after="0"/>
              <w:rPr>
                <w:sz w:val="20"/>
                <w:szCs w:val="20"/>
                <w:color w:val="auto"/>
              </w:rPr>
            </w:pPr>
            <w:r>
              <w:rPr>
                <w:rFonts w:ascii="Arial" w:cs="Arial" w:eastAsia="Arial" w:hAnsi="Arial"/>
                <w:sz w:val="18"/>
                <w:szCs w:val="18"/>
                <w:color w:val="auto"/>
              </w:rPr>
              <w:t>8.1 years</w:t>
            </w:r>
          </w:p>
        </w:tc>
        <w:tc>
          <w:tcPr>
            <w:tcW w:w="160" w:type="dxa"/>
            <w:vAlign w:val="bottom"/>
            <w:tcBorders>
              <w:top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10,487,890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Exercisable At June 30, 2015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2,416,134</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7.1 years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5,894,091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Stock-based compensation expense related to stock options for the three and nine months ended June 30, 2015 was $1,289,037 and $3,469,327, respectively and for the three and nine months ended June 30, 2014 was $1,070,631 and $2,186,653,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71"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fair value of the options granted by Arrowhead for the three and nine months ended June 30, 2015 is estimated at $285,828 and $7,100,339, respectively, and for the three and nine months ended June 30, 2014 was estimated at $1,176,000 and $8,295,600, respectively.</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intrinsic value of the options exercised during the three and nine months ended June 30, 2015 was $0 and $113,728, respectively, and for the three and nine months ended June 30, 2014 was $371,334 and $3,606,061, respectively.</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June 30, 2015, the pre-tax compensation expense for all outstanding unvested stock options in the amount of approximately $12,721,864 will be recognized in our results of operations over a weighted average period of 2.9 years.</w:t>
      </w:r>
    </w:p>
    <w:p>
      <w:pPr>
        <w:spacing w:after="0" w:line="170" w:lineRule="exact"/>
        <w:rPr>
          <w:sz w:val="20"/>
          <w:szCs w:val="20"/>
          <w:color w:val="auto"/>
        </w:rPr>
      </w:pPr>
    </w:p>
    <w:p>
      <w:pPr>
        <w:jc w:val="both"/>
        <w:ind w:right="200" w:firstLine="518"/>
        <w:spacing w:after="0" w:line="273"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8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Nine months ended June 30,</w:t>
            </w:r>
          </w:p>
        </w:tc>
      </w:tr>
      <w:tr>
        <w:trPr>
          <w:trHeight w:val="210"/>
        </w:trPr>
        <w:tc>
          <w:tcPr>
            <w:tcW w:w="58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FF0FC"/>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1.46 – 1.88%</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1.8 – 2.5%</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75%</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6 - 6.25</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6.25 – 9.72</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$8.92</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Restricted Stock Units (RSUs) were granted under the Company’s 2013 Incentive Plan and as inducement grants granted outside of the Plan. During the three and nine months ended June 30, 2015, the Company issued 0 and 705,000 restricted stock units, respectively, to certain members of management and during the three and nine months ended June 30, 2014, the Company issued 470,000 and 470,000 restricted stock units, respectively. Of the restricted stock units granted during the nine months ended June 30, 2015 and 2014, 30,000 and 0, respectively, were granted outside of the Plan as an inducement grant to a new employee. At vesting, each RSU will be exchanged for one share of the Company’s Common Stock. Restricted stock unit awards generally vest subject to the satisfaction of service requirements or the satisfaction of both service requirements and achievement of certain performance targets.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Restricted Stock Units: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2013</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510,000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2014</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510,000</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705,000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(267,500)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2015</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recorded $1,197,037 and $3,236,682 of expense relating to restricted stock units during the three and nine months ended June 30, 2015, respectively, and $968,051 and $1,571,611 during the three and nine months June 30, 2014, respectively. Such expense is included in stock-based compensation expense in the Company’s Consolidated Statement of Operations.</w:t>
      </w:r>
    </w:p>
    <w:p>
      <w:pPr>
        <w:spacing w:after="0" w:line="18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As of June 30, 2015, the pre-tax compensation expense for all unvested restricted stock units in the amount of approximately $4,950,083 will be recognized in the Company’s results of operations over a weighted average period of 1.7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June 30, 2015 and September 30, 2014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87,252,813</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87,252,813</w:t>
            </w: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1,724,468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1,724,468</w:t>
            </w: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3,970,931</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3,970,931</w:t>
            </w:r>
          </w:p>
        </w:tc>
        <w:tc>
          <w:tcPr>
            <w:tcW w:w="480" w:type="dxa"/>
            <w:vAlign w:val="bottom"/>
          </w:tcPr>
          <w:p>
            <w:pPr>
              <w:spacing w:after="0"/>
              <w:rPr>
                <w:sz w:val="18"/>
                <w:szCs w:val="18"/>
                <w:color w:val="auto"/>
              </w:rPr>
            </w:pPr>
          </w:p>
        </w:tc>
      </w:tr>
      <w:tr>
        <w:trPr>
          <w:trHeight w:val="432"/>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534"/>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September 30, 2014:</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132,510,610</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132,510,610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4,173,943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4,173,943</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The Company invests its excess cash balances in short- and long-term corporate bonds, generally with remaining maturities of less than two years. At June 30, 2015, the Company had short-term investments of $23,280,640, and long-term investments of $1,085,282, for a total of $24,365,922. The fair value of its investment at June 30, 2015 was $24,128,345. The Company expects to hold such investments until maturity, and thus unrealized gains and losses from the fluctuations in the fair value of the securities are not likely to be realized.</w:t>
      </w:r>
    </w:p>
    <w:p>
      <w:pPr>
        <w:spacing w:after="0" w:line="18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As part of an equity financing in June 2010, Arrowhead issued warrants to purchase up to 329,649 shares of Common Stock (the “2010 Warrants”), of which 24,324 warrants were outstanding at June 30, 2015. Similarly, as part of a financing in December 2012, Arrowhead issued warrants to purchase up to 912,543 shares of Common Stock (the “2012 Warrants”) of which 265,161 warrants were outstanding at June 30, 2015. Further, as part of a financing in January 2013, Arrowhead issued warrants to purchase up to 833,530 shares of Common Stock (the “2013 Warrants” and, together with the 2010 Warrants and the 2012 Warrants, the “Warrants”) of which 12,123 warrants were outstanding at June 30, 2015.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During the three and nine months ended June 30, 2015, the Company recorded a non-cash gain/(loss) from the change in fair value of the derivative liability of $(102,763) and $2,268,798, respectively. During the three and nine months ended June 30, 2014, the Company recorded a non-cash gain/(loss) of $737,072 and $(5,680,540), respectively.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gridSpan w:val="2"/>
          </w:tcPr>
          <w:p>
            <w:pPr>
              <w:ind w:left="1380"/>
              <w:spacing w:after="0"/>
              <w:rPr>
                <w:sz w:val="20"/>
                <w:szCs w:val="20"/>
                <w:color w:val="auto"/>
              </w:rPr>
            </w:pPr>
            <w:r>
              <w:rPr>
                <w:rFonts w:ascii="Arial" w:cs="Arial" w:eastAsia="Arial" w:hAnsi="Arial"/>
                <w:sz w:val="18"/>
                <w:szCs w:val="18"/>
                <w:b w:val="1"/>
                <w:bCs w:val="1"/>
                <w:color w:val="auto"/>
              </w:rPr>
              <w:t>2010 Warrants</w:t>
            </w:r>
          </w:p>
        </w:tc>
        <w:tc>
          <w:tcPr>
            <w:tcW w:w="4320" w:type="dxa"/>
            <w:vAlign w:val="bottom"/>
            <w:gridSpan w:val="3"/>
          </w:tcPr>
          <w:p>
            <w:pPr>
              <w:jc w:val="right"/>
              <w:ind w:right="1480"/>
              <w:spacing w:after="0"/>
              <w:rPr>
                <w:sz w:val="20"/>
                <w:szCs w:val="20"/>
                <w:color w:val="auto"/>
              </w:rPr>
            </w:pPr>
            <w:r>
              <w:rPr>
                <w:rFonts w:ascii="Arial" w:cs="Arial" w:eastAsia="Arial" w:hAnsi="Arial"/>
                <w:sz w:val="18"/>
                <w:szCs w:val="18"/>
                <w:color w:val="auto"/>
              </w:rPr>
              <w:t>June 30, 2015</w:t>
            </w:r>
          </w:p>
        </w:tc>
        <w:tc>
          <w:tcPr>
            <w:tcW w:w="1460" w:type="dxa"/>
            <w:vAlign w:val="bottom"/>
          </w:tcPr>
          <w:p>
            <w:pPr>
              <w:jc w:val="right"/>
              <w:spacing w:after="0"/>
              <w:rPr>
                <w:sz w:val="20"/>
                <w:szCs w:val="20"/>
                <w:color w:val="auto"/>
              </w:rPr>
            </w:pPr>
            <w:r>
              <w:rPr>
                <w:rFonts w:ascii="Arial" w:cs="Arial" w:eastAsia="Arial" w:hAnsi="Arial"/>
                <w:sz w:val="18"/>
                <w:szCs w:val="18"/>
                <w:color w:val="auto"/>
                <w:w w:val="87"/>
              </w:rPr>
              <w:t>September 30, 2014</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8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320" w:type="dxa"/>
            <w:vAlign w:val="bottom"/>
            <w:gridSpan w:val="3"/>
            <w:shd w:val="clear" w:color="auto" w:fill="CFF0FC"/>
          </w:tcPr>
          <w:p>
            <w:pPr>
              <w:jc w:val="right"/>
              <w:ind w:right="1480"/>
              <w:spacing w:after="0"/>
              <w:rPr>
                <w:sz w:val="20"/>
                <w:szCs w:val="20"/>
                <w:color w:val="auto"/>
              </w:rPr>
            </w:pPr>
            <w:r>
              <w:rPr>
                <w:rFonts w:ascii="Arial" w:cs="Arial" w:eastAsia="Arial" w:hAnsi="Arial"/>
                <w:sz w:val="18"/>
                <w:szCs w:val="18"/>
                <w:color w:val="auto"/>
              </w:rPr>
              <w:t>0.11%</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Expected life</w:t>
            </w:r>
          </w:p>
        </w:tc>
        <w:tc>
          <w:tcPr>
            <w:tcW w:w="1840" w:type="dxa"/>
            <w:vAlign w:val="bottom"/>
          </w:tcPr>
          <w:p>
            <w:pPr>
              <w:spacing w:after="0"/>
              <w:rPr>
                <w:sz w:val="18"/>
                <w:szCs w:val="18"/>
                <w:color w:val="auto"/>
              </w:rPr>
            </w:pPr>
          </w:p>
        </w:tc>
        <w:tc>
          <w:tcPr>
            <w:tcW w:w="2480" w:type="dxa"/>
            <w:vAlign w:val="bottom"/>
            <w:gridSpan w:val="2"/>
          </w:tcPr>
          <w:p>
            <w:pPr>
              <w:jc w:val="right"/>
              <w:ind w:right="1480"/>
              <w:spacing w:after="0"/>
              <w:rPr>
                <w:sz w:val="20"/>
                <w:szCs w:val="20"/>
                <w:color w:val="auto"/>
              </w:rPr>
            </w:pPr>
            <w:r>
              <w:rPr>
                <w:rFonts w:ascii="Arial" w:cs="Arial" w:eastAsia="Arial" w:hAnsi="Arial"/>
                <w:sz w:val="18"/>
                <w:szCs w:val="18"/>
                <w:color w:val="auto"/>
              </w:rPr>
              <w:t>0.5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1.2 Years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840" w:type="dxa"/>
            <w:vAlign w:val="bottom"/>
            <w:shd w:val="clear" w:color="auto" w:fill="CFF0FC"/>
          </w:tcPr>
          <w:p>
            <w:pPr>
              <w:spacing w:after="0"/>
              <w:rPr>
                <w:sz w:val="18"/>
                <w:szCs w:val="18"/>
                <w:color w:val="auto"/>
              </w:rPr>
            </w:pPr>
          </w:p>
        </w:tc>
        <w:tc>
          <w:tcPr>
            <w:tcW w:w="2480" w:type="dxa"/>
            <w:vAlign w:val="bottom"/>
            <w:gridSpan w:val="2"/>
            <w:shd w:val="clear" w:color="auto" w:fill="CFF0FC"/>
          </w:tcPr>
          <w:p>
            <w:pPr>
              <w:jc w:val="right"/>
              <w:ind w:right="1480"/>
              <w:spacing w:after="0"/>
              <w:rPr>
                <w:sz w:val="20"/>
                <w:szCs w:val="20"/>
                <w:color w:val="auto"/>
              </w:rPr>
            </w:pPr>
            <w:r>
              <w:rPr>
                <w:rFonts w:ascii="Arial" w:cs="Arial" w:eastAsia="Arial" w:hAnsi="Arial"/>
                <w:sz w:val="18"/>
                <w:szCs w:val="18"/>
                <w:color w:val="auto"/>
              </w:rPr>
              <w:t>None</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4320" w:type="dxa"/>
            <w:vAlign w:val="bottom"/>
            <w:gridSpan w:val="3"/>
          </w:tcPr>
          <w:p>
            <w:pPr>
              <w:jc w:val="right"/>
              <w:ind w:right="1480"/>
              <w:spacing w:after="0"/>
              <w:rPr>
                <w:sz w:val="20"/>
                <w:szCs w:val="20"/>
                <w:color w:val="auto"/>
              </w:rPr>
            </w:pPr>
            <w:r>
              <w:rPr>
                <w:rFonts w:ascii="Arial" w:cs="Arial" w:eastAsia="Arial" w:hAnsi="Arial"/>
                <w:sz w:val="18"/>
                <w:szCs w:val="18"/>
                <w:color w:val="auto"/>
              </w:rPr>
              <w:t>75%</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80" w:type="dxa"/>
            <w:vAlign w:val="bottom"/>
            <w:vMerge w:val="continue"/>
          </w:tcPr>
          <w:p>
            <w:pPr>
              <w:spacing w:after="0"/>
              <w:rPr>
                <w:sz w:val="15"/>
                <w:szCs w:val="15"/>
                <w:color w:val="auto"/>
              </w:rPr>
            </w:pPr>
          </w:p>
        </w:tc>
        <w:tc>
          <w:tcPr>
            <w:tcW w:w="2900" w:type="dxa"/>
            <w:vAlign w:val="bottom"/>
          </w:tcPr>
          <w:p>
            <w:pPr>
              <w:spacing w:after="0" w:line="176" w:lineRule="exact"/>
              <w:rPr>
                <w:sz w:val="20"/>
                <w:szCs w:val="20"/>
                <w:color w:val="auto"/>
              </w:rPr>
            </w:pPr>
            <w:r>
              <w:rPr>
                <w:rFonts w:ascii="Arial" w:cs="Arial" w:eastAsia="Arial" w:hAnsi="Arial"/>
                <w:sz w:val="18"/>
                <w:szCs w:val="18"/>
                <w:b w:val="1"/>
                <w:bCs w:val="1"/>
                <w:color w:val="auto"/>
              </w:rPr>
              <w:t>2012 Warrants</w:t>
            </w:r>
          </w:p>
        </w:tc>
        <w:tc>
          <w:tcPr>
            <w:tcW w:w="4320" w:type="dxa"/>
            <w:vAlign w:val="bottom"/>
            <w:gridSpan w:val="3"/>
          </w:tcPr>
          <w:p>
            <w:pPr>
              <w:jc w:val="right"/>
              <w:ind w:right="1480"/>
              <w:spacing w:after="0" w:line="176" w:lineRule="exact"/>
              <w:rPr>
                <w:sz w:val="20"/>
                <w:szCs w:val="20"/>
                <w:color w:val="auto"/>
              </w:rPr>
            </w:pPr>
            <w:r>
              <w:rPr>
                <w:rFonts w:ascii="Arial" w:cs="Arial" w:eastAsia="Arial" w:hAnsi="Arial"/>
                <w:sz w:val="18"/>
                <w:szCs w:val="18"/>
                <w:color w:val="auto"/>
              </w:rPr>
              <w:t>June 30, 2015</w:t>
            </w: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w w:val="87"/>
              </w:rPr>
              <w:t>September 30, 2014</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8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320" w:type="dxa"/>
            <w:vAlign w:val="bottom"/>
            <w:gridSpan w:val="3"/>
            <w:shd w:val="clear" w:color="auto" w:fill="CFF0FC"/>
          </w:tcPr>
          <w:p>
            <w:pPr>
              <w:jc w:val="right"/>
              <w:ind w:right="1480"/>
              <w:spacing w:after="0"/>
              <w:rPr>
                <w:sz w:val="20"/>
                <w:szCs w:val="20"/>
                <w:color w:val="auto"/>
              </w:rPr>
            </w:pPr>
            <w:r>
              <w:rPr>
                <w:rFonts w:ascii="Arial" w:cs="Arial" w:eastAsia="Arial" w:hAnsi="Arial"/>
                <w:sz w:val="18"/>
                <w:szCs w:val="18"/>
                <w:color w:val="auto"/>
              </w:rPr>
              <w:t>1.01%</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Expected life</w:t>
            </w:r>
          </w:p>
        </w:tc>
        <w:tc>
          <w:tcPr>
            <w:tcW w:w="1840" w:type="dxa"/>
            <w:vAlign w:val="bottom"/>
          </w:tcPr>
          <w:p>
            <w:pPr>
              <w:spacing w:after="0"/>
              <w:rPr>
                <w:sz w:val="18"/>
                <w:szCs w:val="18"/>
                <w:color w:val="auto"/>
              </w:rPr>
            </w:pPr>
          </w:p>
        </w:tc>
        <w:tc>
          <w:tcPr>
            <w:tcW w:w="2480" w:type="dxa"/>
            <w:vAlign w:val="bottom"/>
            <w:gridSpan w:val="2"/>
          </w:tcPr>
          <w:p>
            <w:pPr>
              <w:jc w:val="right"/>
              <w:ind w:right="1480"/>
              <w:spacing w:after="0"/>
              <w:rPr>
                <w:sz w:val="20"/>
                <w:szCs w:val="20"/>
                <w:color w:val="auto"/>
              </w:rPr>
            </w:pPr>
            <w:r>
              <w:rPr>
                <w:rFonts w:ascii="Arial" w:cs="Arial" w:eastAsia="Arial" w:hAnsi="Arial"/>
                <w:sz w:val="18"/>
                <w:szCs w:val="18"/>
                <w:color w:val="auto"/>
              </w:rPr>
              <w:t>2.5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3.2 Years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840" w:type="dxa"/>
            <w:vAlign w:val="bottom"/>
            <w:shd w:val="clear" w:color="auto" w:fill="CFF0FC"/>
          </w:tcPr>
          <w:p>
            <w:pPr>
              <w:spacing w:after="0"/>
              <w:rPr>
                <w:sz w:val="18"/>
                <w:szCs w:val="18"/>
                <w:color w:val="auto"/>
              </w:rPr>
            </w:pPr>
          </w:p>
        </w:tc>
        <w:tc>
          <w:tcPr>
            <w:tcW w:w="2480" w:type="dxa"/>
            <w:vAlign w:val="bottom"/>
            <w:gridSpan w:val="2"/>
            <w:shd w:val="clear" w:color="auto" w:fill="CFF0FC"/>
          </w:tcPr>
          <w:p>
            <w:pPr>
              <w:jc w:val="right"/>
              <w:ind w:right="1480"/>
              <w:spacing w:after="0"/>
              <w:rPr>
                <w:sz w:val="20"/>
                <w:szCs w:val="20"/>
                <w:color w:val="auto"/>
              </w:rPr>
            </w:pPr>
            <w:r>
              <w:rPr>
                <w:rFonts w:ascii="Arial" w:cs="Arial" w:eastAsia="Arial" w:hAnsi="Arial"/>
                <w:sz w:val="18"/>
                <w:szCs w:val="18"/>
                <w:color w:val="auto"/>
              </w:rPr>
              <w:t>None</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4320" w:type="dxa"/>
            <w:vAlign w:val="bottom"/>
            <w:gridSpan w:val="3"/>
          </w:tcPr>
          <w:p>
            <w:pPr>
              <w:jc w:val="right"/>
              <w:ind w:right="1480"/>
              <w:spacing w:after="0"/>
              <w:rPr>
                <w:sz w:val="20"/>
                <w:szCs w:val="20"/>
                <w:color w:val="auto"/>
              </w:rPr>
            </w:pPr>
            <w:r>
              <w:rPr>
                <w:rFonts w:ascii="Arial" w:cs="Arial" w:eastAsia="Arial" w:hAnsi="Arial"/>
                <w:sz w:val="18"/>
                <w:szCs w:val="18"/>
                <w:color w:val="auto"/>
              </w:rPr>
              <w:t>75%</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vMerge w:val="restart"/>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60" w:type="dxa"/>
            <w:vAlign w:val="bottom"/>
            <w:tcBorders>
              <w:right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80" w:type="dxa"/>
            <w:vAlign w:val="bottom"/>
            <w:vMerge w:val="continue"/>
          </w:tcPr>
          <w:p>
            <w:pPr>
              <w:spacing w:after="0"/>
              <w:rPr>
                <w:sz w:val="15"/>
                <w:szCs w:val="15"/>
                <w:color w:val="auto"/>
              </w:rPr>
            </w:pPr>
          </w:p>
        </w:tc>
        <w:tc>
          <w:tcPr>
            <w:tcW w:w="2900" w:type="dxa"/>
            <w:vAlign w:val="bottom"/>
          </w:tcPr>
          <w:p>
            <w:pPr>
              <w:spacing w:after="0" w:line="176" w:lineRule="exact"/>
              <w:rPr>
                <w:sz w:val="20"/>
                <w:szCs w:val="20"/>
                <w:color w:val="auto"/>
              </w:rPr>
            </w:pPr>
            <w:r>
              <w:rPr>
                <w:rFonts w:ascii="Arial" w:cs="Arial" w:eastAsia="Arial" w:hAnsi="Arial"/>
                <w:sz w:val="18"/>
                <w:szCs w:val="18"/>
                <w:b w:val="1"/>
                <w:bCs w:val="1"/>
                <w:color w:val="auto"/>
              </w:rPr>
              <w:t>2013 Warrants</w:t>
            </w:r>
          </w:p>
        </w:tc>
        <w:tc>
          <w:tcPr>
            <w:tcW w:w="4320" w:type="dxa"/>
            <w:vAlign w:val="bottom"/>
            <w:gridSpan w:val="3"/>
          </w:tcPr>
          <w:p>
            <w:pPr>
              <w:jc w:val="right"/>
              <w:ind w:right="1480"/>
              <w:spacing w:after="0" w:line="176" w:lineRule="exact"/>
              <w:rPr>
                <w:sz w:val="20"/>
                <w:szCs w:val="20"/>
                <w:color w:val="auto"/>
              </w:rPr>
            </w:pPr>
            <w:r>
              <w:rPr>
                <w:rFonts w:ascii="Arial" w:cs="Arial" w:eastAsia="Arial" w:hAnsi="Arial"/>
                <w:sz w:val="18"/>
                <w:szCs w:val="18"/>
                <w:color w:val="auto"/>
              </w:rPr>
              <w:t>June 30, 2015</w:t>
            </w: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w w:val="87"/>
              </w:rPr>
              <w:t>September 30, 2014</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8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320" w:type="dxa"/>
            <w:vAlign w:val="bottom"/>
            <w:gridSpan w:val="3"/>
            <w:shd w:val="clear" w:color="auto" w:fill="CFF0FC"/>
          </w:tcPr>
          <w:p>
            <w:pPr>
              <w:jc w:val="right"/>
              <w:ind w:right="1480"/>
              <w:spacing w:after="0"/>
              <w:rPr>
                <w:sz w:val="20"/>
                <w:szCs w:val="20"/>
                <w:color w:val="auto"/>
              </w:rPr>
            </w:pPr>
            <w:r>
              <w:rPr>
                <w:rFonts w:ascii="Arial" w:cs="Arial" w:eastAsia="Arial" w:hAnsi="Arial"/>
                <w:sz w:val="18"/>
                <w:szCs w:val="18"/>
                <w:color w:val="auto"/>
              </w:rPr>
              <w:t>1.01%</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Expected life</w:t>
            </w:r>
          </w:p>
        </w:tc>
        <w:tc>
          <w:tcPr>
            <w:tcW w:w="1840" w:type="dxa"/>
            <w:vAlign w:val="bottom"/>
          </w:tcPr>
          <w:p>
            <w:pPr>
              <w:spacing w:after="0"/>
              <w:rPr>
                <w:sz w:val="18"/>
                <w:szCs w:val="18"/>
                <w:color w:val="auto"/>
              </w:rPr>
            </w:pPr>
          </w:p>
        </w:tc>
        <w:tc>
          <w:tcPr>
            <w:tcW w:w="2480" w:type="dxa"/>
            <w:vAlign w:val="bottom"/>
            <w:gridSpan w:val="2"/>
          </w:tcPr>
          <w:p>
            <w:pPr>
              <w:jc w:val="right"/>
              <w:ind w:right="1480"/>
              <w:spacing w:after="0"/>
              <w:rPr>
                <w:sz w:val="20"/>
                <w:szCs w:val="20"/>
                <w:color w:val="auto"/>
              </w:rPr>
            </w:pPr>
            <w:r>
              <w:rPr>
                <w:rFonts w:ascii="Arial" w:cs="Arial" w:eastAsia="Arial" w:hAnsi="Arial"/>
                <w:sz w:val="18"/>
                <w:szCs w:val="18"/>
                <w:color w:val="auto"/>
              </w:rPr>
              <w:t>2.6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3.3 Years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840" w:type="dxa"/>
            <w:vAlign w:val="bottom"/>
            <w:shd w:val="clear" w:color="auto" w:fill="CFF0FC"/>
          </w:tcPr>
          <w:p>
            <w:pPr>
              <w:spacing w:after="0"/>
              <w:rPr>
                <w:sz w:val="18"/>
                <w:szCs w:val="18"/>
                <w:color w:val="auto"/>
              </w:rPr>
            </w:pPr>
          </w:p>
        </w:tc>
        <w:tc>
          <w:tcPr>
            <w:tcW w:w="2480" w:type="dxa"/>
            <w:vAlign w:val="bottom"/>
            <w:gridSpan w:val="2"/>
            <w:shd w:val="clear" w:color="auto" w:fill="CFF0FC"/>
          </w:tcPr>
          <w:p>
            <w:pPr>
              <w:jc w:val="right"/>
              <w:ind w:right="1480"/>
              <w:spacing w:after="0"/>
              <w:rPr>
                <w:sz w:val="20"/>
                <w:szCs w:val="20"/>
                <w:color w:val="auto"/>
              </w:rPr>
            </w:pPr>
            <w:r>
              <w:rPr>
                <w:rFonts w:ascii="Arial" w:cs="Arial" w:eastAsia="Arial" w:hAnsi="Arial"/>
                <w:sz w:val="18"/>
                <w:szCs w:val="18"/>
                <w:color w:val="auto"/>
              </w:rPr>
              <w:t>None</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4320" w:type="dxa"/>
            <w:vAlign w:val="bottom"/>
            <w:gridSpan w:val="3"/>
          </w:tcPr>
          <w:p>
            <w:pPr>
              <w:jc w:val="right"/>
              <w:ind w:right="1480"/>
              <w:spacing w:after="0"/>
              <w:rPr>
                <w:sz w:val="20"/>
                <w:szCs w:val="20"/>
                <w:color w:val="auto"/>
              </w:rPr>
            </w:pPr>
            <w:r>
              <w:rPr>
                <w:rFonts w:ascii="Arial" w:cs="Arial" w:eastAsia="Arial" w:hAnsi="Arial"/>
                <w:sz w:val="18"/>
                <w:szCs w:val="18"/>
                <w:color w:val="auto"/>
              </w:rPr>
              <w:t>75%</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7" w:name="page18"/>
    <w:bookmarkEnd w:id="17"/>
    <w:tbl>
      <w:tblPr>
        <w:tblLayout w:type="fixed"/>
        <w:tblInd w:w="52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32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4,091,797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5,821,796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(5,956,079)</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9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3,957,514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(2,268,798)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2015</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1,688,716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During the first year, the exchange right allows the holder to exchange one Ablaris share for 0.06 Arrowhead shares. This ratio declines to</w:t>
      </w:r>
    </w:p>
    <w:p>
      <w:pPr>
        <w:spacing w:after="0" w:line="252" w:lineRule="auto"/>
        <w:rPr>
          <w:sz w:val="20"/>
          <w:szCs w:val="20"/>
          <w:color w:val="auto"/>
        </w:rPr>
      </w:pPr>
      <w:r>
        <w:rPr>
          <w:rFonts w:ascii="Arial" w:cs="Arial" w:eastAsia="Arial" w:hAnsi="Arial"/>
          <w:sz w:val="18"/>
          <w:szCs w:val="18"/>
          <w:color w:val="auto"/>
        </w:rPr>
        <w:t>0.04 in the second year, 0.03 in the third year and 0.02 in the fourth year. In the fifth year and beyond the exchange ratio is 0.01. Exchange rights for 675,000 Ablaris shares were sold in fiscal 2011, and 500,000 remain outstanding at June 30, 2015.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three and nine months ended June 30, 2015, the Company recorded a non-cash gain/(loss) from the change in fair value of the derivative liability of $(1,950) and $177,605, respectively. During the three and nine months ended June 30, 2014, the Company recorded a non-cash gain/(loss) of $21,397 and $(31,791), respectively.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2015</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top w:val="single" w:sz="8" w:color="auto"/>
            </w:tcBorders>
            <w:gridSpan w:val="2"/>
            <w:shd w:val="clear" w:color="auto" w:fill="CFF0FC"/>
          </w:tcPr>
          <w:p>
            <w:pPr>
              <w:ind w:left="680"/>
              <w:spacing w:after="0"/>
              <w:rPr>
                <w:sz w:val="20"/>
                <w:szCs w:val="20"/>
                <w:color w:val="auto"/>
              </w:rPr>
            </w:pPr>
            <w:r>
              <w:rPr>
                <w:rFonts w:ascii="Arial" w:cs="Arial" w:eastAsia="Arial" w:hAnsi="Arial"/>
                <w:sz w:val="18"/>
                <w:szCs w:val="18"/>
                <w:color w:val="auto"/>
                <w:w w:val="90"/>
              </w:rPr>
              <w:t>1.00%</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Expected life</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2.5 Years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6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Volatility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45"/>
        </w:trPr>
        <w:tc>
          <w:tcPr>
            <w:tcW w:w="71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6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settlements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6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216,429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6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(177,605)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settlements</w:t>
            </w:r>
          </w:p>
        </w:tc>
        <w:tc>
          <w:tcPr>
            <w:tcW w:w="6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2015</w:t>
            </w:r>
          </w:p>
        </w:tc>
        <w:tc>
          <w:tcPr>
            <w:tcW w:w="6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Other inputs have a comparatively insignificant effect.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firstLine="518"/>
        <w:spacing w:after="0" w:line="269" w:lineRule="auto"/>
        <w:rPr>
          <w:sz w:val="20"/>
          <w:szCs w:val="20"/>
          <w:color w:val="auto"/>
        </w:rPr>
      </w:pPr>
      <w:r>
        <w:rPr>
          <w:rFonts w:ascii="Arial" w:cs="Arial" w:eastAsia="Arial" w:hAnsi="Arial"/>
          <w:sz w:val="17"/>
          <w:szCs w:val="17"/>
          <w:color w:val="auto"/>
        </w:rPr>
        <w:t>As of June 30, 2015, the Company has a liability for contingent consideration related to its acquisition of Roche Madison Inc.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Changes in the fair value of the contingent consideration obligations are recorded in the Company’s Consolidated Statement of Operations.</w:t>
      </w:r>
    </w:p>
    <w:p>
      <w:pPr>
        <w:spacing w:after="0" w:line="18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contingent consideration fair value.</w:t>
            </w: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82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2,375,658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2015</w:t>
            </w: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7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this report under the caption “Risk Factors” as well as the additional risks described in other documents we file from time to time with the Securities and Exchange Commission (“SEC”), including our most recent Annual Report on Form 10-K and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Arrowhead Research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Arrowhead’s most advanced drug candidate in clinical development is ARC-520, which is designed to treat chronic hepatitis B infection by inhibiting the production of all HBV gene products. The goal is to reverse the immune suppression that prevents the body from controlling the virus and clearing the disease. Arrowhead’s second clinical candidate is ARC-AAT, a treatment for a rare liver disease associated with a genetic disorder that causes alpha-1 antitrypsin deficiency.</w:t>
      </w:r>
    </w:p>
    <w:p>
      <w:pPr>
        <w:spacing w:after="0" w:line="193"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its RNAi therapeutics, are based. The Company’s principal executive offices are located in Pasadena, California.</w:t>
      </w:r>
    </w:p>
    <w:p>
      <w:pPr>
        <w:spacing w:after="0" w:line="17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During fiscal year 2015, the Company has continued to develop its lead clinical candidate, ARC-520, for the treatment of chronic hepatitis B as well as its second clinical candidate, ARC-AAT, an RNAi therapeutic designed to treat liver disease associated with Alpha-1 antitrypsin deficiency (AATD). The Company continues its Phase 2a studies in ARC-520, with no dose-limiting toxicities or serious adverse events having been observed to date. The Company submitted an Investigational New Drug application to the U.S. Food and Drug Administration in December 2014 for ARC-520 to initiate phase 2b multi-dose studies to determine the depth of hepatitis B surface antigen (HBsAg) reduction following ARC-520 injection. The Company received feedback from the FDA, and based on that feedback the Company adjusted the protocol in order to begin the trial. In April 2015, the application was approved by the FDA. In June 2015, the Company received regulatory clearance in Germany for two additional Phase 2b multiple-dose studies of ARC-520 to be conducted in parallel, and also expects to file with additional Asian and European agencies to begin additional phase 2b studies.</w:t>
      </w:r>
    </w:p>
    <w:p>
      <w:pPr>
        <w:spacing w:after="0" w:line="166"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In May 2015, the Company completed protocol-required dosing of healthy volunteers in an on-going phase 1 study of ARC-AAT, and in July 2015, initiated dosing of patients in Part B of that same study. The study recently received regulatory clearance in the United Kingdom and New Zealand. In June 2015, ARC-AAT was granted orphan drug designation by the FDA.</w:t>
      </w:r>
    </w:p>
    <w:p>
      <w:pPr>
        <w:spacing w:after="0" w:line="181"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In March 2015, the Company completed the acquisition of Novartis’ entire RNAi research and development portfolio and associated assets. The acquisition included assignment of certain patents and patent applications owned or controlled by Novartis related to RNAi therapeutics, an exclusive license in the RNAi field to other patents and patent applications owned or controlled by Novartis, assignment of a third party license, three pre-clinical RNAi candidates, and other related assets. This acquisition is expected to significantly expand the Company’s RNAi capabilities as the assets are integrated.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right="2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focusing on intravenously-administered therapeutics targeting gene knockdown in the liver, as well as formulations for administering RNAi-based therapeutics by subcutaneous administration. Clinical candidates are tested internally and through GLP toxicology studies at outside laboratories, and drug materials for such studies, and for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and if the clinical candidates progress through human testing, program costs will increase.</w:t>
      </w:r>
    </w:p>
    <w:p>
      <w:pPr>
        <w:spacing w:after="0" w:line="189"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Net losses were $15.9 million and $67.2 million during the three and nine months ended June 30, 2015, respectively, and $11.6 million and $36.2 million during the three and nine months ended June 30, 2014, respectively. Diluted losses per share were $0.27 and $1.19 during the three and nine months ended June 30, 2015, respectively, and $0.22 and $0.81 during the three and nine months ended June 30, 2014, respectively.</w:t>
      </w:r>
    </w:p>
    <w:p>
      <w:pPr>
        <w:spacing w:after="0" w:line="166"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Company strengthened its liquidity and financial position through two securities offerings completed in October 2013 and February 2014 which generated approximately $172.6 million of cash proceeds for the Company. These cash proceeds secured the funding needed to advance both ARC-520 and ARC-AAT through clinical trials and will also assist as the Company expands its pipeline of other clinical candidates. The Company had $87.3 million of cash and cash equivalents and $145.2 million of total assets as of June 30, 2015 as compared to $132.5 million and $182.8 million as of September 30, 2014, respectively. The decrease in cash and cash equivalents and total assets reflects cash outflows associated with the Company’s research and development efforts for its clinical candidates and pipeline, as well as cash paid for the Novartis RNAi assets acquired. Based upon the Company’s current cash resources and operating plan, the Company expects to have sufficient liquidity to fund operations for at least the next twelve months.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Asset Acquisition</w:t>
      </w:r>
    </w:p>
    <w:p>
      <w:pPr>
        <w:spacing w:after="0" w:line="11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On March 3, 2015, the Company entered into an Asset Purchase and Exclusive License Agreement (the “RNAi Purchase Agreement”) with Novartis Institutes for BioMedical Research, Inc., a Delaware corporation (“Novartis”), pursuant to which the Company acquired Novartis’ RNAi assets and rights thereunder. Pursuant to the Agreement, the Company acquired or licensed certain patents and patent applications owned or controlled by Novartis related to RNAi therapeutics, assignment of a third-party license, rights to three pre-clinical RNAi candidates, and other related assets (collectively, the “Purchased Assets”). The acquisition of the Purchased Assets closed on March 3, 2015, concurrent with execution of the Agreement (the “Closing”).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20" w:firstLine="518"/>
        <w:spacing w:after="0" w:line="279" w:lineRule="auto"/>
        <w:rPr>
          <w:sz w:val="20"/>
          <w:szCs w:val="20"/>
          <w:color w:val="auto"/>
        </w:rPr>
      </w:pPr>
      <w:r>
        <w:rPr>
          <w:rFonts w:ascii="Arial" w:cs="Arial" w:eastAsia="Arial" w:hAnsi="Arial"/>
          <w:sz w:val="17"/>
          <w:szCs w:val="17"/>
          <w:color w:val="auto"/>
        </w:rPr>
        <w:t>In consideration for the Purchased Assets, the Company made certain payments to Novartis, including: (a) payments totaling $10,000,000 in cash, and 3,321,383 shares of the Company’s common stock (the “Shares”), which were issued during the Company’s second fiscal quarter; (b) escalating royalties in the single digits based upon annual net sales thresholds for certain RNAi products sold by the Company; and (c) milestone payments tied to the achievement of certain development and sales milestones for each target being developed by the Company.</w:t>
      </w:r>
    </w:p>
    <w:p>
      <w:pPr>
        <w:spacing w:after="0" w:line="17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Company accounted for this transaction as an acquisition of RNAi assets, including patents, a third-party license and in process research and development for the pre-clinical candidates. The allocation of the purchase price to each asset was determined by estimating the relative fair value of each asset acquired and applying that to the total cost of the acquisition for the Company. The Company capitalized the patents and license acquired as Intangible Assets as they require no future development and will have alternative future uses as the Company expands its RNAi capabilities. The Company expensed the portion of the purchase consideration allocated to the pre-clinical candidates as they will require future development in order to be commercialized. This expense is recorded in the “Acquired in-process research and development” line item of the Consolidated Statements of Operations.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Intangible assets consist of patents and license agreements acquired in conjunction with asset and business acquisitions. Intangible assets are monitored for potential impairment whenever events or circumstances indicate that the carrying amount may not be recoverable, and are also reviewed annually to determine whether any impairment is necessary. Based on ASC 350,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recognize stock-based compensation expense for stock options based on the grant date fair value using the Black-Scholes options pricing model, which requires us to make assumptions regarding certain variables including the risk-free interest rate, expected stock price volatility, assumed forfeitures, and the expected life of the award. The grant date fair value of restricted stock units granted is based upon the quoted closing market price per share on the date of grant, adjusted for assumed forfeitures. Expense for stock options and restricted stock units is recognized over the requisite service period.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2015</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30, 2014</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123,750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43,750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(16,117,456)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(12,743,850)</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(15,936,053)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(11,626,451)</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Earnings per Share (Basic and Diluted)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(0.22)</w:t>
            </w:r>
          </w:p>
        </w:tc>
      </w:tr>
      <w:tr>
        <w:trPr>
          <w:trHeight w:val="395"/>
        </w:trPr>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24"/>
                <w:szCs w:val="2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2015</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30, 2014</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338,250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131,250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(70,744,144)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(30,921,978)</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(67,197,746)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(36,294,880)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Earnings per Share (Basic and Diluted)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(0.81)</w:t>
            </w:r>
          </w:p>
        </w:tc>
      </w:tr>
    </w:tbl>
    <w:p>
      <w:pPr>
        <w:spacing w:after="0" w:line="20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increase in our Operating Expenses during the three and nine months ended June 30, 2015, is primarily due to the continued development of our lead clinical candidate for HBV, ARC-520 and our second clinical candidate ARC-AAT for AATD. The primary costs incurred during fiscal 2015 related to manufacturing of drug supply for our clinical trials, toxicology studies, and the cost associated with the administration of clinical trials. In addition, the Company is incurring costs, primarily manufacturing costs and clinical trial administration costs, related to phase 2b clinical trials of ARC-520. Further, the Company incurred $10.1 million in expense associated with the acquisition of in-process research and development for pre-clinical candidates from the Novartis asset acquisition, and the Company is recording higher amortization expense related to intangible assets acquired upon the purchase of the Novartis assets.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Total revenue was $123,750 and $338,250 for the three and nine months ended June 30, 2015 and $43,750 and $131,250 for the three and nine months ended June 30, 2014. Revenue is primarily related to licensed technology in both periods. In addition, the Company had collaboration revenue of $160,000 and earned $47,000 in revenue for delivering a materials study during the nine months ended June 30, 2015.</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and nine months ended June 30, 2015 and 2014 are shown in the tables below.</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 Three and nine months ended June 30, 2015 compared to the three and nine months ended June 30, 2014</w:t>
      </w:r>
    </w:p>
    <w:p>
      <w:pPr>
        <w:spacing w:after="0" w:line="140"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Three</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Months Ended</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580" w:type="dxa"/>
            <w:vAlign w:val="bottom"/>
          </w:tcPr>
          <w:p>
            <w:pPr>
              <w:spacing w:after="0"/>
              <w:rPr>
                <w:sz w:val="14"/>
                <w:szCs w:val="14"/>
                <w:color w:val="auto"/>
              </w:rPr>
            </w:pPr>
          </w:p>
        </w:tc>
        <w:tc>
          <w:tcPr>
            <w:tcW w:w="14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2"/>
              </w:rPr>
              <w:t>Increase (Decrease)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June 30, 2015</w:t>
            </w:r>
          </w:p>
        </w:tc>
        <w:tc>
          <w:tcPr>
            <w:tcW w:w="220" w:type="dxa"/>
            <w:vAlign w:val="bottom"/>
            <w:tcBorders>
              <w:bottom w:val="single" w:sz="8" w:color="B6EAFC"/>
            </w:tcBorders>
            <w:gridSpan w:val="2"/>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2014</w:t>
            </w:r>
          </w:p>
        </w:tc>
        <w:tc>
          <w:tcPr>
            <w:tcW w:w="20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B6EA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w:t>
            </w:r>
          </w:p>
        </w:tc>
        <w:tc>
          <w:tcPr>
            <w:tcW w:w="580" w:type="dxa"/>
            <w:vAlign w:val="bottom"/>
            <w:shd w:val="clear" w:color="auto" w:fill="B6EAFC"/>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In vivo studies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2,157</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(699)</w:t>
            </w: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2,468</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39%</w:t>
            </w: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(755)</w:t>
            </w: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Clinical trials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2,396</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0%</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6,392</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57"/>
        </w:trPr>
        <w:tc>
          <w:tcPr>
            <w:tcW w:w="3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Nine</w:t>
            </w:r>
          </w:p>
        </w:tc>
        <w:tc>
          <w:tcPr>
            <w:tcW w:w="220" w:type="dxa"/>
            <w:vAlign w:val="bottom"/>
            <w:gridSpan w:val="2"/>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8"/>
              </w:rPr>
              <w:t>Nine</w:t>
            </w:r>
          </w:p>
        </w:tc>
        <w:tc>
          <w:tcPr>
            <w:tcW w:w="2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Months Ended</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580" w:type="dxa"/>
            <w:vAlign w:val="bottom"/>
          </w:tcPr>
          <w:p>
            <w:pPr>
              <w:spacing w:after="0"/>
              <w:rPr>
                <w:sz w:val="14"/>
                <w:szCs w:val="14"/>
                <w:color w:val="auto"/>
              </w:rPr>
            </w:pPr>
          </w:p>
        </w:tc>
        <w:tc>
          <w:tcPr>
            <w:tcW w:w="14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2"/>
              </w:rPr>
              <w:t>Increase (Decrease)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2014</w:t>
            </w:r>
          </w:p>
        </w:tc>
        <w:tc>
          <w:tcPr>
            <w:tcW w:w="20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B6EA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1,469</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w:t>
            </w:r>
          </w:p>
        </w:tc>
        <w:tc>
          <w:tcPr>
            <w:tcW w:w="580" w:type="dxa"/>
            <w:vAlign w:val="bottom"/>
            <w:shd w:val="clear" w:color="auto" w:fill="B6EAFC"/>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In vivo studies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(170)</w:t>
            </w: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3,848</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1,706</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16,524</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5,754</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39%</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87"/>
              </w:rPr>
              <w:t>10,770</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Clinical trials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2,048</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8,148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0%</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1,015</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w w:val="99"/>
              </w:rPr>
              <w:t>3172%</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14,720</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22,158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Laboratory supplies and services expense increased by $42,000 from $613,000 during the three months ended June 30, 2014 to $655,000 during the current period. The expense also increased by $377,000 from $1,469,000 during the nine months ended June 30, 2014 to $1,846,000 during the current period. The Company has expanded its laboratory facility and increased its R&amp;D headcount. The increase in laboratory supplies and services is a result of the purchase of additional supplies necessary to support increased efforts in pre-clinical research as the Company supports ongoing clinical efforts and accelerates efforts to identify new clinical candidates.</w:t>
      </w:r>
    </w:p>
    <w:p>
      <w:pPr>
        <w:spacing w:after="0" w:line="18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In vivo studies expense increased by $94,000 from $64,000 during the three months ended June 30, 2014 to $158,000 during the current period. The expense also increased by $120,000 from $236,000 during the nine months ended June 30, 2014 to $356,000 during the current period. In vivo expense can vary depending on the stage of preclinical candidates, the nature and amount of testing required and based on the varying costs of different in vivo testing models. The expense in both periods relates to studies related to development of new clinical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right="40" w:firstLine="518"/>
        <w:spacing w:after="0" w:line="312" w:lineRule="auto"/>
        <w:rPr>
          <w:sz w:val="20"/>
          <w:szCs w:val="20"/>
          <w:color w:val="auto"/>
        </w:rPr>
      </w:pPr>
      <w:r>
        <w:rPr>
          <w:rFonts w:ascii="Arial" w:cs="Arial" w:eastAsia="Arial" w:hAnsi="Arial"/>
          <w:sz w:val="16"/>
          <w:szCs w:val="16"/>
          <w:color w:val="auto"/>
        </w:rPr>
        <w:t>Outside labs and contract services expense decreased by $104,000 from $281,000 during the three months ended June 30, 2014 to $177,000 during the current period. The expense also decreased by $170,000 from $578,000 during the nine months ended June 30, 2014 to $408,000 during the current period. The decrease in the current period primarily relates to a one-time fee paid in the prior year related to access to a certain animal study.</w:t>
      </w:r>
    </w:p>
    <w:p>
      <w:pPr>
        <w:spacing w:after="0" w:line="14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Toxicity/efficacy studies expense decreased by $699,000 from $2,157,000 during the three months ended June 30, 2014 to $1,458,000 during the current period. The expense increased by $1,706,000 from $3,848,000 during the nine months ended June 30, 2014 to $5,554,000 during the current period. This category includes IND-enabling toxicology studies as well as post-IND toxicology studies, such as long-term toxicology studies, and other efficacy studies. The full-year expense primarily relates to IND-enabling toxicology studies related to ARC-AAT, on-going long-term toxicology studies to support later clinical trials, and studies related to ARC-520 to support our anticipated phase 2b clinical trial. These amounts can vary quarter to quarter based on stage of development.</w:t>
      </w:r>
    </w:p>
    <w:p>
      <w:pPr>
        <w:spacing w:after="0" w:line="193"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Drug manufacturing expense decreased by $755,000 from $2,468,000 during the three months ended June 30, 2014 to $1,713,000 during the current period. The expense increased by $10,770,000 from $5,754,000 during the nine months ended June 30, 2014 to $16,524,000 during the current period. The current period expense relates to drug manufacturing to supply toxicology studies for our HBV Phase 2b clinical trial, clinical supplies for the HBV Phase 2b clinical trial, as well as clinical supplies for our clinical trial for ARC-AAT. The manufacturing campaign for the Phase 2b clinical trial for ARC-520 is largely complete, however, as other clinical candidates are nominated, and as other clinical trials advance, further expenditures will be required.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Clinical trials expense increased by $2,396,000 from $560,000 during the three months ended June 30, 2014 to $2,956,000 during the current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period. The expense also increased by $8,148,000 from $2,048,000 during the nine months ended June 30, 2014 to $10,196,000 during the current</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period. The increase is primarily driven by costs incurred in preparation for our anticipated phase 2b clinical trial for ARC-520. We are also incurring costs in fiscal 2015 related to our clinical trial for our second clinical candidate ARC-AAT. We expect clinical trial expenses to increase further throughout 2015 as enrollment in our clinical trials increases.</w:t>
      </w:r>
    </w:p>
    <w:p>
      <w:pPr>
        <w:spacing w:after="0" w:line="19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License, royalty and milestones expense was unchanged from the three months ended June 30, 2014 to the current period. The expense increased by $1,015,000 from $32,000 during the nine months ended June 30, 2014 to $1,047,000 during the current period. This category can include milestone payments which can vary from period to period depending on the nature of our various license agreements, and the timing of reaching various development milestones requiring payment. During the nine months ended June 30, 2015, we achieved a milestone by initiating a phase 1 clinical trial with ARC-AAT that required a $1 million payment.</w:t>
      </w:r>
    </w:p>
    <w:p>
      <w:pPr>
        <w:spacing w:after="0" w:line="188" w:lineRule="exact"/>
        <w:rPr>
          <w:sz w:val="20"/>
          <w:szCs w:val="20"/>
          <w:color w:val="auto"/>
        </w:rPr>
      </w:pPr>
    </w:p>
    <w:p>
      <w:pPr>
        <w:jc w:val="both"/>
        <w:ind w:right="480" w:firstLine="518"/>
        <w:spacing w:after="0" w:line="286" w:lineRule="auto"/>
        <w:rPr>
          <w:sz w:val="20"/>
          <w:szCs w:val="20"/>
          <w:color w:val="auto"/>
        </w:rPr>
      </w:pPr>
      <w:r>
        <w:rPr>
          <w:rFonts w:ascii="Arial" w:cs="Arial" w:eastAsia="Arial" w:hAnsi="Arial"/>
          <w:sz w:val="17"/>
          <w:szCs w:val="17"/>
          <w:color w:val="auto"/>
        </w:rPr>
        <w:t>Facilities expense increased by $28,000 from $206,000 during the three months ended June 30, 2014 to $234,000 during the current period. The expense increased by $1,000 from $685,000 during the nine months ended June 30, 2014 to $686,000 during the current period. The increase relates to higher rent in our Madison facility somewhat offset by lower repairs and maintenance costs on our lab equipment.</w:t>
      </w:r>
    </w:p>
    <w:p>
      <w:pPr>
        <w:spacing w:after="0" w:line="166"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Other research expense increased by $96,000 from $31,000 during the three months ended June 30, 2014 to $127,000 during the current period. The expense also increased by $191,000 from $70,000 during the nine months ended June 30, 2014 to $261,000 during the current period. The increase in the nine month periods primarily relates to costs associated with a collaboration agreement to identify muscle targeting peptide molecules in fiscal 2015, for which the Company has been reimbursed from its collaboration partner.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 Three and nine months ended June 30, 2015 compared to the three and nine months ended June 30, 2014</w:t>
      </w:r>
    </w:p>
    <w:p>
      <w:pPr>
        <w:spacing w:after="0" w:line="117" w:lineRule="exact"/>
        <w:rPr>
          <w:sz w:val="20"/>
          <w:szCs w:val="20"/>
          <w:color w:val="auto"/>
        </w:rPr>
      </w:pPr>
    </w:p>
    <w:p>
      <w:pPr>
        <w:ind w:right="60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facility. Salaries and payroll-related expense consists of salary, bonuses, payroll taxes and related benefits. Salary and payroll-related expenses include two major categories: general and administrative (G&amp;A) compensation expense, and research and development (R&amp;D) compensation expense, based on the primary activities of each employee. The following table provides detail of salary and payroll-related expenses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Three Months</w:t>
            </w: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99"/>
              </w:rPr>
              <w:t>% of</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Three Months</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 of</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800" w:type="dxa"/>
            <w:vAlign w:val="bottom"/>
          </w:tcPr>
          <w:p>
            <w:pPr>
              <w:jc w:val="center"/>
              <w:ind w:left="326"/>
              <w:spacing w:after="0"/>
              <w:rPr>
                <w:sz w:val="20"/>
                <w:szCs w:val="20"/>
                <w:color w:val="auto"/>
              </w:rPr>
            </w:pPr>
            <w:r>
              <w:rPr>
                <w:rFonts w:ascii="Arial" w:cs="Arial" w:eastAsia="Arial" w:hAnsi="Arial"/>
                <w:sz w:val="14"/>
                <w:szCs w:val="14"/>
                <w:color w:val="auto"/>
                <w:w w:val="88"/>
              </w:rPr>
              <w:t>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88"/>
              </w:rPr>
              <w:t>Expense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88"/>
              </w:rPr>
              <w:t>Ended</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Expense</w:t>
            </w:r>
          </w:p>
        </w:tc>
        <w:tc>
          <w:tcPr>
            <w:tcW w:w="340" w:type="dxa"/>
            <w:vAlign w:val="bottom"/>
          </w:tcPr>
          <w:p>
            <w:pPr>
              <w:spacing w:after="0"/>
              <w:rPr>
                <w:sz w:val="18"/>
                <w:szCs w:val="18"/>
                <w:color w:val="auto"/>
              </w:rPr>
            </w:pPr>
          </w:p>
        </w:tc>
        <w:tc>
          <w:tcPr>
            <w:tcW w:w="1640" w:type="dxa"/>
            <w:vAlign w:val="bottom"/>
            <w:gridSpan w:val="3"/>
          </w:tcPr>
          <w:p>
            <w:pPr>
              <w:ind w:left="460"/>
              <w:spacing w:after="0"/>
              <w:rPr>
                <w:sz w:val="20"/>
                <w:szCs w:val="20"/>
                <w:color w:val="auto"/>
              </w:rPr>
            </w:pPr>
            <w:r>
              <w:rPr>
                <w:rFonts w:ascii="Arial" w:cs="Arial" w:eastAsia="Arial" w:hAnsi="Arial"/>
                <w:sz w:val="14"/>
                <w:szCs w:val="14"/>
                <w:color w:val="auto"/>
                <w:w w:val="91"/>
              </w:rPr>
              <w:t>Increase (Decrease)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60" w:type="dxa"/>
            <w:vAlign w:val="bottom"/>
            <w:tcBorders>
              <w:bottom w:val="single" w:sz="8" w:color="B6EAFC"/>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June 30, 2015</w:t>
            </w:r>
          </w:p>
        </w:tc>
        <w:tc>
          <w:tcPr>
            <w:tcW w:w="220" w:type="dxa"/>
            <w:vAlign w:val="bottom"/>
            <w:tcBorders>
              <w:bottom w:val="single" w:sz="8" w:color="B6EAFC"/>
            </w:tcBorders>
          </w:tcPr>
          <w:p>
            <w:pPr>
              <w:spacing w:after="0"/>
              <w:rPr>
                <w:sz w:val="16"/>
                <w:szCs w:val="16"/>
                <w:color w:val="auto"/>
              </w:rPr>
            </w:pPr>
          </w:p>
        </w:tc>
        <w:tc>
          <w:tcPr>
            <w:tcW w:w="9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91"/>
              </w:rPr>
              <w:t>Category</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B6EA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0"/>
              </w:rPr>
              <w:t>June 30, 2014</w:t>
            </w:r>
          </w:p>
        </w:tc>
        <w:tc>
          <w:tcPr>
            <w:tcW w:w="220" w:type="dxa"/>
            <w:vAlign w:val="bottom"/>
            <w:tcBorders>
              <w:bottom w:val="single" w:sz="8" w:color="B6EAFC"/>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40" w:type="dxa"/>
            <w:vAlign w:val="bottom"/>
            <w:tcBorders>
              <w:bottom w:val="single" w:sz="8" w:color="B6EA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EA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800" w:type="dxa"/>
            <w:vAlign w:val="bottom"/>
            <w:shd w:val="clear" w:color="auto" w:fill="B6EAFC"/>
          </w:tcPr>
          <w:p>
            <w:pPr>
              <w:jc w:val="right"/>
              <w:ind w:right="6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4"/>
              </w:rPr>
              <w:t>2,625</w:t>
            </w:r>
          </w:p>
        </w:tc>
        <w:tc>
          <w:tcPr>
            <w:tcW w:w="220" w:type="dxa"/>
            <w:vAlign w:val="bottom"/>
            <w:shd w:val="clear" w:color="auto" w:fill="B6EAFC"/>
          </w:tcPr>
          <w:p>
            <w:pPr>
              <w:spacing w:after="0"/>
              <w:rPr>
                <w:sz w:val="18"/>
                <w:szCs w:val="18"/>
                <w:color w:val="auto"/>
              </w:rPr>
            </w:pPr>
          </w:p>
        </w:tc>
        <w:tc>
          <w:tcPr>
            <w:tcW w:w="90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74%</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1,762</w:t>
            </w:r>
          </w:p>
        </w:tc>
        <w:tc>
          <w:tcPr>
            <w:tcW w:w="220" w:type="dxa"/>
            <w:vAlign w:val="bottom"/>
            <w:shd w:val="clear" w:color="auto" w:fill="B6EAFC"/>
          </w:tcPr>
          <w:p>
            <w:pPr>
              <w:spacing w:after="0"/>
              <w:rPr>
                <w:sz w:val="18"/>
                <w:szCs w:val="18"/>
                <w:color w:val="auto"/>
              </w:rPr>
            </w:pPr>
          </w:p>
        </w:tc>
        <w:tc>
          <w:tcPr>
            <w:tcW w:w="146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72%</w:t>
            </w:r>
          </w:p>
        </w:tc>
        <w:tc>
          <w:tcPr>
            <w:tcW w:w="340" w:type="dxa"/>
            <w:vAlign w:val="bottom"/>
            <w:shd w:val="clear" w:color="auto" w:fill="B6EAFC"/>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863</w:t>
            </w:r>
          </w:p>
        </w:tc>
        <w:tc>
          <w:tcPr>
            <w:tcW w:w="220" w:type="dxa"/>
            <w:vAlign w:val="bottom"/>
            <w:shd w:val="clear" w:color="auto" w:fill="B6EAFC"/>
          </w:tcPr>
          <w:p>
            <w:pPr>
              <w:spacing w:after="0"/>
              <w:rPr>
                <w:sz w:val="18"/>
                <w:szCs w:val="18"/>
                <w:color w:val="auto"/>
              </w:rPr>
            </w:pPr>
          </w:p>
        </w:tc>
        <w:tc>
          <w:tcPr>
            <w:tcW w:w="52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946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B6EAFC"/>
            </w:tcBorders>
            <w:shd w:val="clear" w:color="auto" w:fill="B6EA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shd w:val="clear" w:color="auto" w:fill="B6EAFC"/>
          </w:tcPr>
          <w:p>
            <w:pPr>
              <w:spacing w:after="0"/>
              <w:rPr>
                <w:sz w:val="18"/>
                <w:szCs w:val="18"/>
                <w:color w:val="auto"/>
              </w:rPr>
            </w:pPr>
          </w:p>
        </w:tc>
        <w:tc>
          <w:tcPr>
            <w:tcW w:w="800" w:type="dxa"/>
            <w:vAlign w:val="bottom"/>
            <w:shd w:val="clear" w:color="auto" w:fill="B6EAFC"/>
          </w:tcPr>
          <w:p>
            <w:pPr>
              <w:jc w:val="right"/>
              <w:ind w:right="6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4"/>
              </w:rPr>
              <w:t>3,571</w:t>
            </w:r>
          </w:p>
        </w:tc>
        <w:tc>
          <w:tcPr>
            <w:tcW w:w="220" w:type="dxa"/>
            <w:vAlign w:val="bottom"/>
            <w:shd w:val="clear" w:color="auto" w:fill="B6EAFC"/>
          </w:tcPr>
          <w:p>
            <w:pPr>
              <w:spacing w:after="0"/>
              <w:rPr>
                <w:sz w:val="18"/>
                <w:szCs w:val="18"/>
                <w:color w:val="auto"/>
              </w:rPr>
            </w:pPr>
          </w:p>
        </w:tc>
        <w:tc>
          <w:tcPr>
            <w:tcW w:w="90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2,454</w:t>
            </w:r>
          </w:p>
        </w:tc>
        <w:tc>
          <w:tcPr>
            <w:tcW w:w="220" w:type="dxa"/>
            <w:vAlign w:val="bottom"/>
            <w:shd w:val="clear" w:color="auto" w:fill="B6EAFC"/>
          </w:tcPr>
          <w:p>
            <w:pPr>
              <w:spacing w:after="0"/>
              <w:rPr>
                <w:sz w:val="18"/>
                <w:szCs w:val="18"/>
                <w:color w:val="auto"/>
              </w:rPr>
            </w:pPr>
          </w:p>
        </w:tc>
        <w:tc>
          <w:tcPr>
            <w:tcW w:w="146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B6EAFC"/>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1,117</w:t>
            </w:r>
          </w:p>
        </w:tc>
        <w:tc>
          <w:tcPr>
            <w:tcW w:w="220" w:type="dxa"/>
            <w:vAlign w:val="bottom"/>
            <w:shd w:val="clear" w:color="auto" w:fill="B6EAFC"/>
          </w:tcPr>
          <w:p>
            <w:pPr>
              <w:spacing w:after="0"/>
              <w:rPr>
                <w:sz w:val="18"/>
                <w:szCs w:val="18"/>
                <w:color w:val="auto"/>
              </w:rPr>
            </w:pPr>
          </w:p>
        </w:tc>
        <w:tc>
          <w:tcPr>
            <w:tcW w:w="52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Nine Months</w:t>
            </w: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99"/>
              </w:rPr>
              <w:t>% of</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Nine Months</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 of</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88"/>
              </w:rPr>
              <w:t>Ended</w:t>
            </w: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88"/>
              </w:rPr>
              <w:t>Expense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88"/>
              </w:rPr>
              <w:t>Ended</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Expense</w:t>
            </w:r>
          </w:p>
        </w:tc>
        <w:tc>
          <w:tcPr>
            <w:tcW w:w="340" w:type="dxa"/>
            <w:vAlign w:val="bottom"/>
          </w:tcPr>
          <w:p>
            <w:pPr>
              <w:spacing w:after="0"/>
              <w:rPr>
                <w:sz w:val="18"/>
                <w:szCs w:val="18"/>
                <w:color w:val="auto"/>
              </w:rPr>
            </w:pPr>
          </w:p>
        </w:tc>
        <w:tc>
          <w:tcPr>
            <w:tcW w:w="1640" w:type="dxa"/>
            <w:vAlign w:val="bottom"/>
            <w:gridSpan w:val="3"/>
          </w:tcPr>
          <w:p>
            <w:pPr>
              <w:ind w:left="460"/>
              <w:spacing w:after="0"/>
              <w:rPr>
                <w:sz w:val="20"/>
                <w:szCs w:val="20"/>
                <w:color w:val="auto"/>
              </w:rPr>
            </w:pPr>
            <w:r>
              <w:rPr>
                <w:rFonts w:ascii="Arial" w:cs="Arial" w:eastAsia="Arial" w:hAnsi="Arial"/>
                <w:sz w:val="14"/>
                <w:szCs w:val="14"/>
                <w:color w:val="auto"/>
                <w:w w:val="91"/>
              </w:rPr>
              <w:t>Increase (Decrease)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60" w:type="dxa"/>
            <w:vAlign w:val="bottom"/>
            <w:tcBorders>
              <w:bottom w:val="single" w:sz="8" w:color="B6EA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0"/>
              </w:rPr>
              <w:t>June 30, 2015</w:t>
            </w:r>
          </w:p>
        </w:tc>
        <w:tc>
          <w:tcPr>
            <w:tcW w:w="220" w:type="dxa"/>
            <w:vAlign w:val="bottom"/>
            <w:tcBorders>
              <w:bottom w:val="single" w:sz="8" w:color="B6EAFC"/>
            </w:tcBorders>
          </w:tcPr>
          <w:p>
            <w:pPr>
              <w:spacing w:after="0"/>
              <w:rPr>
                <w:sz w:val="16"/>
                <w:szCs w:val="16"/>
                <w:color w:val="auto"/>
              </w:rPr>
            </w:pPr>
          </w:p>
        </w:tc>
        <w:tc>
          <w:tcPr>
            <w:tcW w:w="9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91"/>
              </w:rPr>
              <w:t>Category</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B6EA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0"/>
              </w:rPr>
              <w:t>June 30, 2014</w:t>
            </w:r>
          </w:p>
        </w:tc>
        <w:tc>
          <w:tcPr>
            <w:tcW w:w="220" w:type="dxa"/>
            <w:vAlign w:val="bottom"/>
            <w:tcBorders>
              <w:bottom w:val="single" w:sz="8" w:color="B6EAFC"/>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40" w:type="dxa"/>
            <w:vAlign w:val="bottom"/>
            <w:tcBorders>
              <w:bottom w:val="single" w:sz="8" w:color="B6EA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EA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7,501</w:t>
            </w:r>
          </w:p>
        </w:tc>
        <w:tc>
          <w:tcPr>
            <w:tcW w:w="220" w:type="dxa"/>
            <w:vAlign w:val="bottom"/>
            <w:shd w:val="clear" w:color="auto" w:fill="B6EAFC"/>
          </w:tcPr>
          <w:p>
            <w:pPr>
              <w:spacing w:after="0"/>
              <w:rPr>
                <w:sz w:val="18"/>
                <w:szCs w:val="18"/>
                <w:color w:val="auto"/>
              </w:rPr>
            </w:pPr>
          </w:p>
        </w:tc>
        <w:tc>
          <w:tcPr>
            <w:tcW w:w="90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73%</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4,567</w:t>
            </w:r>
          </w:p>
        </w:tc>
        <w:tc>
          <w:tcPr>
            <w:tcW w:w="220" w:type="dxa"/>
            <w:vAlign w:val="bottom"/>
            <w:shd w:val="clear" w:color="auto" w:fill="B6EAFC"/>
          </w:tcPr>
          <w:p>
            <w:pPr>
              <w:spacing w:after="0"/>
              <w:rPr>
                <w:sz w:val="18"/>
                <w:szCs w:val="18"/>
                <w:color w:val="auto"/>
              </w:rPr>
            </w:pPr>
          </w:p>
        </w:tc>
        <w:tc>
          <w:tcPr>
            <w:tcW w:w="146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60%</w:t>
            </w:r>
          </w:p>
        </w:tc>
        <w:tc>
          <w:tcPr>
            <w:tcW w:w="340" w:type="dxa"/>
            <w:vAlign w:val="bottom"/>
            <w:shd w:val="clear" w:color="auto" w:fill="B6EAFC"/>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2,934</w:t>
            </w:r>
          </w:p>
        </w:tc>
        <w:tc>
          <w:tcPr>
            <w:tcW w:w="220" w:type="dxa"/>
            <w:vAlign w:val="bottom"/>
            <w:shd w:val="clear" w:color="auto" w:fill="B6EAFC"/>
          </w:tcPr>
          <w:p>
            <w:pPr>
              <w:spacing w:after="0"/>
              <w:rPr>
                <w:sz w:val="18"/>
                <w:szCs w:val="18"/>
                <w:color w:val="auto"/>
              </w:rPr>
            </w:pPr>
          </w:p>
        </w:tc>
        <w:tc>
          <w:tcPr>
            <w:tcW w:w="52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2,762</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3,067</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(305)</w:t>
            </w:r>
          </w:p>
        </w:tc>
        <w:tc>
          <w:tcPr>
            <w:tcW w:w="5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B6EAFC"/>
            </w:tcBorders>
            <w:shd w:val="clear" w:color="auto" w:fill="B6EA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shd w:val="clear" w:color="auto" w:fill="B6EAFC"/>
          </w:tcPr>
          <w:p>
            <w:pPr>
              <w:spacing w:after="0"/>
              <w:rPr>
                <w:sz w:val="18"/>
                <w:szCs w:val="18"/>
                <w:color w:val="auto"/>
              </w:rPr>
            </w:pP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10,263</w:t>
            </w:r>
          </w:p>
        </w:tc>
        <w:tc>
          <w:tcPr>
            <w:tcW w:w="220" w:type="dxa"/>
            <w:vAlign w:val="bottom"/>
            <w:shd w:val="clear" w:color="auto" w:fill="B6EAFC"/>
          </w:tcPr>
          <w:p>
            <w:pPr>
              <w:spacing w:after="0"/>
              <w:rPr>
                <w:sz w:val="18"/>
                <w:szCs w:val="18"/>
                <w:color w:val="auto"/>
              </w:rPr>
            </w:pPr>
          </w:p>
        </w:tc>
        <w:tc>
          <w:tcPr>
            <w:tcW w:w="90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7,634</w:t>
            </w:r>
          </w:p>
        </w:tc>
        <w:tc>
          <w:tcPr>
            <w:tcW w:w="220" w:type="dxa"/>
            <w:vAlign w:val="bottom"/>
            <w:shd w:val="clear" w:color="auto" w:fill="B6EAFC"/>
          </w:tcPr>
          <w:p>
            <w:pPr>
              <w:spacing w:after="0"/>
              <w:rPr>
                <w:sz w:val="18"/>
                <w:szCs w:val="18"/>
                <w:color w:val="auto"/>
              </w:rPr>
            </w:pPr>
          </w:p>
        </w:tc>
        <w:tc>
          <w:tcPr>
            <w:tcW w:w="146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B6EAFC"/>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2,629</w:t>
            </w:r>
          </w:p>
        </w:tc>
        <w:tc>
          <w:tcPr>
            <w:tcW w:w="220" w:type="dxa"/>
            <w:vAlign w:val="bottom"/>
            <w:shd w:val="clear" w:color="auto" w:fill="B6EAFC"/>
          </w:tcPr>
          <w:p>
            <w:pPr>
              <w:spacing w:after="0"/>
              <w:rPr>
                <w:sz w:val="18"/>
                <w:szCs w:val="18"/>
                <w:color w:val="auto"/>
              </w:rPr>
            </w:pPr>
          </w:p>
        </w:tc>
        <w:tc>
          <w:tcPr>
            <w:tcW w:w="52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R&amp;D compensation expense increased by $863,000 from $1,762,000 during the three months ended June 30, 2014 to $2,625,000 during the current period. The expense also increased by $2,934,000 from $4,567,000 during the nine months ended June 30, 2014 to $7,501,000 during the current period. An increase in headcount accounted for the majority of the change in compensation-related expense.</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G&amp;A compensation expense increased by $254,000 from $692,000 during the three months ended June 30, 2014 to $946,000 during the current period. Increased headcount accounted for the change in the current period. The expense decreased by $305,000 from $3,067,000 during the nine months ended June 30, 2014 to $2,762,000 during the current period. The decrease was due to the timing of bonus expenses, partially offset by higher salary expense related to increased headcount.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General &amp; Administrative Expenses – Three and nine months ended June 30, 2015 compared to the three and nine months ended June 30, 2014</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Three</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Months Ended</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4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0"/>
              </w:rPr>
              <w:t>Increase (Decrease)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June 30, 2015</w:t>
            </w:r>
          </w:p>
        </w:tc>
        <w:tc>
          <w:tcPr>
            <w:tcW w:w="22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2014</w:t>
            </w:r>
          </w:p>
        </w:tc>
        <w:tc>
          <w:tcPr>
            <w:tcW w:w="20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B6EA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773</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759</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48%</w:t>
            </w:r>
          </w:p>
        </w:tc>
        <w:tc>
          <w:tcPr>
            <w:tcW w:w="600" w:type="dxa"/>
            <w:vAlign w:val="bottom"/>
            <w:shd w:val="clear" w:color="auto" w:fill="B6EAFC"/>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Patent expense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Travel</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9%</w:t>
            </w:r>
          </w:p>
        </w:tc>
        <w:tc>
          <w:tcPr>
            <w:tcW w:w="600" w:type="dxa"/>
            <w:vAlign w:val="bottom"/>
            <w:shd w:val="clear" w:color="auto" w:fill="B6EAFC"/>
          </w:tcPr>
          <w:p>
            <w:pPr>
              <w:spacing w:after="0"/>
              <w:rPr>
                <w:sz w:val="19"/>
                <w:szCs w:val="19"/>
                <w:color w:val="auto"/>
              </w:rPr>
            </w:pPr>
          </w:p>
        </w:tc>
        <w:tc>
          <w:tcPr>
            <w:tcW w:w="7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(61)</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1,829</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1,582</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B6EAFC"/>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57"/>
        </w:trPr>
        <w:tc>
          <w:tcPr>
            <w:tcW w:w="3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Nine</w:t>
            </w:r>
          </w:p>
        </w:tc>
        <w:tc>
          <w:tcPr>
            <w:tcW w:w="2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8"/>
              </w:rPr>
              <w:t>Nine</w:t>
            </w:r>
          </w:p>
        </w:tc>
        <w:tc>
          <w:tcPr>
            <w:tcW w:w="2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Months Ended</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4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0"/>
              </w:rPr>
              <w:t>Increase (Decrease)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June 30, 2015</w:t>
            </w:r>
          </w:p>
        </w:tc>
        <w:tc>
          <w:tcPr>
            <w:tcW w:w="22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2014</w:t>
            </w:r>
          </w:p>
        </w:tc>
        <w:tc>
          <w:tcPr>
            <w:tcW w:w="20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B6EA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2,909</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1,778</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46%</w:t>
            </w:r>
          </w:p>
        </w:tc>
        <w:tc>
          <w:tcPr>
            <w:tcW w:w="600" w:type="dxa"/>
            <w:vAlign w:val="bottom"/>
            <w:shd w:val="clear" w:color="auto" w:fill="B6EAFC"/>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1,131</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Patent expense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Travel</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00" w:type="dxa"/>
            <w:vAlign w:val="bottom"/>
            <w:shd w:val="clear" w:color="auto" w:fill="B6EAFC"/>
          </w:tcPr>
          <w:p>
            <w:pPr>
              <w:spacing w:after="0"/>
              <w:rPr>
                <w:sz w:val="19"/>
                <w:szCs w:val="19"/>
                <w:color w:val="auto"/>
              </w:rPr>
            </w:pP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B6EAFC"/>
          </w:tcPr>
          <w:p>
            <w:pPr>
              <w:spacing w:after="0"/>
              <w:rPr>
                <w:sz w:val="19"/>
                <w:szCs w:val="19"/>
                <w:color w:val="auto"/>
              </w:rPr>
            </w:pP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8%</w:t>
            </w:r>
          </w:p>
        </w:tc>
        <w:tc>
          <w:tcPr>
            <w:tcW w:w="600" w:type="dxa"/>
            <w:vAlign w:val="bottom"/>
            <w:shd w:val="clear" w:color="auto" w:fill="B6EAFC"/>
          </w:tcPr>
          <w:p>
            <w:pPr>
              <w:spacing w:after="0"/>
              <w:rPr>
                <w:sz w:val="19"/>
                <w:szCs w:val="19"/>
                <w:color w:val="auto"/>
              </w:rPr>
            </w:pPr>
          </w:p>
        </w:tc>
        <w:tc>
          <w:tcPr>
            <w:tcW w:w="7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(71)</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5,612</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3,866</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B6EAFC"/>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1,746</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by $14,000 from $759,000 during the three months ended June 30, 2014 to $773,000 during the current period. The expense also increased by $1,131,000 from $1,778,000 during the nine months ended June 30, 2014 to $2,909,000 during the current period. The increase in professional fees primarily related to higher legal fees related to recent litigation events. See Note 7 – Commitments and Contingencies for further discussion. Additionally, the Company incurred higher recruiting fees to fill new positions.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26" w:name="page27"/>
    <w:bookmarkEnd w:id="26"/>
    <w:p>
      <w:pPr>
        <w:ind w:right="40" w:firstLine="518"/>
        <w:spacing w:after="0" w:line="276" w:lineRule="auto"/>
        <w:rPr>
          <w:sz w:val="20"/>
          <w:szCs w:val="20"/>
          <w:color w:val="auto"/>
        </w:rPr>
      </w:pPr>
      <w:r>
        <w:rPr>
          <w:rFonts w:ascii="Arial" w:cs="Arial" w:eastAsia="Arial" w:hAnsi="Arial"/>
          <w:sz w:val="17"/>
          <w:szCs w:val="17"/>
          <w:color w:val="auto"/>
        </w:rPr>
        <w:t>Patent expense increased by $86,000 from $139,000 during the three months ended June 30, 2014 to $225,000 during the current period. The expense also decreased by $19,000 from $540,000 during the nine months ended June 30, 2014 to $559,000 during the current period. The Company continues to invest in patent protection for its DPC technology, related product candidates and other RNAi technology through patent filings in multiple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7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Facilities-related expense increased by $32,000 from $43,000 during the three months ended June 30, 2014 to $75,000 during the current period. The expense also increased by $91,000 from $137,000 during the nine months ended June 30, 2014 to $228,000 during the current period. Facilities expense increased due to the expansion of our corporate headquarters in Pasadena.</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Travel expense increased by $1,000 from $234,000 during the three months ended June 30, 2014 to $235,000 during the current period. The expense also increased by $90,000 from $473,000 during the nine months ended June 30, 2014 to $563,000 during the current period. Travel expense increased due to travel in support of our R&amp;D function, primarily our GMP manufacturing campaign and our clinical trials.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Business insurance expense increased by $36,000 from $97,000 during the three months ended June 30, 2014 to $133,000 during the current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period. The expense also increased by $137,000 from $209,000 during the nine months ended June 30, 2014 to $346,000 during the current period.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costs increased primarily due to added coverage related to the Company’s clinical trials, as well as increases in other corporate liability insurance.</w:t>
      </w:r>
    </w:p>
    <w:p>
      <w:pPr>
        <w:spacing w:after="0" w:line="234"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Communication and technology expense increased by $82,000 from $88,000 during the three months ended June 30, 2014 to $170,000 during the current period. The expense also increased by $275,000 from $252,000 during the nine months ended June 30, 2014 to $527,000 during the current period. The increase was related to the cost associated with new equipment related to new employees as well as upgrades to the Company’s networks. Additionally, during the three months ended June 30, 2015, the Company incurred certain consulting, hardware and software charges related to an upgrade to the Company’s accounting systems.</w:t>
      </w:r>
    </w:p>
    <w:p>
      <w:pPr>
        <w:spacing w:after="0" w:line="18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Office expense decreased by $61,000 from $139,000 during the three months ended June 30, 2014 to $78,000 during the current period. The expense also decreased by $71,000 from $293,000 during the nine months ended June 30, 2014 to $222,000 during the current period. These expenses relate to conferences/training, office supplies, miscellaneous administrative expenses, and expenses related to office expansions at our R&amp;D facility in Madison and our corporate headquarters in Pasadena. During the three months ended June 30, 2014, the Company incurred certain charges related to its Madison office expansion, including new office furniture and cubicles, which was not repeated in the current year.</w:t>
      </w:r>
    </w:p>
    <w:p>
      <w:pPr>
        <w:spacing w:after="0" w:line="173"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Other expense increased by $57,000 from $83,000 during the three months ended June 30, 2014 to $140,000 during the current period. The expense also increased by $74,000 from $184,000 during the nine months ended June 30, 2014 to $258,000 during the current period. This category consists primarily of conference attendance fees, franchise and property tax expenses and marketing expenses. The primary increase in other expense primarily related to the provision for franchise taxes recorded during the current quarter.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 Novartis pre-clinical candidates</w:t>
      </w:r>
    </w:p>
    <w:p>
      <w:pPr>
        <w:spacing w:after="0" w:line="117"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Acquired in-process research and development expense for the Novartis pre-clinical candidates was $10,142,786 for the three and nine months ended June 30, 2015 and zero for the previous periods. This expense pertains to the acquisition of the Novartis RNAi assets discussed above. The pre-clinical candidates were expensed during the period, while certain other patents and a third-party license were capitalized as intangible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Stock-based compensation expense, a noncash expense, was $2,486,074 and $6,706,009 during the three and nine months ended June 30, 2015, compared to $2,038,682 and $3,758,264 during the comparable prior period. Stock-based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Based on the additional options and restricted stock units granted to new and existing employees in fiscal 2015, compensation expense has increased from the prior year.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Depreciation and amortization expense, a noncash expense, was 741,058 and $1,480,656 during the three and nine months ended June 30, 2015, compared to $276,054 and $1,075,238 during the comparable prior period. The majority of depreciation and amortization expense relates to depreciation on lab equipment obtained as part of the acquisition of Roche Madison in 2011. In addition, the Company records depreciation on leasehold improvements at its Madison research facility and its Pasadena corporate headquarters. The increase in depreciation and amortization expense is primarily due to the amortization of the intangible assets acquired in the Novartis asset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 expense includes income of $57,653 and $3,546,398 during the three and nine months ended June 30, 2015, compared to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$1,073,649 and expense of $5,372,902 in the comparable prior period. The primary component of other expense during each period was a change in the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derivative liabilities related to certain warrants with a price adjustment feature, necessitating derivative accounting. The fluctuations in each period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driven by changes in the Company’s stock price, which had a corresponding impact to the valuation of the underlying warrants.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Arrowhead has historically financed its operations through the sale of its securities. Research and development activities have required significant capital investment since the Company’s inception, and are expected to continue to require significant cash investment.</w:t>
      </w:r>
    </w:p>
    <w:p>
      <w:pPr>
        <w:spacing w:after="0" w:line="170"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At June 30, 2015, the Company had cash on hand of approximately $87.3 million as compared to $132.5 million at September 30, 2014. Excess cash invested in fixed income securities was $24.4 million at June 30, 2015, compared to $44.7 million at September 30, 2014. The Company believes its current financial resources are sufficient to fund its operations through at least the next twelve months.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nine months ended June 30, 2015 and 2014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4"/>
                <w:szCs w:val="14"/>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Nine Months Ended June</w:t>
            </w:r>
          </w:p>
        </w:tc>
      </w:tr>
      <w:tr>
        <w:trPr>
          <w:trHeight w:val="171"/>
        </w:trPr>
        <w:tc>
          <w:tcPr>
            <w:tcW w:w="2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30, 2014</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(53,687,248)</w:t>
            </w: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(24,496,567)</w:t>
            </w: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8,275,995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(41,026,691)</w:t>
            </w: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184,758,547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(45,257,797)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119,235,289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132,510,610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19,114,444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87,252,813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138,349,733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8"/>
        <w:spacing w:after="0" w:line="257" w:lineRule="auto"/>
        <w:rPr>
          <w:sz w:val="20"/>
          <w:szCs w:val="20"/>
          <w:color w:val="auto"/>
        </w:rPr>
      </w:pPr>
      <w:r>
        <w:rPr>
          <w:rFonts w:ascii="Arial" w:cs="Arial" w:eastAsia="Arial" w:hAnsi="Arial"/>
          <w:sz w:val="18"/>
          <w:szCs w:val="18"/>
          <w:color w:val="auto"/>
        </w:rPr>
        <w:t>During the nine months ended June 30, 2015, the Company used $53.7 million in cash from operating activities, which represents the on-going expenses of its research and development programs and corporate overhead. Cash provided by investing activities was $8.3 million, primarily related to maturities on fixed income securities of $19.4 million, partially offset by cash paid for the acquisition of the Novartis RNAi assets of $10.0 million and capital expenditures of $1.1 million. Cash provided by financing activities of $0.2 million was driven by cash received from the exercise of warrants and stock options.</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During the nine months ended June 30, 2014, the Company used $24.5 million in cash from operating activities, which represents the on-going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expenses of its research and development programs and corporate overhead. Cash used by investing activities was $41.0 million, primarily related to net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fixed income securities of $46.4 million and capital expenditures of $1.3 million, partially offset by maturities on fixed income securities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$6.6 million. Cash provided by financing activities of $184.8 million includes $172.6 million of cash received from equity financings by the Company as well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$12.4 million in cash received from the exercise of warrants and stock options.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2014, filed with the Securities and Exchange Commission on November 25, 2014.</w:t>
      </w:r>
    </w:p>
    <w:p>
      <w:pPr>
        <w:spacing w:after="0" w:line="2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individually or in the aggregate, will have a material adverse effect on our results of operations or financial condition. The information contained in Note 7 to the Consolidated Financial Statements under the heading “Litigation” in Part I, Item 1 is incorporated herein by reference.</w:t>
      </w:r>
    </w:p>
    <w:p>
      <w:pPr>
        <w:spacing w:after="0" w:line="29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2014. Please carefully consider the information set forth in this Quarterly Report on Form 10-Q and the risk factors discussed in Part I, “Item 1A. Risk Factors” in our Annual Report on Form 10-K for the year ended September 30, 2014,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Borders>
              <w:top w:val="single" w:sz="8" w:color="auto"/>
            </w:tcBorders>
          </w:tcPr>
          <w:p>
            <w:pPr>
              <w:jc w:val="right"/>
              <w:ind w:right="416"/>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Certification of Chief Executive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23"/>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23"/>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23"/>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20" w:right="160" w:hanging="912"/>
        <w:spacing w:after="0" w:line="312"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June 30, 2015,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00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7"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2015</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RESEARCH CORPORATION</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121"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3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499"/>
        <w:spacing w:after="0" w:line="308" w:lineRule="auto"/>
        <w:tabs>
          <w:tab w:leader="none" w:pos="124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Quarterly Report on Form 10-Q of the Company for the quarterly period ended June 30, 2015,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3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Research Corporation (the “Company”), certify, pursuant to Rule 13(a)-14(b) or Rule 15(d)-14(b) of the Securities Exchange Act of 1934 and 18 U.S.C. Section 1350, that (i) the Quarterly Report on Form 10-Q of the Company for the quarterly period ended June 30, 2015,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2019-12-29T15:12:53Z</dcterms:created>
  <dcterms:modified xsi:type="dcterms:W3CDTF">2019-12-29T15:12:53Z</dcterms:modified>
</cp:coreProperties>
</file>