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216535</wp:posOffset>
            </wp:positionV>
            <wp:extent cx="69894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267970</wp:posOffset>
            </wp:positionV>
            <wp:extent cx="698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66" w:lineRule="exact"/>
        <w:rPr>
          <w:sz w:val="24"/>
          <w:szCs w:val="24"/>
          <w:color w:val="auto"/>
        </w:rPr>
      </w:pPr>
    </w:p>
    <w:p>
      <w:pPr>
        <w:jc w:val="center"/>
        <w:ind w:right="-379"/>
        <w:spacing w:after="0"/>
        <w:rPr>
          <w:sz w:val="20"/>
          <w:szCs w:val="20"/>
          <w:color w:val="auto"/>
        </w:rPr>
      </w:pPr>
      <w:r>
        <w:rPr>
          <w:rFonts w:ascii="Arial" w:cs="Arial" w:eastAsia="Arial" w:hAnsi="Arial"/>
          <w:sz w:val="24"/>
          <w:szCs w:val="24"/>
          <w:b w:val="1"/>
          <w:bCs w:val="1"/>
          <w:color w:val="auto"/>
        </w:rPr>
        <w:t>SCHEDULE 14A</w:t>
      </w:r>
    </w:p>
    <w:p>
      <w:pPr>
        <w:spacing w:after="0" w:line="39"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(Rule 14a-101)</w:t>
      </w:r>
    </w:p>
    <w:p>
      <w:pPr>
        <w:spacing w:after="0" w:line="7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103"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Exchange Act of 1934</w:t>
      </w:r>
    </w:p>
    <w:p>
      <w:pPr>
        <w:spacing w:after="0" w:line="57" w:lineRule="exact"/>
        <w:rPr>
          <w:sz w:val="24"/>
          <w:szCs w:val="24"/>
          <w:color w:val="auto"/>
        </w:rPr>
      </w:pPr>
    </w:p>
    <w:p>
      <w:pPr>
        <w:ind w:left="220"/>
        <w:spacing w:after="0" w:line="207" w:lineRule="exact"/>
        <w:tabs>
          <w:tab w:leader="none" w:pos="37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130" w:lineRule="exact"/>
        <w:rPr>
          <w:sz w:val="24"/>
          <w:szCs w:val="24"/>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4" w:lineRule="exact"/>
        <w:rPr>
          <w:rFonts w:ascii="MS PGothic" w:cs="MS PGothic" w:eastAsia="MS PGothic" w:hAnsi="MS PGothic"/>
          <w:sz w:val="18"/>
          <w:szCs w:val="18"/>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81" w:lineRule="exact"/>
        <w:rPr>
          <w:rFonts w:ascii="MS PGothic" w:cs="MS PGothic" w:eastAsia="MS PGothic" w:hAnsi="MS PGothic"/>
          <w:sz w:val="18"/>
          <w:szCs w:val="18"/>
          <w:color w:val="auto"/>
        </w:rPr>
      </w:pPr>
    </w:p>
    <w:p>
      <w:pPr>
        <w:ind w:left="2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54" w:lineRule="exact"/>
        <w:rPr>
          <w:rFonts w:ascii="MS PGothic" w:cs="MS PGothic" w:eastAsia="MS PGothic" w:hAnsi="MS PGothic"/>
          <w:sz w:val="18"/>
          <w:szCs w:val="18"/>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6" w:lineRule="exact"/>
        <w:rPr>
          <w:rFonts w:ascii="MS PGothic" w:cs="MS PGothic" w:eastAsia="MS PGothic" w:hAnsi="MS PGothic"/>
          <w:sz w:val="18"/>
          <w:szCs w:val="18"/>
          <w:color w:val="auto"/>
        </w:rPr>
      </w:pPr>
    </w:p>
    <w:p>
      <w:pPr>
        <w:ind w:left="660" w:hanging="450"/>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ARROWHEAD PHARMACEUTICALS, INC.</w:t>
      </w:r>
    </w:p>
    <w:p>
      <w:pPr>
        <w:spacing w:after="0" w:line="5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5" w:lineRule="exact"/>
        <w:rPr>
          <w:sz w:val="24"/>
          <w:szCs w:val="24"/>
          <w:color w:val="auto"/>
        </w:rPr>
      </w:pPr>
    </w:p>
    <w:p>
      <w:pPr>
        <w:ind w:left="34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211" w:lineRule="exact"/>
        <w:rPr>
          <w:sz w:val="24"/>
          <w:szCs w:val="24"/>
          <w:color w:val="auto"/>
        </w:rPr>
      </w:pPr>
    </w:p>
    <w:p>
      <w:pPr>
        <w:ind w:left="660" w:hanging="450"/>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4" w:lineRule="exact"/>
        <w:rPr>
          <w:rFonts w:ascii="MS PGothic" w:cs="MS PGothic" w:eastAsia="MS PGothic" w:hAnsi="MS PGothic"/>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6"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6" w:lineRule="exact"/>
        <w:rPr>
          <w:rFonts w:ascii="Arial" w:cs="Arial" w:eastAsia="Arial" w:hAnsi="Arial"/>
          <w:sz w:val="18"/>
          <w:szCs w:val="18"/>
          <w:color w:val="auto"/>
        </w:rPr>
      </w:pPr>
    </w:p>
    <w:p>
      <w:pPr>
        <w:ind w:left="1100" w:hanging="431"/>
        <w:spacing w:after="0" w:line="276"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6"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86" w:lineRule="exact"/>
        <w:rPr>
          <w:rFonts w:ascii="Arial" w:cs="Arial" w:eastAsia="Arial" w:hAnsi="Arial"/>
          <w:sz w:val="18"/>
          <w:szCs w:val="18"/>
          <w:color w:val="auto"/>
        </w:rPr>
      </w:pPr>
    </w:p>
    <w:p>
      <w:pPr>
        <w:ind w:left="660" w:hanging="450"/>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4" w:lineRule="exact"/>
        <w:rPr>
          <w:rFonts w:ascii="MS PGothic" w:cs="MS PGothic" w:eastAsia="MS PGothic" w:hAnsi="MS PGothic"/>
          <w:sz w:val="18"/>
          <w:szCs w:val="18"/>
          <w:color w:val="auto"/>
        </w:rPr>
      </w:pPr>
    </w:p>
    <w:p>
      <w:pPr>
        <w:ind w:left="660" w:right="40" w:hanging="450"/>
        <w:spacing w:after="0" w:line="255" w:lineRule="auto"/>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6"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6"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6" w:lineRule="exact"/>
        <w:rPr>
          <w:rFonts w:ascii="Arial" w:cs="Arial" w:eastAsia="Arial" w:hAnsi="Arial"/>
          <w:sz w:val="18"/>
          <w:szCs w:val="18"/>
          <w:color w:val="auto"/>
        </w:rPr>
      </w:pPr>
    </w:p>
    <w:p>
      <w:pPr>
        <w:ind w:left="1100" w:hanging="43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-3696970</wp:posOffset>
            </wp:positionV>
            <wp:extent cx="642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-3319780</wp:posOffset>
            </wp:positionV>
            <wp:extent cx="642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-2814320</wp:posOffset>
            </wp:positionV>
            <wp:extent cx="642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-2437765</wp:posOffset>
            </wp:positionV>
            <wp:extent cx="642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-2060575</wp:posOffset>
            </wp:positionV>
            <wp:extent cx="642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-887095</wp:posOffset>
            </wp:positionV>
            <wp:extent cx="642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-510540</wp:posOffset>
            </wp:positionV>
            <wp:extent cx="642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-133350</wp:posOffset>
            </wp:positionV>
            <wp:extent cx="6424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242570</wp:posOffset>
            </wp:positionV>
            <wp:extent cx="642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42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362585</wp:posOffset>
            </wp:positionV>
            <wp:extent cx="69894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414020</wp:posOffset>
            </wp:positionV>
            <wp:extent cx="69894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ectPr>
          <w:pgSz w:w="11900" w:h="16838" w:orient="portrait"/>
          <w:cols w:equalWidth="0" w:num="1">
            <w:col w:w="11040"/>
          </w:cols>
          <w:pgMar w:left="240" w:top="226" w:right="61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215265</wp:posOffset>
            </wp:positionV>
            <wp:extent cx="7181850" cy="925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1850" cy="925131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207645</wp:posOffset>
            </wp:positionV>
            <wp:extent cx="2261235"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123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To Be Held on Thursday, March 14, 2019</w:t>
      </w:r>
    </w:p>
    <w:p>
      <w:pPr>
        <w:sectPr>
          <w:pgSz w:w="11900" w:h="16838" w:orient="portrait"/>
          <w:cols w:equalWidth="0" w:num="1">
            <w:col w:w="11200"/>
          </w:cols>
          <w:pgMar w:left="24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line="257"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-1525270</wp:posOffset>
            </wp:positionV>
            <wp:extent cx="2800985" cy="5756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0985" cy="5756275"/>
                    </a:xfrm>
                    <a:prstGeom prst="rect">
                      <a:avLst/>
                    </a:prstGeom>
                    <a:noFill/>
                  </pic:spPr>
                </pic:pic>
              </a:graphicData>
            </a:graphic>
          </wp:anchor>
        </w:drawing>
      </w:r>
    </w:p>
    <w:p>
      <w:pPr>
        <w:spacing w:after="0" w:line="133" w:lineRule="exact"/>
        <w:rPr>
          <w:sz w:val="20"/>
          <w:szCs w:val="20"/>
          <w:color w:val="auto"/>
        </w:rPr>
      </w:pPr>
    </w:p>
    <w:p>
      <w:pPr>
        <w:ind w:left="320" w:right="100"/>
        <w:spacing w:after="0" w:line="275"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36" w:lineRule="exact"/>
        <w:rPr>
          <w:sz w:val="20"/>
          <w:szCs w:val="20"/>
          <w:color w:val="auto"/>
        </w:rPr>
      </w:pPr>
    </w:p>
    <w:p>
      <w:pPr>
        <w:ind w:left="320" w:right="220"/>
        <w:spacing w:after="0" w:line="265" w:lineRule="auto"/>
        <w:rPr>
          <w:sz w:val="20"/>
          <w:szCs w:val="20"/>
          <w:color w:val="auto"/>
        </w:rPr>
      </w:pPr>
      <w:r>
        <w:rPr>
          <w:rFonts w:ascii="Arial" w:cs="Arial" w:eastAsia="Arial" w:hAnsi="Arial"/>
          <w:sz w:val="16"/>
          <w:szCs w:val="16"/>
          <w:b w:val="1"/>
          <w:bCs w:val="1"/>
          <w:color w:val="auto"/>
        </w:rPr>
        <w:t>Please note, however, that if your shares are held of record by a broker, bank or other nominee and you wish to vote at the meeting, you must obtain a proxy issued in your name from that record holder.</w:t>
      </w:r>
    </w:p>
    <w:p>
      <w:pPr>
        <w:spacing w:after="0" w:line="145" w:lineRule="exact"/>
        <w:rPr>
          <w:sz w:val="20"/>
          <w:szCs w:val="20"/>
          <w:color w:val="auto"/>
        </w:rPr>
      </w:pPr>
    </w:p>
    <w:p>
      <w:pPr>
        <w:jc w:val="both"/>
        <w:ind w:left="320" w:right="260"/>
        <w:spacing w:after="0" w:line="275"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14, 2019:</w:t>
      </w:r>
    </w:p>
    <w:p>
      <w:pPr>
        <w:spacing w:after="0" w:line="138" w:lineRule="exact"/>
        <w:rPr>
          <w:sz w:val="20"/>
          <w:szCs w:val="20"/>
          <w:color w:val="auto"/>
        </w:rPr>
      </w:pPr>
    </w:p>
    <w:p>
      <w:pPr>
        <w:ind w:left="320" w:right="760"/>
        <w:spacing w:after="0" w:line="291" w:lineRule="auto"/>
        <w:rPr>
          <w:sz w:val="20"/>
          <w:szCs w:val="20"/>
          <w:color w:val="auto"/>
        </w:rPr>
      </w:pPr>
      <w:r>
        <w:rPr>
          <w:rFonts w:ascii="Arial" w:cs="Arial" w:eastAsia="Arial" w:hAnsi="Arial"/>
          <w:sz w:val="16"/>
          <w:szCs w:val="16"/>
          <w:color w:val="auto"/>
        </w:rPr>
        <w:t>You may access the following proxy materials at www.virtualshareholdermeeting.com/ARWR2019</w:t>
      </w:r>
    </w:p>
    <w:p>
      <w:pPr>
        <w:spacing w:after="0" w:line="53" w:lineRule="exact"/>
        <w:rPr>
          <w:sz w:val="20"/>
          <w:szCs w:val="20"/>
          <w:color w:val="auto"/>
        </w:rPr>
      </w:pPr>
    </w:p>
    <w:p>
      <w:pPr>
        <w:ind w:left="440" w:hanging="149"/>
        <w:spacing w:after="0"/>
        <w:tabs>
          <w:tab w:leader="none" w:pos="44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Notice of the 2019 Annual Meeting of Stockholders;</w:t>
      </w:r>
    </w:p>
    <w:p>
      <w:pPr>
        <w:spacing w:after="0" w:line="126" w:lineRule="exact"/>
        <w:rPr>
          <w:rFonts w:ascii="Arial" w:cs="Arial" w:eastAsia="Arial" w:hAnsi="Arial"/>
          <w:sz w:val="16"/>
          <w:szCs w:val="16"/>
          <w:color w:val="0071CE"/>
        </w:rPr>
      </w:pPr>
    </w:p>
    <w:p>
      <w:pPr>
        <w:ind w:left="440" w:hanging="149"/>
        <w:spacing w:after="0"/>
        <w:tabs>
          <w:tab w:leader="none" w:pos="44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Company’s 2019 Proxy Statement;</w:t>
      </w:r>
    </w:p>
    <w:p>
      <w:pPr>
        <w:spacing w:after="0" w:line="126" w:lineRule="exact"/>
        <w:rPr>
          <w:rFonts w:ascii="Arial" w:cs="Arial" w:eastAsia="Arial" w:hAnsi="Arial"/>
          <w:sz w:val="16"/>
          <w:szCs w:val="16"/>
          <w:color w:val="0071CE"/>
        </w:rPr>
      </w:pPr>
    </w:p>
    <w:p>
      <w:pPr>
        <w:ind w:left="460" w:right="360" w:hanging="169"/>
        <w:spacing w:after="0" w:line="291" w:lineRule="auto"/>
        <w:tabs>
          <w:tab w:leader="none" w:pos="446" w:val="left"/>
        </w:tabs>
        <w:numPr>
          <w:ilvl w:val="0"/>
          <w:numId w:val="4"/>
        </w:numPr>
        <w:rPr>
          <w:rFonts w:ascii="Arial" w:cs="Arial" w:eastAsia="Arial" w:hAnsi="Arial"/>
          <w:sz w:val="16"/>
          <w:szCs w:val="16"/>
          <w:color w:val="0071CE"/>
        </w:rPr>
      </w:pPr>
      <w:r>
        <w:rPr>
          <w:rFonts w:ascii="Arial" w:cs="Arial" w:eastAsia="Arial" w:hAnsi="Arial"/>
          <w:sz w:val="16"/>
          <w:szCs w:val="16"/>
          <w:color w:val="auto"/>
        </w:rPr>
        <w:t>Company’s Annual Report on Form 10-K for the year ended September 30, 2018; and</w:t>
      </w:r>
    </w:p>
    <w:p>
      <w:pPr>
        <w:spacing w:after="0" w:line="52" w:lineRule="exact"/>
        <w:rPr>
          <w:rFonts w:ascii="Arial" w:cs="Arial" w:eastAsia="Arial" w:hAnsi="Arial"/>
          <w:sz w:val="16"/>
          <w:szCs w:val="16"/>
          <w:color w:val="0071CE"/>
        </w:rPr>
      </w:pPr>
    </w:p>
    <w:p>
      <w:pPr>
        <w:ind w:left="440" w:hanging="149"/>
        <w:spacing w:after="0"/>
        <w:tabs>
          <w:tab w:leader="none" w:pos="44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Form of Proxy Card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9"/>
        <w:spacing w:after="0"/>
        <w:rPr>
          <w:sz w:val="20"/>
          <w:szCs w:val="20"/>
          <w:color w:val="auto"/>
        </w:rPr>
      </w:pPr>
      <w:r>
        <w:rPr>
          <w:rFonts w:ascii="Arial" w:cs="Arial" w:eastAsia="Arial" w:hAnsi="Arial"/>
          <w:sz w:val="16"/>
          <w:szCs w:val="16"/>
          <w:color w:val="auto"/>
        </w:rPr>
        <w:t>TO THE STOCKHOLDERS OF ARROWHEAD PHARMACEUTICALS, INC.:</w:t>
      </w:r>
    </w:p>
    <w:p>
      <w:pPr>
        <w:spacing w:after="0" w:line="99" w:lineRule="exact"/>
        <w:rPr>
          <w:sz w:val="20"/>
          <w:szCs w:val="20"/>
          <w:color w:val="auto"/>
        </w:rPr>
      </w:pPr>
    </w:p>
    <w:p>
      <w:pPr>
        <w:ind w:left="9" w:right="20"/>
        <w:spacing w:after="0" w:line="252" w:lineRule="auto"/>
        <w:rPr>
          <w:sz w:val="20"/>
          <w:szCs w:val="20"/>
          <w:color w:val="auto"/>
        </w:rPr>
      </w:pPr>
      <w:r>
        <w:rPr>
          <w:rFonts w:ascii="Arial" w:cs="Arial" w:eastAsia="Arial" w:hAnsi="Arial"/>
          <w:sz w:val="16"/>
          <w:szCs w:val="16"/>
          <w:color w:val="auto"/>
        </w:rPr>
        <w:t>NOTICE IS HEREBY GIVEN that the 2019 Annual Meeting of Stockholders of Arrowhead Pharmaceuticals, Inc., a Delaware corporation (the “Company”), will be held on Thursday, March 14, 2019,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www.virtualshareholdermeeting.com/ARWR2019. Prior to the Annual Meeting, you will be able to vote at www.proxyvote.com for the purpose of considering and voting upon the following proposals:</w:t>
      </w:r>
    </w:p>
    <w:p>
      <w:pPr>
        <w:spacing w:after="0" w:line="33" w:lineRule="exact"/>
        <w:rPr>
          <w:sz w:val="20"/>
          <w:szCs w:val="20"/>
          <w:color w:val="auto"/>
        </w:rPr>
      </w:pPr>
    </w:p>
    <w:p>
      <w:pPr>
        <w:jc w:val="both"/>
        <w:ind w:left="329" w:hanging="329"/>
        <w:spacing w:after="0" w:line="268" w:lineRule="auto"/>
        <w:tabs>
          <w:tab w:leader="none" w:pos="31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the five directors named in the Proxy Statement to serve as members of the Company’s Board of Directors until the next Annual Meeting or until their successors are elected;</w:t>
      </w:r>
    </w:p>
    <w:p>
      <w:pPr>
        <w:spacing w:after="0" w:line="18" w:lineRule="exact"/>
        <w:rPr>
          <w:sz w:val="20"/>
          <w:szCs w:val="20"/>
          <w:color w:val="auto"/>
        </w:rPr>
      </w:pPr>
    </w:p>
    <w:p>
      <w:pPr>
        <w:ind w:left="9"/>
        <w:spacing w:after="0"/>
        <w:tabs>
          <w:tab w:leader="none" w:pos="289" w:val="left"/>
        </w:tabs>
        <w:rPr>
          <w:sz w:val="20"/>
          <w:szCs w:val="20"/>
          <w:color w:val="auto"/>
        </w:rPr>
      </w:pPr>
      <w:r>
        <w:rPr>
          <w:rFonts w:ascii="Arial" w:cs="Arial" w:eastAsia="Arial" w:hAnsi="Arial"/>
          <w:sz w:val="16"/>
          <w:szCs w:val="16"/>
          <w:color w:val="auto"/>
        </w:rPr>
        <w:t>2.</w:t>
        <w:tab/>
        <w:t>To conduct an advisory (non-binding) vote to approve executive compensation;</w:t>
      </w:r>
    </w:p>
    <w:p>
      <w:pPr>
        <w:spacing w:after="0" w:line="72" w:lineRule="exact"/>
        <w:rPr>
          <w:sz w:val="20"/>
          <w:szCs w:val="20"/>
          <w:color w:val="auto"/>
        </w:rPr>
      </w:pPr>
    </w:p>
    <w:p>
      <w:pPr>
        <w:ind w:left="329" w:right="60" w:hanging="329"/>
        <w:spacing w:after="0" w:line="290" w:lineRule="auto"/>
        <w:tabs>
          <w:tab w:leader="none" w:pos="3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an advisory (non-binding) vote on the frequency of future advisory votes on executive compensation; and</w:t>
      </w:r>
    </w:p>
    <w:p>
      <w:pPr>
        <w:ind w:left="329" w:right="60" w:hanging="329"/>
        <w:spacing w:after="0" w:line="291" w:lineRule="auto"/>
        <w:tabs>
          <w:tab w:leader="none" w:pos="3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2019;</w:t>
      </w:r>
    </w:p>
    <w:p>
      <w:pPr>
        <w:spacing w:after="0" w:line="26" w:lineRule="exact"/>
        <w:rPr>
          <w:sz w:val="20"/>
          <w:szCs w:val="20"/>
          <w:color w:val="auto"/>
        </w:rPr>
      </w:pPr>
    </w:p>
    <w:p>
      <w:pPr>
        <w:ind w:left="9" w:right="140"/>
        <w:spacing w:after="0" w:line="257"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five directors nominated by the Board of Directors and does not include any other matters relating to the election of directors, including, without limitation, the election of directors nominated by any stockholder of the Company.</w:t>
      </w:r>
    </w:p>
    <w:p>
      <w:pPr>
        <w:spacing w:after="0" w:line="54" w:lineRule="exact"/>
        <w:rPr>
          <w:sz w:val="20"/>
          <w:szCs w:val="20"/>
          <w:color w:val="auto"/>
        </w:rPr>
      </w:pPr>
    </w:p>
    <w:p>
      <w:pPr>
        <w:ind w:left="9" w:right="240"/>
        <w:spacing w:after="0" w:line="252"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www.virtualshareholdermeeting.com/ARWR2019. We anticipate that on or about February 1, 2019, we will mail our stockholders a Notice Regarding the Availability of Proxy Materials (the “Notice of Internet Availability”) containing instructions on how to access our 2019 Proxy Statement and 2018 Annual Report on Form 10-K and to vote online. You will need to have your 16-digit Control Number included on your Notice of Internet Availability or your proxy card (if you received a printed copy of the proxy materials) to join the Annual Meeting.</w:t>
      </w:r>
    </w:p>
    <w:p>
      <w:pPr>
        <w:spacing w:after="0" w:line="60" w:lineRule="exact"/>
        <w:rPr>
          <w:sz w:val="20"/>
          <w:szCs w:val="20"/>
          <w:color w:val="auto"/>
        </w:rPr>
      </w:pPr>
    </w:p>
    <w:p>
      <w:pPr>
        <w:ind w:left="9"/>
        <w:spacing w:after="0" w:line="250"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 Each stockholder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255" w:lineRule="exact"/>
        <w:rPr>
          <w:sz w:val="20"/>
          <w:szCs w:val="20"/>
          <w:color w:val="auto"/>
        </w:rPr>
      </w:pPr>
    </w:p>
    <w:p>
      <w:pPr>
        <w:ind w:left="9"/>
        <w:spacing w:after="0"/>
        <w:rPr>
          <w:sz w:val="20"/>
          <w:szCs w:val="20"/>
          <w:color w:val="auto"/>
        </w:rPr>
      </w:pPr>
      <w:r>
        <w:rPr>
          <w:rFonts w:ascii="Arial" w:cs="Arial" w:eastAsia="Arial" w:hAnsi="Arial"/>
          <w:sz w:val="16"/>
          <w:szCs w:val="16"/>
          <w:color w:val="auto"/>
        </w:rPr>
        <w:t>/s/ Jane Davidson</w:t>
      </w:r>
    </w:p>
    <w:p>
      <w:pPr>
        <w:spacing w:after="0" w:line="25" w:lineRule="exact"/>
        <w:rPr>
          <w:sz w:val="20"/>
          <w:szCs w:val="20"/>
          <w:color w:val="auto"/>
        </w:rPr>
      </w:pPr>
    </w:p>
    <w:p>
      <w:pPr>
        <w:ind w:left="9"/>
        <w:spacing w:after="0"/>
        <w:tabs>
          <w:tab w:leader="none" w:pos="3169" w:val="left"/>
        </w:tabs>
        <w:rPr>
          <w:sz w:val="20"/>
          <w:szCs w:val="20"/>
          <w:color w:val="auto"/>
        </w:rPr>
      </w:pPr>
      <w:r>
        <w:rPr>
          <w:rFonts w:ascii="Arial" w:cs="Arial" w:eastAsia="Arial" w:hAnsi="Arial"/>
          <w:sz w:val="16"/>
          <w:szCs w:val="16"/>
          <w:b w:val="1"/>
          <w:bCs w:val="1"/>
          <w:color w:val="auto"/>
        </w:rPr>
        <w:t>Jane Davidson</w:t>
      </w:r>
      <w:r>
        <w:rPr>
          <w:sz w:val="20"/>
          <w:szCs w:val="20"/>
          <w:color w:val="auto"/>
        </w:rPr>
        <w:tab/>
      </w:r>
      <w:r>
        <w:rPr>
          <w:rFonts w:ascii="Arial" w:cs="Arial" w:eastAsia="Arial" w:hAnsi="Arial"/>
          <w:sz w:val="16"/>
          <w:szCs w:val="16"/>
          <w:color w:val="auto"/>
        </w:rPr>
        <w:t>Pasadena, California</w:t>
      </w:r>
    </w:p>
    <w:p>
      <w:pPr>
        <w:spacing w:after="0" w:line="5" w:lineRule="exact"/>
        <w:rPr>
          <w:sz w:val="20"/>
          <w:szCs w:val="20"/>
          <w:color w:val="auto"/>
        </w:rPr>
      </w:pPr>
    </w:p>
    <w:p>
      <w:pPr>
        <w:ind w:left="9"/>
        <w:spacing w:after="0"/>
        <w:tabs>
          <w:tab w:leader="none" w:pos="3169" w:val="left"/>
        </w:tabs>
        <w:rPr>
          <w:sz w:val="20"/>
          <w:szCs w:val="20"/>
          <w:color w:val="auto"/>
        </w:rPr>
      </w:pPr>
      <w:r>
        <w:rPr>
          <w:rFonts w:ascii="Arial" w:cs="Arial" w:eastAsia="Arial" w:hAnsi="Arial"/>
          <w:sz w:val="16"/>
          <w:szCs w:val="16"/>
          <w:i w:val="1"/>
          <w:iCs w:val="1"/>
          <w:color w:val="auto"/>
        </w:rPr>
        <w:t>Secretary</w:t>
      </w:r>
      <w:r>
        <w:rPr>
          <w:sz w:val="20"/>
          <w:szCs w:val="20"/>
          <w:color w:val="auto"/>
        </w:rPr>
        <w:tab/>
      </w:r>
      <w:r>
        <w:rPr>
          <w:rFonts w:ascii="Arial" w:cs="Arial" w:eastAsia="Arial" w:hAnsi="Arial"/>
          <w:sz w:val="16"/>
          <w:szCs w:val="16"/>
          <w:color w:val="auto"/>
        </w:rPr>
        <w:t>January 25, 2019</w:t>
      </w:r>
    </w:p>
    <w:p>
      <w:pPr>
        <w:spacing w:after="0" w:line="200" w:lineRule="exact"/>
        <w:rPr>
          <w:sz w:val="20"/>
          <w:szCs w:val="20"/>
          <w:color w:val="auto"/>
        </w:rPr>
      </w:pPr>
    </w:p>
    <w:p>
      <w:pPr>
        <w:sectPr>
          <w:pgSz w:w="11900" w:h="16838" w:orient="portrait"/>
          <w:cols w:equalWidth="0" w:num="2">
            <w:col w:w="4580" w:space="271"/>
            <w:col w:w="6349"/>
          </w:cols>
          <w:pgMar w:left="240" w:top="455" w:right="45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1600"/>
        <w:spacing w:after="0"/>
        <w:tabs>
          <w:tab w:leader="none" w:pos="4300" w:val="left"/>
          <w:tab w:leader="none" w:pos="4580" w:val="left"/>
          <w:tab w:leader="none" w:pos="7460" w:val="left"/>
          <w:tab w:leader="none" w:pos="7740" w:val="left"/>
        </w:tabs>
        <w:rPr>
          <w:sz w:val="20"/>
          <w:szCs w:val="20"/>
          <w:color w:val="auto"/>
        </w:rPr>
      </w:pPr>
      <w:r>
        <w:rPr>
          <w:rFonts w:ascii="Arial" w:cs="Arial" w:eastAsia="Arial" w:hAnsi="Arial"/>
          <w:sz w:val="16"/>
          <w:szCs w:val="16"/>
          <w:b w:val="1"/>
          <w:bCs w:val="1"/>
          <w:color w:val="4C4C4C"/>
        </w:rPr>
        <w:t>Arrowhead Pharmaceuticals, Inc.</w:t>
      </w:r>
      <w:r>
        <w:rPr>
          <w:sz w:val="20"/>
          <w:szCs w:val="20"/>
          <w:color w:val="auto"/>
        </w:rPr>
        <w:tab/>
      </w:r>
      <w:r>
        <w:rPr>
          <w:rFonts w:ascii="Times New Roman" w:cs="Times New Roman" w:eastAsia="Times New Roman" w:hAnsi="Times New Roman"/>
          <w:sz w:val="16"/>
          <w:szCs w:val="16"/>
          <w:color w:val="0071CE"/>
        </w:rPr>
        <w:t>●</w:t>
      </w:r>
      <w:r>
        <w:rPr>
          <w:sz w:val="20"/>
          <w:szCs w:val="20"/>
          <w:color w:val="auto"/>
        </w:rPr>
        <w:tab/>
      </w:r>
      <w:r>
        <w:rPr>
          <w:rFonts w:ascii="Arial" w:cs="Arial" w:eastAsia="Arial" w:hAnsi="Arial"/>
          <w:sz w:val="16"/>
          <w:szCs w:val="16"/>
          <w:b w:val="1"/>
          <w:bCs w:val="1"/>
          <w:color w:val="4C4C4C"/>
        </w:rPr>
        <w:t>225 South Lake Avenue, Suite 1050</w:t>
      </w:r>
      <w:r>
        <w:rPr>
          <w:sz w:val="20"/>
          <w:szCs w:val="20"/>
          <w:color w:val="auto"/>
        </w:rPr>
        <w:tab/>
      </w:r>
      <w:r>
        <w:rPr>
          <w:rFonts w:ascii="Times New Roman" w:cs="Times New Roman" w:eastAsia="Times New Roman" w:hAnsi="Times New Roman"/>
          <w:sz w:val="16"/>
          <w:szCs w:val="16"/>
          <w:color w:val="0071CE"/>
        </w:rPr>
        <w:t>●</w:t>
      </w:r>
      <w:r>
        <w:rPr>
          <w:sz w:val="20"/>
          <w:szCs w:val="20"/>
          <w:color w:val="auto"/>
        </w:rPr>
        <w:tab/>
      </w:r>
      <w:r>
        <w:rPr>
          <w:rFonts w:ascii="Arial" w:cs="Arial" w:eastAsia="Arial" w:hAnsi="Arial"/>
          <w:sz w:val="16"/>
          <w:szCs w:val="16"/>
          <w:b w:val="1"/>
          <w:bCs w:val="1"/>
          <w:color w:val="4C4C4C"/>
        </w:rPr>
        <w:t>Pasadena, California 91101</w:t>
      </w:r>
    </w:p>
    <w:p>
      <w:pPr>
        <w:sectPr>
          <w:pgSz w:w="11900" w:h="16838" w:orient="portrait"/>
          <w:cols w:equalWidth="0" w:num="1">
            <w:col w:w="11200"/>
          </w:cols>
          <w:pgMar w:left="240" w:top="455" w:right="45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40" w:type="dxa"/>
            <w:vAlign w:val="bottom"/>
          </w:tcPr>
          <w:p>
            <w:pPr>
              <w:ind w:left="100"/>
              <w:spacing w:after="0"/>
              <w:rPr>
                <w:sz w:val="20"/>
                <w:szCs w:val="20"/>
                <w:color w:val="auto"/>
              </w:rPr>
            </w:pPr>
            <w:r>
              <w:rPr>
                <w:rFonts w:ascii="Arial" w:cs="Arial" w:eastAsia="Arial" w:hAnsi="Arial"/>
                <w:sz w:val="14"/>
                <w:szCs w:val="14"/>
                <w:b w:val="1"/>
                <w:bCs w:val="1"/>
                <w:color w:val="0071CE"/>
              </w:rPr>
              <w:t>2019 PROXY STATEMENT</w:t>
            </w:r>
          </w:p>
        </w:tc>
        <w:tc>
          <w:tcPr>
            <w:tcW w:w="1300" w:type="dxa"/>
            <w:vAlign w:val="bottom"/>
          </w:tcPr>
          <w:p>
            <w:pPr>
              <w:jc w:val="right"/>
              <w:spacing w:after="0"/>
              <w:rPr>
                <w:sz w:val="20"/>
                <w:szCs w:val="20"/>
                <w:color w:val="auto"/>
              </w:rPr>
            </w:pPr>
            <w:r>
              <w:rPr>
                <w:rFonts w:ascii="Arial" w:cs="Arial" w:eastAsia="Arial" w:hAnsi="Arial"/>
                <w:sz w:val="14"/>
                <w:szCs w:val="14"/>
                <w:b w:val="1"/>
                <w:bCs w:val="1"/>
                <w:i w:val="1"/>
                <w:iCs w:val="1"/>
                <w:color w:val="3FAE2A"/>
              </w:rPr>
              <w:t>Table of Contents</w:t>
            </w:r>
          </w:p>
        </w:tc>
        <w:tc>
          <w:tcPr>
            <w:tcW w:w="0" w:type="dxa"/>
            <w:vAlign w:val="bottom"/>
          </w:tcPr>
          <w:p>
            <w:pPr>
              <w:spacing w:after="0"/>
              <w:rPr>
                <w:sz w:val="1"/>
                <w:szCs w:val="1"/>
                <w:color w:val="auto"/>
              </w:rPr>
            </w:pPr>
          </w:p>
        </w:tc>
      </w:tr>
      <w:tr>
        <w:trPr>
          <w:trHeight w:val="581"/>
        </w:trPr>
        <w:tc>
          <w:tcPr>
            <w:tcW w:w="9700" w:type="dxa"/>
            <w:vAlign w:val="bottom"/>
            <w:gridSpan w:val="39"/>
          </w:tcPr>
          <w:p>
            <w:pPr>
              <w:spacing w:after="0"/>
              <w:rPr>
                <w:sz w:val="20"/>
                <w:szCs w:val="20"/>
                <w:color w:val="auto"/>
              </w:rPr>
            </w:pPr>
            <w:r>
              <w:rPr>
                <w:rFonts w:ascii="Arial" w:cs="Arial" w:eastAsia="Arial" w:hAnsi="Arial"/>
                <w:sz w:val="36"/>
                <w:szCs w:val="36"/>
                <w:b w:val="1"/>
                <w:bCs w:val="1"/>
                <w:color w:val="0071CE"/>
              </w:rPr>
              <w:t>Table of Contents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00" w:type="dxa"/>
            <w:vAlign w:val="bottom"/>
            <w:gridSpan w:val="3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Concerning Solicitation and Voting</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w:t>
            </w:r>
          </w:p>
        </w:tc>
        <w:tc>
          <w:tcPr>
            <w:tcW w:w="0" w:type="dxa"/>
            <w:vAlign w:val="bottom"/>
          </w:tcPr>
          <w:p>
            <w:pPr>
              <w:spacing w:after="0"/>
              <w:rPr>
                <w:sz w:val="1"/>
                <w:szCs w:val="1"/>
                <w:color w:val="auto"/>
              </w:rPr>
            </w:pPr>
          </w:p>
        </w:tc>
      </w:tr>
      <w:tr>
        <w:trPr>
          <w:trHeight w:val="169"/>
        </w:trPr>
        <w:tc>
          <w:tcPr>
            <w:tcW w:w="60" w:type="dxa"/>
            <w:vAlign w:val="bottom"/>
            <w:tcBorders>
              <w:top w:val="single" w:sz="8" w:color="0000EE"/>
            </w:tcBorders>
          </w:tcPr>
          <w:p>
            <w:pPr>
              <w:spacing w:after="0"/>
              <w:rPr>
                <w:sz w:val="14"/>
                <w:szCs w:val="14"/>
                <w:color w:val="auto"/>
              </w:rPr>
            </w:pPr>
          </w:p>
        </w:tc>
        <w:tc>
          <w:tcPr>
            <w:tcW w:w="4680" w:type="dxa"/>
            <w:vAlign w:val="bottom"/>
            <w:tcBorders>
              <w:top w:val="single" w:sz="8" w:color="0000EE"/>
            </w:tcBorders>
            <w:gridSpan w:val="32"/>
          </w:tcPr>
          <w:p>
            <w:pPr>
              <w:spacing w:after="0" w:line="169" w:lineRule="exact"/>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Record Date</w:t>
              </w:r>
            </w:hyperlink>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60" w:type="dxa"/>
            <w:vAlign w:val="bottom"/>
            <w:tcBorders>
              <w:top w:val="single" w:sz="8" w:color="0000EE"/>
            </w:tcBorders>
            <w:gridSpan w:val="5"/>
          </w:tcPr>
          <w:p>
            <w:pPr>
              <w:spacing w:after="0" w:line="169" w:lineRule="exact"/>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Revocability</w:t>
              </w:r>
            </w:hyperlink>
          </w:p>
        </w:tc>
        <w:tc>
          <w:tcPr>
            <w:tcW w:w="8680" w:type="dxa"/>
            <w:vAlign w:val="bottom"/>
            <w:gridSpan w:val="33"/>
          </w:tcPr>
          <w:p>
            <w:pPr>
              <w:ind w:left="40"/>
              <w:spacing w:after="0" w:line="169" w:lineRule="exact"/>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of Proxies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780" w:type="dxa"/>
            <w:vAlign w:val="bottom"/>
            <w:tcBorders>
              <w:top w:val="single" w:sz="8" w:color="0000EE"/>
            </w:tcBorders>
            <w:gridSpan w:val="8"/>
          </w:tcPr>
          <w:p>
            <w:pPr>
              <w:spacing w:after="0" w:line="169" w:lineRule="exact"/>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Voting and Solicitation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740" w:type="dxa"/>
            <w:vAlign w:val="bottom"/>
            <w:tcBorders>
              <w:top w:val="single" w:sz="8" w:color="0000EE"/>
            </w:tcBorders>
            <w:gridSpan w:val="7"/>
          </w:tcPr>
          <w:p>
            <w:pPr>
              <w:spacing w:after="0" w:line="169" w:lineRule="exact"/>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Quorum; Abstentions;</w:t>
              </w:r>
            </w:hyperlink>
          </w:p>
        </w:tc>
        <w:tc>
          <w:tcPr>
            <w:tcW w:w="7900" w:type="dxa"/>
            <w:vAlign w:val="bottom"/>
            <w:gridSpan w:val="31"/>
          </w:tcPr>
          <w:p>
            <w:pPr>
              <w:ind w:left="20"/>
              <w:spacing w:after="0" w:line="169" w:lineRule="exact"/>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Broker Non-Votes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4C4C4C"/>
              </w:rPr>
              <w:t>2</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3580" w:type="dxa"/>
            <w:vAlign w:val="bottom"/>
            <w:tcBorders>
              <w:bottom w:val="single" w:sz="8" w:color="0000EE"/>
            </w:tcBorders>
            <w:gridSpan w:val="28"/>
          </w:tcPr>
          <w:p>
            <w:pPr>
              <w:spacing w:after="0" w:line="169" w:lineRule="exact"/>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Deadline for Receipt of Stockholder Proposals</w:t>
              </w:r>
            </w:hyperlink>
          </w:p>
        </w:tc>
        <w:tc>
          <w:tcPr>
            <w:tcW w:w="6060" w:type="dxa"/>
            <w:vAlign w:val="bottom"/>
            <w:gridSpan w:val="10"/>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3200" w:type="dxa"/>
            <w:vAlign w:val="bottom"/>
            <w:tcBorders>
              <w:bottom w:val="single" w:sz="8" w:color="0000EE"/>
            </w:tcBorders>
            <w:gridSpan w:val="22"/>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Proposal One — Election of Directors</w:t>
              </w:r>
            </w:hyperlink>
          </w:p>
        </w:tc>
        <w:tc>
          <w:tcPr>
            <w:tcW w:w="6500" w:type="dxa"/>
            <w:vAlign w:val="bottom"/>
            <w:gridSpan w:val="1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640" w:type="dxa"/>
            <w:vAlign w:val="bottom"/>
            <w:gridSpan w:val="38"/>
          </w:tcPr>
          <w:p>
            <w:pPr>
              <w:spacing w:after="0" w:line="169" w:lineRule="exact"/>
              <w:rPr>
                <w:rFonts w:ascii="Arial" w:cs="Arial" w:eastAsia="Arial" w:hAnsi="Arial"/>
                <w:sz w:val="16"/>
                <w:szCs w:val="16"/>
                <w:b w:val="1"/>
                <w:bCs w:val="1"/>
                <w:color w:val="0000EE"/>
              </w:rPr>
            </w:pPr>
            <w:hyperlink w:anchor="page10">
              <w:r>
                <w:rPr>
                  <w:rFonts w:ascii="Arial" w:cs="Arial" w:eastAsia="Arial" w:hAnsi="Arial"/>
                  <w:sz w:val="16"/>
                  <w:szCs w:val="16"/>
                  <w:b w:val="1"/>
                  <w:bCs w:val="1"/>
                  <w:color w:val="0000EE"/>
                </w:rPr>
                <w:t>Board Composition and Nominating Process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440" w:type="dxa"/>
            <w:vAlign w:val="bottom"/>
            <w:tcBorders>
              <w:top w:val="single" w:sz="8" w:color="0000EE"/>
              <w:bottom w:val="single" w:sz="8" w:color="0000EE"/>
            </w:tcBorders>
            <w:gridSpan w:val="26"/>
          </w:tcPr>
          <w:p>
            <w:pPr>
              <w:spacing w:after="0" w:line="169" w:lineRule="exact"/>
              <w:rPr>
                <w:rFonts w:ascii="Arial" w:cs="Arial" w:eastAsia="Arial" w:hAnsi="Arial"/>
                <w:sz w:val="16"/>
                <w:szCs w:val="16"/>
                <w:b w:val="1"/>
                <w:bCs w:val="1"/>
                <w:color w:val="0000EE"/>
                <w:w w:val="98"/>
              </w:rPr>
            </w:pPr>
            <w:hyperlink w:anchor="page10">
              <w:r>
                <w:rPr>
                  <w:rFonts w:ascii="Arial" w:cs="Arial" w:eastAsia="Arial" w:hAnsi="Arial"/>
                  <w:sz w:val="16"/>
                  <w:szCs w:val="16"/>
                  <w:b w:val="1"/>
                  <w:bCs w:val="1"/>
                  <w:color w:val="0000EE"/>
                  <w:w w:val="98"/>
                </w:rPr>
                <w:t>Corporate Governance Policies and Practices</w:t>
              </w:r>
            </w:hyperlink>
          </w:p>
        </w:tc>
        <w:tc>
          <w:tcPr>
            <w:tcW w:w="60" w:type="dxa"/>
            <w:vAlign w:val="bottom"/>
            <w:tcBorders>
              <w:bottom w:val="single" w:sz="8" w:color="0000EE"/>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6</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500" w:type="dxa"/>
            <w:vAlign w:val="bottom"/>
            <w:gridSpan w:val="27"/>
          </w:tcPr>
          <w:p>
            <w:pPr>
              <w:spacing w:after="0" w:line="169" w:lineRule="exact"/>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Stockholder Communications with Directors</w:t>
              </w:r>
            </w:hyperlink>
          </w:p>
        </w:tc>
        <w:tc>
          <w:tcPr>
            <w:tcW w:w="1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7</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520" w:type="dxa"/>
            <w:vAlign w:val="bottom"/>
            <w:tcBorders>
              <w:top w:val="single" w:sz="8" w:color="0000EE"/>
              <w:bottom w:val="single" w:sz="8" w:color="0000EE"/>
            </w:tcBorders>
            <w:gridSpan w:val="15"/>
          </w:tcPr>
          <w:p>
            <w:pPr>
              <w:spacing w:after="0" w:line="169" w:lineRule="exact"/>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Board Meetings and Committees</w:t>
              </w:r>
            </w:hyperlink>
          </w:p>
        </w:tc>
        <w:tc>
          <w:tcPr>
            <w:tcW w:w="900" w:type="dxa"/>
            <w:vAlign w:val="bottom"/>
            <w:tcBorders>
              <w:top w:val="single" w:sz="8" w:color="0000EE"/>
            </w:tcBorders>
            <w:gridSpan w:val="10"/>
          </w:tcPr>
          <w:p>
            <w:pPr>
              <w:spacing w:after="0"/>
              <w:rPr>
                <w:sz w:val="14"/>
                <w:szCs w:val="14"/>
                <w:color w:val="auto"/>
              </w:rPr>
            </w:pPr>
          </w:p>
        </w:tc>
        <w:tc>
          <w:tcPr>
            <w:tcW w:w="1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7</w:t>
            </w:r>
          </w:p>
        </w:tc>
        <w:tc>
          <w:tcPr>
            <w:tcW w:w="0" w:type="dxa"/>
            <w:vAlign w:val="bottom"/>
          </w:tcPr>
          <w:p>
            <w:pPr>
              <w:spacing w:after="0"/>
              <w:rPr>
                <w:sz w:val="1"/>
                <w:szCs w:val="1"/>
                <w:color w:val="auto"/>
              </w:rPr>
            </w:pPr>
          </w:p>
        </w:tc>
      </w:tr>
      <w:tr>
        <w:trPr>
          <w:trHeight w:val="290"/>
        </w:trPr>
        <w:tc>
          <w:tcPr>
            <w:tcW w:w="1980" w:type="dxa"/>
            <w:vAlign w:val="bottom"/>
            <w:tcBorders>
              <w:bottom w:val="single" w:sz="8" w:color="0000EE"/>
            </w:tcBorders>
            <w:gridSpan w:val="12"/>
          </w:tcPr>
          <w:p>
            <w:pPr>
              <w:spacing w:after="0"/>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Director Compensation</w:t>
              </w:r>
            </w:hyperlink>
          </w:p>
        </w:tc>
        <w:tc>
          <w:tcPr>
            <w:tcW w:w="7720" w:type="dxa"/>
            <w:vAlign w:val="bottom"/>
            <w:gridSpan w:val="2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9</w:t>
            </w:r>
          </w:p>
        </w:tc>
        <w:tc>
          <w:tcPr>
            <w:tcW w:w="0" w:type="dxa"/>
            <w:vAlign w:val="bottom"/>
          </w:tcPr>
          <w:p>
            <w:pPr>
              <w:spacing w:after="0"/>
              <w:rPr>
                <w:sz w:val="1"/>
                <w:szCs w:val="1"/>
                <w:color w:val="auto"/>
              </w:rPr>
            </w:pPr>
          </w:p>
        </w:tc>
      </w:tr>
      <w:tr>
        <w:trPr>
          <w:trHeight w:val="290"/>
        </w:trPr>
        <w:tc>
          <w:tcPr>
            <w:tcW w:w="5820" w:type="dxa"/>
            <w:vAlign w:val="bottom"/>
            <w:tcBorders>
              <w:bottom w:val="single" w:sz="8" w:color="0000EE"/>
            </w:tcBorders>
            <w:gridSpan w:val="35"/>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Proposal Two — Advisory Vote to Approve Executive Compensation</w:t>
              </w:r>
            </w:hyperlink>
          </w:p>
        </w:tc>
        <w:tc>
          <w:tcPr>
            <w:tcW w:w="388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11</w:t>
            </w:r>
          </w:p>
        </w:tc>
        <w:tc>
          <w:tcPr>
            <w:tcW w:w="0" w:type="dxa"/>
            <w:vAlign w:val="bottom"/>
          </w:tcPr>
          <w:p>
            <w:pPr>
              <w:spacing w:after="0"/>
              <w:rPr>
                <w:sz w:val="1"/>
                <w:szCs w:val="1"/>
                <w:color w:val="auto"/>
              </w:rPr>
            </w:pPr>
          </w:p>
        </w:tc>
      </w:tr>
      <w:tr>
        <w:trPr>
          <w:trHeight w:val="290"/>
        </w:trPr>
        <w:tc>
          <w:tcPr>
            <w:tcW w:w="7760" w:type="dxa"/>
            <w:vAlign w:val="bottom"/>
            <w:tcBorders>
              <w:bottom w:val="single" w:sz="8" w:color="0000EE"/>
            </w:tcBorders>
            <w:gridSpan w:val="38"/>
          </w:tcPr>
          <w:p>
            <w:pPr>
              <w:spacing w:after="0"/>
              <w:rPr>
                <w:rFonts w:ascii="Arial" w:cs="Arial" w:eastAsia="Arial" w:hAnsi="Arial"/>
                <w:sz w:val="18"/>
                <w:szCs w:val="18"/>
                <w:b w:val="1"/>
                <w:bCs w:val="1"/>
                <w:color w:val="0000EE"/>
                <w:w w:val="99"/>
              </w:rPr>
            </w:pPr>
            <w:hyperlink w:anchor="page16">
              <w:r>
                <w:rPr>
                  <w:rFonts w:ascii="Arial" w:cs="Arial" w:eastAsia="Arial" w:hAnsi="Arial"/>
                  <w:sz w:val="18"/>
                  <w:szCs w:val="18"/>
                  <w:b w:val="1"/>
                  <w:bCs w:val="1"/>
                  <w:color w:val="0000EE"/>
                  <w:w w:val="99"/>
                </w:rPr>
                <w:t>Proposal Three — Advisory Vote on Frequency of Executive Compensation Advisory Votes</w:t>
              </w:r>
            </w:hyperlink>
          </w:p>
        </w:tc>
        <w:tc>
          <w:tcPr>
            <w:tcW w:w="1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12</w:t>
            </w:r>
          </w:p>
        </w:tc>
        <w:tc>
          <w:tcPr>
            <w:tcW w:w="0" w:type="dxa"/>
            <w:vAlign w:val="bottom"/>
          </w:tcPr>
          <w:p>
            <w:pPr>
              <w:spacing w:after="0"/>
              <w:rPr>
                <w:sz w:val="1"/>
                <w:szCs w:val="1"/>
                <w:color w:val="auto"/>
              </w:rPr>
            </w:pPr>
          </w:p>
        </w:tc>
      </w:tr>
      <w:tr>
        <w:trPr>
          <w:trHeight w:val="290"/>
        </w:trPr>
        <w:tc>
          <w:tcPr>
            <w:tcW w:w="9700" w:type="dxa"/>
            <w:vAlign w:val="bottom"/>
            <w:gridSpan w:val="39"/>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Executive Compensation</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13</w:t>
            </w:r>
          </w:p>
        </w:tc>
        <w:tc>
          <w:tcPr>
            <w:tcW w:w="0" w:type="dxa"/>
            <w:vAlign w:val="bottom"/>
          </w:tcPr>
          <w:p>
            <w:pPr>
              <w:spacing w:after="0"/>
              <w:rPr>
                <w:sz w:val="1"/>
                <w:szCs w:val="1"/>
                <w:color w:val="auto"/>
              </w:rPr>
            </w:pPr>
          </w:p>
        </w:tc>
      </w:tr>
      <w:tr>
        <w:trPr>
          <w:trHeight w:val="169"/>
        </w:trPr>
        <w:tc>
          <w:tcPr>
            <w:tcW w:w="60" w:type="dxa"/>
            <w:vAlign w:val="bottom"/>
            <w:tcBorders>
              <w:top w:val="single" w:sz="8" w:color="0000EE"/>
            </w:tcBorders>
          </w:tcPr>
          <w:p>
            <w:pPr>
              <w:spacing w:after="0"/>
              <w:rPr>
                <w:sz w:val="14"/>
                <w:szCs w:val="14"/>
                <w:color w:val="auto"/>
              </w:rPr>
            </w:pPr>
          </w:p>
        </w:tc>
        <w:tc>
          <w:tcPr>
            <w:tcW w:w="2060" w:type="dxa"/>
            <w:vAlign w:val="bottom"/>
            <w:tcBorders>
              <w:top w:val="single" w:sz="8" w:color="0000EE"/>
            </w:tcBorders>
            <w:gridSpan w:val="12"/>
          </w:tcPr>
          <w:p>
            <w:pPr>
              <w:spacing w:after="0" w:line="169" w:lineRule="exact"/>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Compensation Discussion</w:t>
              </w:r>
            </w:hyperlink>
          </w:p>
        </w:tc>
        <w:tc>
          <w:tcPr>
            <w:tcW w:w="7580" w:type="dxa"/>
            <w:vAlign w:val="bottom"/>
            <w:gridSpan w:val="26"/>
          </w:tcPr>
          <w:p>
            <w:pPr>
              <w:ind w:left="20"/>
              <w:spacing w:after="0" w:line="169" w:lineRule="exact"/>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and Analysis</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b w:val="1"/>
                <w:bCs w:val="1"/>
                <w:color w:val="4C4C4C"/>
              </w:rPr>
              <w:t>13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2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Our Company</w:t>
              </w:r>
            </w:hyperlink>
          </w:p>
        </w:tc>
        <w:tc>
          <w:tcPr>
            <w:tcW w:w="1940" w:type="dxa"/>
            <w:vAlign w:val="bottom"/>
            <w:tcBorders>
              <w:top w:val="single" w:sz="8" w:color="0000EE"/>
            </w:tcBorders>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80" w:type="dxa"/>
            <w:vAlign w:val="bottom"/>
            <w:gridSpan w:val="37"/>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Business Development</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Platform</w:t>
              </w:r>
            </w:hyperlink>
          </w:p>
        </w:tc>
        <w:tc>
          <w:tcPr>
            <w:tcW w:w="300" w:type="dxa"/>
            <w:vAlign w:val="bottom"/>
            <w:gridSpan w:val="3"/>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Pipeline</w:t>
              </w:r>
            </w:hyperlink>
          </w:p>
        </w:tc>
        <w:tc>
          <w:tcPr>
            <w:tcW w:w="80" w:type="dxa"/>
            <w:vAlign w:val="bottom"/>
          </w:tcPr>
          <w:p>
            <w:pPr>
              <w:spacing w:after="0"/>
              <w:rPr>
                <w:sz w:val="14"/>
                <w:szCs w:val="14"/>
                <w:color w:val="auto"/>
              </w:rPr>
            </w:pPr>
          </w:p>
        </w:tc>
        <w:tc>
          <w:tcPr>
            <w:tcW w:w="960" w:type="dxa"/>
            <w:vAlign w:val="bottom"/>
            <w:gridSpan w:val="5"/>
          </w:tcPr>
          <w:p>
            <w:pPr>
              <w:spacing w:after="0"/>
              <w:rPr>
                <w:sz w:val="14"/>
                <w:szCs w:val="14"/>
                <w:color w:val="auto"/>
              </w:rPr>
            </w:pPr>
          </w:p>
        </w:tc>
        <w:tc>
          <w:tcPr>
            <w:tcW w:w="320" w:type="dxa"/>
            <w:vAlign w:val="bottom"/>
            <w:gridSpan w:val="4"/>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80"/>
              </w:rPr>
            </w:pPr>
            <w:hyperlink w:anchor="page24">
              <w:r>
                <w:rPr>
                  <w:rFonts w:ascii="Arial" w:cs="Arial" w:eastAsia="Arial" w:hAnsi="Arial"/>
                  <w:sz w:val="16"/>
                  <w:szCs w:val="16"/>
                  <w:color w:val="0000EE"/>
                  <w:w w:val="80"/>
                </w:rPr>
                <w:t>Executive</w:t>
              </w:r>
            </w:hyperlink>
          </w:p>
        </w:tc>
        <w:tc>
          <w:tcPr>
            <w:tcW w:w="100" w:type="dxa"/>
            <w:vAlign w:val="bottom"/>
            <w:tcBorders>
              <w:bottom w:val="single" w:sz="8" w:color="0000EE"/>
            </w:tcBorders>
            <w:gridSpan w:val="2"/>
          </w:tcPr>
          <w:p>
            <w:pPr>
              <w:spacing w:after="0"/>
              <w:rPr>
                <w:sz w:val="14"/>
                <w:szCs w:val="14"/>
                <w:color w:val="auto"/>
              </w:rPr>
            </w:pPr>
          </w:p>
        </w:tc>
        <w:tc>
          <w:tcPr>
            <w:tcW w:w="1960" w:type="dxa"/>
            <w:vAlign w:val="bottom"/>
            <w:tcBorders>
              <w:bottom w:val="single" w:sz="8" w:color="0000EE"/>
            </w:tcBorders>
            <w:gridSpan w:val="15"/>
          </w:tcPr>
          <w:p>
            <w:pPr>
              <w:ind w:left="60"/>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Compensation Philosophy</w:t>
              </w:r>
            </w:hyperlink>
          </w:p>
        </w:tc>
        <w:tc>
          <w:tcPr>
            <w:tcW w:w="6840" w:type="dxa"/>
            <w:vAlign w:val="bottom"/>
            <w:gridSpan w:val="19"/>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80" w:type="dxa"/>
            <w:vAlign w:val="bottom"/>
            <w:gridSpan w:val="37"/>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Executive Compensation Program Design</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Governance of Executive Compensation</w:t>
              </w:r>
            </w:hyperlink>
          </w:p>
        </w:tc>
        <w:tc>
          <w:tcPr>
            <w:tcW w:w="6480" w:type="dxa"/>
            <w:vAlign w:val="bottom"/>
            <w:gridSpan w:val="16"/>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Program</w:t>
              </w:r>
            </w:hyperlink>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Individual Compensation Elements</w:t>
              </w:r>
            </w:hyperlink>
          </w:p>
        </w:tc>
        <w:tc>
          <w:tcPr>
            <w:tcW w:w="6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Employment Arrangements</w:t>
              </w:r>
            </w:hyperlink>
          </w:p>
        </w:tc>
        <w:tc>
          <w:tcPr>
            <w:tcW w:w="40" w:type="dxa"/>
            <w:vAlign w:val="bottom"/>
          </w:tcPr>
          <w:p>
            <w:pPr>
              <w:spacing w:after="0"/>
              <w:rPr>
                <w:sz w:val="14"/>
                <w:szCs w:val="14"/>
                <w:color w:val="auto"/>
              </w:rPr>
            </w:pPr>
          </w:p>
        </w:tc>
        <w:tc>
          <w:tcPr>
            <w:tcW w:w="54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740" w:type="dxa"/>
            <w:vAlign w:val="bottom"/>
            <w:gridSpan w:val="2"/>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80" w:type="dxa"/>
            <w:vAlign w:val="bottom"/>
            <w:gridSpan w:val="37"/>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Post-Employment Compensation Arrangements</w:t>
              </w:r>
            </w:hyperlink>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Other Compensation Policies and Practices</w:t>
              </w:r>
            </w:hyperlink>
          </w:p>
        </w:tc>
        <w:tc>
          <w:tcPr>
            <w:tcW w:w="740" w:type="dxa"/>
            <w:vAlign w:val="bottom"/>
            <w:gridSpan w:val="2"/>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Tax and Accounting Considerations</w:t>
              </w:r>
            </w:hyperlink>
          </w:p>
        </w:tc>
        <w:tc>
          <w:tcPr>
            <w:tcW w:w="1060" w:type="dxa"/>
            <w:vAlign w:val="bottom"/>
            <w:gridSpan w:val="7"/>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Compensation Risk Assessment</w:t>
              </w:r>
            </w:hyperlink>
          </w:p>
        </w:tc>
        <w:tc>
          <w:tcPr>
            <w:tcW w:w="200" w:type="dxa"/>
            <w:vAlign w:val="bottom"/>
            <w:tcBorders>
              <w:top w:val="single" w:sz="8" w:color="0000EE"/>
            </w:tcBorders>
            <w:gridSpan w:val="4"/>
          </w:tcPr>
          <w:p>
            <w:pPr>
              <w:spacing w:after="0"/>
              <w:rPr>
                <w:sz w:val="14"/>
                <w:szCs w:val="14"/>
                <w:color w:val="auto"/>
              </w:rPr>
            </w:pPr>
          </w:p>
        </w:tc>
        <w:tc>
          <w:tcPr>
            <w:tcW w:w="540" w:type="dxa"/>
            <w:vAlign w:val="bottom"/>
            <w:gridSpan w:val="5"/>
          </w:tcPr>
          <w:p>
            <w:pPr>
              <w:spacing w:after="0"/>
              <w:rPr>
                <w:sz w:val="14"/>
                <w:szCs w:val="14"/>
                <w:color w:val="auto"/>
              </w:rPr>
            </w:pPr>
          </w:p>
        </w:tc>
        <w:tc>
          <w:tcPr>
            <w:tcW w:w="1100" w:type="dxa"/>
            <w:vAlign w:val="bottom"/>
            <w:gridSpan w:val="8"/>
          </w:tcPr>
          <w:p>
            <w:pPr>
              <w:spacing w:after="0"/>
              <w:rPr>
                <w:sz w:val="14"/>
                <w:szCs w:val="14"/>
                <w:color w:val="auto"/>
              </w:rPr>
            </w:pPr>
          </w:p>
        </w:tc>
        <w:tc>
          <w:tcPr>
            <w:tcW w:w="78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gridSpan w:val="2"/>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Compensation Tables</w:t>
              </w:r>
            </w:hyperlink>
          </w:p>
        </w:tc>
        <w:tc>
          <w:tcPr>
            <w:tcW w:w="7840" w:type="dxa"/>
            <w:vAlign w:val="bottom"/>
            <w:gridSpan w:val="2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32</w:t>
            </w:r>
          </w:p>
        </w:tc>
        <w:tc>
          <w:tcPr>
            <w:tcW w:w="0" w:type="dxa"/>
            <w:vAlign w:val="bottom"/>
          </w:tcPr>
          <w:p>
            <w:pPr>
              <w:spacing w:after="0"/>
              <w:rPr>
                <w:sz w:val="1"/>
                <w:szCs w:val="1"/>
                <w:color w:val="auto"/>
              </w:rPr>
            </w:pPr>
          </w:p>
        </w:tc>
      </w:tr>
      <w:tr>
        <w:trPr>
          <w:trHeight w:val="290"/>
        </w:trPr>
        <w:tc>
          <w:tcPr>
            <w:tcW w:w="5980" w:type="dxa"/>
            <w:vAlign w:val="bottom"/>
            <w:tcBorders>
              <w:bottom w:val="single" w:sz="8" w:color="0000EE"/>
            </w:tcBorders>
            <w:gridSpan w:val="36"/>
          </w:tcPr>
          <w:p>
            <w:pPr>
              <w:spacing w:after="0"/>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Proposal Four — Ratification of Appointment of Independent Auditors</w:t>
              </w:r>
            </w:hyperlink>
          </w:p>
        </w:tc>
        <w:tc>
          <w:tcPr>
            <w:tcW w:w="372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38</w:t>
            </w:r>
          </w:p>
        </w:tc>
        <w:tc>
          <w:tcPr>
            <w:tcW w:w="0" w:type="dxa"/>
            <w:vAlign w:val="bottom"/>
          </w:tcPr>
          <w:p>
            <w:pPr>
              <w:spacing w:after="0"/>
              <w:rPr>
                <w:sz w:val="1"/>
                <w:szCs w:val="1"/>
                <w:color w:val="auto"/>
              </w:rPr>
            </w:pPr>
          </w:p>
        </w:tc>
      </w:tr>
      <w:tr>
        <w:trPr>
          <w:trHeight w:val="290"/>
        </w:trPr>
        <w:tc>
          <w:tcPr>
            <w:tcW w:w="9700" w:type="dxa"/>
            <w:vAlign w:val="bottom"/>
            <w:gridSpan w:val="39"/>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Audit Fees</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39</w:t>
            </w:r>
          </w:p>
        </w:tc>
        <w:tc>
          <w:tcPr>
            <w:tcW w:w="0" w:type="dxa"/>
            <w:vAlign w:val="bottom"/>
          </w:tcPr>
          <w:p>
            <w:pPr>
              <w:spacing w:after="0"/>
              <w:rPr>
                <w:sz w:val="1"/>
                <w:szCs w:val="1"/>
                <w:color w:val="auto"/>
              </w:rPr>
            </w:pPr>
          </w:p>
        </w:tc>
      </w:tr>
      <w:tr>
        <w:trPr>
          <w:trHeight w:val="20"/>
        </w:trPr>
        <w:tc>
          <w:tcPr>
            <w:tcW w:w="900" w:type="dxa"/>
            <w:vAlign w:val="bottom"/>
            <w:gridSpan w:val="5"/>
            <w:shd w:val="clear" w:color="auto" w:fill="0000EE"/>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600" w:type="dxa"/>
            <w:vAlign w:val="bottom"/>
            <w:tcBorders>
              <w:bottom w:val="single" w:sz="8" w:color="0000EE"/>
            </w:tcBorders>
            <w:gridSpan w:val="17"/>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Report of the Audit Committee</w:t>
              </w:r>
            </w:hyperlink>
          </w:p>
        </w:tc>
        <w:tc>
          <w:tcPr>
            <w:tcW w:w="7100" w:type="dxa"/>
            <w:vAlign w:val="bottom"/>
            <w:gridSpan w:val="2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40</w:t>
            </w:r>
          </w:p>
        </w:tc>
        <w:tc>
          <w:tcPr>
            <w:tcW w:w="0" w:type="dxa"/>
            <w:vAlign w:val="bottom"/>
          </w:tcPr>
          <w:p>
            <w:pPr>
              <w:spacing w:after="0"/>
              <w:rPr>
                <w:sz w:val="1"/>
                <w:szCs w:val="1"/>
                <w:color w:val="auto"/>
              </w:rPr>
            </w:pPr>
          </w:p>
        </w:tc>
      </w:tr>
      <w:tr>
        <w:trPr>
          <w:trHeight w:val="290"/>
        </w:trPr>
        <w:tc>
          <w:tcPr>
            <w:tcW w:w="9700" w:type="dxa"/>
            <w:vAlign w:val="bottom"/>
            <w:gridSpan w:val="39"/>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Voting Securities of Principal Stockholders and Management</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41</w:t>
            </w:r>
          </w:p>
        </w:tc>
        <w:tc>
          <w:tcPr>
            <w:tcW w:w="0" w:type="dxa"/>
            <w:vAlign w:val="bottom"/>
          </w:tcPr>
          <w:p>
            <w:pPr>
              <w:spacing w:after="0"/>
              <w:rPr>
                <w:sz w:val="1"/>
                <w:szCs w:val="1"/>
                <w:color w:val="auto"/>
              </w:rPr>
            </w:pPr>
          </w:p>
        </w:tc>
      </w:tr>
      <w:tr>
        <w:trPr>
          <w:trHeight w:val="290"/>
        </w:trPr>
        <w:tc>
          <w:tcPr>
            <w:tcW w:w="5180" w:type="dxa"/>
            <w:vAlign w:val="bottom"/>
            <w:tcBorders>
              <w:top w:val="single" w:sz="8" w:color="0000EE"/>
            </w:tcBorders>
            <w:gridSpan w:val="34"/>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Equity Compensation Plan Information</w:t>
              </w:r>
            </w:hyperlink>
          </w:p>
        </w:tc>
        <w:tc>
          <w:tcPr>
            <w:tcW w:w="452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43</w:t>
            </w:r>
          </w:p>
        </w:tc>
        <w:tc>
          <w:tcPr>
            <w:tcW w:w="0" w:type="dxa"/>
            <w:vAlign w:val="bottom"/>
          </w:tcPr>
          <w:p>
            <w:pPr>
              <w:spacing w:after="0"/>
              <w:rPr>
                <w:sz w:val="1"/>
                <w:szCs w:val="1"/>
                <w:color w:val="auto"/>
              </w:rPr>
            </w:pPr>
          </w:p>
        </w:tc>
      </w:tr>
      <w:tr>
        <w:trPr>
          <w:trHeight w:val="20"/>
        </w:trPr>
        <w:tc>
          <w:tcPr>
            <w:tcW w:w="3300" w:type="dxa"/>
            <w:vAlign w:val="bottom"/>
            <w:gridSpan w:val="24"/>
            <w:shd w:val="clear" w:color="auto" w:fill="0000EE"/>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400" w:type="dxa"/>
            <w:vAlign w:val="bottom"/>
            <w:tcBorders>
              <w:bottom w:val="single" w:sz="8" w:color="0000EE"/>
            </w:tcBorders>
            <w:gridSpan w:val="32"/>
          </w:tcPr>
          <w:p>
            <w:pPr>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Review and Approval of Related-Party Transactions</w:t>
              </w:r>
            </w:hyperlink>
          </w:p>
        </w:tc>
        <w:tc>
          <w:tcPr>
            <w:tcW w:w="530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45</w:t>
            </w:r>
          </w:p>
        </w:tc>
        <w:tc>
          <w:tcPr>
            <w:tcW w:w="0" w:type="dxa"/>
            <w:vAlign w:val="bottom"/>
          </w:tcPr>
          <w:p>
            <w:pPr>
              <w:spacing w:after="0"/>
              <w:rPr>
                <w:sz w:val="1"/>
                <w:szCs w:val="1"/>
                <w:color w:val="auto"/>
              </w:rPr>
            </w:pPr>
          </w:p>
        </w:tc>
      </w:tr>
      <w:tr>
        <w:trPr>
          <w:trHeight w:val="290"/>
        </w:trPr>
        <w:tc>
          <w:tcPr>
            <w:tcW w:w="9700" w:type="dxa"/>
            <w:vAlign w:val="bottom"/>
            <w:gridSpan w:val="39"/>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Certain Relationships and Related Transactions, and Director Independence</w:t>
              </w:r>
            </w:hyperlink>
          </w:p>
        </w:tc>
        <w:tc>
          <w:tcPr>
            <w:tcW w:w="1300" w:type="dxa"/>
            <w:vAlign w:val="bottom"/>
          </w:tcPr>
          <w:p>
            <w:pPr>
              <w:jc w:val="right"/>
              <w:spacing w:after="0"/>
              <w:rPr>
                <w:sz w:val="20"/>
                <w:szCs w:val="20"/>
                <w:color w:val="auto"/>
              </w:rPr>
            </w:pPr>
            <w:r>
              <w:rPr>
                <w:rFonts w:ascii="Arial" w:cs="Arial" w:eastAsia="Arial" w:hAnsi="Arial"/>
                <w:sz w:val="18"/>
                <w:szCs w:val="18"/>
                <w:b w:val="1"/>
                <w:bCs w:val="1"/>
                <w:color w:val="0071CE"/>
              </w:rPr>
              <w:t>46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102870</wp:posOffset>
            </wp:positionV>
            <wp:extent cx="98488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500"/>
        <w:spacing w:after="0"/>
        <w:tabs>
          <w:tab w:leader="none" w:pos="74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ARROWHEAD PHARMACEUTICALS,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225 South Lake Avenue, Suite 1050</w:t>
      </w:r>
    </w:p>
    <w:p>
      <w:pPr>
        <w:jc w:val="center"/>
        <w:ind w:right="-219"/>
        <w:spacing w:after="0" w:line="234" w:lineRule="auto"/>
        <w:rPr>
          <w:sz w:val="20"/>
          <w:szCs w:val="20"/>
          <w:color w:val="auto"/>
        </w:rPr>
      </w:pPr>
      <w:r>
        <w:rPr>
          <w:rFonts w:ascii="Arial" w:cs="Arial" w:eastAsia="Arial" w:hAnsi="Arial"/>
          <w:sz w:val="18"/>
          <w:szCs w:val="18"/>
          <w:b w:val="1"/>
          <w:bCs w:val="1"/>
          <w:color w:val="auto"/>
        </w:rPr>
        <w:t>Pasadena, California 91101</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151765</wp:posOffset>
            </wp:positionV>
            <wp:extent cx="1473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071CE"/>
        </w:rPr>
        <w:t>PROXY STATEMENT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0071CE"/>
        </w:rPr>
        <w:t>FOR ANNUAL MEETING OF STOCKHOLDERS</w:t>
      </w:r>
    </w:p>
    <w:p>
      <w:pPr>
        <w:spacing w:after="0" w:line="4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4C4C4C"/>
        </w:rPr>
        <w:t>To be held on Thursday, March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234315</wp:posOffset>
            </wp:positionV>
            <wp:extent cx="14732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56" w:lineRule="exact"/>
        <w:rPr>
          <w:sz w:val="20"/>
          <w:szCs w:val="20"/>
          <w:color w:val="auto"/>
        </w:rPr>
      </w:pPr>
    </w:p>
    <w:p>
      <w:pPr>
        <w:ind w:left="220" w:right="80"/>
        <w:spacing w:after="0" w:line="254"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2019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Thursday, March 14, 2019 at 10:00 a.m., Pacific time, and at any adjournment(s)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This year’s meeting will be a completely “virtual” meeting of stockholders. You can attend the Annual Meeting online, vote your shares electronically, and submit your questions during the Annual Meeting, by visiting www.virtualshareholdermeeting.com/ARWR2019. You will need to have your 16-digit Control Number included on your Notice Regarding the Availability of Proxy Materials (the “Notice of Internet Availability”) or your proxy card (if you received a printed copy of the proxy materials) to join the Annual Meeting.</w:t>
      </w:r>
    </w:p>
    <w:p>
      <w:pPr>
        <w:spacing w:after="0" w:line="177" w:lineRule="exact"/>
        <w:rPr>
          <w:sz w:val="20"/>
          <w:szCs w:val="20"/>
          <w:color w:val="auto"/>
        </w:rPr>
      </w:pPr>
    </w:p>
    <w:p>
      <w:pPr>
        <w:ind w:left="220" w:right="20"/>
        <w:spacing w:after="0" w:line="261" w:lineRule="auto"/>
        <w:rPr>
          <w:sz w:val="20"/>
          <w:szCs w:val="20"/>
          <w:color w:val="auto"/>
        </w:rPr>
      </w:pPr>
      <w:r>
        <w:rPr>
          <w:rFonts w:ascii="Arial" w:cs="Arial" w:eastAsia="Arial" w:hAnsi="Arial"/>
          <w:sz w:val="16"/>
          <w:szCs w:val="16"/>
          <w:color w:val="auto"/>
        </w:rPr>
        <w:t>The Company anticipates that the Notice of Internet Availability in connection with these proxy solicitation materials will first be mailed on or about February 1, 2019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48" w:lineRule="exact"/>
        <w:rPr>
          <w:sz w:val="20"/>
          <w:szCs w:val="20"/>
          <w:color w:val="auto"/>
        </w:rPr>
      </w:pPr>
    </w:p>
    <w:p>
      <w:pPr>
        <w:ind w:left="220"/>
        <w:spacing w:after="0" w:line="304" w:lineRule="auto"/>
        <w:rPr>
          <w:sz w:val="20"/>
          <w:szCs w:val="20"/>
          <w:color w:val="auto"/>
        </w:rPr>
      </w:pPr>
      <w:r>
        <w:rPr>
          <w:rFonts w:ascii="Arial" w:cs="Arial" w:eastAsia="Arial" w:hAnsi="Arial"/>
          <w:sz w:val="16"/>
          <w:szCs w:val="16"/>
          <w:color w:val="auto"/>
        </w:rPr>
        <w:t>Only holders of record of our common stock at the close of business on January 23, 2019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94,200,893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jc w:val="both"/>
        <w:ind w:left="220" w:right="100"/>
        <w:spacing w:after="0" w:line="261"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right="20"/>
        <w:spacing w:after="0" w:line="254"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and 4 and “1 Year” on Proposal 3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69" w:lineRule="exact"/>
        <w:rPr>
          <w:sz w:val="20"/>
          <w:szCs w:val="20"/>
          <w:color w:val="auto"/>
        </w:rPr>
      </w:pPr>
    </w:p>
    <w:p>
      <w:pPr>
        <w:ind w:left="220" w:right="160"/>
        <w:spacing w:after="0" w:line="291" w:lineRule="auto"/>
        <w:rPr>
          <w:sz w:val="20"/>
          <w:szCs w:val="20"/>
          <w:color w:val="auto"/>
        </w:rPr>
      </w:pPr>
      <w:r>
        <w:rPr>
          <w:rFonts w:ascii="Arial" w:cs="Arial" w:eastAsia="Arial" w:hAnsi="Arial"/>
          <w:sz w:val="16"/>
          <w:szCs w:val="16"/>
          <w:color w:val="auto"/>
        </w:rPr>
        <w:t>If you will not be able to attend the Annual Meeting to vote in person, you may vote your shares via the Internet or by telephone or by mail as set forth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62230</wp:posOffset>
            </wp:positionV>
            <wp:extent cx="98488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1</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146" w:lineRule="exact"/>
        <w:rPr>
          <w:sz w:val="20"/>
          <w:szCs w:val="20"/>
          <w:color w:val="auto"/>
        </w:rPr>
      </w:pPr>
    </w:p>
    <w:p>
      <w:pPr>
        <w:jc w:val="both"/>
        <w:ind w:left="220" w:right="300"/>
        <w:spacing w:after="0" w:line="261" w:lineRule="auto"/>
        <w:rPr>
          <w:sz w:val="20"/>
          <w:szCs w:val="20"/>
          <w:color w:val="auto"/>
        </w:rPr>
      </w:pPr>
      <w:r>
        <w:rPr>
          <w:rFonts w:ascii="Arial" w:cs="Arial" w:eastAsia="Arial" w:hAnsi="Arial"/>
          <w:sz w:val="16"/>
          <w:szCs w:val="16"/>
          <w:color w:val="auto"/>
        </w:rPr>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71" w:lineRule="exact"/>
        <w:rPr>
          <w:sz w:val="20"/>
          <w:szCs w:val="20"/>
          <w:color w:val="auto"/>
        </w:rPr>
      </w:pPr>
    </w:p>
    <w:p>
      <w:pPr>
        <w:ind w:left="220"/>
        <w:spacing w:after="0" w:line="255"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spacing w:after="0" w:line="25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6"/>
          <w:szCs w:val="16"/>
          <w:b w:val="1"/>
          <w:bCs w:val="1"/>
          <w:color w:val="auto"/>
        </w:rPr>
        <w:t>broker non-votes</w:t>
      </w:r>
      <w:r>
        <w:rPr>
          <w:rFonts w:ascii="Arial" w:cs="Arial" w:eastAsia="Arial" w:hAnsi="Arial"/>
          <w:sz w:val="16"/>
          <w:szCs w:val="16"/>
          <w:color w:val="auto"/>
        </w:rPr>
        <w:t>”). In accordance with the rules of Nasdaq,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84" w:lineRule="exact"/>
        <w:rPr>
          <w:sz w:val="20"/>
          <w:szCs w:val="20"/>
          <w:color w:val="auto"/>
        </w:rPr>
      </w:pPr>
    </w:p>
    <w:p>
      <w:pPr>
        <w:ind w:left="220" w:right="80"/>
        <w:spacing w:after="0" w:line="255" w:lineRule="auto"/>
        <w:rPr>
          <w:sz w:val="20"/>
          <w:szCs w:val="20"/>
          <w:color w:val="auto"/>
        </w:rPr>
      </w:pPr>
      <w:r>
        <w:rPr>
          <w:rFonts w:ascii="Arial" w:cs="Arial" w:eastAsia="Arial" w:hAnsi="Arial"/>
          <w:sz w:val="16"/>
          <w:szCs w:val="16"/>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five directors, will be elected. Because Proposal Nos. 2, 3 and 4 must be approved by the affirmative vote of a majority of the shares of Common Stock entitled to vote thereon and present in person or by proxy at the Annual Meeting (the “Required Vote”), abstentions will be counted in tabulations of the votes cast on each such proposal and will have the same effect as a vote against the proposal, whereas broker non-votes will be excluded from the vote and will have no effect on its outcome.</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Deadline for Receipt of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5" w:lineRule="exact"/>
        <w:rPr>
          <w:sz w:val="20"/>
          <w:szCs w:val="20"/>
          <w:color w:val="auto"/>
        </w:rPr>
      </w:pPr>
    </w:p>
    <w:p>
      <w:pPr>
        <w:ind w:left="220" w:right="120"/>
        <w:spacing w:after="0" w:line="255"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2020 Annual Meeting of Stockholders must ensure that the proposal is received by the Corporate Secretary at Arrowhead Pharmaceuticals, Inc., 225 South Lake Avenue, Suite 1050, Pasadena, CA 91101, not later than October 4, 2019, in order to be considered for inclusion in our proxy materials for that meeting; provided, however, that if the Company’s 2020 Annual Meeting of Stockholders is held before February 13, 2020 or after April 13, 2020, you must provide specified information to us a reasonable time before we begin to print and send our proxy statement for our 2020 Annual Meeting. Proposals received after the specified dates may be excluded from the Company’s proxy statement.</w:t>
      </w:r>
    </w:p>
    <w:p>
      <w:pPr>
        <w:spacing w:after="0" w:line="178" w:lineRule="exact"/>
        <w:rPr>
          <w:sz w:val="20"/>
          <w:szCs w:val="20"/>
          <w:color w:val="auto"/>
        </w:rPr>
      </w:pPr>
    </w:p>
    <w:p>
      <w:pPr>
        <w:ind w:left="220" w:right="80"/>
        <w:spacing w:after="0" w:line="255" w:lineRule="auto"/>
        <w:rPr>
          <w:sz w:val="20"/>
          <w:szCs w:val="20"/>
          <w:color w:val="auto"/>
        </w:rPr>
      </w:pPr>
      <w:r>
        <w:rPr>
          <w:rFonts w:ascii="Arial" w:cs="Arial" w:eastAsia="Arial" w:hAnsi="Arial"/>
          <w:sz w:val="16"/>
          <w:szCs w:val="16"/>
          <w:color w:val="auto"/>
        </w:rPr>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2019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2020 Annual Meeting date is advanced by more than 30 days before or delayed by more than 60 days after the anniversary date of the 2019 Annual Meeting, then stockholders must provide notice within time periods specified in our Bylaws. Our Bylaws also specify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80645</wp:posOffset>
            </wp:positionV>
            <wp:extent cx="98488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w:t>
      </w:r>
    </w:p>
    <w:p>
      <w:pPr>
        <w:sectPr>
          <w:pgSz w:w="11900" w:h="16838" w:orient="portrait"/>
          <w:cols w:equalWidth="0" w:num="1">
            <w:col w:w="11200"/>
          </w:cols>
          <w:pgMar w:left="24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358"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color w:val="auto"/>
        </w:rPr>
        <w:t>The Board has nominated the following five persons as directors to serve until the 2020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five nominees receiving the greatest numbers of votes at the Annual Meeting will be elected to the five director positions. Unless otherwise instructed, the proxy holders will vote the proxies received by them for the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78" w:lineRule="exact"/>
        <w:rPr>
          <w:sz w:val="20"/>
          <w:szCs w:val="20"/>
          <w:color w:val="auto"/>
        </w:rPr>
      </w:pPr>
    </w:p>
    <w:p>
      <w:pPr>
        <w:ind w:left="220" w:right="220"/>
        <w:spacing w:after="0" w:line="293"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w:t>
      </w:r>
      <w:r>
        <w:rPr>
          <w:rFonts w:ascii="Arial" w:cs="Arial" w:eastAsia="Arial" w:hAnsi="Arial"/>
          <w:sz w:val="16"/>
          <w:szCs w:val="16"/>
          <w:b w:val="1"/>
          <w:bCs w:val="1"/>
          <w:color w:val="0071CE"/>
        </w:rPr>
        <w:t xml:space="preserve"> </w:t>
      </w:r>
      <w:r>
        <w:rPr>
          <w:rFonts w:ascii="Arial" w:cs="Arial" w:eastAsia="Arial" w:hAnsi="Arial"/>
          <w:sz w:val="16"/>
          <w:szCs w:val="16"/>
          <w:color w:val="000000"/>
        </w:rPr>
        <w:t>the 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121285</wp:posOffset>
            </wp:positionV>
            <wp:extent cx="4334510" cy="53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34510" cy="539750"/>
                    </a:xfrm>
                    <a:prstGeom prst="rect">
                      <a:avLst/>
                    </a:prstGeom>
                    <a:noFill/>
                  </pic:spPr>
                </pic:pic>
              </a:graphicData>
            </a:graphic>
          </wp:anchor>
        </w:drawing>
      </w:r>
    </w:p>
    <w:p>
      <w:pPr>
        <w:spacing w:after="0" w:line="246" w:lineRule="exact"/>
        <w:rPr>
          <w:sz w:val="20"/>
          <w:szCs w:val="20"/>
          <w:color w:val="auto"/>
        </w:rPr>
      </w:pPr>
    </w:p>
    <w:p>
      <w:pPr>
        <w:ind w:left="3480" w:right="3620"/>
        <w:spacing w:after="0" w:line="292" w:lineRule="auto"/>
        <w:rPr>
          <w:sz w:val="20"/>
          <w:szCs w:val="20"/>
          <w:color w:val="auto"/>
        </w:rPr>
      </w:pPr>
      <w:r>
        <w:rPr>
          <w:rFonts w:ascii="Arial" w:cs="Arial" w:eastAsia="Arial" w:hAnsi="Arial"/>
          <w:sz w:val="16"/>
          <w:szCs w:val="16"/>
          <w:b w:val="1"/>
          <w:bCs w:val="1"/>
          <w:color w:val="auto"/>
        </w:rPr>
        <w:t xml:space="preserve">OUR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LISTED BELOW.</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0071CE"/>
        </w:rPr>
        <w:t>Douglass Given, MD</w:t>
      </w:r>
    </w:p>
    <w:p>
      <w:pPr>
        <w:spacing w:after="0" w:line="34"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0071CE"/>
        </w:rPr>
        <w:t>Chairman</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Director since: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2010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700" w:hanging="139"/>
        <w:spacing w:after="0"/>
        <w:tabs>
          <w:tab w:leader="none" w:pos="700" w:val="left"/>
        </w:tabs>
        <w:numPr>
          <w:ilvl w:val="0"/>
          <w:numId w:val="7"/>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Doug Given is Chairman of the Board. He has been a director of the Company since 2010. Doug is Managing Partner at Health2047 Capital Partners LLC. He served as Health2047 Inc.’s Chief Executive from its founding in August of 2015 until January 2018. Previously, Doug spent more than a decade in venture capital as an Investment Partner and General Partner at life sciences investor Bay City Capital LLC participating in five sequential life sciences general funds and two sector-specific funds; he was associated with the partnership from 1999-2015. A physician and medical scientist by background, Doug has been a global corporate and operating executive at Lilly, Monsanto, Schering Plough and Mallinckrodt and a serial entrepreneur, as well as a venture capitalist. In addition to a number of private companies, he led three public biotechnology and biopharmaceutical companies as CEO.</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Doug has served on more than 20 public and private boards. He is currently a Director at Health2047 Inc., board Chair at Akiri Inc., Managing Partner at G5 Partners LLC, and serves on the board at First Mile Care Inc. and Vivaldi Biosciences Inc. He serves on advisory boards at the University of Chicago Medicine, Johns Hopkins Bloomberg School of Public Health, Stanford Medicine, Stanford Institute for Economic Policy Research (SIEPR), and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4822825" cy="942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2825" cy="942340"/>
                    </a:xfrm>
                    <a:prstGeom prst="rect">
                      <a:avLst/>
                    </a:prstGeom>
                    <a:noFill/>
                  </pic:spPr>
                </pic:pic>
              </a:graphicData>
            </a:graphic>
          </wp:anchor>
        </w:drawing>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124460</wp:posOffset>
            </wp:positionV>
            <wp:extent cx="6989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227330</wp:posOffset>
            </wp:positionV>
            <wp:extent cx="98488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spacing w:after="0" w:line="187" w:lineRule="exact"/>
        <w:rPr>
          <w:sz w:val="20"/>
          <w:szCs w:val="20"/>
          <w:color w:val="auto"/>
        </w:rPr>
      </w:pPr>
    </w:p>
    <w:p>
      <w:pPr>
        <w:ind w:left="11060"/>
        <w:spacing w:after="0"/>
        <w:rPr>
          <w:sz w:val="20"/>
          <w:szCs w:val="20"/>
          <w:color w:val="auto"/>
        </w:rPr>
      </w:pPr>
      <w:r>
        <w:rPr>
          <w:rFonts w:ascii="Arial" w:cs="Arial" w:eastAsia="Arial" w:hAnsi="Arial"/>
          <w:sz w:val="17"/>
          <w:szCs w:val="17"/>
          <w:b w:val="1"/>
          <w:bCs w:val="1"/>
          <w:color w:val="0071CE"/>
        </w:rPr>
        <w:t>3</w:t>
      </w:r>
    </w:p>
    <w:p>
      <w:pPr>
        <w:sectPr>
          <w:pgSz w:w="11900" w:h="16838" w:orient="portrait"/>
          <w:cols w:equalWidth="0" w:num="1">
            <w:col w:w="11220"/>
          </w:cols>
          <w:pgMar w:left="240" w:top="455" w:right="4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00"/>
          </w:cols>
          <w:pgMar w:left="240" w:top="455" w:right="459" w:bottom="1440" w:gutter="0" w:footer="0" w:header="0"/>
        </w:sect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Michael S. Perry, DVM</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Lead Director</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420" w:hanging="129"/>
        <w:spacing w:after="0"/>
        <w:tabs>
          <w:tab w:leader="none" w:pos="42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Compensation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Nominating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8"/>
        </w:numPr>
        <w:rPr>
          <w:rFonts w:ascii="Arial" w:cs="Arial" w:eastAsia="Arial" w:hAnsi="Arial"/>
          <w:sz w:val="16"/>
          <w:szCs w:val="16"/>
          <w:color w:val="0071CE"/>
        </w:rPr>
      </w:pPr>
      <w:r>
        <w:rPr>
          <w:rFonts w:ascii="Arial" w:cs="Arial" w:eastAsia="Arial" w:hAnsi="Arial"/>
          <w:sz w:val="16"/>
          <w:szCs w:val="16"/>
          <w:color w:val="auto"/>
        </w:rPr>
        <w:t>Science Committee</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420" w:hanging="129"/>
        <w:spacing w:after="0"/>
        <w:tabs>
          <w:tab w:leader="none" w:pos="42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Avita Medical, Inc.</w:t>
      </w:r>
    </w:p>
    <w:p>
      <w:pPr>
        <w:spacing w:after="0" w:line="4" w:lineRule="exact"/>
        <w:rPr>
          <w:rFonts w:ascii="Arial" w:cs="Arial" w:eastAsia="Arial" w:hAnsi="Arial"/>
          <w:sz w:val="16"/>
          <w:szCs w:val="16"/>
          <w:color w:val="0071CE"/>
        </w:rPr>
      </w:pPr>
    </w:p>
    <w:p>
      <w:pPr>
        <w:ind w:left="420" w:hanging="129"/>
        <w:spacing w:after="0"/>
        <w:tabs>
          <w:tab w:leader="none" w:pos="42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Ampliphi Bioscience Corp.</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9"/>
        </w:numPr>
        <w:rPr>
          <w:rFonts w:ascii="Arial" w:cs="Arial" w:eastAsia="Arial" w:hAnsi="Arial"/>
          <w:sz w:val="16"/>
          <w:szCs w:val="16"/>
          <w:color w:val="0071CE"/>
        </w:rPr>
      </w:pPr>
      <w:r>
        <w:rPr>
          <w:rFonts w:ascii="Arial" w:cs="Arial" w:eastAsia="Arial" w:hAnsi="Arial"/>
          <w:sz w:val="16"/>
          <w:szCs w:val="16"/>
          <w:color w:val="auto"/>
        </w:rPr>
        <w:t>Gamida Cell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Dr. Perry is currently the Chief Executive Officer and President of Avita Medical Ltd., a regenerative medicine company based in Valencia, CA (ASX: AVH and OTCQX: AVMXY) and Managing Director of Bioscience Managers, a global Venture Capital firm. From 2014 – 2017, Dr. Perry served as Chief Scientific Officer of Novartis’ Cell and Gene Therapy Unit, and from 2012 – 2014 he served as Vice President and Global Head of Stem Cell Therapy for Novartis Pharmaceuticals Corp, a US affiliate of Switzerland-based Novartis AG, a global pharmaceutical company. Dr. Perry has previously served as the Global Head of R&amp;D at Baxter Healthcare, President and CEO of Cell &amp; Gene Therapy at Novartis affiliates Systemix Inc. and Genetic Therapy, Inc., VP Regulatory Affairs at Sandoz Pharmaceuticals Corp. and Syntex Corp, Director of Regulatory Affairs at Schering-Plough Corporation, and Chairman, CEO or CMO at several early stage biotech companies. He also previously served as a Venture Partner with Bay City Capital, LLC, based in San Francisco, California. Dr. Perry holds a Doctor of Veterinary Medicine, a PhD in Biomedical Pharmacology, and a B.Sc. in Physics from the University of Guelph, Ontario, Canada. He is a graduate of the International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131445</wp:posOffset>
            </wp:positionV>
            <wp:extent cx="4968240"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68240" cy="625475"/>
                    </a:xfrm>
                    <a:prstGeom prst="rect">
                      <a:avLst/>
                    </a:prstGeom>
                    <a:noFill/>
                  </pic:spPr>
                </pic:pic>
              </a:graphicData>
            </a:graphic>
          </wp:anchor>
        </w:drawing>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120" w:right="220"/>
        <w:spacing w:after="0" w:line="255"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46355</wp:posOffset>
            </wp:positionV>
            <wp:extent cx="6989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580"/>
          </w:cols>
          <w:pgMar w:left="240" w:top="455" w:right="459" w:bottom="1440" w:gutter="0" w:footer="0" w:header="0"/>
          <w:type w:val="continuous"/>
        </w:sect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Christopher Anzalone, PhD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9"/>
          <w:szCs w:val="19"/>
          <w:b w:val="1"/>
          <w:bCs w:val="1"/>
          <w:i w:val="1"/>
          <w:iCs w:val="1"/>
          <w:color w:val="0071CE"/>
        </w:rPr>
        <w:t>Chief Executive Officer, President &amp; Director</w:t>
      </w:r>
    </w:p>
    <w:p>
      <w:pPr>
        <w:sectPr>
          <w:pgSz w:w="11900" w:h="16838" w:orient="portrait"/>
          <w:cols w:equalWidth="0" w:num="1">
            <w:col w:w="11200"/>
          </w:cols>
          <w:pgMar w:left="240" w:top="455" w:right="459" w:bottom="1440" w:gutter="0" w:footer="0" w:header="0"/>
          <w:type w:val="continuous"/>
        </w:sectPr>
      </w:pPr>
    </w:p>
    <w:p>
      <w:pPr>
        <w:spacing w:after="0" w:line="1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2007</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125730</wp:posOffset>
            </wp:positionV>
            <wp:extent cx="4968240" cy="625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68240" cy="625475"/>
                    </a:xfrm>
                    <a:prstGeom prst="rect">
                      <a:avLst/>
                    </a:prstGeom>
                    <a:noFill/>
                  </pic:spPr>
                </pic:pic>
              </a:graphicData>
            </a:graphic>
          </wp:anchor>
        </w:drawing>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120" w:right="440"/>
        <w:spacing w:after="0" w:line="255"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46355</wp:posOffset>
            </wp:positionV>
            <wp:extent cx="6989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149225</wp:posOffset>
            </wp:positionV>
            <wp:extent cx="98488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580"/>
          </w:cols>
          <w:pgMar w:left="240" w:top="455" w:right="459" w:bottom="1440" w:gutter="0" w:footer="0" w:header="0"/>
          <w:type w:val="continuous"/>
        </w:sectPr>
      </w:pPr>
    </w:p>
    <w:p>
      <w:pPr>
        <w:spacing w:after="0" w:line="6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0071CE"/>
        </w:rPr>
        <w:t>4</w:t>
      </w:r>
    </w:p>
    <w:p>
      <w:pPr>
        <w:sectPr>
          <w:pgSz w:w="11900" w:h="16838" w:orient="portrait"/>
          <w:cols w:equalWidth="0" w:num="1">
            <w:col w:w="11200"/>
          </w:cols>
          <w:pgMar w:left="240" w:top="455" w:right="45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240" w:top="455" w:right="439" w:bottom="1440" w:gutter="0" w:footer="0" w:header="0"/>
        </w:sect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Mauro Ferrari, PhD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4" w:lineRule="exact"/>
        <w:rPr>
          <w:rFonts w:ascii="Arial" w:cs="Arial" w:eastAsia="Arial" w:hAnsi="Arial"/>
          <w:sz w:val="16"/>
          <w:szCs w:val="16"/>
          <w:color w:val="0071CE"/>
        </w:rPr>
      </w:pPr>
    </w:p>
    <w:p>
      <w:pPr>
        <w:ind w:left="420" w:hanging="129"/>
        <w:spacing w:after="0"/>
        <w:tabs>
          <w:tab w:leader="none" w:pos="42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Audit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0"/>
        </w:numPr>
        <w:rPr>
          <w:rFonts w:ascii="Arial" w:cs="Arial" w:eastAsia="Arial" w:hAnsi="Arial"/>
          <w:sz w:val="16"/>
          <w:szCs w:val="16"/>
          <w:color w:val="0071CE"/>
        </w:rPr>
      </w:pPr>
      <w:r>
        <w:rPr>
          <w:rFonts w:ascii="Arial" w:cs="Arial" w:eastAsia="Arial" w:hAnsi="Arial"/>
          <w:sz w:val="16"/>
          <w:szCs w:val="16"/>
          <w:color w:val="auto"/>
        </w:rPr>
        <w:t>Science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Since 2010, Dr. Ferrari has been the President and CEO of The Houston Methodist Hospital Research Institute (TMHRI), Executive Vice President of Houston Methodist Hospital and Senior Associate Dean of Weill Cornell Medical College in New York.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205105</wp:posOffset>
            </wp:positionV>
            <wp:extent cx="4968240" cy="984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68240" cy="9848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We believe 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48260</wp:posOffset>
            </wp:positionV>
            <wp:extent cx="69894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spacing w:after="0" w:line="35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0071CE"/>
        </w:rPr>
        <w:t>William Waddill</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January 2018</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Serves on:</w:t>
      </w:r>
    </w:p>
    <w:p>
      <w:pPr>
        <w:spacing w:after="0" w:line="27" w:lineRule="exact"/>
        <w:rPr>
          <w:sz w:val="20"/>
          <w:szCs w:val="20"/>
          <w:color w:val="auto"/>
        </w:rPr>
      </w:pPr>
    </w:p>
    <w:p>
      <w:pPr>
        <w:ind w:left="420" w:hanging="129"/>
        <w:spacing w:after="0"/>
        <w:tabs>
          <w:tab w:leader="none" w:pos="42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Compensation Committee</w:t>
      </w:r>
    </w:p>
    <w:p>
      <w:pPr>
        <w:spacing w:after="0" w:line="4" w:lineRule="exact"/>
        <w:rPr>
          <w:rFonts w:ascii="Arial" w:cs="Arial" w:eastAsia="Arial" w:hAnsi="Arial"/>
          <w:sz w:val="16"/>
          <w:szCs w:val="16"/>
          <w:color w:val="0071CE"/>
        </w:rPr>
      </w:pPr>
    </w:p>
    <w:p>
      <w:pPr>
        <w:ind w:left="440" w:hanging="149"/>
        <w:spacing w:after="0"/>
        <w:tabs>
          <w:tab w:leader="none" w:pos="440" w:val="left"/>
        </w:tabs>
        <w:numPr>
          <w:ilvl w:val="0"/>
          <w:numId w:val="11"/>
        </w:numPr>
        <w:rPr>
          <w:rFonts w:ascii="Arial" w:cs="Arial" w:eastAsia="Arial" w:hAnsi="Arial"/>
          <w:sz w:val="16"/>
          <w:szCs w:val="16"/>
          <w:color w:val="0071CE"/>
        </w:rPr>
      </w:pPr>
      <w:r>
        <w:rPr>
          <w:rFonts w:ascii="Arial" w:cs="Arial" w:eastAsia="Arial" w:hAnsi="Arial"/>
          <w:sz w:val="16"/>
          <w:szCs w:val="16"/>
          <w:color w:val="auto"/>
        </w:rPr>
        <w:t>Nominating Committee</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Public Company Boards:</w:t>
      </w:r>
    </w:p>
    <w:p>
      <w:pPr>
        <w:spacing w:after="0" w:line="27" w:lineRule="exact"/>
        <w:rPr>
          <w:sz w:val="20"/>
          <w:szCs w:val="20"/>
          <w:color w:val="auto"/>
        </w:rPr>
      </w:pPr>
    </w:p>
    <w:p>
      <w:pPr>
        <w:ind w:left="440" w:hanging="149"/>
        <w:spacing w:after="0"/>
        <w:tabs>
          <w:tab w:leader="none" w:pos="440" w:val="left"/>
        </w:tabs>
        <w:numPr>
          <w:ilvl w:val="0"/>
          <w:numId w:val="12"/>
        </w:numPr>
        <w:rPr>
          <w:rFonts w:ascii="Arial" w:cs="Arial" w:eastAsia="Arial" w:hAnsi="Arial"/>
          <w:sz w:val="16"/>
          <w:szCs w:val="16"/>
          <w:color w:val="0071CE"/>
        </w:rPr>
      </w:pPr>
      <w:r>
        <w:rPr>
          <w:rFonts w:ascii="Arial" w:cs="Arial" w:eastAsia="Arial" w:hAnsi="Arial"/>
          <w:sz w:val="16"/>
          <w:szCs w:val="16"/>
          <w:color w:val="auto"/>
        </w:rPr>
        <w:t>Protagonist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William Waddill began his career 30 years ago in commercial banking and public accounting and has been in the biotechnology industry for over 25 years. Since 2016, he has served on the board of Protagonist Therapeutics, a Newark, CA clinical stage biopharmaceutical company and most recently was Senior Vice President and CFO of Calithera Bioscience, a clinical stage pharmaceutical company from 2014 to 2016. Prior to Calithera, Mr. Waddill was Senior Vice President and CFO at OncoMed Pharmaceuticals from 2007 to 2014. Mr. Waddill served as the Senior Vice President and CFO of Ilypsa, Inc., a biotechnology company that was acquired in 2007 by Amgen, Inc. Before joining Ilypsa, he served as the founder and principal at Square One Finance, a financial consulting business, and Mr. Waddill served as Senior Director of Finance and Administration at Exelixis, Inc., a biotechnology company.</w:t>
      </w:r>
    </w:p>
    <w:p>
      <w:pPr>
        <w:spacing w:after="0" w:line="2"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117475</wp:posOffset>
            </wp:positionV>
            <wp:extent cx="4968240" cy="625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68240" cy="625475"/>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Qualifications</w:t>
      </w:r>
    </w:p>
    <w:p>
      <w:pPr>
        <w:spacing w:after="0" w:line="27" w:lineRule="exact"/>
        <w:rPr>
          <w:sz w:val="20"/>
          <w:szCs w:val="20"/>
          <w:color w:val="auto"/>
        </w:rPr>
      </w:pPr>
    </w:p>
    <w:p>
      <w:pPr>
        <w:ind w:left="120" w:right="180"/>
        <w:spacing w:after="0" w:line="255"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46355</wp:posOffset>
            </wp:positionV>
            <wp:extent cx="6989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89445" cy="8255"/>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149225</wp:posOffset>
            </wp:positionV>
            <wp:extent cx="98488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720"/>
            <w:col w:w="7600"/>
          </w:cols>
          <w:pgMar w:left="240" w:top="455" w:right="439" w:bottom="1440" w:gutter="0" w:footer="0" w:header="0"/>
          <w:type w:val="continuous"/>
        </w:sectPr>
      </w:pPr>
    </w:p>
    <w:p>
      <w:pPr>
        <w:spacing w:after="0" w:line="64" w:lineRule="exact"/>
        <w:rPr>
          <w:sz w:val="20"/>
          <w:szCs w:val="20"/>
          <w:color w:val="auto"/>
        </w:rPr>
      </w:pPr>
    </w:p>
    <w:p>
      <w:pPr>
        <w:ind w:left="11060"/>
        <w:spacing w:after="0"/>
        <w:rPr>
          <w:sz w:val="20"/>
          <w:szCs w:val="20"/>
          <w:color w:val="auto"/>
        </w:rPr>
      </w:pPr>
      <w:r>
        <w:rPr>
          <w:rFonts w:ascii="Arial" w:cs="Arial" w:eastAsia="Arial" w:hAnsi="Arial"/>
          <w:sz w:val="17"/>
          <w:szCs w:val="17"/>
          <w:b w:val="1"/>
          <w:bCs w:val="1"/>
          <w:color w:val="0071CE"/>
        </w:rPr>
        <w:t>5</w:t>
      </w:r>
    </w:p>
    <w:p>
      <w:pPr>
        <w:sectPr>
          <w:pgSz w:w="11900" w:h="16838" w:orient="portrait"/>
          <w:cols w:equalWidth="0" w:num="1">
            <w:col w:w="11220"/>
          </w:cols>
          <w:pgMar w:left="240" w:top="455"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80"/>
        <w:spacing w:after="0" w:line="268" w:lineRule="auto"/>
        <w:rPr>
          <w:sz w:val="20"/>
          <w:szCs w:val="20"/>
          <w:color w:val="auto"/>
        </w:rPr>
      </w:pPr>
      <w:r>
        <w:rPr>
          <w:rFonts w:ascii="Arial" w:cs="Arial" w:eastAsia="Arial" w:hAnsi="Arial"/>
          <w:sz w:val="16"/>
          <w:szCs w:val="16"/>
          <w:color w:val="auto"/>
        </w:rPr>
        <w:t>The Nominating Committee of the Board of Directors annually considers the size, composition and needs of the Board and, as appropriate, recommends the nominees for directors to the Board for approval. The Committee considers and evaluates suggestions from many sources regarding possible candidates for directors. Below are general criteria for the evaluation of current and proposed directors:</w:t>
      </w:r>
    </w:p>
    <w:p>
      <w:pPr>
        <w:spacing w:after="0" w:line="72" w:lineRule="exact"/>
        <w:rPr>
          <w:sz w:val="20"/>
          <w:szCs w:val="20"/>
          <w:color w:val="auto"/>
        </w:rPr>
      </w:pPr>
    </w:p>
    <w:p>
      <w:pPr>
        <w:ind w:left="420" w:hanging="210"/>
        <w:spacing w:after="0"/>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The highest ethical character and shared values with our Code of Corporate Conduct</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Accomplishment within candidate’s field, with superior credentials and recognition</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Relevant expertise and experience and the ability to offer advice and guidance to the CEO based on that expertise and experience</w:t>
      </w:r>
    </w:p>
    <w:p>
      <w:pPr>
        <w:spacing w:after="0" w:line="126" w:lineRule="exact"/>
        <w:rPr>
          <w:rFonts w:ascii="Arial" w:cs="Arial" w:eastAsia="Arial" w:hAnsi="Arial"/>
          <w:sz w:val="16"/>
          <w:szCs w:val="16"/>
          <w:color w:val="0071CE"/>
        </w:rPr>
      </w:pPr>
    </w:p>
    <w:p>
      <w:pPr>
        <w:ind w:left="420" w:right="440" w:hanging="210"/>
        <w:spacing w:after="0" w:line="291" w:lineRule="auto"/>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0071CE"/>
        </w:rPr>
      </w:pPr>
    </w:p>
    <w:p>
      <w:pPr>
        <w:ind w:left="420" w:right="140" w:hanging="210"/>
        <w:spacing w:after="0" w:line="291" w:lineRule="auto"/>
        <w:tabs>
          <w:tab w:leader="none" w:pos="420" w:val="left"/>
        </w:tabs>
        <w:numPr>
          <w:ilvl w:val="0"/>
          <w:numId w:val="13"/>
        </w:numPr>
        <w:rPr>
          <w:rFonts w:ascii="Arial" w:cs="Arial" w:eastAsia="Arial" w:hAnsi="Arial"/>
          <w:sz w:val="16"/>
          <w:szCs w:val="16"/>
          <w:color w:val="0071CE"/>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147" w:lineRule="exact"/>
        <w:rPr>
          <w:sz w:val="20"/>
          <w:szCs w:val="20"/>
          <w:color w:val="auto"/>
        </w:rPr>
      </w:pPr>
    </w:p>
    <w:p>
      <w:pPr>
        <w:ind w:left="220" w:right="260"/>
        <w:spacing w:after="0" w:line="291" w:lineRule="auto"/>
        <w:rPr>
          <w:sz w:val="20"/>
          <w:szCs w:val="20"/>
          <w:color w:val="auto"/>
        </w:rPr>
      </w:pPr>
      <w:r>
        <w:rPr>
          <w:rFonts w:ascii="Arial" w:cs="Arial" w:eastAsia="Arial" w:hAnsi="Arial"/>
          <w:sz w:val="16"/>
          <w:szCs w:val="16"/>
          <w:color w:val="auto"/>
        </w:rPr>
        <w:t>Additionally, the Committee considers the mix of skills and experience among current and prospective directors with a goal of assembling a Board with complementary skills for the benefit of the Company. Listed below are the relevant contributions of each current board member.</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310"/>
        </w:trPr>
        <w:tc>
          <w:tcPr>
            <w:tcW w:w="26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Expertise</w:t>
            </w:r>
          </w:p>
        </w:tc>
        <w:tc>
          <w:tcPr>
            <w:tcW w:w="1040" w:type="dxa"/>
            <w:vAlign w:val="bottom"/>
            <w:shd w:val="clear" w:color="auto" w:fill="0071CE"/>
          </w:tcPr>
          <w:p>
            <w:pPr>
              <w:jc w:val="center"/>
              <w:ind w:left="124"/>
              <w:spacing w:after="0"/>
              <w:rPr>
                <w:sz w:val="20"/>
                <w:szCs w:val="20"/>
                <w:color w:val="auto"/>
              </w:rPr>
            </w:pPr>
            <w:r>
              <w:rPr>
                <w:rFonts w:ascii="Arial" w:cs="Arial" w:eastAsia="Arial" w:hAnsi="Arial"/>
                <w:sz w:val="14"/>
                <w:szCs w:val="14"/>
                <w:b w:val="1"/>
                <w:bCs w:val="1"/>
                <w:color w:val="FFFFFF"/>
              </w:rPr>
              <w:t>Given</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9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Ferrari</w:t>
            </w:r>
          </w:p>
        </w:tc>
        <w:tc>
          <w:tcPr>
            <w:tcW w:w="740" w:type="dxa"/>
            <w:vAlign w:val="bottom"/>
            <w:shd w:val="clear" w:color="auto" w:fill="0071CE"/>
          </w:tcPr>
          <w:p>
            <w:pPr>
              <w:jc w:val="center"/>
              <w:ind w:left="164"/>
              <w:spacing w:after="0"/>
              <w:rPr>
                <w:sz w:val="20"/>
                <w:szCs w:val="20"/>
                <w:color w:val="auto"/>
              </w:rPr>
            </w:pPr>
            <w:r>
              <w:rPr>
                <w:rFonts w:ascii="Arial" w:cs="Arial" w:eastAsia="Arial" w:hAnsi="Arial"/>
                <w:sz w:val="14"/>
                <w:szCs w:val="14"/>
                <w:b w:val="1"/>
                <w:bCs w:val="1"/>
                <w:color w:val="FFFFFF"/>
              </w:rPr>
              <w:t>Waddill</w:t>
            </w:r>
          </w:p>
        </w:tc>
        <w:tc>
          <w:tcPr>
            <w:tcW w:w="2760" w:type="dxa"/>
            <w:vAlign w:val="bottom"/>
          </w:tcPr>
          <w:p>
            <w:pPr>
              <w:ind w:left="1440"/>
              <w:spacing w:after="0"/>
              <w:rPr>
                <w:sz w:val="20"/>
                <w:szCs w:val="20"/>
                <w:color w:val="auto"/>
              </w:rPr>
            </w:pPr>
            <w:r>
              <w:rPr>
                <w:rFonts w:ascii="Arial" w:cs="Arial" w:eastAsia="Arial" w:hAnsi="Arial"/>
                <w:sz w:val="18"/>
                <w:szCs w:val="18"/>
                <w:b w:val="1"/>
                <w:bCs w:val="1"/>
                <w:color w:val="0071CE"/>
                <w:w w:val="96"/>
              </w:rPr>
              <w:t>Director Tenure</w:t>
            </w:r>
          </w:p>
        </w:tc>
        <w:tc>
          <w:tcPr>
            <w:tcW w:w="0" w:type="dxa"/>
            <w:vAlign w:val="bottom"/>
          </w:tcPr>
          <w:p>
            <w:pPr>
              <w:spacing w:after="0"/>
              <w:rPr>
                <w:sz w:val="1"/>
                <w:szCs w:val="1"/>
                <w:color w:val="auto"/>
              </w:rPr>
            </w:pPr>
          </w:p>
        </w:tc>
      </w:tr>
      <w:tr>
        <w:trPr>
          <w:trHeight w:val="138"/>
        </w:trPr>
        <w:tc>
          <w:tcPr>
            <w:tcW w:w="2680" w:type="dxa"/>
            <w:vAlign w:val="bottom"/>
            <w:shd w:val="clear" w:color="auto" w:fill="E5E5E5"/>
          </w:tcPr>
          <w:p>
            <w:pPr>
              <w:ind w:left="60"/>
              <w:spacing w:after="0" w:line="138" w:lineRule="exact"/>
              <w:rPr>
                <w:sz w:val="20"/>
                <w:szCs w:val="20"/>
                <w:color w:val="auto"/>
              </w:rPr>
            </w:pPr>
            <w:r>
              <w:rPr>
                <w:rFonts w:ascii="Arial" w:cs="Arial" w:eastAsia="Arial" w:hAnsi="Arial"/>
                <w:sz w:val="15"/>
                <w:szCs w:val="15"/>
                <w:b w:val="1"/>
                <w:bCs w:val="1"/>
                <w:color w:val="auto"/>
              </w:rPr>
              <w:t>Biopharma Research</w:t>
            </w:r>
          </w:p>
        </w:tc>
        <w:tc>
          <w:tcPr>
            <w:tcW w:w="1040" w:type="dxa"/>
            <w:vAlign w:val="bottom"/>
            <w:vMerge w:val="restart"/>
            <w:shd w:val="clear" w:color="auto" w:fill="E5E5E5"/>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0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shd w:val="clear" w:color="auto" w:fill="E5E5E5"/>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6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5"/>
                <w:szCs w:val="15"/>
                <w:b w:val="1"/>
                <w:bCs w:val="1"/>
                <w:color w:val="auto"/>
              </w:rPr>
              <w:t>&amp; Development</w:t>
            </w:r>
          </w:p>
        </w:tc>
        <w:tc>
          <w:tcPr>
            <w:tcW w:w="1040" w:type="dxa"/>
            <w:vAlign w:val="bottom"/>
            <w:tcBorders>
              <w:bottom w:val="single" w:sz="8" w:color="E5E5E5"/>
            </w:tcBorders>
            <w:vMerge w:val="continue"/>
            <w:shd w:val="clear" w:color="auto" w:fill="E5E5E5"/>
          </w:tcPr>
          <w:p>
            <w:pPr>
              <w:spacing w:after="0"/>
              <w:rPr>
                <w:sz w:val="19"/>
                <w:szCs w:val="19"/>
                <w:color w:val="auto"/>
              </w:rPr>
            </w:pPr>
          </w:p>
        </w:tc>
        <w:tc>
          <w:tcPr>
            <w:tcW w:w="820" w:type="dxa"/>
            <w:vAlign w:val="bottom"/>
            <w:tcBorders>
              <w:bottom w:val="single" w:sz="8" w:color="E5E5E5"/>
            </w:tcBorders>
            <w:vMerge w:val="continue"/>
            <w:shd w:val="clear" w:color="auto" w:fill="E5E5E5"/>
          </w:tcPr>
          <w:p>
            <w:pPr>
              <w:spacing w:after="0"/>
              <w:rPr>
                <w:sz w:val="19"/>
                <w:szCs w:val="19"/>
                <w:color w:val="auto"/>
              </w:rPr>
            </w:pPr>
          </w:p>
        </w:tc>
        <w:tc>
          <w:tcPr>
            <w:tcW w:w="1080" w:type="dxa"/>
            <w:vAlign w:val="bottom"/>
            <w:tcBorders>
              <w:bottom w:val="single" w:sz="8" w:color="E5E5E5"/>
            </w:tcBorders>
            <w:vMerge w:val="continue"/>
            <w:shd w:val="clear" w:color="auto" w:fill="E5E5E5"/>
          </w:tcPr>
          <w:p>
            <w:pPr>
              <w:spacing w:after="0"/>
              <w:rPr>
                <w:sz w:val="19"/>
                <w:szCs w:val="19"/>
                <w:color w:val="auto"/>
              </w:rPr>
            </w:pPr>
          </w:p>
        </w:tc>
        <w:tc>
          <w:tcPr>
            <w:tcW w:w="900" w:type="dxa"/>
            <w:vAlign w:val="bottom"/>
            <w:tcBorders>
              <w:bottom w:val="single" w:sz="8" w:color="E5E5E5"/>
            </w:tcBorders>
            <w:vMerge w:val="continue"/>
            <w:shd w:val="clear" w:color="auto" w:fill="E5E5E5"/>
          </w:tcPr>
          <w:p>
            <w:pPr>
              <w:spacing w:after="0"/>
              <w:rPr>
                <w:sz w:val="19"/>
                <w:szCs w:val="19"/>
                <w:color w:val="auto"/>
              </w:rPr>
            </w:pPr>
          </w:p>
        </w:tc>
        <w:tc>
          <w:tcPr>
            <w:tcW w:w="740" w:type="dxa"/>
            <w:vAlign w:val="bottom"/>
            <w:tcBorders>
              <w:bottom w:val="single" w:sz="8" w:color="E5E5E5"/>
            </w:tcBorders>
            <w:shd w:val="clear" w:color="auto" w:fill="E5E5E5"/>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Healthcare</w:t>
            </w:r>
          </w:p>
        </w:tc>
        <w:tc>
          <w:tcPr>
            <w:tcW w:w="1040" w:type="dxa"/>
            <w:vAlign w:val="bottom"/>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Drug Development</w:t>
            </w:r>
          </w:p>
        </w:tc>
        <w:tc>
          <w:tcPr>
            <w:tcW w:w="1040" w:type="dxa"/>
            <w:vAlign w:val="bottom"/>
            <w:shd w:val="clear" w:color="auto" w:fill="E5E5E5"/>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0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shd w:val="clear" w:color="auto" w:fill="E5E5E5"/>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8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Executive Leadership</w:t>
            </w:r>
          </w:p>
        </w:tc>
        <w:tc>
          <w:tcPr>
            <w:tcW w:w="1040" w:type="dxa"/>
            <w:vAlign w:val="bottom"/>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740" w:type="dxa"/>
            <w:vAlign w:val="bottom"/>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Public Company Governance</w:t>
            </w:r>
          </w:p>
        </w:tc>
        <w:tc>
          <w:tcPr>
            <w:tcW w:w="1040" w:type="dxa"/>
            <w:vAlign w:val="bottom"/>
            <w:shd w:val="clear" w:color="auto" w:fill="E5E5E5"/>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00" w:type="dxa"/>
            <w:vAlign w:val="bottom"/>
            <w:shd w:val="clear" w:color="auto" w:fill="E5E5E5"/>
          </w:tcPr>
          <w:p>
            <w:pPr>
              <w:spacing w:after="0"/>
              <w:rPr>
                <w:sz w:val="24"/>
                <w:szCs w:val="24"/>
                <w:color w:val="auto"/>
              </w:rPr>
            </w:pPr>
          </w:p>
        </w:tc>
        <w:tc>
          <w:tcPr>
            <w:tcW w:w="740" w:type="dxa"/>
            <w:vAlign w:val="bottom"/>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80" w:type="dxa"/>
            <w:vAlign w:val="bottom"/>
            <w:shd w:val="clear" w:color="auto" w:fill="E5E5E5"/>
          </w:tcPr>
          <w:p>
            <w:pPr>
              <w:spacing w:after="0"/>
              <w:rPr>
                <w:sz w:val="12"/>
                <w:szCs w:val="12"/>
                <w:color w:val="auto"/>
              </w:rPr>
            </w:pPr>
          </w:p>
        </w:tc>
        <w:tc>
          <w:tcPr>
            <w:tcW w:w="1040" w:type="dxa"/>
            <w:vAlign w:val="bottom"/>
            <w:shd w:val="clear" w:color="auto" w:fill="E5E5E5"/>
          </w:tcPr>
          <w:p>
            <w:pPr>
              <w:spacing w:after="0"/>
              <w:rPr>
                <w:sz w:val="12"/>
                <w:szCs w:val="12"/>
                <w:color w:val="auto"/>
              </w:rPr>
            </w:pPr>
          </w:p>
        </w:tc>
        <w:tc>
          <w:tcPr>
            <w:tcW w:w="82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90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2680" w:type="dxa"/>
            <w:vAlign w:val="bottom"/>
          </w:tcPr>
          <w:p>
            <w:pPr>
              <w:ind w:left="60"/>
              <w:spacing w:after="0"/>
              <w:rPr>
                <w:sz w:val="20"/>
                <w:szCs w:val="20"/>
                <w:color w:val="auto"/>
              </w:rPr>
            </w:pPr>
            <w:r>
              <w:rPr>
                <w:rFonts w:ascii="Arial" w:cs="Arial" w:eastAsia="Arial" w:hAnsi="Arial"/>
                <w:sz w:val="15"/>
                <w:szCs w:val="15"/>
                <w:b w:val="1"/>
                <w:bCs w:val="1"/>
                <w:color w:val="auto"/>
              </w:rPr>
              <w:t>Accounting/Audit</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680" w:type="dxa"/>
            <w:vAlign w:val="bottom"/>
            <w:shd w:val="clear" w:color="auto" w:fill="E5E5E5"/>
          </w:tcPr>
          <w:p>
            <w:pPr>
              <w:ind w:left="60"/>
              <w:spacing w:after="0"/>
              <w:rPr>
                <w:sz w:val="20"/>
                <w:szCs w:val="20"/>
                <w:color w:val="auto"/>
              </w:rPr>
            </w:pPr>
            <w:r>
              <w:rPr>
                <w:rFonts w:ascii="Arial" w:cs="Arial" w:eastAsia="Arial" w:hAnsi="Arial"/>
                <w:sz w:val="15"/>
                <w:szCs w:val="15"/>
                <w:b w:val="1"/>
                <w:bCs w:val="1"/>
                <w:color w:val="auto"/>
              </w:rPr>
              <w:t>Venture Capital</w:t>
            </w:r>
          </w:p>
        </w:tc>
        <w:tc>
          <w:tcPr>
            <w:tcW w:w="1040" w:type="dxa"/>
            <w:vAlign w:val="bottom"/>
            <w:vMerge w:val="restart"/>
            <w:shd w:val="clear" w:color="auto" w:fill="E5E5E5"/>
          </w:tcPr>
          <w:p>
            <w:pPr>
              <w:jc w:val="center"/>
              <w:ind w:left="144"/>
              <w:spacing w:after="0"/>
              <w:rPr>
                <w:sz w:val="20"/>
                <w:szCs w:val="20"/>
                <w:color w:val="auto"/>
              </w:rPr>
            </w:pPr>
            <w:r>
              <w:rPr>
                <w:rFonts w:ascii="Arial" w:cs="Arial" w:eastAsia="Arial" w:hAnsi="Arial"/>
                <w:sz w:val="15"/>
                <w:szCs w:val="15"/>
                <w:b w:val="1"/>
                <w:bCs w:val="1"/>
                <w:color w:val="0071CE"/>
                <w:w w:val="99"/>
              </w:rPr>
              <w:t>X</w:t>
            </w:r>
          </w:p>
        </w:tc>
        <w:tc>
          <w:tcPr>
            <w:tcW w:w="8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00" w:type="dxa"/>
            <w:vAlign w:val="bottom"/>
            <w:shd w:val="clear" w:color="auto" w:fill="E5E5E5"/>
          </w:tcPr>
          <w:p>
            <w:pPr>
              <w:spacing w:after="0"/>
              <w:rPr>
                <w:sz w:val="20"/>
                <w:szCs w:val="20"/>
                <w:color w:val="auto"/>
              </w:rPr>
            </w:pPr>
          </w:p>
        </w:tc>
        <w:tc>
          <w:tcPr>
            <w:tcW w:w="740" w:type="dxa"/>
            <w:vAlign w:val="bottom"/>
            <w:vMerge w:val="restart"/>
            <w:shd w:val="clear" w:color="auto" w:fill="E5E5E5"/>
          </w:tcPr>
          <w:p>
            <w:pPr>
              <w:jc w:val="center"/>
              <w:ind w:left="164"/>
              <w:spacing w:after="0"/>
              <w:rPr>
                <w:sz w:val="20"/>
                <w:szCs w:val="20"/>
                <w:color w:val="auto"/>
              </w:rPr>
            </w:pPr>
            <w:r>
              <w:rPr>
                <w:rFonts w:ascii="Arial" w:cs="Arial" w:eastAsia="Arial" w:hAnsi="Arial"/>
                <w:sz w:val="15"/>
                <w:szCs w:val="15"/>
                <w:b w:val="1"/>
                <w:bCs w:val="1"/>
                <w:color w:val="0071CE"/>
                <w:w w:val="99"/>
              </w:rPr>
              <w:t>X</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680" w:type="dxa"/>
            <w:vAlign w:val="bottom"/>
            <w:shd w:val="clear" w:color="auto" w:fill="E5E5E5"/>
          </w:tcPr>
          <w:p>
            <w:pPr>
              <w:spacing w:after="0"/>
              <w:rPr>
                <w:sz w:val="10"/>
                <w:szCs w:val="10"/>
                <w:color w:val="auto"/>
              </w:rPr>
            </w:pPr>
          </w:p>
        </w:tc>
        <w:tc>
          <w:tcPr>
            <w:tcW w:w="1040" w:type="dxa"/>
            <w:vAlign w:val="bottom"/>
            <w:vMerge w:val="continue"/>
            <w:shd w:val="clear" w:color="auto" w:fill="E5E5E5"/>
          </w:tcPr>
          <w:p>
            <w:pPr>
              <w:spacing w:after="0"/>
              <w:rPr>
                <w:sz w:val="10"/>
                <w:szCs w:val="10"/>
                <w:color w:val="auto"/>
              </w:rPr>
            </w:pPr>
          </w:p>
        </w:tc>
        <w:tc>
          <w:tcPr>
            <w:tcW w:w="820" w:type="dxa"/>
            <w:vAlign w:val="bottom"/>
            <w:vMerge w:val="continue"/>
            <w:shd w:val="clear" w:color="auto" w:fill="E5E5E5"/>
          </w:tcPr>
          <w:p>
            <w:pPr>
              <w:spacing w:after="0"/>
              <w:rPr>
                <w:sz w:val="10"/>
                <w:szCs w:val="10"/>
                <w:color w:val="auto"/>
              </w:rPr>
            </w:pPr>
          </w:p>
        </w:tc>
        <w:tc>
          <w:tcPr>
            <w:tcW w:w="1080" w:type="dxa"/>
            <w:vAlign w:val="bottom"/>
            <w:vMerge w:val="continue"/>
            <w:shd w:val="clear" w:color="auto" w:fill="E5E5E5"/>
          </w:tcPr>
          <w:p>
            <w:pPr>
              <w:spacing w:after="0"/>
              <w:rPr>
                <w:sz w:val="10"/>
                <w:szCs w:val="10"/>
                <w:color w:val="auto"/>
              </w:rPr>
            </w:pPr>
          </w:p>
        </w:tc>
        <w:tc>
          <w:tcPr>
            <w:tcW w:w="900" w:type="dxa"/>
            <w:vAlign w:val="bottom"/>
            <w:shd w:val="clear" w:color="auto" w:fill="E5E5E5"/>
          </w:tcPr>
          <w:p>
            <w:pPr>
              <w:spacing w:after="0"/>
              <w:rPr>
                <w:sz w:val="10"/>
                <w:szCs w:val="10"/>
                <w:color w:val="auto"/>
              </w:rPr>
            </w:pPr>
          </w:p>
        </w:tc>
        <w:tc>
          <w:tcPr>
            <w:tcW w:w="740" w:type="dxa"/>
            <w:vAlign w:val="bottom"/>
            <w:vMerge w:val="continue"/>
            <w:shd w:val="clear" w:color="auto" w:fill="E5E5E5"/>
          </w:tcPr>
          <w:p>
            <w:pPr>
              <w:spacing w:after="0"/>
              <w:rPr>
                <w:sz w:val="10"/>
                <w:szCs w:val="10"/>
                <w:color w:val="auto"/>
              </w:rPr>
            </w:pPr>
          </w:p>
        </w:tc>
        <w:tc>
          <w:tcPr>
            <w:tcW w:w="2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80" w:type="dxa"/>
            <w:vAlign w:val="bottom"/>
            <w:tcBorders>
              <w:bottom w:val="single" w:sz="8" w:color="0071CE"/>
            </w:tcBorders>
            <w:shd w:val="clear" w:color="auto" w:fill="E5E5E5"/>
          </w:tcPr>
          <w:p>
            <w:pPr>
              <w:spacing w:after="0"/>
              <w:rPr>
                <w:sz w:val="9"/>
                <w:szCs w:val="9"/>
                <w:color w:val="auto"/>
              </w:rPr>
            </w:pPr>
          </w:p>
        </w:tc>
        <w:tc>
          <w:tcPr>
            <w:tcW w:w="1040" w:type="dxa"/>
            <w:vAlign w:val="bottom"/>
            <w:tcBorders>
              <w:bottom w:val="single" w:sz="8" w:color="0071CE"/>
            </w:tcBorders>
            <w:shd w:val="clear" w:color="auto" w:fill="E5E5E5"/>
          </w:tcPr>
          <w:p>
            <w:pPr>
              <w:spacing w:after="0"/>
              <w:rPr>
                <w:sz w:val="9"/>
                <w:szCs w:val="9"/>
                <w:color w:val="auto"/>
              </w:rPr>
            </w:pPr>
          </w:p>
        </w:tc>
        <w:tc>
          <w:tcPr>
            <w:tcW w:w="820" w:type="dxa"/>
            <w:vAlign w:val="bottom"/>
            <w:tcBorders>
              <w:bottom w:val="single" w:sz="8" w:color="0071CE"/>
            </w:tcBorders>
            <w:shd w:val="clear" w:color="auto" w:fill="E5E5E5"/>
          </w:tcPr>
          <w:p>
            <w:pPr>
              <w:spacing w:after="0"/>
              <w:rPr>
                <w:sz w:val="9"/>
                <w:szCs w:val="9"/>
                <w:color w:val="auto"/>
              </w:rPr>
            </w:pPr>
          </w:p>
        </w:tc>
        <w:tc>
          <w:tcPr>
            <w:tcW w:w="1080" w:type="dxa"/>
            <w:vAlign w:val="bottom"/>
            <w:tcBorders>
              <w:bottom w:val="single" w:sz="8" w:color="0071CE"/>
            </w:tcBorders>
            <w:shd w:val="clear" w:color="auto" w:fill="E5E5E5"/>
          </w:tcPr>
          <w:p>
            <w:pPr>
              <w:spacing w:after="0"/>
              <w:rPr>
                <w:sz w:val="9"/>
                <w:szCs w:val="9"/>
                <w:color w:val="auto"/>
              </w:rPr>
            </w:pPr>
          </w:p>
        </w:tc>
        <w:tc>
          <w:tcPr>
            <w:tcW w:w="900" w:type="dxa"/>
            <w:vAlign w:val="bottom"/>
            <w:tcBorders>
              <w:bottom w:val="single" w:sz="8" w:color="0071CE"/>
            </w:tcBorders>
            <w:shd w:val="clear" w:color="auto" w:fill="E5E5E5"/>
          </w:tcPr>
          <w:p>
            <w:pPr>
              <w:spacing w:after="0"/>
              <w:rPr>
                <w:sz w:val="9"/>
                <w:szCs w:val="9"/>
                <w:color w:val="auto"/>
              </w:rPr>
            </w:pPr>
          </w:p>
        </w:tc>
        <w:tc>
          <w:tcPr>
            <w:tcW w:w="740" w:type="dxa"/>
            <w:vAlign w:val="bottom"/>
            <w:tcBorders>
              <w:bottom w:val="single" w:sz="8" w:color="0071CE"/>
            </w:tcBorders>
            <w:shd w:val="clear" w:color="auto" w:fill="E5E5E5"/>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-1772285</wp:posOffset>
            </wp:positionV>
            <wp:extent cx="1781810" cy="1755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1810" cy="1755775"/>
                    </a:xfrm>
                    <a:prstGeom prst="rect">
                      <a:avLst/>
                    </a:prstGeom>
                    <a:noFill/>
                  </pic:spPr>
                </pic:pic>
              </a:graphicData>
            </a:graphic>
          </wp:anchor>
        </w:drawing>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is a summary of our corporate governance policies and practices:</w:t>
      </w:r>
    </w:p>
    <w:p>
      <w:pPr>
        <w:spacing w:after="0" w:line="126" w:lineRule="exact"/>
        <w:rPr>
          <w:sz w:val="20"/>
          <w:szCs w:val="20"/>
          <w:color w:val="auto"/>
        </w:rPr>
      </w:pPr>
    </w:p>
    <w:p>
      <w:pPr>
        <w:ind w:left="420" w:right="120" w:hanging="210"/>
        <w:spacing w:after="0" w:line="257" w:lineRule="auto"/>
        <w:tabs>
          <w:tab w:leader="none" w:pos="42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The positions of Chairman of the Board and Chief Executive Officer are separated, which allows our Chief Executive Officer to focus on strategic planning and execution as well as our day-to-day business operations,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80" w:lineRule="exact"/>
        <w:rPr>
          <w:rFonts w:ascii="Arial" w:cs="Arial" w:eastAsia="Arial" w:hAnsi="Arial"/>
          <w:sz w:val="16"/>
          <w:szCs w:val="16"/>
          <w:color w:val="0071CE"/>
        </w:rPr>
      </w:pPr>
    </w:p>
    <w:p>
      <w:pPr>
        <w:ind w:left="420" w:hanging="210"/>
        <w:spacing w:after="0" w:line="261" w:lineRule="auto"/>
        <w:tabs>
          <w:tab w:leader="none" w:pos="42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76" w:lineRule="exact"/>
        <w:rPr>
          <w:rFonts w:ascii="Arial" w:cs="Arial" w:eastAsia="Arial" w:hAnsi="Arial"/>
          <w:sz w:val="16"/>
          <w:szCs w:val="16"/>
          <w:color w:val="0071CE"/>
        </w:rPr>
      </w:pPr>
    </w:p>
    <w:p>
      <w:pPr>
        <w:ind w:left="420" w:right="440" w:hanging="210"/>
        <w:spacing w:after="0" w:line="291" w:lineRule="auto"/>
        <w:tabs>
          <w:tab w:leader="none" w:pos="420" w:val="left"/>
        </w:tabs>
        <w:numPr>
          <w:ilvl w:val="0"/>
          <w:numId w:val="14"/>
        </w:numPr>
        <w:rPr>
          <w:rFonts w:ascii="Arial" w:cs="Arial" w:eastAsia="Arial" w:hAnsi="Arial"/>
          <w:sz w:val="16"/>
          <w:szCs w:val="16"/>
          <w:color w:val="0071CE"/>
        </w:rPr>
      </w:pPr>
      <w:r>
        <w:rPr>
          <w:rFonts w:ascii="Arial" w:cs="Arial" w:eastAsia="Arial" w:hAnsi="Arial"/>
          <w:sz w:val="16"/>
          <w:szCs w:val="16"/>
          <w:color w:val="auto"/>
        </w:rPr>
        <w:t>The Board has appointed an independent Lead Director. The Lead Director is tasked with assuring that the Board committees and other relevant issues have independent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62230</wp:posOffset>
            </wp:positionV>
            <wp:extent cx="98488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6</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68" w:lineRule="exact"/>
        <w:rPr>
          <w:sz w:val="20"/>
          <w:szCs w:val="20"/>
          <w:color w:val="auto"/>
        </w:rPr>
      </w:pPr>
    </w:p>
    <w:p>
      <w:pPr>
        <w:ind w:left="420" w:right="280" w:hanging="210"/>
        <w:spacing w:after="0" w:line="255" w:lineRule="auto"/>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1" w:lineRule="exact"/>
        <w:rPr>
          <w:rFonts w:ascii="Arial" w:cs="Arial" w:eastAsia="Arial" w:hAnsi="Arial"/>
          <w:sz w:val="16"/>
          <w:szCs w:val="16"/>
          <w:color w:val="0071CE"/>
        </w:rPr>
      </w:pPr>
    </w:p>
    <w:p>
      <w:pPr>
        <w:jc w:val="both"/>
        <w:ind w:left="420" w:right="140" w:hanging="210"/>
        <w:spacing w:after="0" w:line="268" w:lineRule="auto"/>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All the Company’s employees, officers and directors are subject to the Company’s Code of Business Conduct and Ethics Policy, which is available on the Company’s website at www.arrowheadpharma.com. The ethics policy meets the requirements of Nasdaq Marketplace Rules, as well as the code of ethics requirements of the SEC.</w:t>
      </w:r>
    </w:p>
    <w:p>
      <w:pPr>
        <w:spacing w:after="0" w:line="71" w:lineRule="exact"/>
        <w:rPr>
          <w:rFonts w:ascii="Arial" w:cs="Arial" w:eastAsia="Arial" w:hAnsi="Arial"/>
          <w:sz w:val="16"/>
          <w:szCs w:val="16"/>
          <w:color w:val="0071CE"/>
        </w:rPr>
      </w:pPr>
    </w:p>
    <w:p>
      <w:pPr>
        <w:ind w:left="420" w:hanging="210"/>
        <w:spacing w:after="0"/>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The Audit, Compensation and Nominating Committees consist entirely of independent directors.</w:t>
      </w:r>
    </w:p>
    <w:p>
      <w:pPr>
        <w:spacing w:after="0" w:line="126" w:lineRule="exact"/>
        <w:rPr>
          <w:rFonts w:ascii="Arial" w:cs="Arial" w:eastAsia="Arial" w:hAnsi="Arial"/>
          <w:sz w:val="16"/>
          <w:szCs w:val="16"/>
          <w:color w:val="0071CE"/>
        </w:rPr>
      </w:pPr>
    </w:p>
    <w:p>
      <w:pPr>
        <w:ind w:left="420" w:right="120" w:hanging="210"/>
        <w:spacing w:after="0" w:line="291" w:lineRule="auto"/>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The independent directors meet separately in executive session on a regular basis to discuss matters relating to the Company and the Board, without members of the management team present.</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420" w:right="160" w:hanging="210"/>
        <w:spacing w:after="0" w:line="291" w:lineRule="auto"/>
        <w:tabs>
          <w:tab w:leader="none" w:pos="42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360"/>
        <w:spacing w:after="0" w:line="268" w:lineRule="auto"/>
        <w:rPr>
          <w:sz w:val="20"/>
          <w:szCs w:val="20"/>
          <w:color w:val="auto"/>
        </w:rPr>
      </w:pPr>
      <w:r>
        <w:rPr>
          <w:rFonts w:ascii="Arial" w:cs="Arial" w:eastAsia="Arial" w:hAnsi="Arial"/>
          <w:sz w:val="16"/>
          <w:szCs w:val="16"/>
          <w:color w:val="auto"/>
        </w:rPr>
        <w:t>Stockholders who wish to communicate with the Board or any individual director can write to: Jane Davidson, Corporate Secretary, Arrowhead Pharmaceuticals, Inc., 225 South Lake Avenue, Suite 1050, Pasadena, CA 91101. Your letter should indicate that you are an Arrowhead stockholder. Depending on the subject matter, management will:</w:t>
      </w:r>
    </w:p>
    <w:p>
      <w:pPr>
        <w:spacing w:after="0" w:line="72" w:lineRule="exact"/>
        <w:rPr>
          <w:sz w:val="20"/>
          <w:szCs w:val="20"/>
          <w:color w:val="auto"/>
        </w:rPr>
      </w:pPr>
    </w:p>
    <w:p>
      <w:pPr>
        <w:ind w:left="420" w:hanging="210"/>
        <w:spacing w:after="0"/>
        <w:tabs>
          <w:tab w:leader="none" w:pos="42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Forward the communication to the Chairman of the Board, if addressed to the board of directors; or</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right="220"/>
        <w:spacing w:after="0" w:line="291" w:lineRule="auto"/>
        <w:rPr>
          <w:sz w:val="20"/>
          <w:szCs w:val="20"/>
          <w:color w:val="auto"/>
        </w:rPr>
      </w:pPr>
      <w:r>
        <w:rPr>
          <w:rFonts w:ascii="Arial" w:cs="Arial" w:eastAsia="Arial" w:hAnsi="Arial"/>
          <w:sz w:val="16"/>
          <w:szCs w:val="16"/>
          <w:color w:val="auto"/>
        </w:rPr>
        <w:t>The Board held a total of nine meetings during the fiscal year ended September 30, 2018. The Board has three standing committees: Audit Committee, Compensation Committee, and Nominating Committee.</w:t>
      </w:r>
    </w:p>
    <w:p>
      <w:pPr>
        <w:spacing w:after="0" w:line="147"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2018. The current members of the Audit Committee are William Waddill, Chairman, Mauro Ferrari, and Michael S. Perry. The Board has determined that all members of the Audit Committee who served during 2018 were independent directors under the rules of the SEC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181" w:lineRule="exact"/>
        <w:rPr>
          <w:sz w:val="20"/>
          <w:szCs w:val="20"/>
          <w:color w:val="auto"/>
        </w:rPr>
      </w:pPr>
    </w:p>
    <w:p>
      <w:pPr>
        <w:jc w:val="both"/>
        <w:ind w:left="220" w:right="300"/>
        <w:spacing w:after="0" w:line="255"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2004 Equity Incentive Plan and 2013 Incentive Plan.</w:t>
      </w:r>
    </w:p>
    <w:p>
      <w:pPr>
        <w:ind w:left="220" w:right="20"/>
        <w:spacing w:after="0" w:line="249" w:lineRule="auto"/>
        <w:rPr>
          <w:sz w:val="20"/>
          <w:szCs w:val="20"/>
          <w:color w:val="auto"/>
        </w:rPr>
      </w:pPr>
      <w:r>
        <w:rPr>
          <w:rFonts w:ascii="Arial" w:cs="Arial" w:eastAsia="Arial" w:hAnsi="Arial"/>
          <w:sz w:val="16"/>
          <w:szCs w:val="16"/>
          <w:color w:val="auto"/>
        </w:rPr>
        <w:t>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2018, the Compensation Committee engaged Compensia, Inc., a compensation consulting firm, to provide advice and guidance with regard to compensation for our named executive officers. The decision to engage the consultant was not made or recommended by management and the Compensation Committee has the sole discretion to engage or change the consultant. The Compensation Committee met three times during fiscal 2018. The current members of the Compensation Committee are Michael S. Perry, Chairman, Mauro Ferrari and William Waddill. The Board has determined that all members of the Compensation Committee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82550</wp:posOffset>
            </wp:positionV>
            <wp:extent cx="98488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9"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7</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146" w:lineRule="exact"/>
        <w:rPr>
          <w:sz w:val="20"/>
          <w:szCs w:val="20"/>
          <w:color w:val="auto"/>
        </w:rPr>
      </w:pPr>
    </w:p>
    <w:p>
      <w:pPr>
        <w:jc w:val="both"/>
        <w:ind w:left="220" w:right="680"/>
        <w:spacing w:after="0" w:line="291" w:lineRule="auto"/>
        <w:rPr>
          <w:sz w:val="20"/>
          <w:szCs w:val="20"/>
          <w:color w:val="auto"/>
        </w:rPr>
      </w:pPr>
      <w:r>
        <w:rPr>
          <w:rFonts w:ascii="Arial" w:cs="Arial" w:eastAsia="Arial" w:hAnsi="Arial"/>
          <w:sz w:val="16"/>
          <w:szCs w:val="16"/>
          <w:color w:val="auto"/>
        </w:rPr>
        <w:t>directors under 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147"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color w:val="auto"/>
        </w:rPr>
        <w:t>The Nominating Committee is responsible for proposing a slate of directors for election by the stockholders at each Annual Stockholders Meeting and for proposing candidates to fill any vacancies. The Nominating Committee met twice during fiscal 2018. The current members of the Nominating Committee are Michael S. Perry, Chairman, Mauro Ferrari and William Waddill. The Nominating Committee’s charter is available on the Company’s website at www.arrowheadpharma.com. The Nominating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180"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On at least an annual basis, the Nominating Committee reviews with the Board whether it believes the Board would benefit from adding new members and, if so, the appropriate skills and characteristics required for any new members. If the Board determines that a new member would be beneficial, the Nominating Committee solicits and receives recommendations for candidates and manages the process for evaluating candidates. All potential candidates, regardless of their source, are reviewed under the same process. The Nominating Committee (or its chairman) screens the available information about the potential candidate(s). Based on the results of the initial screening, interviews with candidates are scheduled with Nominating Committee members, other members of the Board and senior members of management. Upon completion of these interviews and other due diligence, the Nominating Committee may nominate a candidate to the Board for election.</w:t>
      </w:r>
    </w:p>
    <w:p>
      <w:pPr>
        <w:spacing w:after="0" w:line="180"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an executive recruiter. Arrowhead stockholders may also recommend candidates by sending the candidate’s name and resume to the Nominating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75" w:lineRule="exact"/>
        <w:rPr>
          <w:sz w:val="20"/>
          <w:szCs w:val="20"/>
          <w:color w:val="auto"/>
        </w:rPr>
      </w:pPr>
    </w:p>
    <w:p>
      <w:pPr>
        <w:ind w:left="220" w:right="20"/>
        <w:spacing w:after="0" w:line="257" w:lineRule="auto"/>
        <w:rPr>
          <w:sz w:val="20"/>
          <w:szCs w:val="20"/>
          <w:color w:val="auto"/>
        </w:rPr>
      </w:pPr>
      <w:r>
        <w:rPr>
          <w:rFonts w:ascii="Arial" w:cs="Arial" w:eastAsia="Arial" w:hAnsi="Arial"/>
          <w:sz w:val="16"/>
          <w:szCs w:val="16"/>
          <w:color w:val="auto"/>
        </w:rPr>
        <w:t>The Nominating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the SEC. In any given search, the Nominating Committee may also define particular characteristics for candidates to balance the overall skills and characteristics of the Board and the needs of the Company. During any search, the Nominating Committee reserves the right to modify its stated search criteria for exceptional candidates.</w:t>
      </w:r>
    </w:p>
    <w:p>
      <w:pPr>
        <w:spacing w:after="0" w:line="175" w:lineRule="exact"/>
        <w:rPr>
          <w:sz w:val="20"/>
          <w:szCs w:val="20"/>
          <w:color w:val="auto"/>
        </w:rPr>
      </w:pPr>
    </w:p>
    <w:p>
      <w:pPr>
        <w:ind w:left="220" w:right="20"/>
        <w:spacing w:after="0" w:line="268" w:lineRule="auto"/>
        <w:rPr>
          <w:sz w:val="20"/>
          <w:szCs w:val="20"/>
          <w:color w:val="auto"/>
        </w:rPr>
      </w:pPr>
      <w:r>
        <w:rPr>
          <w:rFonts w:ascii="Arial" w:cs="Arial" w:eastAsia="Arial" w:hAnsi="Arial"/>
          <w:sz w:val="16"/>
          <w:szCs w:val="16"/>
          <w:color w:val="auto"/>
        </w:rPr>
        <w:t>As part of the Nominating Committee’s goal of building a diverse board, the Nominating Committee is committed to actively seeking out highly qualified diverse candidates (including women and minority candidates) to include in the pool from which Board nominees are chosen. The Nominating Committee assesses its effectiveness in achieving this goal as part of its annual assessment of the composition of the Board.</w:t>
      </w:r>
    </w:p>
    <w:p>
      <w:pPr>
        <w:spacing w:after="0" w:line="58" w:lineRule="exact"/>
        <w:rPr>
          <w:sz w:val="20"/>
          <w:szCs w:val="20"/>
          <w:color w:val="auto"/>
        </w:rPr>
      </w:pPr>
    </w:p>
    <w:p>
      <w:pPr>
        <w:ind w:left="220" w:right="500"/>
        <w:spacing w:after="0" w:line="291" w:lineRule="auto"/>
        <w:rPr>
          <w:sz w:val="20"/>
          <w:szCs w:val="20"/>
          <w:color w:val="auto"/>
        </w:rPr>
      </w:pPr>
      <w:r>
        <w:rPr>
          <w:rFonts w:ascii="Arial" w:cs="Arial" w:eastAsia="Arial" w:hAnsi="Arial"/>
          <w:sz w:val="16"/>
          <w:szCs w:val="16"/>
          <w:color w:val="auto"/>
        </w:rPr>
        <w:t>In 2018, the Board established an ad hoc Science Committee to review and advise on science topics of interest to the Company. The committee is chaired by Dr. Mauro Ferrari and Dr. Given and Dr. Perry serve as members of the committee.</w:t>
      </w:r>
    </w:p>
    <w:p>
      <w:pPr>
        <w:spacing w:after="0" w:line="147" w:lineRule="exact"/>
        <w:rPr>
          <w:sz w:val="20"/>
          <w:szCs w:val="20"/>
          <w:color w:val="auto"/>
        </w:rPr>
      </w:pPr>
    </w:p>
    <w:p>
      <w:pPr>
        <w:ind w:left="220" w:right="60"/>
        <w:spacing w:after="0" w:line="291" w:lineRule="auto"/>
        <w:rPr>
          <w:sz w:val="20"/>
          <w:szCs w:val="20"/>
          <w:color w:val="auto"/>
        </w:rPr>
      </w:pPr>
      <w:r>
        <w:rPr>
          <w:rFonts w:ascii="Arial" w:cs="Arial" w:eastAsia="Arial" w:hAnsi="Arial"/>
          <w:sz w:val="16"/>
          <w:szCs w:val="16"/>
          <w:color w:val="auto"/>
        </w:rPr>
        <w:t>No incumbent director attended fewer than 75% of the aggregate of (i) the total number of meetings of the Board held during fiscal 2018, and (ii) the total number of meetings held by all committees of the Board during fiscal 2018 on which such person served.</w:t>
      </w:r>
    </w:p>
    <w:p>
      <w:pPr>
        <w:spacing w:after="0" w:line="147" w:lineRule="exact"/>
        <w:rPr>
          <w:sz w:val="20"/>
          <w:szCs w:val="20"/>
          <w:color w:val="auto"/>
        </w:rPr>
      </w:pPr>
    </w:p>
    <w:p>
      <w:pPr>
        <w:ind w:left="220" w:right="480"/>
        <w:spacing w:after="0" w:line="291" w:lineRule="auto"/>
        <w:rPr>
          <w:sz w:val="20"/>
          <w:szCs w:val="20"/>
          <w:color w:val="auto"/>
        </w:rPr>
      </w:pPr>
      <w:r>
        <w:rPr>
          <w:rFonts w:ascii="Arial" w:cs="Arial" w:eastAsia="Arial" w:hAnsi="Arial"/>
          <w:sz w:val="16"/>
          <w:szCs w:val="16"/>
          <w:color w:val="auto"/>
        </w:rPr>
        <w:t>In addition, two of the directors attended the 2018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62230</wp:posOffset>
            </wp:positionV>
            <wp:extent cx="98488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8</w:t>
      </w:r>
    </w:p>
    <w:p>
      <w:pPr>
        <w:sectPr>
          <w:pgSz w:w="11900" w:h="16838" w:orient="portrait"/>
          <w:cols w:equalWidth="0" w:num="1">
            <w:col w:w="11180"/>
          </w:cols>
          <w:pgMar w:left="24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700"/>
        <w:spacing w:after="0"/>
        <w:tabs>
          <w:tab w:leader="none" w:pos="96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Director Compensation</w:t>
      </w:r>
    </w:p>
    <w:p>
      <w:pPr>
        <w:spacing w:after="0" w:line="358"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2019, the Company modified the structure of director compensation to provide a base retainer for each director with higher base retainers for service by the Chairman of the Board and the Lead Independent Director. The Company provides additional retainers for committee service with higher retainers for committee leadership. In prior years, director compensation consisted of a base retainer only with no allocation for committee services. The Compensation Committee made the change to further align compensation according to specific leadership and committee service contributions by each director. Year over year, total director compensation increased modestly in 2019 to reflect the increased demands and complexity as the Company adds to and advances our pipeline.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below table sets forth compensation levels for each of our outside directors for calendar 2018 and 2019.</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4200" w:type="dxa"/>
            <w:vAlign w:val="bottom"/>
            <w:shd w:val="clear" w:color="auto" w:fill="0071CE"/>
          </w:tcPr>
          <w:p>
            <w:pPr>
              <w:spacing w:after="0"/>
              <w:rPr>
                <w:sz w:val="15"/>
                <w:szCs w:val="15"/>
                <w:color w:val="auto"/>
              </w:rPr>
            </w:pPr>
          </w:p>
        </w:tc>
        <w:tc>
          <w:tcPr>
            <w:tcW w:w="1300" w:type="dxa"/>
            <w:vAlign w:val="bottom"/>
            <w:gridSpan w:val="2"/>
            <w:shd w:val="clear" w:color="auto" w:fill="0071CE"/>
          </w:tcPr>
          <w:p>
            <w:pPr>
              <w:ind w:left="280"/>
              <w:spacing w:after="0"/>
              <w:rPr>
                <w:sz w:val="20"/>
                <w:szCs w:val="20"/>
                <w:color w:val="auto"/>
              </w:rPr>
            </w:pPr>
            <w:r>
              <w:rPr>
                <w:rFonts w:ascii="Arial" w:cs="Arial" w:eastAsia="Arial" w:hAnsi="Arial"/>
                <w:sz w:val="14"/>
                <w:szCs w:val="14"/>
                <w:b w:val="1"/>
                <w:bCs w:val="1"/>
                <w:color w:val="FFFFFF"/>
              </w:rPr>
              <w:t>2019 Annual</w:t>
            </w:r>
          </w:p>
        </w:tc>
        <w:tc>
          <w:tcPr>
            <w:tcW w:w="1100" w:type="dxa"/>
            <w:vAlign w:val="bottom"/>
            <w:shd w:val="clear" w:color="auto" w:fill="0071CE"/>
          </w:tcPr>
          <w:p>
            <w:pPr>
              <w:spacing w:after="0"/>
              <w:rPr>
                <w:sz w:val="15"/>
                <w:szCs w:val="15"/>
                <w:color w:val="auto"/>
              </w:rPr>
            </w:pPr>
          </w:p>
        </w:tc>
        <w:tc>
          <w:tcPr>
            <w:tcW w:w="300" w:type="dxa"/>
            <w:vAlign w:val="bottom"/>
            <w:shd w:val="clear" w:color="auto" w:fill="0071CE"/>
          </w:tcPr>
          <w:p>
            <w:pPr>
              <w:spacing w:after="0"/>
              <w:rPr>
                <w:sz w:val="15"/>
                <w:szCs w:val="15"/>
                <w:color w:val="auto"/>
              </w:rPr>
            </w:pPr>
          </w:p>
        </w:tc>
        <w:tc>
          <w:tcPr>
            <w:tcW w:w="780" w:type="dxa"/>
            <w:vAlign w:val="bottom"/>
            <w:shd w:val="clear" w:color="auto" w:fill="0071CE"/>
          </w:tcPr>
          <w:p>
            <w:pPr>
              <w:spacing w:after="0"/>
              <w:rPr>
                <w:sz w:val="15"/>
                <w:szCs w:val="15"/>
                <w:color w:val="auto"/>
              </w:rPr>
            </w:pPr>
          </w:p>
        </w:tc>
        <w:tc>
          <w:tcPr>
            <w:tcW w:w="1200" w:type="dxa"/>
            <w:vAlign w:val="bottom"/>
            <w:gridSpan w:val="2"/>
            <w:shd w:val="clear" w:color="auto" w:fill="0071CE"/>
          </w:tcPr>
          <w:p>
            <w:pPr>
              <w:ind w:left="180"/>
              <w:spacing w:after="0"/>
              <w:rPr>
                <w:sz w:val="20"/>
                <w:szCs w:val="20"/>
                <w:color w:val="auto"/>
              </w:rPr>
            </w:pPr>
            <w:r>
              <w:rPr>
                <w:rFonts w:ascii="Arial" w:cs="Arial" w:eastAsia="Arial" w:hAnsi="Arial"/>
                <w:sz w:val="14"/>
                <w:szCs w:val="14"/>
                <w:b w:val="1"/>
                <w:bCs w:val="1"/>
                <w:color w:val="FFFFFF"/>
              </w:rPr>
              <w:t>2018 Annual</w:t>
            </w:r>
          </w:p>
        </w:tc>
        <w:tc>
          <w:tcPr>
            <w:tcW w:w="1040" w:type="dxa"/>
            <w:vAlign w:val="bottom"/>
            <w:shd w:val="clear" w:color="auto" w:fill="0071CE"/>
          </w:tcPr>
          <w:p>
            <w:pPr>
              <w:spacing w:after="0"/>
              <w:rPr>
                <w:sz w:val="15"/>
                <w:szCs w:val="15"/>
                <w:color w:val="auto"/>
              </w:rPr>
            </w:pPr>
          </w:p>
        </w:tc>
        <w:tc>
          <w:tcPr>
            <w:tcW w:w="320" w:type="dxa"/>
            <w:vAlign w:val="bottom"/>
            <w:shd w:val="clear" w:color="auto" w:fill="0071CE"/>
          </w:tcPr>
          <w:p>
            <w:pPr>
              <w:spacing w:after="0"/>
              <w:rPr>
                <w:sz w:val="15"/>
                <w:szCs w:val="15"/>
                <w:color w:val="auto"/>
              </w:rPr>
            </w:pPr>
          </w:p>
        </w:tc>
        <w:tc>
          <w:tcPr>
            <w:tcW w:w="76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4200" w:type="dxa"/>
            <w:vAlign w:val="bottom"/>
            <w:shd w:val="clear" w:color="auto" w:fill="0071CE"/>
          </w:tcPr>
          <w:p>
            <w:pPr>
              <w:spacing w:after="0"/>
              <w:rPr>
                <w:sz w:val="14"/>
                <w:szCs w:val="14"/>
                <w:color w:val="auto"/>
              </w:rPr>
            </w:pPr>
          </w:p>
        </w:tc>
        <w:tc>
          <w:tcPr>
            <w:tcW w:w="3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Fee (1)</w:t>
            </w:r>
          </w:p>
        </w:tc>
        <w:tc>
          <w:tcPr>
            <w:tcW w:w="1100" w:type="dxa"/>
            <w:vAlign w:val="bottom"/>
            <w:shd w:val="clear" w:color="auto" w:fill="0071CE"/>
          </w:tcPr>
          <w:p>
            <w:pPr>
              <w:spacing w:after="0"/>
              <w:rPr>
                <w:sz w:val="14"/>
                <w:szCs w:val="14"/>
                <w:color w:val="auto"/>
              </w:rPr>
            </w:pPr>
          </w:p>
        </w:tc>
        <w:tc>
          <w:tcPr>
            <w:tcW w:w="30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2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Fee (3)</w:t>
            </w:r>
          </w:p>
        </w:tc>
        <w:tc>
          <w:tcPr>
            <w:tcW w:w="1040" w:type="dxa"/>
            <w:vAlign w:val="bottom"/>
            <w:shd w:val="clear" w:color="auto" w:fill="0071CE"/>
          </w:tcPr>
          <w:p>
            <w:pPr>
              <w:spacing w:after="0"/>
              <w:rPr>
                <w:sz w:val="14"/>
                <w:szCs w:val="14"/>
                <w:color w:val="auto"/>
              </w:rPr>
            </w:pPr>
          </w:p>
        </w:tc>
        <w:tc>
          <w:tcPr>
            <w:tcW w:w="32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4200" w:type="dxa"/>
            <w:vAlign w:val="bottom"/>
            <w:shd w:val="clear" w:color="auto" w:fill="0071CE"/>
          </w:tcPr>
          <w:p>
            <w:pPr>
              <w:spacing w:after="0"/>
              <w:rPr>
                <w:sz w:val="14"/>
                <w:szCs w:val="14"/>
                <w:color w:val="auto"/>
              </w:rPr>
            </w:pPr>
          </w:p>
        </w:tc>
        <w:tc>
          <w:tcPr>
            <w:tcW w:w="3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(effective</w:t>
            </w:r>
          </w:p>
        </w:tc>
        <w:tc>
          <w:tcPr>
            <w:tcW w:w="1100" w:type="dxa"/>
            <w:vAlign w:val="bottom"/>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2019 Stock</w:t>
            </w:r>
          </w:p>
        </w:tc>
        <w:tc>
          <w:tcPr>
            <w:tcW w:w="1080" w:type="dxa"/>
            <w:vAlign w:val="bottom"/>
            <w:gridSpan w:val="2"/>
            <w:shd w:val="clear" w:color="auto" w:fill="0071CE"/>
          </w:tcPr>
          <w:p>
            <w:pPr>
              <w:ind w:left="160"/>
              <w:spacing w:after="0"/>
              <w:rPr>
                <w:sz w:val="20"/>
                <w:szCs w:val="20"/>
                <w:color w:val="auto"/>
              </w:rPr>
            </w:pPr>
            <w:r>
              <w:rPr>
                <w:rFonts w:ascii="Arial" w:cs="Arial" w:eastAsia="Arial" w:hAnsi="Arial"/>
                <w:sz w:val="14"/>
                <w:szCs w:val="14"/>
                <w:b w:val="1"/>
                <w:bCs w:val="1"/>
                <w:color w:val="FFFFFF"/>
              </w:rPr>
              <w:t>2019 Grant</w:t>
            </w:r>
          </w:p>
        </w:tc>
        <w:tc>
          <w:tcPr>
            <w:tcW w:w="280" w:type="dxa"/>
            <w:vAlign w:val="bottom"/>
            <w:shd w:val="clear" w:color="auto" w:fill="0071CE"/>
          </w:tcPr>
          <w:p>
            <w:pPr>
              <w:spacing w:after="0"/>
              <w:rPr>
                <w:sz w:val="14"/>
                <w:szCs w:val="14"/>
                <w:color w:val="auto"/>
              </w:rPr>
            </w:pPr>
          </w:p>
        </w:tc>
        <w:tc>
          <w:tcPr>
            <w:tcW w:w="920" w:type="dxa"/>
            <w:vAlign w:val="bottom"/>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(effective</w:t>
            </w:r>
          </w:p>
        </w:tc>
        <w:tc>
          <w:tcPr>
            <w:tcW w:w="1040" w:type="dxa"/>
            <w:vAlign w:val="bottom"/>
            <w:shd w:val="clear" w:color="auto" w:fill="0071CE"/>
          </w:tcPr>
          <w:p>
            <w:pPr>
              <w:jc w:val="right"/>
              <w:ind w:right="42"/>
              <w:spacing w:after="0"/>
              <w:rPr>
                <w:sz w:val="20"/>
                <w:szCs w:val="20"/>
                <w:color w:val="auto"/>
              </w:rPr>
            </w:pPr>
            <w:r>
              <w:rPr>
                <w:rFonts w:ascii="Arial" w:cs="Arial" w:eastAsia="Arial" w:hAnsi="Arial"/>
                <w:sz w:val="14"/>
                <w:szCs w:val="14"/>
                <w:b w:val="1"/>
                <w:bCs w:val="1"/>
                <w:color w:val="FFFFFF"/>
              </w:rPr>
              <w:t>2018 Stock</w:t>
            </w:r>
          </w:p>
        </w:tc>
        <w:tc>
          <w:tcPr>
            <w:tcW w:w="1080" w:type="dxa"/>
            <w:vAlign w:val="bottom"/>
            <w:gridSpan w:val="2"/>
            <w:shd w:val="clear" w:color="auto" w:fill="0071CE"/>
          </w:tcPr>
          <w:p>
            <w:pPr>
              <w:ind w:left="140"/>
              <w:spacing w:after="0"/>
              <w:rPr>
                <w:sz w:val="20"/>
                <w:szCs w:val="20"/>
                <w:color w:val="auto"/>
              </w:rPr>
            </w:pPr>
            <w:r>
              <w:rPr>
                <w:rFonts w:ascii="Arial" w:cs="Arial" w:eastAsia="Arial" w:hAnsi="Arial"/>
                <w:sz w:val="14"/>
                <w:szCs w:val="14"/>
                <w:b w:val="1"/>
                <w:bCs w:val="1"/>
                <w:color w:val="FFFFFF"/>
              </w:rPr>
              <w:t>2018 Grant</w:t>
            </w:r>
          </w:p>
        </w:tc>
        <w:tc>
          <w:tcPr>
            <w:tcW w:w="20" w:type="dxa"/>
            <w:vAlign w:val="bottom"/>
            <w:shd w:val="clear" w:color="auto" w:fill="0071CE"/>
          </w:tcPr>
          <w:p>
            <w:pPr>
              <w:spacing w:after="0"/>
              <w:rPr>
                <w:sz w:val="14"/>
                <w:szCs w:val="14"/>
                <w:color w:val="auto"/>
              </w:rPr>
            </w:pPr>
          </w:p>
        </w:tc>
      </w:tr>
      <w:tr>
        <w:trPr>
          <w:trHeight w:val="196"/>
        </w:trPr>
        <w:tc>
          <w:tcPr>
            <w:tcW w:w="420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Name &amp; Position</w:t>
            </w:r>
          </w:p>
        </w:tc>
        <w:tc>
          <w:tcPr>
            <w:tcW w:w="380" w:type="dxa"/>
            <w:vAlign w:val="bottom"/>
            <w:tcBorders>
              <w:bottom w:val="single" w:sz="8" w:color="0071CE"/>
            </w:tcBorders>
            <w:shd w:val="clear" w:color="auto" w:fill="0071CE"/>
          </w:tcPr>
          <w:p>
            <w:pPr>
              <w:spacing w:after="0"/>
              <w:rPr>
                <w:sz w:val="17"/>
                <w:szCs w:val="17"/>
                <w:color w:val="auto"/>
              </w:rPr>
            </w:pPr>
          </w:p>
        </w:tc>
        <w:tc>
          <w:tcPr>
            <w:tcW w:w="920" w:type="dxa"/>
            <w:vAlign w:val="bottom"/>
            <w:tcBorders>
              <w:bottom w:val="single" w:sz="8" w:color="0071CE"/>
            </w:tcBorders>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1/1/19)</w:t>
            </w:r>
          </w:p>
        </w:tc>
        <w:tc>
          <w:tcPr>
            <w:tcW w:w="1100" w:type="dxa"/>
            <w:vAlign w:val="bottom"/>
            <w:tcBorders>
              <w:bottom w:val="single" w:sz="8" w:color="0071CE"/>
            </w:tcBorders>
            <w:shd w:val="clear" w:color="auto" w:fill="0071CE"/>
          </w:tcPr>
          <w:p>
            <w:pPr>
              <w:jc w:val="right"/>
              <w:ind w:right="142"/>
              <w:spacing w:after="0"/>
              <w:rPr>
                <w:sz w:val="20"/>
                <w:szCs w:val="20"/>
                <w:color w:val="auto"/>
              </w:rPr>
            </w:pPr>
            <w:r>
              <w:rPr>
                <w:rFonts w:ascii="Arial" w:cs="Arial" w:eastAsia="Arial" w:hAnsi="Arial"/>
                <w:sz w:val="14"/>
                <w:szCs w:val="14"/>
                <w:b w:val="1"/>
                <w:bCs w:val="1"/>
                <w:color w:val="FFFFFF"/>
              </w:rPr>
              <w:t>Award (2)</w:t>
            </w:r>
          </w:p>
        </w:tc>
        <w:tc>
          <w:tcPr>
            <w:tcW w:w="1080" w:type="dxa"/>
            <w:vAlign w:val="bottom"/>
            <w:tcBorders>
              <w:bottom w:val="single" w:sz="8" w:color="0071CE"/>
            </w:tcBorders>
            <w:gridSpan w:val="2"/>
            <w:shd w:val="clear" w:color="auto" w:fill="0071CE"/>
          </w:tcPr>
          <w:p>
            <w:pPr>
              <w:ind w:left="180"/>
              <w:spacing w:after="0"/>
              <w:rPr>
                <w:sz w:val="20"/>
                <w:szCs w:val="20"/>
                <w:color w:val="auto"/>
              </w:rPr>
            </w:pPr>
            <w:r>
              <w:rPr>
                <w:rFonts w:ascii="Arial" w:cs="Arial" w:eastAsia="Arial" w:hAnsi="Arial"/>
                <w:sz w:val="14"/>
                <w:szCs w:val="14"/>
                <w:b w:val="1"/>
                <w:bCs w:val="1"/>
                <w:color w:val="FFFFFF"/>
              </w:rPr>
              <w:t>Date Value</w:t>
            </w:r>
          </w:p>
        </w:tc>
        <w:tc>
          <w:tcPr>
            <w:tcW w:w="280" w:type="dxa"/>
            <w:vAlign w:val="bottom"/>
            <w:tcBorders>
              <w:bottom w:val="single" w:sz="8" w:color="0071CE"/>
            </w:tcBorders>
            <w:shd w:val="clear" w:color="auto" w:fill="0071CE"/>
          </w:tcPr>
          <w:p>
            <w:pPr>
              <w:spacing w:after="0"/>
              <w:rPr>
                <w:sz w:val="17"/>
                <w:szCs w:val="17"/>
                <w:color w:val="auto"/>
              </w:rPr>
            </w:pPr>
          </w:p>
        </w:tc>
        <w:tc>
          <w:tcPr>
            <w:tcW w:w="920" w:type="dxa"/>
            <w:vAlign w:val="bottom"/>
            <w:tcBorders>
              <w:bottom w:val="single" w:sz="8" w:color="0071CE"/>
            </w:tcBorders>
            <w:shd w:val="clear" w:color="auto" w:fill="0071CE"/>
          </w:tcPr>
          <w:p>
            <w:pPr>
              <w:jc w:val="center"/>
              <w:ind w:right="202"/>
              <w:spacing w:after="0"/>
              <w:rPr>
                <w:sz w:val="20"/>
                <w:szCs w:val="20"/>
                <w:color w:val="auto"/>
              </w:rPr>
            </w:pPr>
            <w:r>
              <w:rPr>
                <w:rFonts w:ascii="Arial" w:cs="Arial" w:eastAsia="Arial" w:hAnsi="Arial"/>
                <w:sz w:val="14"/>
                <w:szCs w:val="14"/>
                <w:b w:val="1"/>
                <w:bCs w:val="1"/>
                <w:color w:val="FFFFFF"/>
              </w:rPr>
              <w:t>1/1/18)</w:t>
            </w:r>
          </w:p>
        </w:tc>
        <w:tc>
          <w:tcPr>
            <w:tcW w:w="1040" w:type="dxa"/>
            <w:vAlign w:val="bottom"/>
            <w:tcBorders>
              <w:bottom w:val="single" w:sz="8" w:color="0071CE"/>
            </w:tcBorders>
            <w:shd w:val="clear" w:color="auto" w:fill="0071CE"/>
          </w:tcPr>
          <w:p>
            <w:pPr>
              <w:jc w:val="right"/>
              <w:ind w:right="102"/>
              <w:spacing w:after="0"/>
              <w:rPr>
                <w:sz w:val="20"/>
                <w:szCs w:val="20"/>
                <w:color w:val="auto"/>
              </w:rPr>
            </w:pPr>
            <w:r>
              <w:rPr>
                <w:rFonts w:ascii="Arial" w:cs="Arial" w:eastAsia="Arial" w:hAnsi="Arial"/>
                <w:sz w:val="14"/>
                <w:szCs w:val="14"/>
                <w:b w:val="1"/>
                <w:bCs w:val="1"/>
                <w:color w:val="FFFFFF"/>
              </w:rPr>
              <w:t>Award (2)</w:t>
            </w:r>
          </w:p>
        </w:tc>
        <w:tc>
          <w:tcPr>
            <w:tcW w:w="1080" w:type="dxa"/>
            <w:vAlign w:val="bottom"/>
            <w:tcBorders>
              <w:bottom w:val="single" w:sz="8" w:color="0071CE"/>
            </w:tcBorders>
            <w:gridSpan w:val="2"/>
            <w:shd w:val="clear" w:color="auto" w:fill="0071CE"/>
          </w:tcPr>
          <w:p>
            <w:pPr>
              <w:ind w:left="140"/>
              <w:spacing w:after="0"/>
              <w:rPr>
                <w:sz w:val="20"/>
                <w:szCs w:val="20"/>
                <w:color w:val="auto"/>
              </w:rPr>
            </w:pPr>
            <w:r>
              <w:rPr>
                <w:rFonts w:ascii="Arial" w:cs="Arial" w:eastAsia="Arial" w:hAnsi="Arial"/>
                <w:sz w:val="14"/>
                <w:szCs w:val="14"/>
                <w:b w:val="1"/>
                <w:bCs w:val="1"/>
                <w:color w:val="FFFFFF"/>
              </w:rPr>
              <w:t>Date Value</w:t>
            </w:r>
          </w:p>
        </w:tc>
        <w:tc>
          <w:tcPr>
            <w:tcW w:w="20" w:type="dxa"/>
            <w:vAlign w:val="bottom"/>
            <w:tcBorders>
              <w:bottom w:val="single" w:sz="8" w:color="0071CE"/>
            </w:tcBorders>
            <w:shd w:val="clear" w:color="auto" w:fill="0071CE"/>
          </w:tcPr>
          <w:p>
            <w:pPr>
              <w:spacing w:after="0"/>
              <w:rPr>
                <w:sz w:val="17"/>
                <w:szCs w:val="17"/>
                <w:color w:val="auto"/>
              </w:rPr>
            </w:pPr>
          </w:p>
        </w:tc>
      </w:tr>
      <w:tr>
        <w:trPr>
          <w:trHeight w:val="211"/>
        </w:trPr>
        <w:tc>
          <w:tcPr>
            <w:tcW w:w="4200" w:type="dxa"/>
            <w:vAlign w:val="bottom"/>
            <w:shd w:val="clear" w:color="auto" w:fill="E5E5E5"/>
          </w:tcPr>
          <w:p>
            <w:pPr>
              <w:ind w:left="200"/>
              <w:spacing w:after="0"/>
              <w:rPr>
                <w:sz w:val="20"/>
                <w:szCs w:val="20"/>
                <w:color w:val="auto"/>
              </w:rPr>
            </w:pPr>
            <w:r>
              <w:rPr>
                <w:rFonts w:ascii="Arial" w:cs="Arial" w:eastAsia="Arial" w:hAnsi="Arial"/>
                <w:sz w:val="16"/>
                <w:szCs w:val="16"/>
                <w:b w:val="1"/>
                <w:bCs w:val="1"/>
                <w:color w:val="0071CE"/>
              </w:rPr>
              <w:t>Douglass Given</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00" w:type="dxa"/>
            <w:vAlign w:val="bottom"/>
            <w:shd w:val="clear" w:color="auto" w:fill="E5E5E5"/>
          </w:tcPr>
          <w:p>
            <w:pPr>
              <w:ind w:left="200"/>
              <w:spacing w:after="0"/>
              <w:rPr>
                <w:sz w:val="20"/>
                <w:szCs w:val="20"/>
                <w:color w:val="auto"/>
              </w:rPr>
            </w:pPr>
            <w:r>
              <w:rPr>
                <w:rFonts w:ascii="Arial" w:cs="Arial" w:eastAsia="Arial" w:hAnsi="Arial"/>
                <w:sz w:val="16"/>
                <w:szCs w:val="16"/>
                <w:color w:val="auto"/>
              </w:rPr>
              <w:t>Chairman</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80,000</w:t>
            </w:r>
          </w:p>
        </w:tc>
        <w:tc>
          <w:tcPr>
            <w:tcW w:w="11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36,000</w:t>
            </w:r>
          </w:p>
        </w:tc>
        <w:tc>
          <w:tcPr>
            <w:tcW w:w="3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447,120</w:t>
            </w:r>
          </w:p>
        </w:tc>
        <w:tc>
          <w:tcPr>
            <w:tcW w:w="280" w:type="dxa"/>
            <w:vAlign w:val="bottom"/>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78,750</w:t>
            </w:r>
          </w:p>
        </w:tc>
        <w:tc>
          <w:tcPr>
            <w:tcW w:w="104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30,000</w:t>
            </w:r>
          </w:p>
        </w:tc>
        <w:tc>
          <w:tcPr>
            <w:tcW w:w="3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110,400</w:t>
            </w:r>
          </w:p>
        </w:tc>
        <w:tc>
          <w:tcPr>
            <w:tcW w:w="20" w:type="dxa"/>
            <w:vAlign w:val="bottom"/>
          </w:tcPr>
          <w:p>
            <w:pPr>
              <w:spacing w:after="0"/>
              <w:rPr>
                <w:sz w:val="20"/>
                <w:szCs w:val="20"/>
                <w:color w:val="auto"/>
              </w:rPr>
            </w:pPr>
          </w:p>
        </w:tc>
      </w:tr>
      <w:tr>
        <w:trPr>
          <w:trHeight w:val="211"/>
        </w:trPr>
        <w:tc>
          <w:tcPr>
            <w:tcW w:w="4200" w:type="dxa"/>
            <w:vAlign w:val="bottom"/>
          </w:tcPr>
          <w:p>
            <w:pPr>
              <w:ind w:left="200"/>
              <w:spacing w:after="0"/>
              <w:rPr>
                <w:sz w:val="20"/>
                <w:szCs w:val="20"/>
                <w:color w:val="auto"/>
              </w:rPr>
            </w:pPr>
            <w:r>
              <w:rPr>
                <w:rFonts w:ascii="Arial" w:cs="Arial" w:eastAsia="Arial" w:hAnsi="Arial"/>
                <w:sz w:val="16"/>
                <w:szCs w:val="16"/>
                <w:b w:val="1"/>
                <w:bCs w:val="1"/>
                <w:color w:val="0071CE"/>
              </w:rPr>
              <w:t>Michael S. Perry</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00" w:type="dxa"/>
            <w:vAlign w:val="bottom"/>
          </w:tcPr>
          <w:p>
            <w:pPr>
              <w:ind w:left="200"/>
              <w:spacing w:after="0"/>
              <w:rPr>
                <w:sz w:val="20"/>
                <w:szCs w:val="20"/>
                <w:color w:val="auto"/>
              </w:rPr>
            </w:pPr>
            <w:r>
              <w:rPr>
                <w:rFonts w:ascii="Arial" w:cs="Arial" w:eastAsia="Arial" w:hAnsi="Arial"/>
                <w:sz w:val="16"/>
                <w:szCs w:val="16"/>
                <w:color w:val="auto"/>
              </w:rPr>
              <w:t>Lead Director</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80,000</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36,000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447,120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68,250</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30,000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110,400</w:t>
            </w:r>
          </w:p>
        </w:tc>
        <w:tc>
          <w:tcPr>
            <w:tcW w:w="20" w:type="dxa"/>
            <w:vAlign w:val="bottom"/>
          </w:tcPr>
          <w:p>
            <w:pPr>
              <w:spacing w:after="0"/>
              <w:rPr>
                <w:sz w:val="19"/>
                <w:szCs w:val="19"/>
                <w:color w:val="auto"/>
              </w:rPr>
            </w:pPr>
          </w:p>
        </w:tc>
      </w:tr>
      <w:tr>
        <w:trPr>
          <w:trHeight w:val="219"/>
        </w:trPr>
        <w:tc>
          <w:tcPr>
            <w:tcW w:w="4200" w:type="dxa"/>
            <w:vAlign w:val="bottom"/>
            <w:shd w:val="clear" w:color="auto" w:fill="E5E5E5"/>
          </w:tcPr>
          <w:p>
            <w:pPr>
              <w:ind w:left="200"/>
              <w:spacing w:after="0"/>
              <w:rPr>
                <w:sz w:val="20"/>
                <w:szCs w:val="20"/>
                <w:color w:val="auto"/>
              </w:rPr>
            </w:pPr>
            <w:r>
              <w:rPr>
                <w:rFonts w:ascii="Arial" w:cs="Arial" w:eastAsia="Arial" w:hAnsi="Arial"/>
                <w:sz w:val="16"/>
                <w:szCs w:val="16"/>
                <w:b w:val="1"/>
                <w:bCs w:val="1"/>
                <w:color w:val="0071CE"/>
              </w:rPr>
              <w:t>Mauro Ferrari</w:t>
            </w:r>
          </w:p>
        </w:tc>
        <w:tc>
          <w:tcPr>
            <w:tcW w:w="3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200" w:type="dxa"/>
            <w:vAlign w:val="bottom"/>
            <w:shd w:val="clear" w:color="auto" w:fill="E5E5E5"/>
          </w:tcPr>
          <w:p>
            <w:pPr>
              <w:ind w:left="200"/>
              <w:spacing w:after="0"/>
              <w:rPr>
                <w:sz w:val="20"/>
                <w:szCs w:val="20"/>
                <w:color w:val="auto"/>
              </w:rPr>
            </w:pPr>
            <w:r>
              <w:rPr>
                <w:rFonts w:ascii="Arial" w:cs="Arial" w:eastAsia="Arial" w:hAnsi="Arial"/>
                <w:sz w:val="16"/>
                <w:szCs w:val="16"/>
                <w:color w:val="auto"/>
              </w:rPr>
              <w:t>Director (4)</w:t>
            </w:r>
          </w:p>
        </w:tc>
        <w:tc>
          <w:tcPr>
            <w:tcW w:w="380" w:type="dxa"/>
            <w:vAlign w:val="bottom"/>
            <w:shd w:val="clear" w:color="auto" w:fill="E5E5E5"/>
          </w:tcPr>
          <w:p>
            <w:pPr>
              <w:ind w:left="2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65,000</w:t>
            </w:r>
          </w:p>
        </w:tc>
        <w:tc>
          <w:tcPr>
            <w:tcW w:w="11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3,429</w:t>
            </w:r>
          </w:p>
        </w:tc>
        <w:tc>
          <w:tcPr>
            <w:tcW w:w="3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44,988</w:t>
            </w:r>
          </w:p>
        </w:tc>
        <w:tc>
          <w:tcPr>
            <w:tcW w:w="280" w:type="dxa"/>
            <w:vAlign w:val="bottom"/>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52,500</w:t>
            </w:r>
          </w:p>
        </w:tc>
        <w:tc>
          <w:tcPr>
            <w:tcW w:w="1040" w:type="dxa"/>
            <w:vAlign w:val="bottom"/>
            <w:shd w:val="clear" w:color="auto" w:fill="E5E5E5"/>
          </w:tcPr>
          <w:p>
            <w:pPr>
              <w:jc w:val="right"/>
              <w:ind w:right="42"/>
              <w:spacing w:after="0"/>
              <w:rPr>
                <w:sz w:val="20"/>
                <w:szCs w:val="20"/>
                <w:color w:val="auto"/>
              </w:rPr>
            </w:pPr>
            <w:r>
              <w:rPr>
                <w:rFonts w:ascii="Arial" w:cs="Arial" w:eastAsia="Arial" w:hAnsi="Arial"/>
                <w:sz w:val="16"/>
                <w:szCs w:val="16"/>
                <w:color w:val="auto"/>
              </w:rPr>
              <w:t>3,459</w:t>
            </w:r>
          </w:p>
        </w:tc>
        <w:tc>
          <w:tcPr>
            <w:tcW w:w="3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47,492</w:t>
            </w:r>
          </w:p>
        </w:tc>
        <w:tc>
          <w:tcPr>
            <w:tcW w:w="20" w:type="dxa"/>
            <w:vAlign w:val="bottom"/>
          </w:tcPr>
          <w:p>
            <w:pPr>
              <w:spacing w:after="0"/>
              <w:rPr>
                <w:sz w:val="20"/>
                <w:szCs w:val="20"/>
                <w:color w:val="auto"/>
              </w:rPr>
            </w:pPr>
          </w:p>
        </w:tc>
      </w:tr>
      <w:tr>
        <w:trPr>
          <w:trHeight w:val="211"/>
        </w:trPr>
        <w:tc>
          <w:tcPr>
            <w:tcW w:w="4200" w:type="dxa"/>
            <w:vAlign w:val="bottom"/>
          </w:tcPr>
          <w:p>
            <w:pPr>
              <w:ind w:left="200"/>
              <w:spacing w:after="0"/>
              <w:rPr>
                <w:sz w:val="20"/>
                <w:szCs w:val="20"/>
                <w:color w:val="auto"/>
              </w:rPr>
            </w:pPr>
            <w:r>
              <w:rPr>
                <w:rFonts w:ascii="Arial" w:cs="Arial" w:eastAsia="Arial" w:hAnsi="Arial"/>
                <w:sz w:val="16"/>
                <w:szCs w:val="16"/>
                <w:b w:val="1"/>
                <w:bCs w:val="1"/>
                <w:color w:val="0071CE"/>
              </w:rPr>
              <w:t>William Waddill</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200" w:type="dxa"/>
            <w:vAlign w:val="bottom"/>
          </w:tcPr>
          <w:p>
            <w:pPr>
              <w:ind w:left="200"/>
              <w:spacing w:after="0"/>
              <w:rPr>
                <w:sz w:val="20"/>
                <w:szCs w:val="20"/>
                <w:color w:val="auto"/>
              </w:rPr>
            </w:pPr>
            <w:r>
              <w:rPr>
                <w:rFonts w:ascii="Arial" w:cs="Arial" w:eastAsia="Arial" w:hAnsi="Arial"/>
                <w:sz w:val="16"/>
                <w:szCs w:val="16"/>
                <w:color w:val="auto"/>
              </w:rPr>
              <w:t>Director</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70,000</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30,000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372,600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52,500</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25,000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92,000</w:t>
            </w:r>
          </w:p>
        </w:tc>
        <w:tc>
          <w:tcPr>
            <w:tcW w:w="20" w:type="dxa"/>
            <w:vAlign w:val="bottom"/>
          </w:tcPr>
          <w:p>
            <w:pPr>
              <w:spacing w:after="0"/>
              <w:rPr>
                <w:sz w:val="19"/>
                <w:szCs w:val="19"/>
                <w:color w:val="auto"/>
              </w:rPr>
            </w:pPr>
          </w:p>
        </w:tc>
      </w:tr>
      <w:tr>
        <w:trPr>
          <w:trHeight w:val="219"/>
        </w:trPr>
        <w:tc>
          <w:tcPr>
            <w:tcW w:w="4200" w:type="dxa"/>
            <w:vAlign w:val="bottom"/>
            <w:shd w:val="clear" w:color="auto" w:fill="E5E5E5"/>
          </w:tcPr>
          <w:p>
            <w:pPr>
              <w:ind w:left="200"/>
              <w:spacing w:after="0"/>
              <w:rPr>
                <w:sz w:val="20"/>
                <w:szCs w:val="20"/>
                <w:color w:val="auto"/>
              </w:rPr>
            </w:pPr>
            <w:r>
              <w:rPr>
                <w:rFonts w:ascii="Arial" w:cs="Arial" w:eastAsia="Arial" w:hAnsi="Arial"/>
                <w:sz w:val="16"/>
                <w:szCs w:val="16"/>
                <w:b w:val="1"/>
                <w:bCs w:val="1"/>
                <w:color w:val="0071CE"/>
              </w:rPr>
              <w:t>Ed Frykman</w:t>
            </w:r>
          </w:p>
        </w:tc>
        <w:tc>
          <w:tcPr>
            <w:tcW w:w="3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200" w:type="dxa"/>
            <w:vAlign w:val="bottom"/>
            <w:tcBorders>
              <w:bottom w:val="single" w:sz="8" w:color="0071CE"/>
            </w:tcBorders>
            <w:shd w:val="clear" w:color="auto" w:fill="E5E5E5"/>
          </w:tcPr>
          <w:p>
            <w:pPr>
              <w:ind w:left="200"/>
              <w:spacing w:after="0"/>
              <w:rPr>
                <w:sz w:val="20"/>
                <w:szCs w:val="20"/>
                <w:color w:val="auto"/>
              </w:rPr>
            </w:pPr>
            <w:r>
              <w:rPr>
                <w:rFonts w:ascii="Arial" w:cs="Arial" w:eastAsia="Arial" w:hAnsi="Arial"/>
                <w:sz w:val="16"/>
                <w:szCs w:val="16"/>
                <w:color w:val="auto"/>
              </w:rPr>
              <w:t>Director (5)</w:t>
            </w:r>
          </w:p>
        </w:tc>
        <w:tc>
          <w:tcPr>
            <w:tcW w:w="380" w:type="dxa"/>
            <w:vAlign w:val="bottom"/>
            <w:tcBorders>
              <w:bottom w:val="single" w:sz="8" w:color="0071CE"/>
            </w:tcBorders>
            <w:shd w:val="clear" w:color="auto" w:fill="E5E5E5"/>
          </w:tcPr>
          <w:p>
            <w:pPr>
              <w:spacing w:after="0"/>
              <w:rPr>
                <w:sz w:val="19"/>
                <w:szCs w:val="19"/>
                <w:color w:val="auto"/>
              </w:rPr>
            </w:pPr>
          </w:p>
        </w:tc>
        <w:tc>
          <w:tcPr>
            <w:tcW w:w="920" w:type="dxa"/>
            <w:vAlign w:val="bottom"/>
            <w:tcBorders>
              <w:bottom w:val="single" w:sz="8" w:color="0071CE"/>
            </w:tcBorders>
            <w:shd w:val="clear" w:color="auto" w:fill="E5E5E5"/>
          </w:tcPr>
          <w:p>
            <w:pPr>
              <w:jc w:val="right"/>
              <w:ind w:right="82"/>
              <w:spacing w:after="0"/>
              <w:rPr>
                <w:sz w:val="20"/>
                <w:szCs w:val="20"/>
                <w:color w:val="auto"/>
              </w:rPr>
            </w:pPr>
            <w:r>
              <w:rPr>
                <w:rFonts w:ascii="Arial" w:cs="Arial" w:eastAsia="Arial" w:hAnsi="Arial"/>
                <w:sz w:val="16"/>
                <w:szCs w:val="16"/>
                <w:color w:val="auto"/>
              </w:rPr>
              <w:t>N/A</w:t>
            </w:r>
          </w:p>
        </w:tc>
        <w:tc>
          <w:tcPr>
            <w:tcW w:w="110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0071CE"/>
            </w:tcBorders>
            <w:shd w:val="clear" w:color="auto" w:fill="E5E5E5"/>
          </w:tcPr>
          <w:p>
            <w:pPr>
              <w:spacing w:after="0"/>
              <w:rPr>
                <w:sz w:val="19"/>
                <w:szCs w:val="19"/>
                <w:color w:val="auto"/>
              </w:rPr>
            </w:pPr>
          </w:p>
        </w:tc>
        <w:tc>
          <w:tcPr>
            <w:tcW w:w="780" w:type="dxa"/>
            <w:vAlign w:val="bottom"/>
            <w:tcBorders>
              <w:bottom w:val="single" w:sz="8" w:color="0071CE"/>
            </w:tcBorders>
            <w:shd w:val="clear" w:color="auto" w:fill="E5E5E5"/>
          </w:tcPr>
          <w:p>
            <w:pPr>
              <w:jc w:val="right"/>
              <w:ind w:right="79"/>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0071CE"/>
            </w:tcBorders>
            <w:shd w:val="clear" w:color="auto" w:fill="E5E5E5"/>
          </w:tcPr>
          <w:p>
            <w:pPr>
              <w:ind w:left="18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0071CE"/>
            </w:tcBorders>
            <w:shd w:val="clear" w:color="auto" w:fill="E5E5E5"/>
          </w:tcPr>
          <w:p>
            <w:pPr>
              <w:jc w:val="right"/>
              <w:ind w:right="102"/>
              <w:spacing w:after="0"/>
              <w:rPr>
                <w:sz w:val="20"/>
                <w:szCs w:val="20"/>
                <w:color w:val="auto"/>
              </w:rPr>
            </w:pPr>
            <w:r>
              <w:rPr>
                <w:rFonts w:ascii="Arial" w:cs="Arial" w:eastAsia="Arial" w:hAnsi="Arial"/>
                <w:sz w:val="16"/>
                <w:szCs w:val="16"/>
                <w:color w:val="auto"/>
              </w:rPr>
              <w:t>28,269</w:t>
            </w:r>
          </w:p>
        </w:tc>
        <w:tc>
          <w:tcPr>
            <w:tcW w:w="1040" w:type="dxa"/>
            <w:vAlign w:val="bottom"/>
            <w:tcBorders>
              <w:bottom w:val="single" w:sz="8" w:color="0071CE"/>
            </w:tcBorders>
            <w:shd w:val="clear" w:color="auto" w:fill="E5E5E5"/>
          </w:tcPr>
          <w:p>
            <w:pPr>
              <w:jc w:val="right"/>
              <w:ind w:right="42"/>
              <w:spacing w:after="0"/>
              <w:rPr>
                <w:sz w:val="20"/>
                <w:szCs w:val="20"/>
                <w:color w:val="auto"/>
              </w:rPr>
            </w:pPr>
            <w:r>
              <w:rPr>
                <w:rFonts w:ascii="Arial" w:cs="Arial" w:eastAsia="Arial" w:hAnsi="Arial"/>
                <w:sz w:val="16"/>
                <w:szCs w:val="16"/>
                <w:color w:val="auto"/>
              </w:rPr>
              <w:t>25,000</w:t>
            </w:r>
          </w:p>
        </w:tc>
        <w:tc>
          <w:tcPr>
            <w:tcW w:w="320" w:type="dxa"/>
            <w:vAlign w:val="bottom"/>
            <w:tcBorders>
              <w:bottom w:val="single" w:sz="8" w:color="0071CE"/>
            </w:tcBorders>
            <w:shd w:val="clear" w:color="auto" w:fill="E5E5E5"/>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71CE"/>
            </w:tcBorders>
            <w:shd w:val="clear" w:color="auto" w:fill="E5E5E5"/>
          </w:tcPr>
          <w:p>
            <w:pPr>
              <w:jc w:val="right"/>
              <w:ind w:right="39"/>
              <w:spacing w:after="0"/>
              <w:rPr>
                <w:sz w:val="20"/>
                <w:szCs w:val="20"/>
                <w:color w:val="auto"/>
              </w:rPr>
            </w:pPr>
            <w:r>
              <w:rPr>
                <w:rFonts w:ascii="Arial" w:cs="Arial" w:eastAsia="Arial" w:hAnsi="Arial"/>
                <w:sz w:val="16"/>
                <w:szCs w:val="16"/>
                <w:color w:val="auto"/>
              </w:rPr>
              <w:t>92,000</w:t>
            </w:r>
          </w:p>
        </w:tc>
        <w:tc>
          <w:tcPr>
            <w:tcW w:w="20" w:type="dxa"/>
            <w:vAlign w:val="bottom"/>
          </w:tcPr>
          <w:p>
            <w:pPr>
              <w:spacing w:after="0"/>
              <w:rPr>
                <w:sz w:val="19"/>
                <w:szCs w:val="19"/>
                <w:color w:val="auto"/>
              </w:rPr>
            </w:pPr>
          </w:p>
        </w:tc>
      </w:tr>
    </w:tbl>
    <w:p>
      <w:pPr>
        <w:spacing w:after="0" w:line="68" w:lineRule="exact"/>
        <w:rPr>
          <w:sz w:val="20"/>
          <w:szCs w:val="20"/>
          <w:color w:val="auto"/>
        </w:rPr>
      </w:pPr>
    </w:p>
    <w:p>
      <w:pPr>
        <w:ind w:left="540" w:hanging="330"/>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annual fee for 2019 service is summarized as follows:</w:t>
      </w:r>
    </w:p>
    <w:p>
      <w:pPr>
        <w:spacing w:after="0" w:line="81" w:lineRule="exact"/>
        <w:rPr>
          <w:rFonts w:ascii="Arial" w:cs="Arial" w:eastAsia="Arial" w:hAnsi="Arial"/>
          <w:sz w:val="14"/>
          <w:szCs w:val="14"/>
          <w:color w:val="auto"/>
        </w:rPr>
      </w:pPr>
    </w:p>
    <w:p>
      <w:pPr>
        <w:ind w:left="960" w:hanging="426"/>
        <w:spacing w:after="0"/>
        <w:tabs>
          <w:tab w:leader="none" w:pos="9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Dr. Given will receive $75,000 for his service as the Chairman of the Board, and $5,000 for his service on the Board’s Science Committee.</w:t>
      </w:r>
    </w:p>
    <w:p>
      <w:pPr>
        <w:spacing w:after="0" w:line="81" w:lineRule="exact"/>
        <w:rPr>
          <w:rFonts w:ascii="Arial" w:cs="Arial" w:eastAsia="Arial" w:hAnsi="Arial"/>
          <w:sz w:val="14"/>
          <w:szCs w:val="14"/>
          <w:color w:val="auto"/>
        </w:rPr>
      </w:pPr>
    </w:p>
    <w:p>
      <w:pPr>
        <w:ind w:left="960" w:right="200" w:hanging="426"/>
        <w:spacing w:after="0" w:line="290" w:lineRule="auto"/>
        <w:tabs>
          <w:tab w:leader="none" w:pos="9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Dr. Perry will receive $50,000 for his service as the Lead Director, $15,000 for his service as the Compensation Committee Chairman and a total of $15,000 for his service on the Nominating, Science and Audit Committees.</w:t>
      </w:r>
    </w:p>
    <w:p>
      <w:pPr>
        <w:spacing w:after="0" w:line="15" w:lineRule="exact"/>
        <w:rPr>
          <w:rFonts w:ascii="Arial" w:cs="Arial" w:eastAsia="Arial" w:hAnsi="Arial"/>
          <w:sz w:val="14"/>
          <w:szCs w:val="14"/>
          <w:color w:val="auto"/>
        </w:rPr>
      </w:pPr>
    </w:p>
    <w:p>
      <w:pPr>
        <w:ind w:left="960" w:right="160" w:hanging="426"/>
        <w:spacing w:after="0" w:line="290" w:lineRule="auto"/>
        <w:tabs>
          <w:tab w:leader="none" w:pos="9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Dr. Ferrari is eligible to receive $40,000 for his service as a Company director, $10,000 for his service as the Science Committee Chairman, and $15,000 for his service on the Nominating, Audit and Compensation Committees. His actual cash fee will likely be lower based on limitations imposed by his current employer.</w:t>
      </w:r>
    </w:p>
    <w:p>
      <w:pPr>
        <w:spacing w:after="0" w:line="15" w:lineRule="exact"/>
        <w:rPr>
          <w:rFonts w:ascii="Arial" w:cs="Arial" w:eastAsia="Arial" w:hAnsi="Arial"/>
          <w:sz w:val="14"/>
          <w:szCs w:val="14"/>
          <w:color w:val="auto"/>
        </w:rPr>
      </w:pPr>
    </w:p>
    <w:p>
      <w:pPr>
        <w:ind w:left="960" w:right="240" w:hanging="426"/>
        <w:spacing w:after="0" w:line="290" w:lineRule="auto"/>
        <w:tabs>
          <w:tab w:leader="none" w:pos="9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Mr. Waddill will receive $40,000 for his service as a Company director, $20,000 for his service as the Audit Committee Chairman, and a total of $10,000 for his service on the Nominating and Compensation Committees.</w:t>
      </w:r>
    </w:p>
    <w:p>
      <w:pPr>
        <w:spacing w:after="0" w:line="15" w:lineRule="exact"/>
        <w:rPr>
          <w:rFonts w:ascii="Arial" w:cs="Arial" w:eastAsia="Arial" w:hAnsi="Arial"/>
          <w:sz w:val="14"/>
          <w:szCs w:val="14"/>
          <w:color w:val="auto"/>
        </w:rPr>
      </w:pPr>
    </w:p>
    <w:p>
      <w:pPr>
        <w:ind w:left="540" w:right="100" w:hanging="330"/>
        <w:spacing w:after="0" w:line="266"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services in 2019, each non-employee director received a grant of 30,000 restricted stock units (“RSUs”). Additional grants of 6,000 RSUs were awarded for the service of the Chairman and the Lead Director. RSU grants to non-employee directors vest on the one-year anniversary of the date of grant. In 2018, the grant for each director was 25,000 RSUs with additional grants of 5,000 RSUs for the service of the Chairman and the Lead Director.</w:t>
      </w:r>
    </w:p>
    <w:p>
      <w:pPr>
        <w:spacing w:after="0" w:line="31" w:lineRule="exact"/>
        <w:rPr>
          <w:rFonts w:ascii="Arial" w:cs="Arial" w:eastAsia="Arial" w:hAnsi="Arial"/>
          <w:sz w:val="14"/>
          <w:szCs w:val="14"/>
          <w:color w:val="auto"/>
        </w:rPr>
      </w:pPr>
    </w:p>
    <w:p>
      <w:pPr>
        <w:ind w:left="540" w:right="160" w:hanging="330"/>
        <w:spacing w:after="0" w:line="290"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annual fee for 2018 service as a Company director for 2018 was $52,500. An additional fee of $26,250 was paid for the service of the Chairman and an additional $15,750 for the service of the Lead Director.</w:t>
      </w:r>
    </w:p>
    <w:p>
      <w:pPr>
        <w:spacing w:after="0" w:line="15" w:lineRule="exact"/>
        <w:rPr>
          <w:rFonts w:ascii="Arial" w:cs="Arial" w:eastAsia="Arial" w:hAnsi="Arial"/>
          <w:sz w:val="14"/>
          <w:szCs w:val="14"/>
          <w:color w:val="auto"/>
        </w:rPr>
      </w:pPr>
    </w:p>
    <w:p>
      <w:pPr>
        <w:ind w:left="540" w:right="180" w:hanging="330"/>
        <w:spacing w:after="0" w:line="290"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Dr. Ferrari’s stock awards in each period are lower than the other directors because his compensation has historically been limited based on the policies of his current employer.</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Frykman passed away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103505</wp:posOffset>
            </wp:positionV>
            <wp:extent cx="98488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72" w:lineRule="exact"/>
        <w:rPr>
          <w:sz w:val="20"/>
          <w:szCs w:val="20"/>
          <w:color w:val="auto"/>
        </w:rPr>
      </w:pPr>
    </w:p>
    <w:p>
      <w:pPr>
        <w:ind w:left="11060"/>
        <w:spacing w:after="0"/>
        <w:rPr>
          <w:sz w:val="20"/>
          <w:szCs w:val="20"/>
          <w:color w:val="auto"/>
        </w:rPr>
      </w:pPr>
      <w:r>
        <w:rPr>
          <w:rFonts w:ascii="Arial" w:cs="Arial" w:eastAsia="Arial" w:hAnsi="Arial"/>
          <w:sz w:val="18"/>
          <w:szCs w:val="18"/>
          <w:b w:val="1"/>
          <w:bCs w:val="1"/>
          <w:color w:val="0071CE"/>
        </w:rPr>
        <w:t>9</w:t>
      </w:r>
    </w:p>
    <w:p>
      <w:pPr>
        <w:sectPr>
          <w:pgSz w:w="11900" w:h="16838" w:orient="portrait"/>
          <w:cols w:equalWidth="0" w:num="1">
            <w:col w:w="11240"/>
          </w:cols>
          <w:pgMar w:left="240" w:top="455" w:right="4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146" w:lineRule="exact"/>
        <w:rPr>
          <w:sz w:val="20"/>
          <w:szCs w:val="20"/>
          <w:color w:val="auto"/>
        </w:rPr>
      </w:pPr>
    </w:p>
    <w:p>
      <w:pPr>
        <w:ind w:left="220" w:right="360"/>
        <w:spacing w:after="0" w:line="291"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2018. Dr. Anzalone’s compensation is set forth in the discussion of Executive Compensation and in the Summary Compensation Table.</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7260" w:type="dxa"/>
            <w:vAlign w:val="bottom"/>
            <w:shd w:val="clear" w:color="auto" w:fill="0071CE"/>
          </w:tcPr>
          <w:p>
            <w:pPr>
              <w:spacing w:after="0"/>
              <w:rPr>
                <w:sz w:val="15"/>
                <w:szCs w:val="15"/>
                <w:color w:val="auto"/>
              </w:rPr>
            </w:pPr>
          </w:p>
        </w:tc>
        <w:tc>
          <w:tcPr>
            <w:tcW w:w="1520" w:type="dxa"/>
            <w:vAlign w:val="bottom"/>
            <w:gridSpan w:val="2"/>
            <w:shd w:val="clear" w:color="auto" w:fill="0071CE"/>
          </w:tcPr>
          <w:p>
            <w:pPr>
              <w:ind w:left="460"/>
              <w:spacing w:after="0"/>
              <w:rPr>
                <w:sz w:val="20"/>
                <w:szCs w:val="20"/>
                <w:color w:val="auto"/>
              </w:rPr>
            </w:pPr>
            <w:r>
              <w:rPr>
                <w:rFonts w:ascii="Arial" w:cs="Arial" w:eastAsia="Arial" w:hAnsi="Arial"/>
                <w:sz w:val="14"/>
                <w:szCs w:val="14"/>
                <w:b w:val="1"/>
                <w:bCs w:val="1"/>
                <w:color w:val="FFFFFF"/>
              </w:rPr>
              <w:t>Fee Earned</w:t>
            </w:r>
          </w:p>
        </w:tc>
        <w:tc>
          <w:tcPr>
            <w:tcW w:w="360" w:type="dxa"/>
            <w:vAlign w:val="bottom"/>
            <w:shd w:val="clear" w:color="auto" w:fill="0071CE"/>
          </w:tcPr>
          <w:p>
            <w:pPr>
              <w:spacing w:after="0"/>
              <w:rPr>
                <w:sz w:val="15"/>
                <w:szCs w:val="15"/>
                <w:color w:val="auto"/>
              </w:rPr>
            </w:pPr>
          </w:p>
        </w:tc>
        <w:tc>
          <w:tcPr>
            <w:tcW w:w="86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7260" w:type="dxa"/>
            <w:vAlign w:val="bottom"/>
            <w:shd w:val="clear" w:color="auto" w:fill="0071CE"/>
          </w:tcPr>
          <w:p>
            <w:pPr>
              <w:spacing w:after="0"/>
              <w:rPr>
                <w:sz w:val="14"/>
                <w:szCs w:val="14"/>
                <w:color w:val="auto"/>
              </w:rPr>
            </w:pPr>
          </w:p>
        </w:tc>
        <w:tc>
          <w:tcPr>
            <w:tcW w:w="640" w:type="dxa"/>
            <w:vAlign w:val="bottom"/>
            <w:shd w:val="clear" w:color="auto" w:fill="0071CE"/>
          </w:tcPr>
          <w:p>
            <w:pPr>
              <w:spacing w:after="0"/>
              <w:rPr>
                <w:sz w:val="14"/>
                <w:szCs w:val="14"/>
                <w:color w:val="auto"/>
              </w:rPr>
            </w:pPr>
          </w:p>
        </w:tc>
        <w:tc>
          <w:tcPr>
            <w:tcW w:w="8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or</w:t>
            </w:r>
          </w:p>
        </w:tc>
        <w:tc>
          <w:tcPr>
            <w:tcW w:w="360" w:type="dxa"/>
            <w:vAlign w:val="bottom"/>
            <w:shd w:val="clear" w:color="auto" w:fill="0071CE"/>
          </w:tcPr>
          <w:p>
            <w:pPr>
              <w:spacing w:after="0"/>
              <w:rPr>
                <w:sz w:val="14"/>
                <w:szCs w:val="14"/>
                <w:color w:val="auto"/>
              </w:rPr>
            </w:pPr>
          </w:p>
        </w:tc>
        <w:tc>
          <w:tcPr>
            <w:tcW w:w="860" w:type="dxa"/>
            <w:vAlign w:val="bottom"/>
            <w:shd w:val="clear" w:color="auto" w:fill="0071CE"/>
          </w:tcPr>
          <w:p>
            <w:pPr>
              <w:jc w:val="right"/>
              <w:ind w:right="343"/>
              <w:spacing w:after="0"/>
              <w:rPr>
                <w:sz w:val="20"/>
                <w:szCs w:val="20"/>
                <w:color w:val="auto"/>
              </w:rPr>
            </w:pPr>
            <w:r>
              <w:rPr>
                <w:rFonts w:ascii="Arial" w:cs="Arial" w:eastAsia="Arial" w:hAnsi="Arial"/>
                <w:sz w:val="14"/>
                <w:szCs w:val="14"/>
                <w:b w:val="1"/>
                <w:bCs w:val="1"/>
                <w:color w:val="FFFFFF"/>
              </w:rPr>
              <w:t>Stock</w:t>
            </w:r>
          </w:p>
        </w:tc>
        <w:tc>
          <w:tcPr>
            <w:tcW w:w="100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7260" w:type="dxa"/>
            <w:vAlign w:val="bottom"/>
            <w:shd w:val="clear" w:color="auto" w:fill="0071CE"/>
          </w:tcPr>
          <w:p>
            <w:pPr>
              <w:spacing w:after="0"/>
              <w:rPr>
                <w:sz w:val="14"/>
                <w:szCs w:val="14"/>
                <w:color w:val="auto"/>
              </w:rPr>
            </w:pPr>
          </w:p>
        </w:tc>
        <w:tc>
          <w:tcPr>
            <w:tcW w:w="1520" w:type="dxa"/>
            <w:vAlign w:val="bottom"/>
            <w:gridSpan w:val="2"/>
            <w:shd w:val="clear" w:color="auto" w:fill="0071CE"/>
          </w:tcPr>
          <w:p>
            <w:pPr>
              <w:ind w:left="420"/>
              <w:spacing w:after="0"/>
              <w:rPr>
                <w:sz w:val="20"/>
                <w:szCs w:val="20"/>
                <w:color w:val="auto"/>
              </w:rPr>
            </w:pPr>
            <w:r>
              <w:rPr>
                <w:rFonts w:ascii="Arial" w:cs="Arial" w:eastAsia="Arial" w:hAnsi="Arial"/>
                <w:sz w:val="14"/>
                <w:szCs w:val="14"/>
                <w:b w:val="1"/>
                <w:bCs w:val="1"/>
                <w:color w:val="FFFFFF"/>
              </w:rPr>
              <w:t>Paid in Cash</w:t>
            </w:r>
          </w:p>
        </w:tc>
        <w:tc>
          <w:tcPr>
            <w:tcW w:w="1220" w:type="dxa"/>
            <w:vAlign w:val="bottom"/>
            <w:gridSpan w:val="2"/>
            <w:shd w:val="clear" w:color="auto" w:fill="0071CE"/>
          </w:tcPr>
          <w:p>
            <w:pPr>
              <w:ind w:left="240"/>
              <w:spacing w:after="0"/>
              <w:rPr>
                <w:sz w:val="20"/>
                <w:szCs w:val="20"/>
                <w:color w:val="auto"/>
              </w:rPr>
            </w:pPr>
            <w:r>
              <w:rPr>
                <w:rFonts w:ascii="Arial" w:cs="Arial" w:eastAsia="Arial" w:hAnsi="Arial"/>
                <w:sz w:val="14"/>
                <w:szCs w:val="14"/>
                <w:b w:val="1"/>
                <w:bCs w:val="1"/>
                <w:color w:val="FFFFFF"/>
              </w:rPr>
              <w:t>Awards ($)</w:t>
            </w:r>
          </w:p>
        </w:tc>
        <w:tc>
          <w:tcPr>
            <w:tcW w:w="100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211"/>
        </w:trPr>
        <w:tc>
          <w:tcPr>
            <w:tcW w:w="726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Name</w:t>
            </w:r>
          </w:p>
        </w:tc>
        <w:tc>
          <w:tcPr>
            <w:tcW w:w="640" w:type="dxa"/>
            <w:vAlign w:val="bottom"/>
            <w:tcBorders>
              <w:bottom w:val="single" w:sz="8" w:color="0071CE"/>
            </w:tcBorders>
            <w:shd w:val="clear" w:color="auto" w:fill="0071CE"/>
          </w:tcPr>
          <w:p>
            <w:pPr>
              <w:spacing w:after="0"/>
              <w:rPr>
                <w:sz w:val="18"/>
                <w:szCs w:val="18"/>
                <w:color w:val="auto"/>
              </w:rPr>
            </w:pPr>
          </w:p>
        </w:tc>
        <w:tc>
          <w:tcPr>
            <w:tcW w:w="880" w:type="dxa"/>
            <w:vAlign w:val="bottom"/>
            <w:tcBorders>
              <w:bottom w:val="single" w:sz="8" w:color="0071CE"/>
            </w:tcBorders>
            <w:shd w:val="clear" w:color="auto" w:fill="0071CE"/>
          </w:tcPr>
          <w:p>
            <w:pPr>
              <w:ind w:left="120"/>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0071CE"/>
            </w:tcBorders>
            <w:shd w:val="clear" w:color="auto" w:fill="0071CE"/>
          </w:tcPr>
          <w:p>
            <w:pPr>
              <w:spacing w:after="0"/>
              <w:rPr>
                <w:sz w:val="18"/>
                <w:szCs w:val="18"/>
                <w:color w:val="auto"/>
              </w:rPr>
            </w:pPr>
          </w:p>
        </w:tc>
        <w:tc>
          <w:tcPr>
            <w:tcW w:w="860" w:type="dxa"/>
            <w:vAlign w:val="bottom"/>
            <w:tcBorders>
              <w:bottom w:val="single" w:sz="8" w:color="0071CE"/>
            </w:tcBorders>
            <w:shd w:val="clear" w:color="auto" w:fill="0071CE"/>
          </w:tcPr>
          <w:p>
            <w:pPr>
              <w:jc w:val="right"/>
              <w:ind w:right="343"/>
              <w:spacing w:after="0"/>
              <w:rPr>
                <w:sz w:val="20"/>
                <w:szCs w:val="20"/>
                <w:color w:val="auto"/>
              </w:rPr>
            </w:pPr>
            <w:r>
              <w:rPr>
                <w:rFonts w:ascii="Arial" w:cs="Arial" w:eastAsia="Arial" w:hAnsi="Arial"/>
                <w:sz w:val="14"/>
                <w:szCs w:val="14"/>
                <w:b w:val="1"/>
                <w:bCs w:val="1"/>
                <w:color w:val="FFFFFF"/>
              </w:rPr>
              <w:t>(1) (2)</w:t>
            </w:r>
          </w:p>
        </w:tc>
        <w:tc>
          <w:tcPr>
            <w:tcW w:w="1000" w:type="dxa"/>
            <w:vAlign w:val="bottom"/>
            <w:tcBorders>
              <w:bottom w:val="single" w:sz="8" w:color="0071CE"/>
            </w:tcBorders>
            <w:shd w:val="clear" w:color="auto" w:fill="0071CE"/>
          </w:tcPr>
          <w:p>
            <w:pPr>
              <w:jc w:val="center"/>
              <w:ind w:left="61"/>
              <w:spacing w:after="0"/>
              <w:rPr>
                <w:sz w:val="20"/>
                <w:szCs w:val="20"/>
                <w:color w:val="auto"/>
              </w:rPr>
            </w:pPr>
            <w:r>
              <w:rPr>
                <w:rFonts w:ascii="Arial" w:cs="Arial" w:eastAsia="Arial" w:hAnsi="Arial"/>
                <w:sz w:val="14"/>
                <w:szCs w:val="14"/>
                <w:b w:val="1"/>
                <w:bCs w:val="1"/>
                <w:color w:val="FFFFFF"/>
                <w:w w:val="99"/>
              </w:rPr>
              <w:t>Total ($)</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56"/>
        </w:trPr>
        <w:tc>
          <w:tcPr>
            <w:tcW w:w="72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Douglass Given</w:t>
            </w:r>
          </w:p>
        </w:tc>
        <w:tc>
          <w:tcPr>
            <w:tcW w:w="64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78,750</w:t>
            </w:r>
          </w:p>
        </w:tc>
        <w:tc>
          <w:tcPr>
            <w:tcW w:w="1220" w:type="dxa"/>
            <w:vAlign w:val="bottom"/>
            <w:gridSpan w:val="2"/>
            <w:shd w:val="clear" w:color="auto" w:fill="E5E5E5"/>
          </w:tcPr>
          <w:p>
            <w:pPr>
              <w:jc w:val="right"/>
              <w:ind w:right="163"/>
              <w:spacing w:after="0"/>
              <w:rPr>
                <w:sz w:val="20"/>
                <w:szCs w:val="20"/>
                <w:color w:val="auto"/>
              </w:rPr>
            </w:pPr>
            <w:r>
              <w:rPr>
                <w:rFonts w:ascii="Arial" w:cs="Arial" w:eastAsia="Arial" w:hAnsi="Arial"/>
                <w:sz w:val="16"/>
                <w:szCs w:val="16"/>
                <w:color w:val="auto"/>
              </w:rPr>
              <w:t>$ 110,400</w:t>
            </w:r>
          </w:p>
        </w:tc>
        <w:tc>
          <w:tcPr>
            <w:tcW w:w="1000" w:type="dxa"/>
            <w:vAlign w:val="bottom"/>
            <w:shd w:val="clear" w:color="auto" w:fill="E5E5E5"/>
          </w:tcPr>
          <w:p>
            <w:pPr>
              <w:jc w:val="center"/>
              <w:ind w:left="61"/>
              <w:spacing w:after="0"/>
              <w:rPr>
                <w:sz w:val="20"/>
                <w:szCs w:val="20"/>
                <w:color w:val="auto"/>
              </w:rPr>
            </w:pPr>
            <w:r>
              <w:rPr>
                <w:rFonts w:ascii="Arial" w:cs="Arial" w:eastAsia="Arial" w:hAnsi="Arial"/>
                <w:sz w:val="16"/>
                <w:szCs w:val="16"/>
                <w:color w:val="auto"/>
              </w:rPr>
              <w:t>$189,150</w:t>
            </w:r>
          </w:p>
        </w:tc>
        <w:tc>
          <w:tcPr>
            <w:tcW w:w="20" w:type="dxa"/>
            <w:vAlign w:val="bottom"/>
          </w:tcPr>
          <w:p>
            <w:pPr>
              <w:spacing w:after="0"/>
              <w:rPr>
                <w:sz w:val="22"/>
                <w:szCs w:val="22"/>
                <w:color w:val="auto"/>
              </w:rPr>
            </w:pPr>
          </w:p>
        </w:tc>
      </w:tr>
      <w:tr>
        <w:trPr>
          <w:trHeight w:val="249"/>
        </w:trPr>
        <w:tc>
          <w:tcPr>
            <w:tcW w:w="7260" w:type="dxa"/>
            <w:vAlign w:val="bottom"/>
          </w:tcPr>
          <w:p>
            <w:pPr>
              <w:ind w:left="200"/>
              <w:spacing w:after="0"/>
              <w:rPr>
                <w:sz w:val="20"/>
                <w:szCs w:val="20"/>
                <w:color w:val="auto"/>
              </w:rPr>
            </w:pPr>
            <w:r>
              <w:rPr>
                <w:rFonts w:ascii="Arial" w:cs="Arial" w:eastAsia="Arial" w:hAnsi="Arial"/>
                <w:sz w:val="16"/>
                <w:szCs w:val="16"/>
                <w:color w:val="auto"/>
              </w:rPr>
              <w:t>Michael S. Perry</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880" w:type="dxa"/>
            <w:vAlign w:val="bottom"/>
          </w:tcPr>
          <w:p>
            <w:pPr>
              <w:ind w:left="140"/>
              <w:spacing w:after="0"/>
              <w:rPr>
                <w:sz w:val="20"/>
                <w:szCs w:val="20"/>
                <w:color w:val="auto"/>
              </w:rPr>
            </w:pPr>
            <w:r>
              <w:rPr>
                <w:rFonts w:ascii="Arial" w:cs="Arial" w:eastAsia="Arial" w:hAnsi="Arial"/>
                <w:sz w:val="16"/>
                <w:szCs w:val="16"/>
                <w:color w:val="auto"/>
              </w:rPr>
              <w:t>68,250</w:t>
            </w:r>
          </w:p>
        </w:tc>
        <w:tc>
          <w:tcPr>
            <w:tcW w:w="1220" w:type="dxa"/>
            <w:vAlign w:val="bottom"/>
            <w:gridSpan w:val="2"/>
          </w:tcPr>
          <w:p>
            <w:pPr>
              <w:jc w:val="right"/>
              <w:ind w:right="163"/>
              <w:spacing w:after="0"/>
              <w:rPr>
                <w:sz w:val="20"/>
                <w:szCs w:val="20"/>
                <w:color w:val="auto"/>
              </w:rPr>
            </w:pPr>
            <w:r>
              <w:rPr>
                <w:rFonts w:ascii="Arial" w:cs="Arial" w:eastAsia="Arial" w:hAnsi="Arial"/>
                <w:sz w:val="16"/>
                <w:szCs w:val="16"/>
                <w:color w:val="auto"/>
              </w:rPr>
              <w:t>$ 110,400</w:t>
            </w:r>
          </w:p>
        </w:tc>
        <w:tc>
          <w:tcPr>
            <w:tcW w:w="1000" w:type="dxa"/>
            <w:vAlign w:val="bottom"/>
          </w:tcPr>
          <w:p>
            <w:pPr>
              <w:jc w:val="center"/>
              <w:ind w:left="61"/>
              <w:spacing w:after="0"/>
              <w:rPr>
                <w:sz w:val="20"/>
                <w:szCs w:val="20"/>
                <w:color w:val="auto"/>
              </w:rPr>
            </w:pPr>
            <w:r>
              <w:rPr>
                <w:rFonts w:ascii="Arial" w:cs="Arial" w:eastAsia="Arial" w:hAnsi="Arial"/>
                <w:sz w:val="16"/>
                <w:szCs w:val="16"/>
                <w:color w:val="auto"/>
              </w:rPr>
              <w:t>$178,650</w:t>
            </w:r>
          </w:p>
        </w:tc>
        <w:tc>
          <w:tcPr>
            <w:tcW w:w="20" w:type="dxa"/>
            <w:vAlign w:val="bottom"/>
          </w:tcPr>
          <w:p>
            <w:pPr>
              <w:spacing w:after="0"/>
              <w:rPr>
                <w:sz w:val="21"/>
                <w:szCs w:val="21"/>
                <w:color w:val="auto"/>
              </w:rPr>
            </w:pPr>
          </w:p>
        </w:tc>
      </w:tr>
      <w:tr>
        <w:trPr>
          <w:trHeight w:val="264"/>
        </w:trPr>
        <w:tc>
          <w:tcPr>
            <w:tcW w:w="72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Mauro Ferrari</w:t>
            </w:r>
          </w:p>
        </w:tc>
        <w:tc>
          <w:tcPr>
            <w:tcW w:w="640" w:type="dxa"/>
            <w:vAlign w:val="bottom"/>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52,500</w:t>
            </w:r>
          </w:p>
        </w:tc>
        <w:tc>
          <w:tcPr>
            <w:tcW w:w="360" w:type="dxa"/>
            <w:vAlign w:val="bottom"/>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47,492</w:t>
            </w:r>
          </w:p>
        </w:tc>
        <w:tc>
          <w:tcPr>
            <w:tcW w:w="1000" w:type="dxa"/>
            <w:vAlign w:val="bottom"/>
            <w:shd w:val="clear" w:color="auto" w:fill="E5E5E5"/>
          </w:tcPr>
          <w:p>
            <w:pPr>
              <w:jc w:val="center"/>
              <w:ind w:left="61"/>
              <w:spacing w:after="0"/>
              <w:rPr>
                <w:sz w:val="20"/>
                <w:szCs w:val="20"/>
                <w:color w:val="auto"/>
              </w:rPr>
            </w:pPr>
            <w:r>
              <w:rPr>
                <w:rFonts w:ascii="Arial" w:cs="Arial" w:eastAsia="Arial" w:hAnsi="Arial"/>
                <w:sz w:val="16"/>
                <w:szCs w:val="16"/>
                <w:color w:val="auto"/>
              </w:rPr>
              <w:t>$ 99,992</w:t>
            </w:r>
          </w:p>
        </w:tc>
        <w:tc>
          <w:tcPr>
            <w:tcW w:w="20" w:type="dxa"/>
            <w:vAlign w:val="bottom"/>
          </w:tcPr>
          <w:p>
            <w:pPr>
              <w:spacing w:after="0"/>
              <w:rPr>
                <w:sz w:val="22"/>
                <w:szCs w:val="22"/>
                <w:color w:val="auto"/>
              </w:rPr>
            </w:pPr>
          </w:p>
        </w:tc>
      </w:tr>
      <w:tr>
        <w:trPr>
          <w:trHeight w:val="249"/>
        </w:trPr>
        <w:tc>
          <w:tcPr>
            <w:tcW w:w="7260" w:type="dxa"/>
            <w:vAlign w:val="bottom"/>
          </w:tcPr>
          <w:p>
            <w:pPr>
              <w:ind w:left="200"/>
              <w:spacing w:after="0"/>
              <w:rPr>
                <w:sz w:val="20"/>
                <w:szCs w:val="20"/>
                <w:color w:val="auto"/>
              </w:rPr>
            </w:pPr>
            <w:r>
              <w:rPr>
                <w:rFonts w:ascii="Arial" w:cs="Arial" w:eastAsia="Arial" w:hAnsi="Arial"/>
                <w:sz w:val="16"/>
                <w:szCs w:val="16"/>
                <w:color w:val="auto"/>
              </w:rPr>
              <w:t>William Waddill (3)</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880" w:type="dxa"/>
            <w:vAlign w:val="bottom"/>
          </w:tcPr>
          <w:p>
            <w:pPr>
              <w:ind w:left="140"/>
              <w:spacing w:after="0"/>
              <w:rPr>
                <w:sz w:val="20"/>
                <w:szCs w:val="20"/>
                <w:color w:val="auto"/>
              </w:rPr>
            </w:pPr>
            <w:r>
              <w:rPr>
                <w:rFonts w:ascii="Arial" w:cs="Arial" w:eastAsia="Arial" w:hAnsi="Arial"/>
                <w:sz w:val="16"/>
                <w:szCs w:val="16"/>
                <w:color w:val="auto"/>
              </w:rPr>
              <w:t>39,375</w:t>
            </w:r>
          </w:p>
        </w:tc>
        <w:tc>
          <w:tcPr>
            <w:tcW w:w="360" w:type="dxa"/>
            <w:vAlign w:val="bottom"/>
          </w:tcPr>
          <w:p>
            <w:pPr>
              <w:ind w:lef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63"/>
              <w:spacing w:after="0"/>
              <w:rPr>
                <w:sz w:val="20"/>
                <w:szCs w:val="20"/>
                <w:color w:val="auto"/>
              </w:rPr>
            </w:pPr>
            <w:r>
              <w:rPr>
                <w:rFonts w:ascii="Arial" w:cs="Arial" w:eastAsia="Arial" w:hAnsi="Arial"/>
                <w:sz w:val="16"/>
                <w:szCs w:val="16"/>
                <w:color w:val="auto"/>
              </w:rPr>
              <w:t>92,000</w:t>
            </w:r>
          </w:p>
        </w:tc>
        <w:tc>
          <w:tcPr>
            <w:tcW w:w="1000" w:type="dxa"/>
            <w:vAlign w:val="bottom"/>
          </w:tcPr>
          <w:p>
            <w:pPr>
              <w:jc w:val="center"/>
              <w:ind w:left="61"/>
              <w:spacing w:after="0"/>
              <w:rPr>
                <w:sz w:val="20"/>
                <w:szCs w:val="20"/>
                <w:color w:val="auto"/>
              </w:rPr>
            </w:pPr>
            <w:r>
              <w:rPr>
                <w:rFonts w:ascii="Arial" w:cs="Arial" w:eastAsia="Arial" w:hAnsi="Arial"/>
                <w:sz w:val="16"/>
                <w:szCs w:val="16"/>
                <w:color w:val="auto"/>
              </w:rPr>
              <w:t>$131,375</w:t>
            </w:r>
          </w:p>
        </w:tc>
        <w:tc>
          <w:tcPr>
            <w:tcW w:w="20" w:type="dxa"/>
            <w:vAlign w:val="bottom"/>
          </w:tcPr>
          <w:p>
            <w:pPr>
              <w:spacing w:after="0"/>
              <w:rPr>
                <w:sz w:val="21"/>
                <w:szCs w:val="21"/>
                <w:color w:val="auto"/>
              </w:rPr>
            </w:pPr>
          </w:p>
        </w:tc>
      </w:tr>
      <w:tr>
        <w:trPr>
          <w:trHeight w:val="258"/>
        </w:trPr>
        <w:tc>
          <w:tcPr>
            <w:tcW w:w="7260" w:type="dxa"/>
            <w:vAlign w:val="bottom"/>
            <w:tcBorders>
              <w:bottom w:val="single" w:sz="8" w:color="0071CE"/>
            </w:tcBorders>
            <w:shd w:val="clear" w:color="auto" w:fill="E5E5E5"/>
          </w:tcPr>
          <w:p>
            <w:pPr>
              <w:ind w:left="200"/>
              <w:spacing w:after="0"/>
              <w:rPr>
                <w:sz w:val="20"/>
                <w:szCs w:val="20"/>
                <w:color w:val="auto"/>
              </w:rPr>
            </w:pPr>
            <w:r>
              <w:rPr>
                <w:rFonts w:ascii="Arial" w:cs="Arial" w:eastAsia="Arial" w:hAnsi="Arial"/>
                <w:sz w:val="16"/>
                <w:szCs w:val="16"/>
                <w:color w:val="auto"/>
              </w:rPr>
              <w:t>Edward Frykman (4)</w:t>
            </w:r>
          </w:p>
        </w:tc>
        <w:tc>
          <w:tcPr>
            <w:tcW w:w="640" w:type="dxa"/>
            <w:vAlign w:val="bottom"/>
            <w:tcBorders>
              <w:bottom w:val="single" w:sz="8" w:color="0071CE"/>
            </w:tcBorders>
            <w:shd w:val="clear" w:color="auto" w:fill="E5E5E5"/>
          </w:tcPr>
          <w:p>
            <w:pPr>
              <w:ind w:left="4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71CE"/>
            </w:tcBorders>
            <w:shd w:val="clear" w:color="auto" w:fill="E5E5E5"/>
          </w:tcPr>
          <w:p>
            <w:pPr>
              <w:ind w:left="140"/>
              <w:spacing w:after="0"/>
              <w:rPr>
                <w:sz w:val="20"/>
                <w:szCs w:val="20"/>
                <w:color w:val="auto"/>
              </w:rPr>
            </w:pPr>
            <w:r>
              <w:rPr>
                <w:rFonts w:ascii="Arial" w:cs="Arial" w:eastAsia="Arial" w:hAnsi="Arial"/>
                <w:sz w:val="16"/>
                <w:szCs w:val="16"/>
                <w:color w:val="auto"/>
              </w:rPr>
              <w:t>28,269</w:t>
            </w:r>
          </w:p>
        </w:tc>
        <w:tc>
          <w:tcPr>
            <w:tcW w:w="360" w:type="dxa"/>
            <w:vAlign w:val="bottom"/>
            <w:tcBorders>
              <w:bottom w:val="single" w:sz="8" w:color="0071CE"/>
            </w:tcBorders>
            <w:shd w:val="clear" w:color="auto" w:fill="E5E5E5"/>
          </w:tcPr>
          <w:p>
            <w:pPr>
              <w:ind w:lef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71CE"/>
            </w:tcBorders>
            <w:shd w:val="clear" w:color="auto" w:fill="E5E5E5"/>
          </w:tcPr>
          <w:p>
            <w:pPr>
              <w:jc w:val="right"/>
              <w:ind w:right="163"/>
              <w:spacing w:after="0"/>
              <w:rPr>
                <w:sz w:val="20"/>
                <w:szCs w:val="20"/>
                <w:color w:val="auto"/>
              </w:rPr>
            </w:pPr>
            <w:r>
              <w:rPr>
                <w:rFonts w:ascii="Arial" w:cs="Arial" w:eastAsia="Arial" w:hAnsi="Arial"/>
                <w:sz w:val="16"/>
                <w:szCs w:val="16"/>
                <w:color w:val="auto"/>
              </w:rPr>
              <w:t>92,000</w:t>
            </w:r>
          </w:p>
        </w:tc>
        <w:tc>
          <w:tcPr>
            <w:tcW w:w="1000" w:type="dxa"/>
            <w:vAlign w:val="bottom"/>
            <w:tcBorders>
              <w:bottom w:val="single" w:sz="8" w:color="0071CE"/>
            </w:tcBorders>
            <w:shd w:val="clear" w:color="auto" w:fill="E5E5E5"/>
          </w:tcPr>
          <w:p>
            <w:pPr>
              <w:jc w:val="center"/>
              <w:ind w:left="61"/>
              <w:spacing w:after="0"/>
              <w:rPr>
                <w:sz w:val="20"/>
                <w:szCs w:val="20"/>
                <w:color w:val="auto"/>
              </w:rPr>
            </w:pPr>
            <w:r>
              <w:rPr>
                <w:rFonts w:ascii="Arial" w:cs="Arial" w:eastAsia="Arial" w:hAnsi="Arial"/>
                <w:sz w:val="16"/>
                <w:szCs w:val="16"/>
                <w:color w:val="auto"/>
              </w:rPr>
              <w:t>$120,269</w:t>
            </w:r>
          </w:p>
        </w:tc>
        <w:tc>
          <w:tcPr>
            <w:tcW w:w="20" w:type="dxa"/>
            <w:vAlign w:val="bottom"/>
          </w:tcPr>
          <w:p>
            <w:pPr>
              <w:spacing w:after="0"/>
              <w:rPr>
                <w:sz w:val="22"/>
                <w:szCs w:val="22"/>
                <w:color w:val="auto"/>
              </w:rPr>
            </w:pPr>
          </w:p>
        </w:tc>
      </w:tr>
    </w:tbl>
    <w:p>
      <w:pPr>
        <w:spacing w:after="0" w:line="68" w:lineRule="exact"/>
        <w:rPr>
          <w:sz w:val="20"/>
          <w:szCs w:val="20"/>
          <w:color w:val="auto"/>
        </w:rPr>
      </w:pPr>
    </w:p>
    <w:p>
      <w:pPr>
        <w:ind w:left="540" w:hanging="330"/>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restricted stock units granted during fiscal year 2018 for each director.</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Waddill became a director effective 1/1/2018 and thus received three quarters of the annual fee for fiscal 2018.</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Frykman passed away in April 2018.</w:t>
      </w:r>
    </w:p>
    <w:p>
      <w:pPr>
        <w:spacing w:after="0" w:line="212" w:lineRule="exact"/>
        <w:rPr>
          <w:sz w:val="20"/>
          <w:szCs w:val="20"/>
          <w:color w:val="auto"/>
        </w:rPr>
      </w:pPr>
    </w:p>
    <w:p>
      <w:pPr>
        <w:ind w:left="220" w:right="40"/>
        <w:spacing w:after="0" w:line="268" w:lineRule="auto"/>
        <w:rPr>
          <w:sz w:val="20"/>
          <w:szCs w:val="20"/>
          <w:color w:val="auto"/>
        </w:rPr>
      </w:pPr>
      <w:r>
        <w:rPr>
          <w:rFonts w:ascii="Arial" w:cs="Arial" w:eastAsia="Arial" w:hAnsi="Arial"/>
          <w:sz w:val="16"/>
          <w:szCs w:val="16"/>
          <w:color w:val="auto"/>
        </w:rPr>
        <w:t>As of the last day of fiscal year 2018, the directors held the following outstanding stock option and restricted stock unit grants in the aggregate: Douglass Given — 65,000 stock options and 30,000 restricted stock units; Michael S. Perry — 77,000 stock options and 30,000 restricted stock units; Mauro Ferrari — 25,469 stock options; William Waddill — 25,000 restricted stock units; and Edward Frykman 76,500 stock options.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jc w:val="both"/>
        <w:ind w:left="220" w:right="200"/>
        <w:spacing w:after="0" w:line="268" w:lineRule="auto"/>
        <w:rPr>
          <w:sz w:val="20"/>
          <w:szCs w:val="20"/>
          <w:color w:val="auto"/>
        </w:rPr>
      </w:pPr>
      <w:r>
        <w:rPr>
          <w:rFonts w:ascii="Arial" w:cs="Arial" w:eastAsia="Arial" w:hAnsi="Arial"/>
          <w:sz w:val="16"/>
          <w:szCs w:val="16"/>
          <w:color w:val="auto"/>
        </w:rPr>
        <w:t>The five nominees receiving the greatest numbers of votes at the meeting, assuming a quorum is present, will be elected to the five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296545</wp:posOffset>
            </wp:positionV>
            <wp:extent cx="3503295" cy="539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060" w:right="2980"/>
        <w:spacing w:after="0" w:line="255"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EACH OF THE NOMINEES FOR DIRECTOR IN</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181610</wp:posOffset>
            </wp:positionV>
            <wp:extent cx="98488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10</w:t>
      </w:r>
    </w:p>
    <w:p>
      <w:pPr>
        <w:sectPr>
          <w:pgSz w:w="11900" w:h="16838" w:orient="portrait"/>
          <w:cols w:equalWidth="0" w:num="1">
            <w:col w:w="11240"/>
          </w:cols>
          <w:pgMar w:left="240" w:top="455" w:right="4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20"/>
        <w:spacing w:after="0"/>
        <w:tabs>
          <w:tab w:leader="none" w:pos="65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56" w:lineRule="exact"/>
        <w:rPr>
          <w:sz w:val="20"/>
          <w:szCs w:val="20"/>
          <w:color w:val="auto"/>
        </w:rPr>
      </w:pPr>
    </w:p>
    <w:p>
      <w:pPr>
        <w:ind w:left="220" w:right="240"/>
        <w:spacing w:after="0" w:line="293"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2018. The Board is asking stockholders to cast a non-binding, advisory vote FOR the following resolution:</w:t>
      </w:r>
    </w:p>
    <w:p>
      <w:pPr>
        <w:spacing w:after="0" w:line="38" w:lineRule="exact"/>
        <w:rPr>
          <w:sz w:val="20"/>
          <w:szCs w:val="20"/>
          <w:color w:val="auto"/>
        </w:rPr>
      </w:pPr>
    </w:p>
    <w:p>
      <w:pPr>
        <w:ind w:left="540" w:right="240"/>
        <w:spacing w:after="0" w:line="291"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47" w:lineRule="exact"/>
        <w:rPr>
          <w:sz w:val="20"/>
          <w:szCs w:val="20"/>
          <w:color w:val="auto"/>
        </w:rPr>
      </w:pPr>
    </w:p>
    <w:p>
      <w:pPr>
        <w:ind w:left="220" w:right="380"/>
        <w:spacing w:after="0" w:line="291"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147" w:lineRule="exact"/>
        <w:rPr>
          <w:sz w:val="20"/>
          <w:szCs w:val="20"/>
          <w:color w:val="auto"/>
        </w:rPr>
      </w:pPr>
    </w:p>
    <w:p>
      <w:pPr>
        <w:ind w:left="220" w:right="440"/>
        <w:spacing w:after="0" w:line="291"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2020.</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121920</wp:posOffset>
            </wp:positionV>
            <wp:extent cx="3503295" cy="539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47" w:lineRule="exact"/>
        <w:rPr>
          <w:sz w:val="20"/>
          <w:szCs w:val="20"/>
          <w:color w:val="auto"/>
        </w:rPr>
      </w:pPr>
    </w:p>
    <w:p>
      <w:pPr>
        <w:ind w:left="4060" w:right="3080"/>
        <w:spacing w:after="0" w:line="292"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257810</wp:posOffset>
            </wp:positionV>
            <wp:extent cx="98488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980"/>
        <w:spacing w:after="0"/>
        <w:rPr>
          <w:sz w:val="20"/>
          <w:szCs w:val="20"/>
          <w:color w:val="auto"/>
        </w:rPr>
      </w:pPr>
      <w:r>
        <w:rPr>
          <w:rFonts w:ascii="Arial" w:cs="Arial" w:eastAsia="Arial" w:hAnsi="Arial"/>
          <w:sz w:val="18"/>
          <w:szCs w:val="18"/>
          <w:b w:val="1"/>
          <w:bCs w:val="1"/>
          <w:color w:val="0071CE"/>
        </w:rPr>
        <w:t>11</w:t>
      </w:r>
    </w:p>
    <w:p>
      <w:pPr>
        <w:sectPr>
          <w:pgSz w:w="11900" w:h="16838" w:orient="portrait"/>
          <w:cols w:equalWidth="0" w:num="1">
            <w:col w:w="11220"/>
          </w:cols>
          <w:pgMar w:left="24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Three — Advisory Vote on Frequency of Executive Compensation Advisory Votes</w:t>
      </w:r>
    </w:p>
    <w:p>
      <w:pPr>
        <w:spacing w:after="0" w:line="122" w:lineRule="exact"/>
        <w:rPr>
          <w:sz w:val="20"/>
          <w:szCs w:val="20"/>
          <w:color w:val="auto"/>
        </w:rPr>
      </w:pPr>
    </w:p>
    <w:p>
      <w:pPr>
        <w:ind w:left="220" w:right="1780"/>
        <w:spacing w:after="0" w:line="305" w:lineRule="auto"/>
        <w:rPr>
          <w:sz w:val="20"/>
          <w:szCs w:val="20"/>
          <w:color w:val="auto"/>
        </w:rPr>
      </w:pPr>
      <w:r>
        <w:rPr>
          <w:rFonts w:ascii="Arial" w:cs="Arial" w:eastAsia="Arial" w:hAnsi="Arial"/>
          <w:sz w:val="32"/>
          <w:szCs w:val="32"/>
          <w:b w:val="1"/>
          <w:bCs w:val="1"/>
          <w:color w:val="0071CE"/>
        </w:rPr>
        <w:t>Proposal Three — Advisory Vote on Frequency of Executive Compensation Advisory Votes</w:t>
      </w:r>
    </w:p>
    <w:p>
      <w:pPr>
        <w:spacing w:after="0" w:line="168" w:lineRule="exact"/>
        <w:rPr>
          <w:sz w:val="20"/>
          <w:szCs w:val="20"/>
          <w:color w:val="auto"/>
        </w:rPr>
      </w:pPr>
    </w:p>
    <w:p>
      <w:pPr>
        <w:ind w:left="220" w:right="80"/>
        <w:spacing w:after="0" w:line="257" w:lineRule="auto"/>
        <w:rPr>
          <w:sz w:val="20"/>
          <w:szCs w:val="20"/>
          <w:color w:val="auto"/>
        </w:rPr>
      </w:pPr>
      <w:r>
        <w:rPr>
          <w:rFonts w:ascii="Arial" w:cs="Arial" w:eastAsia="Arial" w:hAnsi="Arial"/>
          <w:sz w:val="16"/>
          <w:szCs w:val="16"/>
          <w:color w:val="auto"/>
        </w:rPr>
        <w:t>In Proposal 2, we are asking stockholders to cast an advisory vote to approve the compensation disclosed in this proxy statement that we paid in fiscal 2018 to our named executive officers. This advisory vote is referred to as a “say-on-pay” vote. In this Proposal 3, the Board is asking stockholders to cast a non-binding, advisory vote on how frequently we should have say-on-pay votes in the future. Stockholders will be able to mark the enclosed proxy card or voting instruction form on whether to hold say-on-pay votes every one, two or three years. Alternatively, you may indicate that you are abstaining from voting.</w:t>
      </w:r>
    </w:p>
    <w:p>
      <w:pPr>
        <w:spacing w:after="0" w:line="175" w:lineRule="exact"/>
        <w:rPr>
          <w:sz w:val="20"/>
          <w:szCs w:val="20"/>
          <w:color w:val="auto"/>
        </w:rPr>
      </w:pPr>
    </w:p>
    <w:p>
      <w:pPr>
        <w:ind w:left="220" w:right="360"/>
        <w:spacing w:after="0" w:line="291" w:lineRule="auto"/>
        <w:rPr>
          <w:sz w:val="20"/>
          <w:szCs w:val="20"/>
          <w:color w:val="auto"/>
        </w:rPr>
      </w:pPr>
      <w:r>
        <w:rPr>
          <w:rFonts w:ascii="Arial" w:cs="Arial" w:eastAsia="Arial" w:hAnsi="Arial"/>
          <w:sz w:val="16"/>
          <w:szCs w:val="16"/>
          <w:color w:val="auto"/>
        </w:rPr>
        <w:t>“RESOLVED, that the stockholders of the Company recommend, in a non-binding vote, whether an advisory vote to approve the compensation of the Company’s named executive officers should occur every one, two or three years.”</w:t>
      </w:r>
    </w:p>
    <w:p>
      <w:pPr>
        <w:spacing w:after="0" w:line="147"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This vote, like the say-on-pay vote itself, is not binding on the Board. Although the Board and the Compensation Committee recognize the potential benefits of having less frequent advisory votes to approve executive compensation (including allowing the Company additional time to effectively evaluate the relationship between the executive compensation and long-term Company performance and stockholder return), we recognize that the widely adopted standard is to hold Say on Pay votes annually. The Board and Compensation Committee also acknowledge current stockholder expectations regarding having the opportunity to express their views on the Company’s executive compensation on an annual basis. In light of investor expectations and prevailing market practice, our Board and the Compensation Committee recommends that the advisory vote to approve executive compensation occur every year.</w:t>
      </w:r>
    </w:p>
    <w:p>
      <w:pPr>
        <w:spacing w:after="0" w:line="370" w:lineRule="exact"/>
        <w:rPr>
          <w:sz w:val="20"/>
          <w:szCs w:val="20"/>
          <w:color w:val="auto"/>
        </w:rPr>
      </w:pPr>
    </w:p>
    <w:p>
      <w:pPr>
        <w:ind w:left="220" w:right="240"/>
        <w:spacing w:after="0" w:line="291" w:lineRule="auto"/>
        <w:rPr>
          <w:sz w:val="20"/>
          <w:szCs w:val="20"/>
          <w:color w:val="auto"/>
        </w:rPr>
      </w:pPr>
      <w:r>
        <w:rPr>
          <w:rFonts w:ascii="Arial" w:cs="Arial" w:eastAsia="Arial" w:hAnsi="Arial"/>
          <w:sz w:val="16"/>
          <w:szCs w:val="16"/>
          <w:color w:val="auto"/>
        </w:rPr>
        <w:t>Proposal 3 must be approved by the Required Vote, assuming a quorum is present. For this purpose, abstentions will be counted as a vote against the proposal, while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121920</wp:posOffset>
            </wp:positionV>
            <wp:extent cx="3503295" cy="7283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03295" cy="728345"/>
                    </a:xfrm>
                    <a:prstGeom prst="rect">
                      <a:avLst/>
                    </a:prstGeom>
                    <a:noFill/>
                  </pic:spPr>
                </pic:pic>
              </a:graphicData>
            </a:graphic>
          </wp:anchor>
        </w:drawing>
      </w:r>
    </w:p>
    <w:p>
      <w:pPr>
        <w:spacing w:after="0" w:line="247" w:lineRule="exact"/>
        <w:rPr>
          <w:sz w:val="20"/>
          <w:szCs w:val="20"/>
          <w:color w:val="auto"/>
        </w:rPr>
      </w:pPr>
    </w:p>
    <w:p>
      <w:pPr>
        <w:ind w:left="4040" w:right="2980"/>
        <w:spacing w:after="0" w:line="260" w:lineRule="auto"/>
        <w:rPr>
          <w:sz w:val="20"/>
          <w:szCs w:val="20"/>
          <w:color w:val="auto"/>
        </w:rPr>
      </w:pPr>
      <w:r>
        <w:rPr>
          <w:rFonts w:ascii="Arial" w:cs="Arial" w:eastAsia="Arial" w:hAnsi="Arial"/>
          <w:sz w:val="16"/>
          <w:szCs w:val="16"/>
          <w:b w:val="1"/>
          <w:bCs w:val="1"/>
          <w:color w:val="auto"/>
        </w:rPr>
        <w:t xml:space="preserve">THE BOARD UNANIMOUSLY RECOMMENDS THAT STOCKHOLDERS SELECT </w:t>
      </w:r>
      <w:r>
        <w:rPr>
          <w:rFonts w:ascii="Arial" w:cs="Arial" w:eastAsia="Arial" w:hAnsi="Arial"/>
          <w:sz w:val="16"/>
          <w:szCs w:val="16"/>
          <w:b w:val="1"/>
          <w:bCs w:val="1"/>
          <w:color w:val="0071CE"/>
        </w:rPr>
        <w:t>“EVERY YEAR”</w:t>
      </w:r>
      <w:r>
        <w:rPr>
          <w:rFonts w:ascii="Arial" w:cs="Arial" w:eastAsia="Arial" w:hAnsi="Arial"/>
          <w:sz w:val="16"/>
          <w:szCs w:val="16"/>
          <w:b w:val="1"/>
          <w:bCs w:val="1"/>
          <w:color w:val="auto"/>
        </w:rPr>
        <w:t xml:space="preserve"> ON THE PROPOSAL CONCERNING THE FREQUENCY OF FUTURE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142240</wp:posOffset>
            </wp:positionV>
            <wp:extent cx="98488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12</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Executive Compensation</w:t>
      </w:r>
    </w:p>
    <w:p>
      <w:pPr>
        <w:spacing w:after="0" w:line="33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2" w:lineRule="exact"/>
        <w:rPr>
          <w:sz w:val="20"/>
          <w:szCs w:val="20"/>
          <w:color w:val="auto"/>
        </w:rPr>
      </w:pPr>
    </w:p>
    <w:p>
      <w:pPr>
        <w:ind w:left="220" w:right="40"/>
        <w:spacing w:after="0" w:line="260"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72" w:lineRule="exact"/>
        <w:rPr>
          <w:sz w:val="20"/>
          <w:szCs w:val="20"/>
          <w:color w:val="auto"/>
        </w:rPr>
      </w:pPr>
    </w:p>
    <w:p>
      <w:pPr>
        <w:ind w:left="220" w:right="440"/>
        <w:spacing w:after="0" w:line="291" w:lineRule="auto"/>
        <w:rPr>
          <w:sz w:val="20"/>
          <w:szCs w:val="20"/>
          <w:color w:val="auto"/>
        </w:rPr>
      </w:pPr>
      <w:r>
        <w:rPr>
          <w:rFonts w:ascii="Arial" w:cs="Arial" w:eastAsia="Arial" w:hAnsi="Arial"/>
          <w:sz w:val="16"/>
          <w:szCs w:val="16"/>
          <w:color w:val="auto"/>
        </w:rPr>
        <w:t>This Compensation Discussion and Analysis describes the compensation program for our Named Executive Officers. During 2018, these individuals were:</w:t>
      </w:r>
    </w:p>
    <w:p>
      <w:pPr>
        <w:spacing w:after="0" w:line="53" w:lineRule="exact"/>
        <w:rPr>
          <w:sz w:val="20"/>
          <w:szCs w:val="20"/>
          <w:color w:val="auto"/>
        </w:rPr>
      </w:pPr>
    </w:p>
    <w:p>
      <w:pPr>
        <w:ind w:left="420" w:hanging="210"/>
        <w:spacing w:after="0"/>
        <w:tabs>
          <w:tab w:leader="none" w:pos="4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“CEO”);</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Bruce D. Given, our Chief Operating Officer (our “COO”);</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“CFO”);</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Patrick O’Brien, our General Counsel (our “GC”);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19"/>
        </w:numPr>
        <w:rPr>
          <w:rFonts w:ascii="Arial" w:cs="Arial" w:eastAsia="Arial" w:hAnsi="Arial"/>
          <w:sz w:val="16"/>
          <w:szCs w:val="16"/>
          <w:color w:val="0071CE"/>
        </w:rPr>
      </w:pPr>
      <w:r>
        <w:rPr>
          <w:rFonts w:ascii="Arial" w:cs="Arial" w:eastAsia="Arial" w:hAnsi="Arial"/>
          <w:sz w:val="16"/>
          <w:szCs w:val="16"/>
          <w:color w:val="auto"/>
        </w:rPr>
        <w:t>Zhen Li, our Senior Vice President, Chemistry &amp; Non-Clinical Development (our “SVP”).</w:t>
      </w:r>
    </w:p>
    <w:p>
      <w:pPr>
        <w:spacing w:after="0" w:line="221" w:lineRule="exact"/>
        <w:rPr>
          <w:sz w:val="20"/>
          <w:szCs w:val="20"/>
          <w:color w:val="auto"/>
        </w:rPr>
      </w:pPr>
    </w:p>
    <w:p>
      <w:pPr>
        <w:ind w:left="220" w:right="300"/>
        <w:spacing w:after="0" w:line="257"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2018. It also provides an overview of our executive compensation philosophy and objectives and summarizes our executive compensation policies and practices. Finally, it analyzes how and why the Compensation Committee of our Board of Directors (the “Compensation Committee”) arrived at the specific compensation decisions for our executive officers, including our Named Executive Officers for 2018 including the key factors that the Compensation Committee considered in determining their compensation.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Our Company</w:t>
      </w:r>
    </w:p>
    <w:p>
      <w:pPr>
        <w:spacing w:after="0" w:line="108" w:lineRule="exact"/>
        <w:rPr>
          <w:sz w:val="20"/>
          <w:szCs w:val="20"/>
          <w:color w:val="auto"/>
        </w:rPr>
      </w:pPr>
    </w:p>
    <w:p>
      <w:pPr>
        <w:ind w:left="220" w:right="220"/>
        <w:spacing w:after="0" w:line="261"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71" w:lineRule="exact"/>
        <w:rPr>
          <w:sz w:val="20"/>
          <w:szCs w:val="20"/>
          <w:color w:val="auto"/>
        </w:rPr>
      </w:pPr>
    </w:p>
    <w:p>
      <w:pPr>
        <w:ind w:left="220" w:right="420"/>
        <w:spacing w:after="0" w:line="268"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2018 Business Highlights</w:t>
      </w:r>
    </w:p>
    <w:p>
      <w:pPr>
        <w:spacing w:after="0" w:line="124" w:lineRule="exact"/>
        <w:rPr>
          <w:sz w:val="20"/>
          <w:szCs w:val="20"/>
          <w:color w:val="auto"/>
        </w:rPr>
      </w:pPr>
    </w:p>
    <w:p>
      <w:pPr>
        <w:ind w:left="420" w:right="580" w:hanging="210"/>
        <w:spacing w:after="0" w:line="291" w:lineRule="auto"/>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Commenced clinical studies for two internally developed therapeutics — ARO-HBV for chronic hepatitis B and ARO-AAT for alpha-1 antitrypsin deficiency, filed CTAs for two additional therapeutics, ARO-ANG3 and ARO-APOC3 to commence clinical studies in early 2019;</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Reported exciting initial clinical results for both ARO-HBV and ARO-AAT at internationally recognized scientific conferences;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Received $10 million milestone from Amgen triggered by commencement of a Phase 1 study for AMG 890 (formerly known as ARO-LPA);</w:t>
      </w:r>
    </w:p>
    <w:p>
      <w:pPr>
        <w:spacing w:after="0" w:line="126" w:lineRule="exact"/>
        <w:rPr>
          <w:rFonts w:ascii="Arial" w:cs="Arial" w:eastAsia="Arial" w:hAnsi="Arial"/>
          <w:sz w:val="16"/>
          <w:szCs w:val="16"/>
          <w:color w:val="0071CE"/>
        </w:rPr>
      </w:pPr>
    </w:p>
    <w:p>
      <w:pPr>
        <w:ind w:left="420" w:right="340" w:hanging="210"/>
        <w:spacing w:after="0" w:line="291" w:lineRule="auto"/>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Entered into agreements with Janssen Pharmaceuticals and an affiliate for the further development of ARO-HBV with upfront payments and equity investments totaling $250 million and potential milestone payments of $3.5 billion plus royalties;</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Ended calendar 2018 with $304 million in cash and investments;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Achieved 343% total stockholder return (TSR)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108585</wp:posOffset>
            </wp:positionV>
            <wp:extent cx="98488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80"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13</w:t>
      </w:r>
    </w:p>
    <w:p>
      <w:pPr>
        <w:sectPr>
          <w:pgSz w:w="11900" w:h="16838" w:orient="portrait"/>
          <w:cols w:equalWidth="0" w:num="1">
            <w:col w:w="11220"/>
          </w:cols>
          <w:pgMar w:left="24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Amgen Inc.</w:t>
      </w:r>
    </w:p>
    <w:p>
      <w:pPr>
        <w:spacing w:after="0" w:line="106"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Amgen Inc. acquired a worldwide, exclusive license in September 2016 to develop and commercialize ARO-LPA (now referred to as AMG 890). In August 2018, we received a $10 million milestone payment from Amgen triggered by the start of an Amgen-sponsored Phase 1 clinical study designed to assess its safety in volunteers with elevated levels of lipoprotein (a) (Lp(a)). AMG 890 (ARO-LPA) is designed to reduce production of apolipoprotein A, a key component of lipoprotein(a), which has been genetically linked with increased risk of cardiovascular diseases, independent of cholesterol and LDL levels.</w:t>
      </w:r>
    </w:p>
    <w:p>
      <w:pPr>
        <w:spacing w:after="0" w:line="171" w:lineRule="exact"/>
        <w:rPr>
          <w:sz w:val="20"/>
          <w:szCs w:val="20"/>
          <w:color w:val="auto"/>
        </w:rPr>
      </w:pPr>
    </w:p>
    <w:p>
      <w:pPr>
        <w:ind w:left="220" w:right="80"/>
        <w:spacing w:after="0" w:line="268" w:lineRule="auto"/>
        <w:rPr>
          <w:sz w:val="20"/>
          <w:szCs w:val="20"/>
          <w:color w:val="auto"/>
        </w:rPr>
      </w:pPr>
      <w:r>
        <w:rPr>
          <w:rFonts w:ascii="Arial" w:cs="Arial" w:eastAsia="Arial" w:hAnsi="Arial"/>
          <w:sz w:val="16"/>
          <w:szCs w:val="16"/>
          <w:color w:val="auto"/>
        </w:rPr>
        <w:t>We are eligible to receive up to $617 million in option payments and development, regulatory and sales milestone payments, as well as single-digit royalties for sales of products under the ARO-AMG1 agreement and up to low double-digit royalties for sales of products under the ARO-LPA (AMG 890) agreement. We received $10 million of the total $617 million in August 2018 as discussed above.</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Janssen Pharmaceuticals, Inc.</w:t>
      </w:r>
    </w:p>
    <w:p>
      <w:pPr>
        <w:spacing w:after="0" w:line="106" w:lineRule="exact"/>
        <w:rPr>
          <w:sz w:val="20"/>
          <w:szCs w:val="20"/>
          <w:color w:val="auto"/>
        </w:rPr>
      </w:pPr>
    </w:p>
    <w:p>
      <w:pPr>
        <w:jc w:val="both"/>
        <w:ind w:left="220" w:right="20"/>
        <w:spacing w:after="0" w:line="268" w:lineRule="auto"/>
        <w:rPr>
          <w:sz w:val="20"/>
          <w:szCs w:val="20"/>
          <w:color w:val="auto"/>
        </w:rPr>
      </w:pPr>
      <w:r>
        <w:rPr>
          <w:rFonts w:ascii="Arial" w:cs="Arial" w:eastAsia="Arial" w:hAnsi="Arial"/>
          <w:sz w:val="16"/>
          <w:szCs w:val="16"/>
          <w:color w:val="auto"/>
        </w:rPr>
        <w:t>In October 2018, we entered into a license agreement with Janssen Pharmaceuticals, Inc., part of the Janssen Pharmaceutical Companies of Johnson &amp; Johnson, to develop and commercialize ARO-HBV. In addition, we entered into a research collaboration and option agreement with Janssen to potentially collaborate for up to three additional RNAi therapeutics against new targets to be selected by Janssen.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Under the terms of the license agreement, we received $175 million as an upfront payment. Separately, Johnson &amp; Johnson Innovation — JJDC, Inc.</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(JJDC) made a $75 million equity investment in Arrowhead at a price of $23.00 per share of Arrowhead common stock.</w:t>
      </w:r>
    </w:p>
    <w:p>
      <w:pPr>
        <w:spacing w:after="0" w:line="201"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In addition, Arrowhead is eligible to receive up to approximately $1.6 billion in milestone payments for the license agreement. Arrowhead is also eligible to receive approximately $1.9 billion in option and milestone payments for the collaboration and option agreement related to up to three additional targets. Arrowhead is further eligible to receive tiered royalties up to mid teens under the license agreement and up to low teens under the collaboration and option agreement on product sales.</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Platform</w:t>
      </w:r>
    </w:p>
    <w:p>
      <w:pPr>
        <w:spacing w:after="0" w:line="105" w:lineRule="exact"/>
        <w:rPr>
          <w:sz w:val="20"/>
          <w:szCs w:val="20"/>
          <w:color w:val="auto"/>
        </w:rPr>
      </w:pPr>
    </w:p>
    <w:p>
      <w:pPr>
        <w:ind w:left="220" w:right="140"/>
        <w:spacing w:after="0" w:line="183" w:lineRule="auto"/>
        <w:rPr>
          <w:sz w:val="20"/>
          <w:szCs w:val="20"/>
          <w:color w:val="auto"/>
        </w:rPr>
      </w:pPr>
      <w:r>
        <w:rPr>
          <w:rFonts w:ascii="Arial" w:cs="Arial" w:eastAsia="Arial" w:hAnsi="Arial"/>
          <w:sz w:val="16"/>
          <w:szCs w:val="16"/>
          <w:color w:val="auto"/>
        </w:rPr>
        <w:t>In 2018, we continued to develop and deploy our Targeted RNAi Molecule platform, or TRiM</w:t>
      </w:r>
      <w:r>
        <w:rPr>
          <w:rFonts w:ascii="Arial" w:cs="Arial" w:eastAsia="Arial" w:hAnsi="Arial"/>
          <w:sz w:val="26"/>
          <w:szCs w:val="26"/>
          <w:color w:val="auto"/>
          <w:vertAlign w:val="superscript"/>
        </w:rPr>
        <w:t>™</w:t>
      </w:r>
      <w:r>
        <w:rPr>
          <w:rFonts w:ascii="Arial" w:cs="Arial" w:eastAsia="Arial" w:hAnsi="Arial"/>
          <w:sz w:val="16"/>
          <w:szCs w:val="16"/>
          <w:color w:val="auto"/>
        </w:rPr>
        <w:t>, to identify and develop new therapeutics. TRiM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utilizes ligand-mediated delivery and is designed to enable tissue-specific targeting, while being structurally simple. The TRiM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platform is designed to offer several potential competitive advantages including:</w:t>
      </w:r>
    </w:p>
    <w:p>
      <w:pPr>
        <w:spacing w:after="0" w:line="95" w:lineRule="exact"/>
        <w:rPr>
          <w:sz w:val="20"/>
          <w:szCs w:val="20"/>
          <w:color w:val="auto"/>
        </w:rPr>
      </w:pPr>
    </w:p>
    <w:p>
      <w:pPr>
        <w:ind w:left="420" w:right="320" w:hanging="210"/>
        <w:spacing w:after="0" w:line="291" w:lineRule="auto"/>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Simplified manufacturing at reduced cost;</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1"/>
        </w:numPr>
        <w:rPr>
          <w:rFonts w:ascii="Arial" w:cs="Arial" w:eastAsia="Arial" w:hAnsi="Arial"/>
          <w:sz w:val="16"/>
          <w:szCs w:val="16"/>
          <w:color w:val="0071CE"/>
        </w:rPr>
      </w:pPr>
      <w:r>
        <w:rPr>
          <w:rFonts w:ascii="Arial" w:cs="Arial" w:eastAsia="Arial" w:hAnsi="Arial"/>
          <w:sz w:val="16"/>
          <w:szCs w:val="16"/>
          <w:color w:val="auto"/>
        </w:rPr>
        <w:t>And, the promise of taking RNAi to tissues beyond the liver.</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Pipeline</w:t>
      </w:r>
    </w:p>
    <w:p>
      <w:pPr>
        <w:spacing w:after="0" w:line="108" w:lineRule="exact"/>
        <w:rPr>
          <w:sz w:val="20"/>
          <w:szCs w:val="20"/>
          <w:color w:val="auto"/>
        </w:rPr>
      </w:pPr>
    </w:p>
    <w:p>
      <w:pPr>
        <w:jc w:val="both"/>
        <w:ind w:left="220" w:right="160"/>
        <w:spacing w:after="0" w:line="268" w:lineRule="auto"/>
        <w:rPr>
          <w:sz w:val="20"/>
          <w:szCs w:val="20"/>
          <w:color w:val="auto"/>
        </w:rPr>
      </w:pPr>
      <w:r>
        <w:rPr>
          <w:rFonts w:ascii="Arial" w:cs="Arial" w:eastAsia="Arial" w:hAnsi="Arial"/>
          <w:sz w:val="16"/>
          <w:szCs w:val="16"/>
          <w:color w:val="auto"/>
        </w:rPr>
        <w:t>We are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The timing of our planned and already filed clinical trial applications (CTA) discussed below are based on calendar years, not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107315</wp:posOffset>
            </wp:positionV>
            <wp:extent cx="98488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14</w:t>
      </w:r>
    </w:p>
    <w:p>
      <w:pPr>
        <w:sectPr>
          <w:pgSz w:w="11900" w:h="16838" w:orient="portrait"/>
          <w:cols w:equalWidth="0" w:num="1">
            <w:col w:w="11200"/>
          </w:cols>
          <w:pgMar w:left="24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Clinical Stage Candidates</w:t>
      </w:r>
    </w:p>
    <w:p>
      <w:pPr>
        <w:spacing w:after="0" w:line="108" w:lineRule="exact"/>
        <w:rPr>
          <w:sz w:val="20"/>
          <w:szCs w:val="20"/>
          <w:color w:val="auto"/>
        </w:rPr>
      </w:pPr>
    </w:p>
    <w:p>
      <w:pPr>
        <w:ind w:left="220" w:right="180"/>
        <w:spacing w:after="0" w:line="270" w:lineRule="auto"/>
        <w:rPr>
          <w:sz w:val="20"/>
          <w:szCs w:val="20"/>
          <w:color w:val="auto"/>
        </w:rPr>
      </w:pPr>
      <w:r>
        <w:rPr>
          <w:rFonts w:ascii="Arial" w:cs="Arial" w:eastAsia="Arial" w:hAnsi="Arial"/>
          <w:sz w:val="16"/>
          <w:szCs w:val="16"/>
          <w:b w:val="1"/>
          <w:bCs w:val="1"/>
          <w:color w:val="auto"/>
        </w:rPr>
        <w:t xml:space="preserve">ARO-AAT </w:t>
      </w:r>
      <w:r>
        <w:rPr>
          <w:rFonts w:ascii="Arial" w:cs="Arial" w:eastAsia="Arial" w:hAnsi="Arial"/>
          <w:sz w:val="16"/>
          <w:szCs w:val="16"/>
          <w:color w:val="auto"/>
        </w:rPr>
        <w:t>is a clinical-stage RNAi therapeutic candidate for the treatment of liver disease associated with alpha-1 antitrypsin deficiency. ARO-AAT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knock down the Alpha-1 antitrypsin (AAT) gene transcript and reduce the hepatic production of the mutant AAT protein. ARO-AAT is a next-generation subcutaneously administered compound that follows a previous generation AAT compound ARC-AAT.</w:t>
      </w:r>
    </w:p>
    <w:p>
      <w:pPr>
        <w:spacing w:after="0" w:line="69" w:lineRule="exact"/>
        <w:rPr>
          <w:sz w:val="20"/>
          <w:szCs w:val="20"/>
          <w:color w:val="auto"/>
        </w:rPr>
      </w:pPr>
    </w:p>
    <w:p>
      <w:pPr>
        <w:ind w:left="420" w:hanging="210"/>
        <w:spacing w:after="0"/>
        <w:tabs>
          <w:tab w:leader="none" w:pos="4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2017: ARO-AAT nominated; CTA filed</w:t>
      </w:r>
    </w:p>
    <w:p>
      <w:pPr>
        <w:spacing w:after="0" w:line="123" w:lineRule="exact"/>
        <w:rPr>
          <w:rFonts w:ascii="Arial" w:cs="Arial" w:eastAsia="Arial" w:hAnsi="Arial"/>
          <w:sz w:val="16"/>
          <w:szCs w:val="16"/>
          <w:color w:val="0071CE"/>
        </w:rPr>
      </w:pPr>
    </w:p>
    <w:p>
      <w:pPr>
        <w:ind w:left="420" w:right="80" w:hanging="210"/>
        <w:spacing w:after="0" w:line="199" w:lineRule="auto"/>
        <w:tabs>
          <w:tab w:leader="none" w:pos="4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2018: Clinical trial commenced. Initial results from AROAAT1001 were presented in November 2018 at The Liver Meeting</w:t>
      </w:r>
      <w:r>
        <w:rPr>
          <w:rFonts w:ascii="Arial" w:cs="Arial" w:eastAsia="Arial" w:hAnsi="Arial"/>
          <w:sz w:val="27"/>
          <w:szCs w:val="27"/>
          <w:color w:val="auto"/>
          <w:vertAlign w:val="superscript"/>
        </w:rPr>
        <w:t>®</w:t>
      </w:r>
      <w:r>
        <w:rPr>
          <w:rFonts w:ascii="Arial" w:cs="Arial" w:eastAsia="Arial" w:hAnsi="Arial"/>
          <w:sz w:val="16"/>
          <w:szCs w:val="16"/>
          <w:color w:val="auto"/>
        </w:rPr>
        <w:t>, the Annual Meeting of the American Association for the Study of Liver Disease (AASLD). Key data include:</w:t>
      </w:r>
    </w:p>
    <w:p>
      <w:pPr>
        <w:spacing w:after="0" w:line="92" w:lineRule="exact"/>
        <w:rPr>
          <w:rFonts w:ascii="Arial" w:cs="Arial" w:eastAsia="Arial" w:hAnsi="Arial"/>
          <w:sz w:val="16"/>
          <w:szCs w:val="16"/>
          <w:color w:val="0071CE"/>
        </w:rPr>
      </w:pPr>
    </w:p>
    <w:p>
      <w:pPr>
        <w:ind w:left="640" w:hanging="214"/>
        <w:spacing w:after="0"/>
        <w:tabs>
          <w:tab w:leader="none" w:pos="640" w:val="left"/>
        </w:tabs>
        <w:numPr>
          <w:ilvl w:val="1"/>
          <w:numId w:val="22"/>
        </w:numPr>
        <w:rPr>
          <w:rFonts w:ascii="Arial" w:cs="Arial" w:eastAsia="Arial" w:hAnsi="Arial"/>
          <w:sz w:val="16"/>
          <w:szCs w:val="16"/>
          <w:color w:val="0071CE"/>
        </w:rPr>
      </w:pPr>
      <w:r>
        <w:rPr>
          <w:rFonts w:ascii="Arial" w:cs="Arial" w:eastAsia="Arial" w:hAnsi="Arial"/>
          <w:sz w:val="16"/>
          <w:szCs w:val="16"/>
          <w:color w:val="auto"/>
        </w:rPr>
        <w:t>Three monthly doses of 300 mg ARO-AAT led to reductions in serum alpha-1 antitrypsin to below the level of quantitation in 100% of subjects.</w:t>
      </w:r>
    </w:p>
    <w:p>
      <w:pPr>
        <w:spacing w:after="0" w:line="126" w:lineRule="exact"/>
        <w:rPr>
          <w:rFonts w:ascii="Arial" w:cs="Arial" w:eastAsia="Arial" w:hAnsi="Arial"/>
          <w:sz w:val="16"/>
          <w:szCs w:val="16"/>
          <w:color w:val="0071CE"/>
        </w:rPr>
      </w:pPr>
    </w:p>
    <w:p>
      <w:pPr>
        <w:ind w:left="640" w:hanging="214"/>
        <w:spacing w:after="0"/>
        <w:tabs>
          <w:tab w:leader="none" w:pos="640" w:val="left"/>
        </w:tabs>
        <w:numPr>
          <w:ilvl w:val="1"/>
          <w:numId w:val="22"/>
        </w:numPr>
        <w:rPr>
          <w:rFonts w:ascii="Arial" w:cs="Arial" w:eastAsia="Arial" w:hAnsi="Arial"/>
          <w:sz w:val="16"/>
          <w:szCs w:val="16"/>
          <w:color w:val="0071CE"/>
        </w:rPr>
      </w:pPr>
      <w:r>
        <w:rPr>
          <w:rFonts w:ascii="Arial" w:cs="Arial" w:eastAsia="Arial" w:hAnsi="Arial"/>
          <w:sz w:val="16"/>
          <w:szCs w:val="16"/>
          <w:color w:val="auto"/>
        </w:rPr>
        <w:t>Reductions were sustained for greater than 14 weeks indicating that quarterly or less frequent dosing appears feasible.</w:t>
      </w:r>
    </w:p>
    <w:p>
      <w:pPr>
        <w:spacing w:after="0" w:line="126" w:lineRule="exact"/>
        <w:rPr>
          <w:rFonts w:ascii="Arial" w:cs="Arial" w:eastAsia="Arial" w:hAnsi="Arial"/>
          <w:sz w:val="16"/>
          <w:szCs w:val="16"/>
          <w:color w:val="0071CE"/>
        </w:rPr>
      </w:pPr>
    </w:p>
    <w:p>
      <w:pPr>
        <w:ind w:left="640" w:hanging="214"/>
        <w:spacing w:after="0"/>
        <w:tabs>
          <w:tab w:leader="none" w:pos="640" w:val="left"/>
        </w:tabs>
        <w:numPr>
          <w:ilvl w:val="1"/>
          <w:numId w:val="22"/>
        </w:numPr>
        <w:rPr>
          <w:rFonts w:ascii="Arial" w:cs="Arial" w:eastAsia="Arial" w:hAnsi="Arial"/>
          <w:sz w:val="16"/>
          <w:szCs w:val="16"/>
          <w:color w:val="0071CE"/>
        </w:rPr>
      </w:pPr>
      <w:r>
        <w:rPr>
          <w:rFonts w:ascii="Arial" w:cs="Arial" w:eastAsia="Arial" w:hAnsi="Arial"/>
          <w:sz w:val="16"/>
          <w:szCs w:val="16"/>
          <w:color w:val="auto"/>
        </w:rPr>
        <w:t>Single and multiple doses of ARO-AAT appeared to be well-tolerated at all doses tested.</w:t>
      </w:r>
    </w:p>
    <w:p>
      <w:pPr>
        <w:spacing w:after="0" w:line="219" w:lineRule="exact"/>
        <w:rPr>
          <w:sz w:val="20"/>
          <w:szCs w:val="20"/>
          <w:color w:val="auto"/>
        </w:rPr>
      </w:pPr>
    </w:p>
    <w:p>
      <w:pPr>
        <w:ind w:left="220" w:right="180"/>
        <w:spacing w:after="0" w:line="270" w:lineRule="auto"/>
        <w:rPr>
          <w:sz w:val="20"/>
          <w:szCs w:val="20"/>
          <w:color w:val="auto"/>
        </w:rPr>
      </w:pPr>
      <w:r>
        <w:rPr>
          <w:rFonts w:ascii="Arial" w:cs="Arial" w:eastAsia="Arial" w:hAnsi="Arial"/>
          <w:sz w:val="16"/>
          <w:szCs w:val="16"/>
          <w:b w:val="1"/>
          <w:bCs w:val="1"/>
          <w:color w:val="auto"/>
        </w:rPr>
        <w:t xml:space="preserve">ARO-ANG3 </w:t>
      </w:r>
      <w:r>
        <w:rPr>
          <w:rFonts w:ascii="Arial" w:cs="Arial" w:eastAsia="Arial" w:hAnsi="Arial"/>
          <w:sz w:val="16"/>
          <w:szCs w:val="16"/>
          <w:color w:val="auto"/>
        </w:rPr>
        <w:t>is designed to reduce production of angiopoietin-like protein 3 (ANGPTL3), a liver synthesized inhibitor of lipoprotein lipase and endothelial</w:t>
      </w:r>
      <w:r>
        <w:rPr>
          <w:rFonts w:ascii="Arial" w:cs="Arial" w:eastAsia="Arial" w:hAnsi="Arial"/>
          <w:sz w:val="16"/>
          <w:szCs w:val="16"/>
          <w:b w:val="1"/>
          <w:bCs w:val="1"/>
          <w:color w:val="auto"/>
        </w:rPr>
        <w:t xml:space="preserve"> </w:t>
      </w:r>
      <w:r>
        <w:rPr>
          <w:rFonts w:ascii="Arial" w:cs="Arial" w:eastAsia="Arial" w:hAnsi="Arial"/>
          <w:sz w:val="16"/>
          <w:szCs w:val="16"/>
          <w:color w:val="auto"/>
        </w:rPr>
        <w:t>lipase. ANGPTL3 inhibition has been shown to lower serum LDL, serum and liver triglyceride and has genetic validation as a novel target for cardiovascular disease.</w:t>
      </w:r>
    </w:p>
    <w:p>
      <w:pPr>
        <w:spacing w:after="0" w:line="69" w:lineRule="exact"/>
        <w:rPr>
          <w:sz w:val="20"/>
          <w:szCs w:val="20"/>
          <w:color w:val="auto"/>
        </w:rPr>
      </w:pPr>
    </w:p>
    <w:p>
      <w:pPr>
        <w:ind w:left="420" w:hanging="210"/>
        <w:spacing w:after="0"/>
        <w:tabs>
          <w:tab w:leader="none" w:pos="42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20" w:right="520" w:hanging="210"/>
        <w:spacing w:after="0" w:line="291" w:lineRule="auto"/>
        <w:tabs>
          <w:tab w:leader="none" w:pos="420"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2018: Filed for regulatory clearance to begin a Phase 1 study of ARO-ANG3, an RNAi-based investigational medicine targeting angiopoietin like protein 3 (ANGPTL3) being developed for the treatment of dyslipidemias and metabolic diseases.</w:t>
      </w:r>
    </w:p>
    <w:p>
      <w:pPr>
        <w:spacing w:after="0" w:line="145" w:lineRule="exact"/>
        <w:rPr>
          <w:sz w:val="20"/>
          <w:szCs w:val="20"/>
          <w:color w:val="auto"/>
        </w:rPr>
      </w:pPr>
    </w:p>
    <w:p>
      <w:pPr>
        <w:ind w:left="220" w:right="120"/>
        <w:spacing w:after="0" w:line="270" w:lineRule="auto"/>
        <w:rPr>
          <w:sz w:val="20"/>
          <w:szCs w:val="20"/>
          <w:color w:val="auto"/>
        </w:rPr>
      </w:pPr>
      <w:r>
        <w:rPr>
          <w:rFonts w:ascii="Arial" w:cs="Arial" w:eastAsia="Arial" w:hAnsi="Arial"/>
          <w:sz w:val="16"/>
          <w:szCs w:val="16"/>
          <w:b w:val="1"/>
          <w:bCs w:val="1"/>
          <w:color w:val="auto"/>
        </w:rPr>
        <w:t xml:space="preserve">ARO-APOC3 </w:t>
      </w:r>
      <w:r>
        <w:rPr>
          <w:rFonts w:ascii="Arial" w:cs="Arial" w:eastAsia="Arial" w:hAnsi="Arial"/>
          <w:sz w:val="16"/>
          <w:szCs w:val="16"/>
          <w:color w:val="auto"/>
        </w:rPr>
        <w:t>is designed to reduce production of Apolipoprotein C-III (apoC-III), a component of triglyceride rich lipoproteins (TRLs) including VLDL and</w:t>
      </w:r>
      <w:r>
        <w:rPr>
          <w:rFonts w:ascii="Arial" w:cs="Arial" w:eastAsia="Arial" w:hAnsi="Arial"/>
          <w:sz w:val="16"/>
          <w:szCs w:val="16"/>
          <w:b w:val="1"/>
          <w:bCs w:val="1"/>
          <w:color w:val="auto"/>
        </w:rPr>
        <w:t xml:space="preserve"> </w:t>
      </w:r>
      <w:r>
        <w:rPr>
          <w:rFonts w:ascii="Arial" w:cs="Arial" w:eastAsia="Arial" w:hAnsi="Arial"/>
          <w:sz w:val="16"/>
          <w:szCs w:val="16"/>
          <w:color w:val="auto"/>
        </w:rPr>
        <w:t>chylomicrons and a key regulator of triglyceride metabolism. The company believes that knocking down the hepatic production of apoC-III may result in reduced VLDL synthesis and assembly, enhanced breakdown of TRLs, and better clearance of VLDL and chylomicron remnants.</w:t>
      </w:r>
    </w:p>
    <w:p>
      <w:pPr>
        <w:spacing w:after="0" w:line="69" w:lineRule="exact"/>
        <w:rPr>
          <w:sz w:val="20"/>
          <w:szCs w:val="20"/>
          <w:color w:val="auto"/>
        </w:rPr>
      </w:pPr>
    </w:p>
    <w:p>
      <w:pPr>
        <w:ind w:left="420" w:hanging="210"/>
        <w:spacing w:after="0"/>
        <w:tabs>
          <w:tab w:leader="none" w:pos="42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2017: Target identified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4"/>
        </w:numPr>
        <w:rPr>
          <w:rFonts w:ascii="Arial" w:cs="Arial" w:eastAsia="Arial" w:hAnsi="Arial"/>
          <w:sz w:val="16"/>
          <w:szCs w:val="16"/>
          <w:color w:val="0071CE"/>
        </w:rPr>
      </w:pPr>
      <w:r>
        <w:rPr>
          <w:rFonts w:ascii="Arial" w:cs="Arial" w:eastAsia="Arial" w:hAnsi="Arial"/>
          <w:sz w:val="16"/>
          <w:szCs w:val="16"/>
          <w:color w:val="auto"/>
        </w:rPr>
        <w:t>2018: IND-enabling studies commence, CTA filed in early January 2019.</w:t>
      </w: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08" w:lineRule="exact"/>
        <w:rPr>
          <w:sz w:val="20"/>
          <w:szCs w:val="20"/>
          <w:color w:val="auto"/>
        </w:rPr>
      </w:pPr>
    </w:p>
    <w:p>
      <w:pPr>
        <w:ind w:left="220" w:right="200"/>
        <w:spacing w:after="0" w:line="293" w:lineRule="auto"/>
        <w:rPr>
          <w:sz w:val="20"/>
          <w:szCs w:val="20"/>
          <w:color w:val="auto"/>
        </w:rPr>
      </w:pPr>
      <w:r>
        <w:rPr>
          <w:rFonts w:ascii="Arial" w:cs="Arial" w:eastAsia="Arial" w:hAnsi="Arial"/>
          <w:sz w:val="16"/>
          <w:szCs w:val="16"/>
          <w:b w:val="1"/>
          <w:bCs w:val="1"/>
          <w:color w:val="auto"/>
        </w:rPr>
        <w:t xml:space="preserve">ARO-HBV </w:t>
      </w:r>
      <w:r>
        <w:rPr>
          <w:rFonts w:ascii="Arial" w:cs="Arial" w:eastAsia="Arial" w:hAnsi="Arial"/>
          <w:sz w:val="16"/>
          <w:szCs w:val="16"/>
          <w:color w:val="auto"/>
        </w:rPr>
        <w:t>is an RNAi therapeutic candidate for the treatment of chronic hepatitis B infection with the goal of achieving a functional cure. ARO-HBV is a</w:t>
      </w:r>
      <w:r>
        <w:rPr>
          <w:rFonts w:ascii="Arial" w:cs="Arial" w:eastAsia="Arial" w:hAnsi="Arial"/>
          <w:sz w:val="16"/>
          <w:szCs w:val="16"/>
          <w:b w:val="1"/>
          <w:bCs w:val="1"/>
          <w:color w:val="auto"/>
        </w:rPr>
        <w:t xml:space="preserve"> </w:t>
      </w:r>
      <w:r>
        <w:rPr>
          <w:rFonts w:ascii="Arial" w:cs="Arial" w:eastAsia="Arial" w:hAnsi="Arial"/>
          <w:sz w:val="16"/>
          <w:szCs w:val="16"/>
          <w:color w:val="auto"/>
        </w:rPr>
        <w:t>next-generation subcutaneously administered compound that follows previous generation HBV compounds ARC-520 and ARC-521.</w:t>
      </w:r>
    </w:p>
    <w:p>
      <w:pPr>
        <w:spacing w:after="0" w:line="52" w:lineRule="exact"/>
        <w:rPr>
          <w:sz w:val="20"/>
          <w:szCs w:val="20"/>
          <w:color w:val="auto"/>
        </w:rPr>
      </w:pPr>
    </w:p>
    <w:p>
      <w:pPr>
        <w:ind w:left="420" w:hanging="210"/>
        <w:spacing w:after="0"/>
        <w:tabs>
          <w:tab w:leader="none" w:pos="4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2017: ARO-HBV nominated; CTA filed.</w:t>
      </w:r>
    </w:p>
    <w:p>
      <w:pPr>
        <w:spacing w:after="0" w:line="123" w:lineRule="exact"/>
        <w:rPr>
          <w:rFonts w:ascii="Arial" w:cs="Arial" w:eastAsia="Arial" w:hAnsi="Arial"/>
          <w:sz w:val="16"/>
          <w:szCs w:val="16"/>
          <w:color w:val="0071CE"/>
        </w:rPr>
      </w:pPr>
    </w:p>
    <w:p>
      <w:pPr>
        <w:ind w:left="420" w:right="1040" w:hanging="210"/>
        <w:spacing w:after="0" w:line="199" w:lineRule="auto"/>
        <w:tabs>
          <w:tab w:leader="none" w:pos="4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2018: Clinical trial commenced. Clinical data presented at the World Gastroenterologists Summit and at the AASLD Liver Meeting</w:t>
      </w:r>
      <w:r>
        <w:rPr>
          <w:rFonts w:ascii="Arial" w:cs="Arial" w:eastAsia="Arial" w:hAnsi="Arial"/>
          <w:sz w:val="27"/>
          <w:szCs w:val="27"/>
          <w:color w:val="auto"/>
          <w:vertAlign w:val="superscript"/>
        </w:rPr>
        <w:t>®</w:t>
      </w:r>
      <w:r>
        <w:rPr>
          <w:rFonts w:ascii="Arial" w:cs="Arial" w:eastAsia="Arial" w:hAnsi="Arial"/>
          <w:sz w:val="16"/>
          <w:szCs w:val="16"/>
          <w:color w:val="auto"/>
        </w:rPr>
        <w:t xml:space="preserve"> 2018 demonstrating:</w:t>
      </w:r>
    </w:p>
    <w:p>
      <w:pPr>
        <w:spacing w:after="0" w:line="92" w:lineRule="exact"/>
        <w:rPr>
          <w:rFonts w:ascii="Arial" w:cs="Arial" w:eastAsia="Arial" w:hAnsi="Arial"/>
          <w:sz w:val="16"/>
          <w:szCs w:val="16"/>
          <w:color w:val="0071CE"/>
        </w:rPr>
      </w:pPr>
    </w:p>
    <w:p>
      <w:pPr>
        <w:ind w:left="640" w:hanging="214"/>
        <w:spacing w:after="0"/>
        <w:tabs>
          <w:tab w:leader="none" w:pos="640" w:val="left"/>
        </w:tabs>
        <w:numPr>
          <w:ilvl w:val="1"/>
          <w:numId w:val="25"/>
        </w:numPr>
        <w:rPr>
          <w:rFonts w:ascii="Arial" w:cs="Arial" w:eastAsia="Arial" w:hAnsi="Arial"/>
          <w:sz w:val="16"/>
          <w:szCs w:val="16"/>
          <w:color w:val="0071CE"/>
        </w:rPr>
      </w:pPr>
      <w:r>
        <w:rPr>
          <w:rFonts w:ascii="Arial" w:cs="Arial" w:eastAsia="Arial" w:hAnsi="Arial"/>
          <w:sz w:val="16"/>
          <w:szCs w:val="16"/>
          <w:color w:val="auto"/>
        </w:rPr>
        <w:t>Mean HBsAg reduction of -1.9 Log10 (-98.7%) with a range of -1.3 Log10 (-95.0%) to -3.8 Log10 (-99.98%).</w:t>
      </w:r>
    </w:p>
    <w:p>
      <w:pPr>
        <w:spacing w:after="0" w:line="126" w:lineRule="exact"/>
        <w:rPr>
          <w:rFonts w:ascii="Arial" w:cs="Arial" w:eastAsia="Arial" w:hAnsi="Arial"/>
          <w:sz w:val="16"/>
          <w:szCs w:val="16"/>
          <w:color w:val="0071CE"/>
        </w:rPr>
      </w:pPr>
    </w:p>
    <w:p>
      <w:pPr>
        <w:ind w:left="640" w:hanging="214"/>
        <w:spacing w:after="0"/>
        <w:tabs>
          <w:tab w:leader="none" w:pos="640" w:val="left"/>
        </w:tabs>
        <w:numPr>
          <w:ilvl w:val="1"/>
          <w:numId w:val="25"/>
        </w:numPr>
        <w:rPr>
          <w:rFonts w:ascii="Arial" w:cs="Arial" w:eastAsia="Arial" w:hAnsi="Arial"/>
          <w:sz w:val="16"/>
          <w:szCs w:val="16"/>
          <w:color w:val="0071CE"/>
        </w:rPr>
      </w:pPr>
      <w:r>
        <w:rPr>
          <w:rFonts w:ascii="Arial" w:cs="Arial" w:eastAsia="Arial" w:hAnsi="Arial"/>
          <w:sz w:val="16"/>
          <w:szCs w:val="16"/>
          <w:color w:val="auto"/>
        </w:rPr>
        <w:t>ARO-HBV appeared to be well-tolerated at monthly doses up to 400 mg.</w:t>
      </w:r>
    </w:p>
    <w:p>
      <w:pPr>
        <w:spacing w:after="0" w:line="126" w:lineRule="exact"/>
        <w:rPr>
          <w:rFonts w:ascii="Arial" w:cs="Arial" w:eastAsia="Arial" w:hAnsi="Arial"/>
          <w:sz w:val="16"/>
          <w:szCs w:val="16"/>
          <w:color w:val="0071CE"/>
        </w:rPr>
      </w:pPr>
    </w:p>
    <w:p>
      <w:pPr>
        <w:ind w:left="420" w:right="120" w:hanging="210"/>
        <w:spacing w:after="0" w:line="210" w:lineRule="auto"/>
        <w:tabs>
          <w:tab w:leader="none" w:pos="4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2018: Signed a license agreement with Janssen Pharmaceuticals, Inc., part of the Janssen Pharmaceuticals Companies of Johnson &amp; Johnson, for ARO-HBV and a collaboration agreement for up to three RNAi therapeutic candidates that use our proprietary TRiM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platform against new targets to be selected by Janssen.</w:t>
      </w:r>
    </w:p>
    <w:p>
      <w:pPr>
        <w:spacing w:after="0" w:line="94" w:lineRule="exact"/>
        <w:rPr>
          <w:rFonts w:ascii="Arial" w:cs="Arial" w:eastAsia="Arial" w:hAnsi="Arial"/>
          <w:sz w:val="16"/>
          <w:szCs w:val="16"/>
          <w:color w:val="0071CE"/>
        </w:rPr>
      </w:pPr>
    </w:p>
    <w:p>
      <w:pPr>
        <w:ind w:left="640" w:hanging="214"/>
        <w:spacing w:after="0"/>
        <w:tabs>
          <w:tab w:leader="none" w:pos="640" w:val="left"/>
        </w:tabs>
        <w:numPr>
          <w:ilvl w:val="1"/>
          <w:numId w:val="25"/>
        </w:numPr>
        <w:rPr>
          <w:rFonts w:ascii="Arial" w:cs="Arial" w:eastAsia="Arial" w:hAnsi="Arial"/>
          <w:sz w:val="16"/>
          <w:szCs w:val="16"/>
          <w:color w:val="0071CE"/>
        </w:rPr>
      </w:pPr>
      <w:r>
        <w:rPr>
          <w:rFonts w:ascii="Arial" w:cs="Arial" w:eastAsia="Arial" w:hAnsi="Arial"/>
          <w:sz w:val="16"/>
          <w:szCs w:val="16"/>
          <w:color w:val="auto"/>
        </w:rPr>
        <w:t>The total potential deal value is approximately $3.7 billion plus royalties on commercial sales.</w:t>
      </w:r>
    </w:p>
    <w:p>
      <w:pPr>
        <w:spacing w:after="0" w:line="126" w:lineRule="exact"/>
        <w:rPr>
          <w:rFonts w:ascii="Arial" w:cs="Arial" w:eastAsia="Arial" w:hAnsi="Arial"/>
          <w:sz w:val="16"/>
          <w:szCs w:val="16"/>
          <w:color w:val="0071CE"/>
        </w:rPr>
      </w:pPr>
    </w:p>
    <w:p>
      <w:pPr>
        <w:ind w:left="640" w:right="340" w:hanging="214"/>
        <w:spacing w:after="0" w:line="291" w:lineRule="auto"/>
        <w:tabs>
          <w:tab w:leader="none" w:pos="640" w:val="left"/>
        </w:tabs>
        <w:numPr>
          <w:ilvl w:val="1"/>
          <w:numId w:val="25"/>
        </w:numPr>
        <w:rPr>
          <w:rFonts w:ascii="Arial" w:cs="Arial" w:eastAsia="Arial" w:hAnsi="Arial"/>
          <w:sz w:val="16"/>
          <w:szCs w:val="16"/>
          <w:color w:val="0071CE"/>
        </w:rPr>
      </w:pPr>
      <w:r>
        <w:rPr>
          <w:rFonts w:ascii="Arial" w:cs="Arial" w:eastAsia="Arial" w:hAnsi="Arial"/>
          <w:sz w:val="16"/>
          <w:szCs w:val="16"/>
          <w:color w:val="auto"/>
        </w:rPr>
        <w:t>Received $175 million as an upfront payment and received $75 million in the form of an equity investment by Johnson &amp; Johnson Innovation — JJDC, Inc., at a premium price of $23.00 per share of Arrowhead common stock.</w:t>
      </w:r>
    </w:p>
    <w:p>
      <w:pPr>
        <w:spacing w:after="0" w:line="145" w:lineRule="exact"/>
        <w:rPr>
          <w:sz w:val="20"/>
          <w:szCs w:val="20"/>
          <w:color w:val="auto"/>
        </w:rPr>
      </w:pPr>
    </w:p>
    <w:p>
      <w:pPr>
        <w:ind w:left="220" w:right="340"/>
        <w:spacing w:after="0" w:line="293" w:lineRule="auto"/>
        <w:rPr>
          <w:sz w:val="20"/>
          <w:szCs w:val="20"/>
          <w:color w:val="auto"/>
        </w:rPr>
      </w:pPr>
      <w:r>
        <w:rPr>
          <w:rFonts w:ascii="Arial" w:cs="Arial" w:eastAsia="Arial" w:hAnsi="Arial"/>
          <w:sz w:val="16"/>
          <w:szCs w:val="16"/>
          <w:b w:val="1"/>
          <w:bCs w:val="1"/>
          <w:color w:val="auto"/>
        </w:rPr>
        <w:t xml:space="preserve">ARO-LPA (AMG 890) </w:t>
      </w:r>
      <w:r>
        <w:rPr>
          <w:rFonts w:ascii="Arial" w:cs="Arial" w:eastAsia="Arial" w:hAnsi="Arial"/>
          <w:sz w:val="16"/>
          <w:szCs w:val="16"/>
          <w:color w:val="auto"/>
        </w:rPr>
        <w:t>is designed to reduce production of apolipoprotein A, a key component of lipoprotein(a), which has been genetically linked with</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risk of cardiovascular diseases, independent of cholesterol and LDL levels.</w:t>
      </w:r>
    </w:p>
    <w:p>
      <w:pPr>
        <w:spacing w:after="0" w:line="52" w:lineRule="exact"/>
        <w:rPr>
          <w:sz w:val="20"/>
          <w:szCs w:val="20"/>
          <w:color w:val="auto"/>
        </w:rPr>
      </w:pPr>
    </w:p>
    <w:p>
      <w:pPr>
        <w:ind w:left="420" w:hanging="210"/>
        <w:spacing w:after="0"/>
        <w:tabs>
          <w:tab w:leader="none" w:pos="42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2016: Amgen, Inc. acquired a worldwide, exclusive license to develop and commercialize ARO-LPA (AMG 890).</w:t>
      </w:r>
    </w:p>
    <w:p>
      <w:pPr>
        <w:spacing w:after="0" w:line="126" w:lineRule="exact"/>
        <w:rPr>
          <w:rFonts w:ascii="Arial" w:cs="Arial" w:eastAsia="Arial" w:hAnsi="Arial"/>
          <w:sz w:val="16"/>
          <w:szCs w:val="16"/>
          <w:color w:val="0071CE"/>
        </w:rPr>
      </w:pPr>
    </w:p>
    <w:p>
      <w:pPr>
        <w:ind w:left="420" w:right="140" w:hanging="210"/>
        <w:spacing w:after="0" w:line="291" w:lineRule="auto"/>
        <w:tabs>
          <w:tab w:leader="none" w:pos="42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2018: Amgen administers the first dose of AMG 890, formerly ARO-LPA, in a Phase 1 clinical study, which earned Arrowhead a $10 million milestone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62230</wp:posOffset>
            </wp:positionV>
            <wp:extent cx="98488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15</w:t>
      </w:r>
    </w:p>
    <w:p>
      <w:pPr>
        <w:sectPr>
          <w:pgSz w:w="11900" w:h="16838" w:orient="portrait"/>
          <w:cols w:equalWidth="0" w:num="1">
            <w:col w:w="11220"/>
          </w:cols>
          <w:pgMar w:left="24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220" w:right="420"/>
        <w:spacing w:after="0" w:line="293" w:lineRule="auto"/>
        <w:rPr>
          <w:sz w:val="20"/>
          <w:szCs w:val="20"/>
          <w:color w:val="auto"/>
        </w:rPr>
      </w:pPr>
      <w:r>
        <w:rPr>
          <w:rFonts w:ascii="Arial" w:cs="Arial" w:eastAsia="Arial" w:hAnsi="Arial"/>
          <w:sz w:val="16"/>
          <w:szCs w:val="16"/>
          <w:b w:val="1"/>
          <w:bCs w:val="1"/>
          <w:color w:val="auto"/>
        </w:rPr>
        <w:t xml:space="preserve">ARO-AMG1 </w:t>
      </w:r>
      <w:r>
        <w:rPr>
          <w:rFonts w:ascii="Arial" w:cs="Arial" w:eastAsia="Arial" w:hAnsi="Arial"/>
          <w:sz w:val="16"/>
          <w:szCs w:val="16"/>
          <w:color w:val="auto"/>
        </w:rPr>
        <w:t>is being developed against an undisclosed genetically-validated cardiovascular target under a license and collaboration agreement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Amgen. We completed the Arrowhead Deliverable, as defined in our collaboration agreement with Amgen, during 2018.</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Candidates in Development</w:t>
      </w:r>
    </w:p>
    <w:p>
      <w:pPr>
        <w:spacing w:after="0" w:line="108" w:lineRule="exact"/>
        <w:rPr>
          <w:sz w:val="20"/>
          <w:szCs w:val="20"/>
          <w:color w:val="auto"/>
        </w:rPr>
      </w:pPr>
    </w:p>
    <w:p>
      <w:pPr>
        <w:ind w:left="220" w:right="80"/>
        <w:spacing w:after="0" w:line="310" w:lineRule="auto"/>
        <w:rPr>
          <w:sz w:val="20"/>
          <w:szCs w:val="20"/>
          <w:color w:val="auto"/>
        </w:rPr>
      </w:pPr>
      <w:r>
        <w:rPr>
          <w:rFonts w:ascii="Arial" w:cs="Arial" w:eastAsia="Arial" w:hAnsi="Arial"/>
          <w:sz w:val="16"/>
          <w:szCs w:val="16"/>
          <w:b w:val="1"/>
          <w:bCs w:val="1"/>
          <w:color w:val="auto"/>
        </w:rPr>
        <w:t xml:space="preserve">ARO-ENaC </w:t>
      </w:r>
      <w:r>
        <w:rPr>
          <w:rFonts w:ascii="Arial" w:cs="Arial" w:eastAsia="Arial" w:hAnsi="Arial"/>
          <w:sz w:val="16"/>
          <w:szCs w:val="16"/>
          <w:color w:val="auto"/>
        </w:rPr>
        <w:t>is designed to reduce production of the epithelial sodium channel alpha subunit (</w:t>
      </w:r>
      <w:r>
        <w:rPr>
          <w:rFonts w:ascii="Times New Roman" w:cs="Times New Roman" w:eastAsia="Times New Roman" w:hAnsi="Times New Roman"/>
          <w:sz w:val="16"/>
          <w:szCs w:val="16"/>
          <w:color w:val="auto"/>
        </w:rPr>
        <w:t>a</w:t>
      </w:r>
      <w:r>
        <w:rPr>
          <w:rFonts w:ascii="Arial" w:cs="Arial" w:eastAsia="Arial" w:hAnsi="Arial"/>
          <w:sz w:val="16"/>
          <w:szCs w:val="16"/>
          <w:color w:val="auto"/>
        </w:rPr>
        <w:t>ENaC) in the airways of the lung. In cystic fibrosis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ENaC activity contributes to airway dehydration and reduced mucociliary transport. A CTA is planned for 2019.</w:t>
      </w:r>
    </w:p>
    <w:p>
      <w:pPr>
        <w:spacing w:after="0" w:line="131" w:lineRule="exact"/>
        <w:rPr>
          <w:sz w:val="20"/>
          <w:szCs w:val="20"/>
          <w:color w:val="auto"/>
        </w:rPr>
      </w:pPr>
    </w:p>
    <w:p>
      <w:pPr>
        <w:ind w:left="220" w:right="160"/>
        <w:spacing w:after="0" w:line="273" w:lineRule="auto"/>
        <w:rPr>
          <w:sz w:val="20"/>
          <w:szCs w:val="20"/>
          <w:color w:val="auto"/>
        </w:rPr>
      </w:pPr>
      <w:r>
        <w:rPr>
          <w:rFonts w:ascii="Arial" w:cs="Arial" w:eastAsia="Arial" w:hAnsi="Arial"/>
          <w:sz w:val="16"/>
          <w:szCs w:val="16"/>
          <w:b w:val="1"/>
          <w:bCs w:val="1"/>
          <w:color w:val="auto"/>
        </w:rPr>
        <w:t xml:space="preserve">ARO-HIF2 </w:t>
      </w:r>
      <w:r>
        <w:rPr>
          <w:rFonts w:ascii="Arial" w:cs="Arial" w:eastAsia="Arial" w:hAnsi="Arial"/>
          <w:sz w:val="16"/>
          <w:szCs w:val="16"/>
          <w:color w:val="auto"/>
        </w:rPr>
        <w:t>is being developed for the treatment of clear cell renal cell carcinoma (ccRCC). ARO-HIF2 is designed to inhibit the production of HIF-2</w:t>
      </w:r>
      <w:r>
        <w:rPr>
          <w:rFonts w:ascii="Times New Roman" w:cs="Times New Roman" w:eastAsia="Times New Roman" w:hAnsi="Times New Roman"/>
          <w:sz w:val="16"/>
          <w:szCs w:val="16"/>
          <w:color w:val="auto"/>
        </w:rPr>
        <w:t>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which has been linked to tumor progression and metastasis in ccRCC. Arrowhead believes it is an attractive target for intervention because over 90% of ccRCC tumors express a mutant form of the Von Hippel-Landau protein that is unable to degrade HIF-2</w:t>
      </w:r>
      <w:r>
        <w:rPr>
          <w:rFonts w:ascii="Times New Roman" w:cs="Times New Roman" w:eastAsia="Times New Roman" w:hAnsi="Times New Roman"/>
          <w:sz w:val="16"/>
          <w:szCs w:val="16"/>
          <w:color w:val="auto"/>
        </w:rPr>
        <w:t>a</w:t>
      </w:r>
      <w:r>
        <w:rPr>
          <w:rFonts w:ascii="Arial" w:cs="Arial" w:eastAsia="Arial" w:hAnsi="Arial"/>
          <w:sz w:val="16"/>
          <w:szCs w:val="16"/>
          <w:color w:val="auto"/>
        </w:rPr>
        <w:t>, leading to its accumulation during tumor hypoxia and promoting tumor growth. A CTA is planned for 2019.</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4" w:lineRule="exact"/>
        <w:rPr>
          <w:sz w:val="20"/>
          <w:szCs w:val="20"/>
          <w:color w:val="auto"/>
        </w:rPr>
      </w:pPr>
    </w:p>
    <w:p>
      <w:pPr>
        <w:ind w:left="420" w:hanging="210"/>
        <w:spacing w:after="0"/>
        <w:tabs>
          <w:tab w:leader="none" w:pos="4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$16.1 million, compared to revenues of $31.4 million in fiscal 2017 and $0.2 million in fiscal 2016;</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 Recorded a net loss of $54.5 million, compared to net losses of $34.4 million in fiscal 2017 and $81.7 million in fiscal 2016;</w:t>
      </w:r>
    </w:p>
    <w:p>
      <w:pPr>
        <w:spacing w:after="0" w:line="126" w:lineRule="exact"/>
        <w:rPr>
          <w:rFonts w:ascii="Arial" w:cs="Arial" w:eastAsia="Arial" w:hAnsi="Arial"/>
          <w:sz w:val="16"/>
          <w:szCs w:val="16"/>
          <w:color w:val="0071CE"/>
        </w:rPr>
      </w:pPr>
    </w:p>
    <w:p>
      <w:pPr>
        <w:ind w:left="420" w:right="20" w:hanging="210"/>
        <w:spacing w:after="0" w:line="291" w:lineRule="auto"/>
        <w:tabs>
          <w:tab w:leader="none" w:pos="4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a net loss per share (basic and diluted) of $0.65, compared to net losses per share of $0.47 in fiscal 2017 and $1.34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fiscal 2016.</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2018 </w:t>
      </w:r>
      <w:r>
        <w:rPr>
          <w:rFonts w:ascii="Arial" w:cs="Arial" w:eastAsia="Arial" w:hAnsi="Arial"/>
          <w:sz w:val="16"/>
          <w:szCs w:val="16"/>
          <w:color w:val="auto"/>
        </w:rPr>
        <w:t>— Cash and investments of cash totaled $76.5 million at September 30, 2018, and $304 million as of December 31, 2018.</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343% in fiscal 2018.</w:t>
      </w:r>
    </w:p>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110" w:lineRule="exact"/>
        <w:rPr>
          <w:sz w:val="20"/>
          <w:szCs w:val="20"/>
          <w:color w:val="auto"/>
        </w:rPr>
      </w:pPr>
    </w:p>
    <w:p>
      <w:pPr>
        <w:ind w:left="220" w:right="180"/>
        <w:spacing w:after="0" w:line="291" w:lineRule="auto"/>
        <w:rPr>
          <w:sz w:val="20"/>
          <w:szCs w:val="20"/>
          <w:color w:val="auto"/>
        </w:rPr>
      </w:pPr>
      <w:r>
        <w:rPr>
          <w:rFonts w:ascii="Arial" w:cs="Arial" w:eastAsia="Arial" w:hAnsi="Arial"/>
          <w:sz w:val="16"/>
          <w:szCs w:val="16"/>
          <w:color w:val="auto"/>
        </w:rPr>
        <w:t>Based on our overall operating environment and these results, the Compensation Committee took the following key actions and maintained key policies with respect to the compensation of our Named Executive Officers for 2018:</w:t>
      </w:r>
    </w:p>
    <w:p>
      <w:pPr>
        <w:spacing w:after="0" w:line="53" w:lineRule="exact"/>
        <w:rPr>
          <w:sz w:val="20"/>
          <w:szCs w:val="20"/>
          <w:color w:val="auto"/>
        </w:rPr>
      </w:pPr>
    </w:p>
    <w:p>
      <w:pPr>
        <w:ind w:left="420" w:hanging="210"/>
        <w:spacing w:after="0"/>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 Approved base salary increases of 4-20% for our NEOs for 2018, including a 4% increase for our CEO.</w:t>
      </w:r>
    </w:p>
    <w:p>
      <w:pPr>
        <w:spacing w:after="0" w:line="126" w:lineRule="exact"/>
        <w:rPr>
          <w:rFonts w:ascii="Arial" w:cs="Arial" w:eastAsia="Arial" w:hAnsi="Arial"/>
          <w:sz w:val="16"/>
          <w:szCs w:val="16"/>
          <w:color w:val="0071CE"/>
        </w:rPr>
      </w:pPr>
    </w:p>
    <w:p>
      <w:pPr>
        <w:ind w:left="420" w:right="220" w:hanging="210"/>
        <w:spacing w:after="0" w:line="268" w:lineRule="auto"/>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Approved annual cash bonuses for 2018 ranging from 100% to 150% of target annual incentive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including an annual cash bonus for our CEO in the amount of $975,000, equal to 150% of his target annual incentive compensation opportunity.</w:t>
      </w:r>
    </w:p>
    <w:p>
      <w:pPr>
        <w:spacing w:after="0" w:line="71" w:lineRule="exact"/>
        <w:rPr>
          <w:rFonts w:ascii="Arial" w:cs="Arial" w:eastAsia="Arial" w:hAnsi="Arial"/>
          <w:sz w:val="16"/>
          <w:szCs w:val="16"/>
          <w:color w:val="0071CE"/>
        </w:rPr>
      </w:pPr>
    </w:p>
    <w:p>
      <w:pPr>
        <w:ind w:left="420" w:right="120" w:hanging="210"/>
        <w:spacing w:after="0" w:line="257" w:lineRule="auto"/>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Granted our CEO a long-term incentive compensation opportunity in the form of a performance-based restricted stock unit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(“PRSU”) award with a grant date value of $1,840,000 vesting upon the achievement of three equally weighted, pre-established and rigorous performance milestones and granted our other Named Executive Officers long-term incentive compensation opportunities in the form of time-based restricted stock unit (“RSU”) awards that may be settled for shares of our common stock with grant date values ranging from $220,800 to $644,000. A minimum three-year vesting is required for time-based equity awards granted to our other executive officers.</w:t>
      </w:r>
    </w:p>
    <w:p>
      <w:pPr>
        <w:spacing w:after="0" w:line="80" w:lineRule="exact"/>
        <w:rPr>
          <w:rFonts w:ascii="Arial" w:cs="Arial" w:eastAsia="Arial" w:hAnsi="Arial"/>
          <w:sz w:val="16"/>
          <w:szCs w:val="16"/>
          <w:color w:val="0071CE"/>
        </w:rPr>
      </w:pPr>
    </w:p>
    <w:p>
      <w:pPr>
        <w:ind w:left="420" w:hanging="210"/>
        <w:spacing w:after="0" w:line="268" w:lineRule="auto"/>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a clawback policy allowing the Company to recover compensation from any executive officer should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determine that a material misstatement of the Company’s financial statements was due to fraud, negligence, or intentional misconduct by any executive officer of the Company.</w:t>
      </w:r>
    </w:p>
    <w:p>
      <w:pPr>
        <w:spacing w:after="0" w:line="71" w:lineRule="exact"/>
        <w:rPr>
          <w:rFonts w:ascii="Arial" w:cs="Arial" w:eastAsia="Arial" w:hAnsi="Arial"/>
          <w:sz w:val="16"/>
          <w:szCs w:val="16"/>
          <w:color w:val="0071CE"/>
        </w:rPr>
      </w:pPr>
    </w:p>
    <w:p>
      <w:pPr>
        <w:ind w:left="420" w:right="140" w:hanging="210"/>
        <w:spacing w:after="0" w:line="291" w:lineRule="auto"/>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Ownership Guidelines </w:t>
      </w:r>
      <w:r>
        <w:rPr>
          <w:rFonts w:ascii="Arial" w:cs="Arial" w:eastAsia="Arial" w:hAnsi="Arial"/>
          <w:sz w:val="16"/>
          <w:szCs w:val="16"/>
          <w:color w:val="auto"/>
        </w:rPr>
        <w:t>— Maintained the achievement of stock ownership guidelines of six times his annual base salary for our CEO and twice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base salary for our COO and CFO.</w:t>
      </w:r>
    </w:p>
    <w:p>
      <w:pPr>
        <w:spacing w:after="0" w:line="52" w:lineRule="exact"/>
        <w:rPr>
          <w:rFonts w:ascii="Arial" w:cs="Arial" w:eastAsia="Arial" w:hAnsi="Arial"/>
          <w:sz w:val="16"/>
          <w:szCs w:val="16"/>
          <w:color w:val="0071CE"/>
        </w:rPr>
      </w:pPr>
    </w:p>
    <w:p>
      <w:pPr>
        <w:jc w:val="both"/>
        <w:ind w:left="420" w:right="380" w:hanging="210"/>
        <w:spacing w:after="0" w:line="268" w:lineRule="auto"/>
        <w:tabs>
          <w:tab w:leader="none" w:pos="420" w:val="left"/>
        </w:tabs>
        <w:numPr>
          <w:ilvl w:val="0"/>
          <w:numId w:val="28"/>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74295</wp:posOffset>
            </wp:positionV>
            <wp:extent cx="984885" cy="205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16</w:t>
      </w:r>
    </w:p>
    <w:p>
      <w:pPr>
        <w:sectPr>
          <w:pgSz w:w="11900" w:h="16838" w:orient="portrait"/>
          <w:cols w:equalWidth="0" w:num="1">
            <w:col w:w="11220"/>
          </w:cols>
          <w:pgMar w:left="24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Advisory Vote to Approve Named Executive Officer Compensation</w:t>
      </w:r>
    </w:p>
    <w:p>
      <w:pPr>
        <w:spacing w:after="0" w:line="106"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At our 2018 Annual Meeting of Stockholders in March 2018, we conducted a non-binding stockholder advisory vote to approve the compensation of our Named Executive Officers (commonly known as a “Say-on-Pay” vote). Our stockholders approved the Say-on-Pay proposal with approximately 93% of the votes cast in favor of the proposal. Based on the vote and feedback from our stockholders, we attribute the increase in the votes cast in favor primarily to the following factors:</w:t>
      </w:r>
    </w:p>
    <w:p>
      <w:pPr>
        <w:spacing w:after="0" w:line="76" w:lineRule="exact"/>
        <w:rPr>
          <w:sz w:val="20"/>
          <w:szCs w:val="20"/>
          <w:color w:val="auto"/>
        </w:rPr>
      </w:pPr>
    </w:p>
    <w:p>
      <w:pPr>
        <w:ind w:left="420" w:hanging="210"/>
        <w:spacing w:after="0"/>
        <w:tabs>
          <w:tab w:leader="none" w:pos="42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Adoption of 100% performance-based equity awards for our CEO which is preferred by stockholders and unusual in our peer group;</w:t>
      </w:r>
    </w:p>
    <w:p>
      <w:pPr>
        <w:spacing w:after="0" w:line="126" w:lineRule="exact"/>
        <w:rPr>
          <w:rFonts w:ascii="Arial" w:cs="Arial" w:eastAsia="Arial" w:hAnsi="Arial"/>
          <w:sz w:val="16"/>
          <w:szCs w:val="16"/>
          <w:color w:val="0071CE"/>
        </w:rPr>
      </w:pPr>
    </w:p>
    <w:p>
      <w:pPr>
        <w:ind w:left="420" w:right="160" w:hanging="210"/>
        <w:spacing w:after="0" w:line="291" w:lineRule="auto"/>
        <w:tabs>
          <w:tab w:leader="none" w:pos="42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Adjustments in our compensation practices including adoption of minimum vesting requirements; compensation recovery (“clawback”) policy, double-trigger acceleration of equity awards for our CEO; and stock ownership guidelines for our CEO and CFO,</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Achievement of aggressive corporate goals in 2017 and 2018;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29"/>
        </w:numPr>
        <w:rPr>
          <w:rFonts w:ascii="Arial" w:cs="Arial" w:eastAsia="Arial" w:hAnsi="Arial"/>
          <w:sz w:val="16"/>
          <w:szCs w:val="16"/>
          <w:color w:val="0071CE"/>
        </w:rPr>
      </w:pPr>
      <w:r>
        <w:rPr>
          <w:rFonts w:ascii="Arial" w:cs="Arial" w:eastAsia="Arial" w:hAnsi="Arial"/>
          <w:sz w:val="16"/>
          <w:szCs w:val="16"/>
          <w:color w:val="auto"/>
        </w:rPr>
        <w:t>Substantial increases in market capitalization and TSR in 2017 and 2018.</w:t>
      </w:r>
    </w:p>
    <w:p>
      <w:pPr>
        <w:spacing w:after="0" w:line="221" w:lineRule="exact"/>
        <w:rPr>
          <w:sz w:val="20"/>
          <w:szCs w:val="20"/>
          <w:color w:val="auto"/>
        </w:rPr>
      </w:pPr>
    </w:p>
    <w:p>
      <w:pPr>
        <w:ind w:left="220" w:right="340"/>
        <w:spacing w:after="0" w:line="261" w:lineRule="auto"/>
        <w:rPr>
          <w:sz w:val="20"/>
          <w:szCs w:val="20"/>
          <w:color w:val="auto"/>
        </w:rPr>
      </w:pPr>
      <w:r>
        <w:rPr>
          <w:rFonts w:ascii="Arial" w:cs="Arial" w:eastAsia="Arial" w:hAnsi="Arial"/>
          <w:sz w:val="16"/>
          <w:szCs w:val="16"/>
          <w:color w:val="auto"/>
        </w:rPr>
        <w:t>In 2018, we continued our stockholder engagement program, reaching out to our top 20 institutional stockholders beneficially owning over 50% of our outstanding common stock to solicit their views and concerns and reviewed the feedback and policies of ISS. Based on this review, as well as our commitment to good corporate governance, the Compensation Committee continued the above mentioned practices for the executive compensation review in 2018.</w:t>
      </w:r>
    </w:p>
    <w:p>
      <w:pPr>
        <w:spacing w:after="0" w:line="171" w:lineRule="exact"/>
        <w:rPr>
          <w:sz w:val="20"/>
          <w:szCs w:val="20"/>
          <w:color w:val="auto"/>
        </w:rPr>
      </w:pPr>
    </w:p>
    <w:p>
      <w:pPr>
        <w:ind w:left="220" w:right="260"/>
        <w:spacing w:after="0" w:line="268" w:lineRule="auto"/>
        <w:rPr>
          <w:sz w:val="20"/>
          <w:szCs w:val="20"/>
          <w:color w:val="auto"/>
        </w:rPr>
      </w:pPr>
      <w:r>
        <w:rPr>
          <w:rFonts w:ascii="Arial" w:cs="Arial" w:eastAsia="Arial" w:hAnsi="Arial"/>
          <w:sz w:val="16"/>
          <w:szCs w:val="16"/>
          <w:color w:val="auto"/>
        </w:rPr>
        <w:t>Additionally, we received communications from California-based public pension funds on governance topics, including board diversity. In response, the Nominating Committee recommitted to including diverse candidates in future board searches and adopted corresponding changes to the Nominating Committee Charter available on the Company’s website.</w:t>
      </w:r>
    </w:p>
    <w:p>
      <w:pPr>
        <w:spacing w:after="0" w:line="166" w:lineRule="exact"/>
        <w:rPr>
          <w:sz w:val="20"/>
          <w:szCs w:val="20"/>
          <w:color w:val="auto"/>
        </w:rPr>
      </w:pPr>
    </w:p>
    <w:p>
      <w:pPr>
        <w:jc w:val="both"/>
        <w:ind w:left="220" w:right="60"/>
        <w:spacing w:after="0" w:line="268"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Pay-for-Performance Analysis</w:t>
      </w:r>
    </w:p>
    <w:p>
      <w:pPr>
        <w:spacing w:after="0" w:line="106" w:lineRule="exact"/>
        <w:rPr>
          <w:sz w:val="20"/>
          <w:szCs w:val="20"/>
          <w:color w:val="auto"/>
        </w:rPr>
      </w:pPr>
    </w:p>
    <w:p>
      <w:pPr>
        <w:ind w:left="220" w:right="260"/>
        <w:spacing w:after="0" w:line="26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significant portion of our executive officers’ target annual total direct compensation opportunity is both performance-based and “at-risk.”</w:t>
      </w:r>
    </w:p>
    <w:p>
      <w:pPr>
        <w:spacing w:after="0" w:line="171" w:lineRule="exact"/>
        <w:rPr>
          <w:sz w:val="20"/>
          <w:szCs w:val="20"/>
          <w:color w:val="auto"/>
        </w:rPr>
      </w:pPr>
    </w:p>
    <w:p>
      <w:pPr>
        <w:ind w:left="220" w:right="100"/>
        <w:spacing w:after="0" w:line="291"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Named Executive Officers, through two separate compensation elements:</w:t>
      </w:r>
    </w:p>
    <w:p>
      <w:pPr>
        <w:spacing w:after="0" w:line="53" w:lineRule="exact"/>
        <w:rPr>
          <w:sz w:val="20"/>
          <w:szCs w:val="20"/>
          <w:color w:val="auto"/>
        </w:rPr>
      </w:pPr>
    </w:p>
    <w:p>
      <w:pPr>
        <w:ind w:left="420" w:right="320" w:hanging="210"/>
        <w:spacing w:after="0" w:line="291" w:lineRule="auto"/>
        <w:tabs>
          <w:tab w:leader="none" w:pos="42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they produce short-term financial, operational, and strategic results that meet or exceed the objectives set forth each year in our annual operating plan.</w:t>
      </w:r>
    </w:p>
    <w:p>
      <w:pPr>
        <w:spacing w:after="0" w:line="52" w:lineRule="exact"/>
        <w:rPr>
          <w:rFonts w:ascii="Arial" w:cs="Arial" w:eastAsia="Arial" w:hAnsi="Arial"/>
          <w:sz w:val="16"/>
          <w:szCs w:val="16"/>
          <w:color w:val="0071CE"/>
        </w:rPr>
      </w:pPr>
    </w:p>
    <w:p>
      <w:pPr>
        <w:ind w:left="420" w:right="40" w:hanging="210"/>
        <w:spacing w:after="0" w:line="261" w:lineRule="auto"/>
        <w:tabs>
          <w:tab w:leader="none" w:pos="420" w:val="left"/>
        </w:tabs>
        <w:numPr>
          <w:ilvl w:val="0"/>
          <w:numId w:val="30"/>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For our CEO in fiscal 2018, this awards is to be earned based entirely on the achievement of pre-established corporate performance objectives which are both challenging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77470</wp:posOffset>
            </wp:positionV>
            <wp:extent cx="98488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17</w:t>
      </w:r>
    </w:p>
    <w:p>
      <w:pPr>
        <w:sectPr>
          <w:pgSz w:w="11900" w:h="16838" w:orient="portrait"/>
          <w:cols w:equalWidth="0" w:num="1">
            <w:col w:w="11220"/>
          </w:cols>
          <w:pgMar w:left="24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pay mix for our CEO for each of the last three fiscal years illustrates the ongoing emphasis on our performance-based compensation philosophy</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170180</wp:posOffset>
            </wp:positionV>
            <wp:extent cx="5730875" cy="1473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30875" cy="147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partner with strategic collaborators to bring them to market. Consequently, the Compensation Committee strives to incent our executive officers to create that value through a robust and attractive pipeline of drug candidates. As a result, our executive compensation program is designed to provide incentives that facilitate these efforts. Particularly for our CEO, the Compensation Committee has awarded performance milestone-based equity awards directly linked to goals that promote the development of our pipeline and other related business and market-based objectives. The Compensation Committee closely tracks the progress against these objectives to monitor our success over each product’s development period and evaluates our executive officers primarily on that progress.</w:t>
      </w:r>
    </w:p>
    <w:p>
      <w:pPr>
        <w:spacing w:after="0" w:line="180" w:lineRule="exact"/>
        <w:rPr>
          <w:sz w:val="20"/>
          <w:szCs w:val="20"/>
          <w:color w:val="auto"/>
        </w:rPr>
      </w:pPr>
    </w:p>
    <w:p>
      <w:pPr>
        <w:ind w:left="220"/>
        <w:spacing w:after="0" w:line="268"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74295</wp:posOffset>
            </wp:positionV>
            <wp:extent cx="98488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18</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06" w:lineRule="exact"/>
        <w:rPr>
          <w:sz w:val="20"/>
          <w:szCs w:val="20"/>
          <w:color w:val="auto"/>
        </w:rPr>
      </w:pPr>
    </w:p>
    <w:p>
      <w:pPr>
        <w:ind w:left="220" w:right="40"/>
        <w:spacing w:after="0" w:line="26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137160</wp:posOffset>
            </wp:positionV>
            <wp:extent cx="698944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263" w:lineRule="exact"/>
        <w:rPr>
          <w:sz w:val="20"/>
          <w:szCs w:val="20"/>
          <w:color w:val="auto"/>
        </w:rPr>
      </w:pPr>
    </w:p>
    <w:p>
      <w:pPr>
        <w:jc w:val="center"/>
        <w:ind w:left="200"/>
        <w:spacing w:after="0"/>
        <w:rPr>
          <w:sz w:val="20"/>
          <w:szCs w:val="20"/>
          <w:color w:val="auto"/>
        </w:rPr>
      </w:pPr>
      <w:r>
        <w:rPr>
          <w:rFonts w:ascii="Arial" w:cs="Arial" w:eastAsia="Arial" w:hAnsi="Arial"/>
          <w:sz w:val="16"/>
          <w:szCs w:val="16"/>
          <w:b w:val="1"/>
          <w:bCs w:val="1"/>
          <w:color w:val="FFFFFF"/>
        </w:rPr>
        <w:t>WHAT WE DO</w:t>
      </w:r>
    </w:p>
    <w:p>
      <w:pPr>
        <w:spacing w:after="0" w:line="32" w:lineRule="exact"/>
        <w:rPr>
          <w:sz w:val="20"/>
          <w:szCs w:val="20"/>
          <w:color w:val="auto"/>
        </w:rPr>
      </w:pPr>
    </w:p>
    <w:p>
      <w:pPr>
        <w:ind w:left="520" w:right="500" w:hanging="233"/>
        <w:spacing w:after="0" w:line="268"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Maintain an Independent Compensation Committee. </w:t>
      </w:r>
      <w:r>
        <w:rPr>
          <w:rFonts w:ascii="Arial" w:cs="Arial" w:eastAsia="Arial" w:hAnsi="Arial"/>
          <w:sz w:val="15"/>
          <w:szCs w:val="15"/>
          <w:color w:val="000000"/>
        </w:rPr>
        <w:t>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Committee consists solely of independent directors.</w:t>
      </w:r>
    </w:p>
    <w:p>
      <w:pPr>
        <w:spacing w:after="0" w:line="70" w:lineRule="exact"/>
        <w:rPr>
          <w:rFonts w:ascii="MS PGothic" w:cs="MS PGothic" w:eastAsia="MS PGothic" w:hAnsi="MS PGothic"/>
          <w:sz w:val="15"/>
          <w:szCs w:val="15"/>
          <w:color w:val="0071CE"/>
        </w:rPr>
      </w:pPr>
    </w:p>
    <w:p>
      <w:pPr>
        <w:ind w:left="520" w:right="80" w:hanging="233"/>
        <w:spacing w:after="0" w:line="241"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Retain an Independent Compensation Advisor. </w:t>
      </w:r>
      <w:r>
        <w:rPr>
          <w:rFonts w:ascii="Arial" w:cs="Arial" w:eastAsia="Arial" w:hAnsi="Arial"/>
          <w:sz w:val="15"/>
          <w:szCs w:val="15"/>
          <w:color w:val="000000"/>
        </w:rPr>
        <w:t>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engaged its own compensation advisor to provide information and analysis with its 2018 compensation review, and other advice on executive compensation independent of management. This consultant performed no consulting or other services for us in 2018.</w:t>
      </w:r>
    </w:p>
    <w:p>
      <w:pPr>
        <w:spacing w:after="0" w:line="91" w:lineRule="exact"/>
        <w:rPr>
          <w:rFonts w:ascii="MS PGothic" w:cs="MS PGothic" w:eastAsia="MS PGothic" w:hAnsi="MS PGothic"/>
          <w:sz w:val="15"/>
          <w:szCs w:val="15"/>
          <w:color w:val="0071CE"/>
        </w:rPr>
      </w:pPr>
    </w:p>
    <w:p>
      <w:pPr>
        <w:ind w:left="520" w:right="40" w:hanging="233"/>
        <w:spacing w:after="0" w:line="235" w:lineRule="auto"/>
        <w:tabs>
          <w:tab w:leader="none" w:pos="513"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Annual Executive Compensation Review</w:t>
      </w:r>
      <w:r>
        <w:rPr>
          <w:rFonts w:ascii="Arial" w:cs="Arial" w:eastAsia="Arial" w:hAnsi="Arial"/>
          <w:sz w:val="15"/>
          <w:szCs w:val="15"/>
          <w:color w:val="000000"/>
        </w:rPr>
        <w:t>. The Compensation</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92" w:lineRule="exact"/>
        <w:rPr>
          <w:rFonts w:ascii="MS PGothic" w:cs="MS PGothic" w:eastAsia="MS PGothic" w:hAnsi="MS PGothic"/>
          <w:sz w:val="15"/>
          <w:szCs w:val="15"/>
          <w:color w:val="0071CE"/>
        </w:rPr>
      </w:pPr>
    </w:p>
    <w:p>
      <w:pPr>
        <w:ind w:left="520" w:hanging="233"/>
        <w:spacing w:after="0" w:line="247"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Compensation At-Risk</w:t>
      </w:r>
      <w:r>
        <w:rPr>
          <w:rFonts w:ascii="Arial" w:cs="Arial" w:eastAsia="Arial" w:hAnsi="Arial"/>
          <w:sz w:val="15"/>
          <w:szCs w:val="15"/>
          <w:color w:val="000000"/>
        </w:rPr>
        <w:t>. Our executive compensation program is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designed so that a significant portion of compensation is “at risk” based on our performance, as well as short-term cash and long-term equity incentives to align the interests of our executive officers and stockholders.</w:t>
      </w:r>
    </w:p>
    <w:p>
      <w:pPr>
        <w:spacing w:after="0" w:line="85" w:lineRule="exact"/>
        <w:rPr>
          <w:rFonts w:ascii="MS PGothic" w:cs="MS PGothic" w:eastAsia="MS PGothic" w:hAnsi="MS PGothic"/>
          <w:sz w:val="15"/>
          <w:szCs w:val="15"/>
          <w:color w:val="0071CE"/>
        </w:rPr>
      </w:pPr>
    </w:p>
    <w:p>
      <w:pPr>
        <w:ind w:left="520" w:right="20" w:hanging="233"/>
        <w:spacing w:after="0" w:line="258"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Stock Ownership Policy. </w:t>
      </w:r>
      <w:r>
        <w:rPr>
          <w:rFonts w:ascii="Arial" w:cs="Arial" w:eastAsia="Arial" w:hAnsi="Arial"/>
          <w:sz w:val="15"/>
          <w:szCs w:val="15"/>
          <w:color w:val="000000"/>
        </w:rPr>
        <w:t>We maintain a stock ownership policy that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requires our CEO, COO, and CFO to maintain a minimum ownership level of our common stock.</w:t>
      </w:r>
    </w:p>
    <w:p>
      <w:pPr>
        <w:spacing w:after="0" w:line="77" w:lineRule="exact"/>
        <w:rPr>
          <w:rFonts w:ascii="MS PGothic" w:cs="MS PGothic" w:eastAsia="MS PGothic" w:hAnsi="MS PGothic"/>
          <w:sz w:val="15"/>
          <w:szCs w:val="15"/>
          <w:color w:val="0071CE"/>
        </w:rPr>
      </w:pPr>
    </w:p>
    <w:p>
      <w:pPr>
        <w:ind w:left="520" w:right="120" w:hanging="233"/>
        <w:spacing w:after="0" w:line="241"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Compensation Recovery (“Clawback”) Policy. </w:t>
      </w:r>
      <w:r>
        <w:rPr>
          <w:rFonts w:ascii="Arial" w:cs="Arial" w:eastAsia="Arial" w:hAnsi="Arial"/>
          <w:sz w:val="15"/>
          <w:szCs w:val="15"/>
          <w:color w:val="000000"/>
        </w:rPr>
        <w:t>We have established a</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clawback policy allowing the Company to recover compensation should the Board determine that a material misstatement of the Company’s financial statements was due to fraud, negligence, or intentional misconduct by any executive officer of the Company.</w:t>
      </w:r>
    </w:p>
    <w:p>
      <w:pPr>
        <w:spacing w:after="0" w:line="93" w:lineRule="exact"/>
        <w:rPr>
          <w:rFonts w:ascii="MS PGothic" w:cs="MS PGothic" w:eastAsia="MS PGothic" w:hAnsi="MS PGothic"/>
          <w:sz w:val="15"/>
          <w:szCs w:val="15"/>
          <w:color w:val="0071CE"/>
        </w:rPr>
      </w:pPr>
    </w:p>
    <w:p>
      <w:pPr>
        <w:ind w:left="520" w:right="120" w:hanging="233"/>
        <w:spacing w:after="0" w:line="256"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Conduct an Annual Stockholder Advisory Vote on NEO Compensation. </w:t>
      </w:r>
      <w:r>
        <w:rPr>
          <w:rFonts w:ascii="Arial" w:cs="Arial" w:eastAsia="Arial" w:hAnsi="Arial"/>
          <w:sz w:val="15"/>
          <w:szCs w:val="15"/>
          <w:color w:val="000000"/>
        </w:rPr>
        <w:t>We conduct an annual stockholder advisory vote on the</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of our Named Executive Officers.</w:t>
      </w:r>
    </w:p>
    <w:p>
      <w:pPr>
        <w:spacing w:after="0" w:line="80" w:lineRule="exact"/>
        <w:rPr>
          <w:rFonts w:ascii="MS PGothic" w:cs="MS PGothic" w:eastAsia="MS PGothic" w:hAnsi="MS PGothic"/>
          <w:sz w:val="15"/>
          <w:szCs w:val="15"/>
          <w:color w:val="0071CE"/>
        </w:rPr>
      </w:pPr>
    </w:p>
    <w:p>
      <w:pPr>
        <w:ind w:left="520" w:right="160" w:hanging="233"/>
        <w:spacing w:after="0" w:line="236"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Use a Pay-for-Performance Philosophy. </w:t>
      </w:r>
      <w:r>
        <w:rPr>
          <w:rFonts w:ascii="Arial" w:cs="Arial" w:eastAsia="Arial" w:hAnsi="Arial"/>
          <w:sz w:val="15"/>
          <w:szCs w:val="15"/>
          <w:color w:val="000000"/>
        </w:rPr>
        <w:t>The majority of our CEO’s</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compensation is directly linked to corporate performance; we also structure target total direct compensation opportunities with a significant long-term equity component, thereby making a substantial portion of the CEO’s and each additional executive officer’s target total direct compensation dependent upon our stock price and/or total stockholder return.</w:t>
      </w:r>
    </w:p>
    <w:p>
      <w:pPr>
        <w:spacing w:after="0" w:line="94" w:lineRule="exact"/>
        <w:rPr>
          <w:rFonts w:ascii="MS PGothic" w:cs="MS PGothic" w:eastAsia="MS PGothic" w:hAnsi="MS PGothic"/>
          <w:sz w:val="15"/>
          <w:szCs w:val="15"/>
          <w:color w:val="0071CE"/>
        </w:rPr>
      </w:pPr>
    </w:p>
    <w:p>
      <w:pPr>
        <w:ind w:left="520" w:right="120" w:hanging="233"/>
        <w:spacing w:after="0" w:line="238" w:lineRule="auto"/>
        <w:tabs>
          <w:tab w:leader="none" w:pos="519" w:val="left"/>
        </w:tabs>
        <w:numPr>
          <w:ilvl w:val="0"/>
          <w:numId w:val="31"/>
        </w:numPr>
        <w:rPr>
          <w:rFonts w:ascii="MS PGothic" w:cs="MS PGothic" w:eastAsia="MS PGothic" w:hAnsi="MS PGothic"/>
          <w:sz w:val="15"/>
          <w:szCs w:val="15"/>
          <w:color w:val="0071CE"/>
        </w:rPr>
      </w:pPr>
      <w:r>
        <w:rPr>
          <w:rFonts w:ascii="Arial" w:cs="Arial" w:eastAsia="Arial" w:hAnsi="Arial"/>
          <w:sz w:val="15"/>
          <w:szCs w:val="15"/>
          <w:b w:val="1"/>
          <w:bCs w:val="1"/>
          <w:i w:val="1"/>
          <w:iCs w:val="1"/>
          <w:color w:val="0071CE"/>
        </w:rPr>
        <w:t xml:space="preserve">“Double Trigger” Feature for Acceleration of CEO Equity Awards </w:t>
      </w:r>
      <w:r>
        <w:rPr>
          <w:rFonts w:ascii="Arial" w:cs="Arial" w:eastAsia="Arial" w:hAnsi="Arial"/>
          <w:sz w:val="15"/>
          <w:szCs w:val="15"/>
          <w:color w:val="000000"/>
        </w:rPr>
        <w:t>—</w:t>
      </w:r>
      <w:r>
        <w:rPr>
          <w:rFonts w:ascii="Arial" w:cs="Arial" w:eastAsia="Arial" w:hAnsi="Arial"/>
          <w:sz w:val="15"/>
          <w:szCs w:val="15"/>
          <w:b w:val="1"/>
          <w:bCs w:val="1"/>
          <w:i w:val="1"/>
          <w:iCs w:val="1"/>
          <w:color w:val="0071CE"/>
        </w:rPr>
        <w:t xml:space="preserve"> </w:t>
      </w:r>
      <w:r>
        <w:rPr>
          <w:rFonts w:ascii="Arial" w:cs="Arial" w:eastAsia="Arial" w:hAnsi="Arial"/>
          <w:sz w:val="15"/>
          <w:szCs w:val="15"/>
          <w:color w:val="000000"/>
        </w:rPr>
        <w:t>The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(a“double-trigger”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91440</wp:posOffset>
            </wp:positionV>
            <wp:extent cx="98488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1801"/>
        <w:spacing w:after="0"/>
        <w:rPr>
          <w:sz w:val="20"/>
          <w:szCs w:val="20"/>
          <w:color w:val="auto"/>
        </w:rPr>
      </w:pPr>
      <w:r>
        <w:rPr>
          <w:rFonts w:ascii="Arial" w:cs="Arial" w:eastAsia="Arial" w:hAnsi="Arial"/>
          <w:sz w:val="16"/>
          <w:szCs w:val="16"/>
          <w:b w:val="1"/>
          <w:bCs w:val="1"/>
          <w:color w:val="FFFFFF"/>
        </w:rPr>
        <w:t>WHAT WE DON’T DO</w:t>
      </w:r>
    </w:p>
    <w:p>
      <w:pPr>
        <w:spacing w:after="0" w:line="22" w:lineRule="exact"/>
        <w:rPr>
          <w:sz w:val="20"/>
          <w:szCs w:val="20"/>
          <w:color w:val="auto"/>
        </w:rPr>
      </w:pPr>
    </w:p>
    <w:p>
      <w:pPr>
        <w:ind w:left="221" w:right="100" w:hanging="221"/>
        <w:spacing w:after="0" w:line="236" w:lineRule="auto"/>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No Executive Retirement Plans</w:t>
      </w:r>
      <w:r>
        <w:rPr>
          <w:rFonts w:ascii="Arial" w:cs="Arial" w:eastAsia="Arial" w:hAnsi="Arial"/>
          <w:sz w:val="15"/>
          <w:szCs w:val="15"/>
          <w:color w:val="000000"/>
        </w:rPr>
        <w:t>. We do not offer pension arrangements</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or retirement plans or arrangements to our executive officers that are different from or in addition to those offered to our other employees.</w:t>
      </w:r>
    </w:p>
    <w:p>
      <w:pPr>
        <w:spacing w:after="0" w:line="77" w:lineRule="exact"/>
        <w:rPr>
          <w:rFonts w:ascii="Times New Roman" w:cs="Times New Roman" w:eastAsia="Times New Roman" w:hAnsi="Times New Roman"/>
          <w:sz w:val="15"/>
          <w:szCs w:val="15"/>
          <w:i w:val="1"/>
          <w:iCs w:val="1"/>
          <w:color w:val="3FAE2A"/>
        </w:rPr>
      </w:pPr>
    </w:p>
    <w:p>
      <w:pPr>
        <w:ind w:left="221" w:hanging="221"/>
        <w:spacing w:after="0" w:line="271" w:lineRule="auto"/>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Perquisites. </w:t>
      </w:r>
      <w:r>
        <w:rPr>
          <w:rFonts w:ascii="Arial" w:cs="Arial" w:eastAsia="Arial" w:hAnsi="Arial"/>
          <w:sz w:val="15"/>
          <w:szCs w:val="15"/>
          <w:color w:val="000000"/>
        </w:rPr>
        <w:t>Currently, we do not provide perquisites or other personal</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benefits to our executive officers.</w:t>
      </w:r>
    </w:p>
    <w:p>
      <w:pPr>
        <w:spacing w:after="0" w:line="54" w:lineRule="exact"/>
        <w:rPr>
          <w:rFonts w:ascii="Times New Roman" w:cs="Times New Roman" w:eastAsia="Times New Roman" w:hAnsi="Times New Roman"/>
          <w:sz w:val="15"/>
          <w:szCs w:val="15"/>
          <w:i w:val="1"/>
          <w:iCs w:val="1"/>
          <w:color w:val="3FAE2A"/>
        </w:rPr>
      </w:pPr>
    </w:p>
    <w:p>
      <w:pPr>
        <w:ind w:left="221" w:right="20" w:hanging="221"/>
        <w:spacing w:after="0"/>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Special Welfare or Health Benefits. </w:t>
      </w:r>
      <w:r>
        <w:rPr>
          <w:rFonts w:ascii="Arial" w:cs="Arial" w:eastAsia="Arial" w:hAnsi="Arial"/>
          <w:sz w:val="15"/>
          <w:szCs w:val="15"/>
          <w:color w:val="000000"/>
        </w:rPr>
        <w:t>Our executive officers participate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in broad-based Company-sponsored health and welfare benefits programs on the same basis as our other full-time, salaried employees, except for a premium for life insurance for our CEO.</w:t>
      </w:r>
    </w:p>
    <w:p>
      <w:pPr>
        <w:spacing w:after="0" w:line="78" w:lineRule="exact"/>
        <w:rPr>
          <w:rFonts w:ascii="Times New Roman" w:cs="Times New Roman" w:eastAsia="Times New Roman" w:hAnsi="Times New Roman"/>
          <w:sz w:val="15"/>
          <w:szCs w:val="15"/>
          <w:i w:val="1"/>
          <w:iCs w:val="1"/>
          <w:color w:val="3FAE2A"/>
        </w:rPr>
      </w:pPr>
    </w:p>
    <w:p>
      <w:pPr>
        <w:ind w:left="221" w:right="180" w:hanging="221"/>
        <w:spacing w:after="0" w:line="248" w:lineRule="auto"/>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Post-Employment Tax Payment Reimbursement. </w:t>
      </w:r>
      <w:r>
        <w:rPr>
          <w:rFonts w:ascii="Arial" w:cs="Arial" w:eastAsia="Arial" w:hAnsi="Arial"/>
          <w:sz w:val="15"/>
          <w:szCs w:val="15"/>
          <w:color w:val="000000"/>
        </w:rPr>
        <w:t>We do not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provide any tax reimbursement payments (including “gross-ups”) on any severance or change-in-control payments or benefits.</w:t>
      </w:r>
    </w:p>
    <w:p>
      <w:pPr>
        <w:spacing w:after="0" w:line="71" w:lineRule="exact"/>
        <w:rPr>
          <w:rFonts w:ascii="Times New Roman" w:cs="Times New Roman" w:eastAsia="Times New Roman" w:hAnsi="Times New Roman"/>
          <w:sz w:val="15"/>
          <w:szCs w:val="15"/>
          <w:i w:val="1"/>
          <w:iCs w:val="1"/>
          <w:color w:val="3FAE2A"/>
        </w:rPr>
      </w:pPr>
    </w:p>
    <w:p>
      <w:pPr>
        <w:ind w:left="221" w:right="200" w:hanging="221"/>
        <w:spacing w:after="0"/>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Hedging and Limit on Pledging of Our Equity Securities. </w:t>
      </w:r>
      <w:r>
        <w:rPr>
          <w:rFonts w:ascii="Arial" w:cs="Arial" w:eastAsia="Arial" w:hAnsi="Arial"/>
          <w:sz w:val="15"/>
          <w:szCs w:val="15"/>
          <w:color w:val="000000"/>
        </w:rPr>
        <w:t>We</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prohibit our executive officers and the non-employee members of our Board from hedging our equity securities. Executive officers may pledge up to 50% of owned and vested shares with the approval of the Board.</w:t>
      </w:r>
    </w:p>
    <w:p>
      <w:pPr>
        <w:spacing w:after="0" w:line="80" w:lineRule="exact"/>
        <w:rPr>
          <w:rFonts w:ascii="Times New Roman" w:cs="Times New Roman" w:eastAsia="Times New Roman" w:hAnsi="Times New Roman"/>
          <w:sz w:val="15"/>
          <w:szCs w:val="15"/>
          <w:i w:val="1"/>
          <w:iCs w:val="1"/>
          <w:color w:val="3FAE2A"/>
        </w:rPr>
      </w:pPr>
    </w:p>
    <w:p>
      <w:pPr>
        <w:ind w:left="221" w:right="200" w:hanging="221"/>
        <w:spacing w:after="0" w:line="246" w:lineRule="auto"/>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Dividends or Dividend Equivalents Payable on Unvested Equity Awards. </w:t>
      </w:r>
      <w:r>
        <w:rPr>
          <w:rFonts w:ascii="Arial" w:cs="Arial" w:eastAsia="Arial" w:hAnsi="Arial"/>
          <w:sz w:val="15"/>
          <w:szCs w:val="15"/>
          <w:color w:val="000000"/>
        </w:rPr>
        <w:t>We do not pay dividends or dividend equivalents on unvested</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RSU awards or PRSU awards.</w:t>
      </w:r>
    </w:p>
    <w:p>
      <w:pPr>
        <w:spacing w:after="0" w:line="73" w:lineRule="exact"/>
        <w:rPr>
          <w:rFonts w:ascii="Times New Roman" w:cs="Times New Roman" w:eastAsia="Times New Roman" w:hAnsi="Times New Roman"/>
          <w:sz w:val="15"/>
          <w:szCs w:val="15"/>
          <w:i w:val="1"/>
          <w:iCs w:val="1"/>
          <w:color w:val="3FAE2A"/>
        </w:rPr>
      </w:pPr>
    </w:p>
    <w:p>
      <w:pPr>
        <w:ind w:left="221" w:right="80" w:hanging="221"/>
        <w:spacing w:after="0" w:line="248" w:lineRule="auto"/>
        <w:tabs>
          <w:tab w:leader="none" w:pos="233" w:val="left"/>
        </w:tabs>
        <w:numPr>
          <w:ilvl w:val="0"/>
          <w:numId w:val="32"/>
        </w:numPr>
        <w:rPr>
          <w:rFonts w:ascii="Times New Roman" w:cs="Times New Roman" w:eastAsia="Times New Roman" w:hAnsi="Times New Roman"/>
          <w:sz w:val="15"/>
          <w:szCs w:val="15"/>
          <w:i w:val="1"/>
          <w:iCs w:val="1"/>
          <w:color w:val="3FAE2A"/>
        </w:rPr>
      </w:pPr>
      <w:r>
        <w:rPr>
          <w:rFonts w:ascii="Arial" w:cs="Arial" w:eastAsia="Arial" w:hAnsi="Arial"/>
          <w:sz w:val="15"/>
          <w:szCs w:val="15"/>
          <w:b w:val="1"/>
          <w:bCs w:val="1"/>
          <w:i w:val="1"/>
          <w:iCs w:val="1"/>
          <w:color w:val="3FAE2A"/>
        </w:rPr>
        <w:t xml:space="preserve">No Stock Option Re-pricing. </w:t>
      </w:r>
      <w:r>
        <w:rPr>
          <w:rFonts w:ascii="Arial" w:cs="Arial" w:eastAsia="Arial" w:hAnsi="Arial"/>
          <w:sz w:val="15"/>
          <w:szCs w:val="15"/>
          <w:color w:val="000000"/>
        </w:rPr>
        <w:t>Our employee stock plan does not permit</w:t>
      </w:r>
      <w:r>
        <w:rPr>
          <w:rFonts w:ascii="Arial" w:cs="Arial" w:eastAsia="Arial" w:hAnsi="Arial"/>
          <w:sz w:val="15"/>
          <w:szCs w:val="15"/>
          <w:b w:val="1"/>
          <w:bCs w:val="1"/>
          <w:i w:val="1"/>
          <w:iCs w:val="1"/>
          <w:color w:val="3FAE2A"/>
        </w:rPr>
        <w:t xml:space="preserve"> </w:t>
      </w:r>
      <w:r>
        <w:rPr>
          <w:rFonts w:ascii="Arial" w:cs="Arial" w:eastAsia="Arial" w:hAnsi="Arial"/>
          <w:sz w:val="15"/>
          <w:szCs w:val="15"/>
          <w:color w:val="000000"/>
        </w:rPr>
        <w:t>options to purchase shares of our common stock to be repriced to a lower exercise or strike price without the approval of our stockholders.</w:t>
      </w:r>
    </w:p>
    <w:p>
      <w:pPr>
        <w:spacing w:after="0" w:line="4049" w:lineRule="exact"/>
        <w:rPr>
          <w:sz w:val="20"/>
          <w:szCs w:val="20"/>
          <w:color w:val="auto"/>
        </w:rPr>
      </w:pPr>
    </w:p>
    <w:p>
      <w:pPr>
        <w:sectPr>
          <w:pgSz w:w="11900" w:h="16838" w:orient="portrait"/>
          <w:cols w:equalWidth="0" w:num="2">
            <w:col w:w="5540" w:space="399"/>
            <w:col w:w="5281"/>
          </w:cols>
          <w:pgMar w:left="240" w:top="455" w:right="439" w:bottom="1440" w:gutter="0" w:footer="0" w:header="0"/>
          <w:type w:val="continuous"/>
        </w:sectPr>
      </w:pPr>
    </w:p>
    <w:p>
      <w:pPr>
        <w:ind w:left="10960"/>
        <w:spacing w:after="0"/>
        <w:rPr>
          <w:sz w:val="20"/>
          <w:szCs w:val="20"/>
          <w:color w:val="auto"/>
        </w:rPr>
      </w:pPr>
      <w:r>
        <w:rPr>
          <w:rFonts w:ascii="Arial" w:cs="Arial" w:eastAsia="Arial" w:hAnsi="Arial"/>
          <w:sz w:val="17"/>
          <w:szCs w:val="17"/>
          <w:b w:val="1"/>
          <w:bCs w:val="1"/>
          <w:color w:val="0071CE"/>
        </w:rPr>
        <w:t>19</w:t>
      </w:r>
    </w:p>
    <w:p>
      <w:pPr>
        <w:sectPr>
          <w:pgSz w:w="11900" w:h="16838" w:orient="portrait"/>
          <w:cols w:equalWidth="0" w:num="1">
            <w:col w:w="11220"/>
          </w:cols>
          <w:pgMar w:left="240" w:top="455" w:right="4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26" w:lineRule="exact"/>
        <w:rPr>
          <w:sz w:val="20"/>
          <w:szCs w:val="20"/>
          <w:color w:val="auto"/>
        </w:rPr>
      </w:pPr>
    </w:p>
    <w:p>
      <w:pPr>
        <w:ind w:left="420" w:hanging="210"/>
        <w:spacing w:after="0"/>
        <w:tabs>
          <w:tab w:leader="none" w:pos="42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26" w:lineRule="exact"/>
        <w:rPr>
          <w:rFonts w:ascii="Arial" w:cs="Arial" w:eastAsia="Arial" w:hAnsi="Arial"/>
          <w:sz w:val="16"/>
          <w:szCs w:val="16"/>
          <w:color w:val="0071CE"/>
        </w:rPr>
      </w:pPr>
    </w:p>
    <w:p>
      <w:pPr>
        <w:ind w:left="420" w:right="100" w:hanging="210"/>
        <w:spacing w:after="0" w:line="291" w:lineRule="auto"/>
        <w:tabs>
          <w:tab w:leader="none" w:pos="420" w:val="left"/>
        </w:tabs>
        <w:numPr>
          <w:ilvl w:val="0"/>
          <w:numId w:val="33"/>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47" w:lineRule="exact"/>
        <w:rPr>
          <w:sz w:val="20"/>
          <w:szCs w:val="20"/>
          <w:color w:val="auto"/>
        </w:rPr>
      </w:pPr>
    </w:p>
    <w:p>
      <w:pPr>
        <w:jc w:val="both"/>
        <w:ind w:left="220" w:right="640"/>
        <w:spacing w:after="0" w:line="268"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72" w:lineRule="exact"/>
        <w:rPr>
          <w:sz w:val="20"/>
          <w:szCs w:val="20"/>
          <w:color w:val="auto"/>
        </w:rPr>
      </w:pPr>
    </w:p>
    <w:p>
      <w:pPr>
        <w:ind w:left="420" w:right="620" w:hanging="210"/>
        <w:spacing w:after="0" w:line="291" w:lineRule="auto"/>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52" w:lineRule="exact"/>
        <w:rPr>
          <w:rFonts w:ascii="Arial" w:cs="Arial" w:eastAsia="Arial" w:hAnsi="Arial"/>
          <w:sz w:val="16"/>
          <w:szCs w:val="16"/>
          <w:color w:val="0071CE"/>
        </w:rPr>
      </w:pPr>
    </w:p>
    <w:p>
      <w:pPr>
        <w:ind w:left="420" w:right="160" w:hanging="210"/>
        <w:spacing w:after="0" w:line="291" w:lineRule="auto"/>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20" w:right="340" w:hanging="210"/>
        <w:spacing w:after="0" w:line="291" w:lineRule="auto"/>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52" w:lineRule="exact"/>
        <w:rPr>
          <w:rFonts w:ascii="Arial" w:cs="Arial" w:eastAsia="Arial" w:hAnsi="Arial"/>
          <w:sz w:val="16"/>
          <w:szCs w:val="16"/>
          <w:color w:val="0071CE"/>
        </w:rPr>
      </w:pPr>
    </w:p>
    <w:p>
      <w:pPr>
        <w:ind w:left="420" w:right="720" w:hanging="210"/>
        <w:spacing w:after="0" w:line="291" w:lineRule="auto"/>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employ outside compensation expertise and market data from industry peers to help assure that our compensation policies and practices are consistent with industry practice and meet our goals for our compensation program;</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4"/>
        </w:numPr>
        <w:rPr>
          <w:rFonts w:ascii="Arial" w:cs="Arial" w:eastAsia="Arial" w:hAnsi="Arial"/>
          <w:sz w:val="16"/>
          <w:szCs w:val="16"/>
          <w:color w:val="0071CE"/>
        </w:rPr>
      </w:pPr>
      <w:r>
        <w:rPr>
          <w:rFonts w:ascii="Arial" w:cs="Arial" w:eastAsia="Arial" w:hAnsi="Arial"/>
          <w:sz w:val="16"/>
          <w:szCs w:val="16"/>
          <w:color w:val="auto"/>
        </w:rPr>
        <w:t>align our executive officers’ incentives with the creation of stockholder value.</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06" w:lineRule="exact"/>
        <w:rPr>
          <w:sz w:val="20"/>
          <w:szCs w:val="20"/>
          <w:color w:val="auto"/>
        </w:rPr>
      </w:pPr>
    </w:p>
    <w:p>
      <w:pPr>
        <w:ind w:left="420" w:hanging="210"/>
        <w:spacing w:after="0"/>
        <w:tabs>
          <w:tab w:leader="none" w:pos="42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an annual incentive compensation opportunity;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5"/>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ind w:left="220" w:right="280"/>
        <w:spacing w:after="0" w:line="261"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71"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preserve cash and currently do not operate at a profit, overall target total direct compensation opportunities are weighted more heavily toward long-term incentive compensation in the form of equity awards. Thus, a significant portion of each executive officer’s target total direct compensation is “at risk,” and dependent on the increase in the value of our common stock. The Compensation Committee periodically reassesses the appropriate weighting of cash and equity compensation.</w:t>
      </w:r>
    </w:p>
    <w:p>
      <w:pPr>
        <w:spacing w:after="0" w:line="175" w:lineRule="exact"/>
        <w:rPr>
          <w:sz w:val="20"/>
          <w:szCs w:val="20"/>
          <w:color w:val="auto"/>
        </w:rPr>
      </w:pPr>
    </w:p>
    <w:p>
      <w:pPr>
        <w:ind w:left="220" w:right="20"/>
        <w:spacing w:after="0" w:line="268"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06" w:lineRule="exact"/>
        <w:rPr>
          <w:sz w:val="20"/>
          <w:szCs w:val="20"/>
          <w:color w:val="auto"/>
        </w:rPr>
      </w:pPr>
    </w:p>
    <w:p>
      <w:pPr>
        <w:ind w:left="220" w:right="220"/>
        <w:spacing w:after="0" w:line="291"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Named Executive Officers, and the non-employee members of our Board.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62230</wp:posOffset>
            </wp:positionV>
            <wp:extent cx="984885"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20</w:t>
      </w:r>
    </w:p>
    <w:p>
      <w:pPr>
        <w:sectPr>
          <w:pgSz w:w="11900" w:h="16838" w:orient="portrait"/>
          <w:cols w:equalWidth="0" w:num="1">
            <w:col w:w="11220"/>
          </w:cols>
          <w:pgMar w:left="24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40"/>
        <w:spacing w:after="0" w:line="268" w:lineRule="auto"/>
        <w:rPr>
          <w:sz w:val="20"/>
          <w:szCs w:val="20"/>
          <w:color w:val="auto"/>
        </w:rPr>
      </w:pPr>
      <w:r>
        <w:rPr>
          <w:rFonts w:ascii="Arial" w:cs="Arial" w:eastAsia="Arial" w:hAnsi="Arial"/>
          <w:sz w:val="16"/>
          <w:szCs w:val="16"/>
          <w:color w:val="auto"/>
        </w:rPr>
        <w:t>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Named Executive Officers, are consistent with our compensation philosophy, policies, and objectives.</w:t>
      </w:r>
    </w:p>
    <w:p>
      <w:pPr>
        <w:spacing w:after="0" w:line="166" w:lineRule="exact"/>
        <w:rPr>
          <w:sz w:val="20"/>
          <w:szCs w:val="20"/>
          <w:color w:val="auto"/>
        </w:rPr>
      </w:pPr>
    </w:p>
    <w:p>
      <w:pPr>
        <w:jc w:val="both"/>
        <w:ind w:left="220" w:right="60"/>
        <w:spacing w:after="0" w:line="268"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the NASDAQ listing standards). Currently, the members of the Compensation Committee are Michael S. Perry (Chairman), Mauro Ferrari, and William Waddill.</w:t>
      </w:r>
    </w:p>
    <w:p>
      <w:pPr>
        <w:spacing w:after="0" w:line="166" w:lineRule="exact"/>
        <w:rPr>
          <w:sz w:val="20"/>
          <w:szCs w:val="20"/>
          <w:color w:val="auto"/>
        </w:rPr>
      </w:pPr>
    </w:p>
    <w:p>
      <w:pPr>
        <w:ind w:left="220" w:right="80"/>
        <w:spacing w:after="0" w:line="257"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components of our executive compensation program including, but not limited to,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75" w:lineRule="exact"/>
        <w:rPr>
          <w:sz w:val="20"/>
          <w:szCs w:val="20"/>
          <w:color w:val="auto"/>
        </w:rPr>
      </w:pPr>
    </w:p>
    <w:p>
      <w:pPr>
        <w:jc w:val="both"/>
        <w:ind w:left="220" w:right="280"/>
        <w:spacing w:after="0" w:line="268"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The members of the Compensation Committee have extensive experience in executive management, as well as compensation practices and policies.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Compensation-Setting Process</w:t>
      </w:r>
    </w:p>
    <w:p>
      <w:pPr>
        <w:spacing w:after="0" w:line="106" w:lineRule="exact"/>
        <w:rPr>
          <w:sz w:val="20"/>
          <w:szCs w:val="20"/>
          <w:color w:val="auto"/>
        </w:rPr>
      </w:pPr>
    </w:p>
    <w:p>
      <w:pPr>
        <w:ind w:left="220" w:right="120"/>
        <w:spacing w:after="0" w:line="257"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Named Executive Officers. The Compensation Committee does not use a single method or measure in making its compensation decisions, nor does it position compensation levels based upon a specific or target level relative to a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5" w:lineRule="exact"/>
        <w:rPr>
          <w:sz w:val="20"/>
          <w:szCs w:val="20"/>
          <w:color w:val="auto"/>
        </w:rPr>
      </w:pPr>
    </w:p>
    <w:p>
      <w:pPr>
        <w:ind w:left="220" w:right="80"/>
        <w:spacing w:after="0" w:line="257"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81" w:lineRule="exact"/>
        <w:rPr>
          <w:sz w:val="20"/>
          <w:szCs w:val="20"/>
          <w:color w:val="auto"/>
        </w:rPr>
      </w:pPr>
    </w:p>
    <w:p>
      <w:pPr>
        <w:ind w:left="420" w:hanging="210"/>
        <w:spacing w:after="0"/>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26" w:lineRule="exact"/>
        <w:rPr>
          <w:rFonts w:ascii="Arial" w:cs="Arial" w:eastAsia="Arial" w:hAnsi="Arial"/>
          <w:sz w:val="16"/>
          <w:szCs w:val="16"/>
          <w:color w:val="0071CE"/>
        </w:rPr>
      </w:pPr>
    </w:p>
    <w:p>
      <w:pPr>
        <w:ind w:left="420" w:right="800" w:hanging="210"/>
        <w:spacing w:after="0" w:line="291" w:lineRule="auto"/>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w:t>
      </w:r>
    </w:p>
    <w:p>
      <w:pPr>
        <w:spacing w:after="0" w:line="126" w:lineRule="exact"/>
        <w:rPr>
          <w:rFonts w:ascii="Arial" w:cs="Arial" w:eastAsia="Arial" w:hAnsi="Arial"/>
          <w:sz w:val="16"/>
          <w:szCs w:val="16"/>
          <w:color w:val="0071CE"/>
        </w:rPr>
      </w:pPr>
    </w:p>
    <w:p>
      <w:pPr>
        <w:ind w:left="420" w:right="20" w:hanging="210"/>
        <w:spacing w:after="0" w:line="291" w:lineRule="auto"/>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52" w:lineRule="exact"/>
        <w:rPr>
          <w:rFonts w:ascii="Arial" w:cs="Arial" w:eastAsia="Arial" w:hAnsi="Arial"/>
          <w:sz w:val="16"/>
          <w:szCs w:val="16"/>
          <w:color w:val="0071CE"/>
        </w:rPr>
      </w:pPr>
    </w:p>
    <w:p>
      <w:pPr>
        <w:ind w:left="420" w:right="640" w:hanging="210"/>
        <w:spacing w:after="0" w:line="291" w:lineRule="auto"/>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and</w:t>
      </w:r>
    </w:p>
    <w:p>
      <w:pPr>
        <w:spacing w:after="0" w:line="52" w:lineRule="exact"/>
        <w:rPr>
          <w:rFonts w:ascii="Arial" w:cs="Arial" w:eastAsia="Arial" w:hAnsi="Arial"/>
          <w:sz w:val="16"/>
          <w:szCs w:val="16"/>
          <w:color w:val="0071CE"/>
        </w:rPr>
      </w:pPr>
    </w:p>
    <w:p>
      <w:pPr>
        <w:ind w:left="420" w:hanging="210"/>
        <w:spacing w:after="0"/>
        <w:tabs>
          <w:tab w:leader="none" w:pos="420" w:val="left"/>
        </w:tabs>
        <w:numPr>
          <w:ilvl w:val="0"/>
          <w:numId w:val="36"/>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221" w:lineRule="exact"/>
        <w:rPr>
          <w:sz w:val="20"/>
          <w:szCs w:val="20"/>
          <w:color w:val="auto"/>
        </w:rPr>
      </w:pPr>
    </w:p>
    <w:p>
      <w:pPr>
        <w:ind w:left="220" w:right="240"/>
        <w:spacing w:after="0" w:line="291"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Chief Executive Officer</w:t>
      </w:r>
    </w:p>
    <w:p>
      <w:pPr>
        <w:spacing w:after="0" w:line="106" w:lineRule="exact"/>
        <w:rPr>
          <w:sz w:val="20"/>
          <w:szCs w:val="20"/>
          <w:color w:val="auto"/>
        </w:rPr>
      </w:pPr>
    </w:p>
    <w:p>
      <w:pPr>
        <w:ind w:left="220" w:right="200"/>
        <w:spacing w:after="0" w:line="291"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62230</wp:posOffset>
            </wp:positionV>
            <wp:extent cx="98488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21</w:t>
      </w:r>
    </w:p>
    <w:p>
      <w:pPr>
        <w:sectPr>
          <w:pgSz w:w="11900" w:h="16838" w:orient="portrait"/>
          <w:cols w:equalWidth="0" w:num="1">
            <w:col w:w="11220"/>
          </w:cols>
          <w:pgMar w:left="24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jc w:val="both"/>
        <w:ind w:left="220" w:right="340"/>
        <w:spacing w:after="0" w:line="268" w:lineRule="auto"/>
        <w:rPr>
          <w:sz w:val="20"/>
          <w:szCs w:val="20"/>
          <w:color w:val="auto"/>
        </w:rPr>
      </w:pPr>
      <w:r>
        <w:rPr>
          <w:rFonts w:ascii="Arial" w:cs="Arial" w:eastAsia="Arial" w:hAnsi="Arial"/>
          <w:sz w:val="16"/>
          <w:szCs w:val="16"/>
          <w:color w:val="auto"/>
        </w:rPr>
        <w:t>market compensation data, and management’s perspective on compensation matters. The Compensation Committee solicits and reviews our CEO’s recommendations with respect to the compensation levels for individual executive officers other than himself based on the performance evaluation of each executive officer’s manager and his own evaluation of the executive officer’s performance.</w:t>
      </w:r>
    </w:p>
    <w:p>
      <w:pPr>
        <w:spacing w:after="0" w:line="166" w:lineRule="exact"/>
        <w:rPr>
          <w:sz w:val="20"/>
          <w:szCs w:val="20"/>
          <w:color w:val="auto"/>
        </w:rPr>
      </w:pPr>
    </w:p>
    <w:p>
      <w:pPr>
        <w:ind w:left="220" w:right="500"/>
        <w:spacing w:after="0" w:line="268"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formulating the recommendations for the compensation for our executive officers, including our other Named Executive Officers. Our CEO recuses himself from all discussions and recommendations regarding his own compensation.</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Role of Compensation Consultant</w:t>
      </w:r>
    </w:p>
    <w:p>
      <w:pPr>
        <w:spacing w:after="0" w:line="106" w:lineRule="exact"/>
        <w:rPr>
          <w:sz w:val="20"/>
          <w:szCs w:val="20"/>
          <w:color w:val="auto"/>
        </w:rPr>
      </w:pPr>
    </w:p>
    <w:p>
      <w:pPr>
        <w:ind w:left="220" w:right="100"/>
        <w:spacing w:after="0" w:line="268"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66"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For the period from October 2017 through September 2018, the Compensation Committee engaged Compensia, Inc., a national compensation consulting firm, as its external compensation consultant (“Compensia”). Compensia assisted the Compensation Committee in its review of executive and non-employee director compensation practices for 2018, including the competitiveness of compensation levels, executive compensation design, comparisons with our industry peers, and other technical considerations.</w:t>
      </w:r>
    </w:p>
    <w:p>
      <w:pPr>
        <w:spacing w:after="0" w:line="76" w:lineRule="exact"/>
        <w:rPr>
          <w:sz w:val="20"/>
          <w:szCs w:val="20"/>
          <w:color w:val="auto"/>
        </w:rPr>
      </w:pPr>
    </w:p>
    <w:p>
      <w:pPr>
        <w:ind w:left="420" w:hanging="210"/>
        <w:spacing w:after="0"/>
        <w:tabs>
          <w:tab w:leader="none" w:pos="42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Review and update of our compensation peer group;</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our executive officers, including our Named Executive Officers;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Review and analysis of the compensation arrangements for the non-employee members of our Board of Directors;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Review and update of the Compensation Discussion and Analysis section of our proxy statement for our 2019 Annual Meeting of Stockholders;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7"/>
        </w:numPr>
        <w:rPr>
          <w:rFonts w:ascii="Arial" w:cs="Arial" w:eastAsia="Arial" w:hAnsi="Arial"/>
          <w:sz w:val="16"/>
          <w:szCs w:val="16"/>
          <w:color w:val="0071CE"/>
        </w:rPr>
      </w:pPr>
      <w:r>
        <w:rPr>
          <w:rFonts w:ascii="Arial" w:cs="Arial" w:eastAsia="Arial" w:hAnsi="Arial"/>
          <w:sz w:val="16"/>
          <w:szCs w:val="16"/>
          <w:color w:val="auto"/>
        </w:rPr>
        <w:t xml:space="preserve">Support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21" w:lineRule="exact"/>
        <w:rPr>
          <w:sz w:val="20"/>
          <w:szCs w:val="20"/>
          <w:color w:val="auto"/>
        </w:rPr>
      </w:pPr>
    </w:p>
    <w:p>
      <w:pPr>
        <w:jc w:val="both"/>
        <w:ind w:left="220" w:right="120"/>
        <w:spacing w:after="0" w:line="268" w:lineRule="auto"/>
        <w:rPr>
          <w:sz w:val="20"/>
          <w:szCs w:val="20"/>
          <w:color w:val="auto"/>
        </w:rPr>
      </w:pPr>
      <w:r>
        <w:rPr>
          <w:rFonts w:ascii="Arial" w:cs="Arial" w:eastAsia="Arial" w:hAnsi="Arial"/>
          <w:sz w:val="16"/>
          <w:szCs w:val="16"/>
          <w:color w:val="auto"/>
        </w:rPr>
        <w:t>In 2018, Compensia did not provide any other services to us. The Compensation Committee has evaluated Compensia’s independence pursuant to the listing standards of the NASDAQ and the relevant SEC rules and has determined that no conflict of interest has arisen as a result of the work performed by Compensia.</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Competitive Positioning</w:t>
      </w:r>
    </w:p>
    <w:p>
      <w:pPr>
        <w:spacing w:after="0" w:line="106" w:lineRule="exact"/>
        <w:rPr>
          <w:sz w:val="20"/>
          <w:szCs w:val="20"/>
          <w:color w:val="auto"/>
        </w:rPr>
      </w:pPr>
    </w:p>
    <w:p>
      <w:pPr>
        <w:ind w:left="220" w:right="80"/>
        <w:spacing w:after="0" w:line="257" w:lineRule="auto"/>
        <w:rPr>
          <w:sz w:val="20"/>
          <w:szCs w:val="20"/>
          <w:color w:val="auto"/>
        </w:rPr>
      </w:pPr>
      <w:r>
        <w:rPr>
          <w:rFonts w:ascii="Arial" w:cs="Arial" w:eastAsia="Arial" w:hAnsi="Arial"/>
          <w:sz w:val="16"/>
          <w:szCs w:val="16"/>
          <w:color w:val="auto"/>
        </w:rPr>
        <w:t>For each of the past five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75" w:lineRule="exact"/>
        <w:rPr>
          <w:sz w:val="20"/>
          <w:szCs w:val="20"/>
          <w:color w:val="auto"/>
        </w:rPr>
      </w:pPr>
    </w:p>
    <w:p>
      <w:pPr>
        <w:ind w:left="220" w:right="100"/>
        <w:spacing w:after="0" w:line="261"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2018, the Compensation Committee directed Compensia to update its compensation peer group reflecting the competitive market for executive talent based on the following criteria:</w:t>
      </w:r>
    </w:p>
    <w:p>
      <w:pPr>
        <w:spacing w:after="0" w:line="76" w:lineRule="exact"/>
        <w:rPr>
          <w:sz w:val="20"/>
          <w:szCs w:val="20"/>
          <w:color w:val="auto"/>
        </w:rPr>
      </w:pPr>
    </w:p>
    <w:p>
      <w:pPr>
        <w:ind w:left="420" w:hanging="210"/>
        <w:spacing w:after="0"/>
        <w:tabs>
          <w:tab w:leader="none" w:pos="42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Publicly-held, pre-commercial U.S. biotechnology companies;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Companies with market capitalizations between 0.5x to 2.0x our market capitalization at the time of the peer selection;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8"/>
        </w:numPr>
        <w:rPr>
          <w:rFonts w:ascii="Arial" w:cs="Arial" w:eastAsia="Arial" w:hAnsi="Arial"/>
          <w:sz w:val="16"/>
          <w:szCs w:val="16"/>
          <w:color w:val="0071CE"/>
        </w:rPr>
      </w:pPr>
      <w:r>
        <w:rPr>
          <w:rFonts w:ascii="Arial" w:cs="Arial" w:eastAsia="Arial" w:hAnsi="Arial"/>
          <w:sz w:val="16"/>
          <w:szCs w:val="16"/>
          <w:color w:val="auto"/>
        </w:rPr>
        <w:t>Companies with between 50 to 500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108585</wp:posOffset>
            </wp:positionV>
            <wp:extent cx="98488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22</w:t>
      </w:r>
    </w:p>
    <w:p>
      <w:pPr>
        <w:sectPr>
          <w:pgSz w:w="11900" w:h="16838" w:orient="portrait"/>
          <w:cols w:equalWidth="0" w:num="1">
            <w:col w:w="11180"/>
          </w:cols>
          <w:pgMar w:left="240" w:top="455"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120"/>
        <w:spacing w:after="0" w:line="268"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 The increase in the Company’s market capitalization indicated significant redesign of the peer group for 2018.</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2018, the compensation peer group consisted of the following companies:</w:t>
      </w:r>
    </w:p>
    <w:p>
      <w:pPr>
        <w:sectPr>
          <w:pgSz w:w="11900" w:h="16838" w:orient="portrait"/>
          <w:cols w:equalWidth="0" w:num="1">
            <w:col w:w="11220"/>
          </w:cols>
          <w:pgMar w:left="240" w:top="455" w:right="439" w:bottom="1440" w:gutter="0" w:footer="0" w:header="0"/>
        </w:sectPr>
      </w:pPr>
    </w:p>
    <w:p>
      <w:pPr>
        <w:spacing w:after="0" w:line="248"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Acceleron Pharma</w:t>
      </w:r>
    </w:p>
    <w:p>
      <w:pPr>
        <w:spacing w:after="0" w:line="2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Assembly Biosciences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Atara Biotherapeutics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BioCryst Pharmaceuticals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Blueprint Medicines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ChemoCentryx</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Dicerna Pharmaceuticals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Geron</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Global Blood Therapeutics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Immunomedics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Mirati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MyoKardia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Progenics Pharmaceutical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Rigel Pharmaceuticals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Sangamo Therapeutics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Xencor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Zogenix</w:t>
      </w:r>
    </w:p>
    <w:p>
      <w:pPr>
        <w:spacing w:after="0" w:line="281" w:lineRule="exact"/>
        <w:rPr>
          <w:sz w:val="20"/>
          <w:szCs w:val="20"/>
          <w:color w:val="auto"/>
        </w:rPr>
      </w:pPr>
    </w:p>
    <w:p>
      <w:pPr>
        <w:sectPr>
          <w:pgSz w:w="11900" w:h="16838" w:orient="portrait"/>
          <w:cols w:equalWidth="0" w:num="2">
            <w:col w:w="5140" w:space="720"/>
            <w:col w:w="5360"/>
          </w:cols>
          <w:pgMar w:left="240" w:top="455" w:right="439" w:bottom="1440" w:gutter="0" w:footer="0" w:header="0"/>
          <w:type w:val="continuous"/>
        </w:sectPr>
      </w:pPr>
    </w:p>
    <w:p>
      <w:pPr>
        <w:ind w:left="220" w:right="40"/>
        <w:spacing w:after="0" w:line="268" w:lineRule="auto"/>
        <w:rPr>
          <w:sz w:val="20"/>
          <w:szCs w:val="20"/>
          <w:color w:val="auto"/>
        </w:rPr>
      </w:pPr>
      <w:r>
        <w:rPr>
          <w:rFonts w:ascii="Arial" w:cs="Arial" w:eastAsia="Arial" w:hAnsi="Arial"/>
          <w:sz w:val="16"/>
          <w:szCs w:val="16"/>
          <w:color w:val="auto"/>
        </w:rPr>
        <w:t>The compensation study prepared by Compensia and presented in December 2018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2018, the principal elements of our executive compensation program were as follows:</w:t>
      </w:r>
    </w:p>
    <w:p>
      <w:pPr>
        <w:spacing w:after="0" w:line="126" w:lineRule="exact"/>
        <w:rPr>
          <w:sz w:val="20"/>
          <w:szCs w:val="20"/>
          <w:color w:val="auto"/>
        </w:rPr>
      </w:pPr>
    </w:p>
    <w:p>
      <w:pPr>
        <w:ind w:left="420" w:hanging="210"/>
        <w:spacing w:after="0"/>
        <w:tabs>
          <w:tab w:leader="none" w:pos="42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an annual incentive compensation opportunity;</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39"/>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Base Salary</w:t>
      </w:r>
    </w:p>
    <w:p>
      <w:pPr>
        <w:spacing w:after="0" w:line="106" w:lineRule="exact"/>
        <w:rPr>
          <w:sz w:val="20"/>
          <w:szCs w:val="20"/>
          <w:color w:val="auto"/>
        </w:rPr>
      </w:pPr>
    </w:p>
    <w:p>
      <w:pPr>
        <w:ind w:left="220" w:right="520"/>
        <w:spacing w:after="0" w:line="291"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Named Executive Officers, and is an important element of compensation intended to attract and retain highly-talented individuals.</w:t>
      </w:r>
    </w:p>
    <w:p>
      <w:pPr>
        <w:spacing w:after="0" w:line="147"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compensation consultant, the Compensation Committee reviews and determines adjustments to the base salaries for each of our executive officers, including our Named Executive Officers,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80" w:lineRule="exact"/>
        <w:rPr>
          <w:sz w:val="20"/>
          <w:szCs w:val="20"/>
          <w:color w:val="auto"/>
        </w:rPr>
      </w:pPr>
    </w:p>
    <w:p>
      <w:pPr>
        <w:ind w:left="220" w:right="300"/>
        <w:spacing w:after="0" w:line="261" w:lineRule="auto"/>
        <w:rPr>
          <w:sz w:val="20"/>
          <w:szCs w:val="20"/>
          <w:color w:val="auto"/>
        </w:rPr>
      </w:pPr>
      <w:r>
        <w:rPr>
          <w:rFonts w:ascii="Arial" w:cs="Arial" w:eastAsia="Arial" w:hAnsi="Arial"/>
          <w:sz w:val="16"/>
          <w:szCs w:val="16"/>
          <w:color w:val="auto"/>
        </w:rPr>
        <w:t>In December 2017, consistent with the recommendation of our CEO, the Compensation Committee determined to increase the base salaries of our executive officers, including our Named Executive Officers. In making these decisions, the Compensation Committee considered the current risks and challenges facing us, as well as the factors described in “Governance of Executive Compensation Program — Compensation-Setting Process” above. The increases for Kenneth Myszkowski and Zhen Li reflect market-based adjustments and increased leadership responsibilities,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77470</wp:posOffset>
            </wp:positionV>
            <wp:extent cx="984885"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23</w:t>
      </w:r>
    </w:p>
    <w:p>
      <w:pPr>
        <w:sectPr>
          <w:pgSz w:w="11900" w:h="16838" w:orient="portrait"/>
          <w:cols w:equalWidth="0" w:num="1">
            <w:col w:w="11220"/>
          </w:cols>
          <w:pgMar w:left="240" w:top="455" w:right="4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base salaries of our Named Executive Officers for 2017 and 2018 were as follows: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54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200" w:type="dxa"/>
            <w:vAlign w:val="bottom"/>
            <w:shd w:val="clear" w:color="auto" w:fill="0071CE"/>
          </w:tcPr>
          <w:p>
            <w:pPr>
              <w:jc w:val="center"/>
              <w:ind w:left="162"/>
              <w:spacing w:after="0"/>
              <w:rPr>
                <w:sz w:val="20"/>
                <w:szCs w:val="20"/>
                <w:color w:val="auto"/>
              </w:rPr>
            </w:pPr>
            <w:r>
              <w:rPr>
                <w:rFonts w:ascii="Arial" w:cs="Arial" w:eastAsia="Arial" w:hAnsi="Arial"/>
                <w:sz w:val="14"/>
                <w:szCs w:val="14"/>
                <w:b w:val="1"/>
                <w:bCs w:val="1"/>
                <w:color w:val="FFFFFF"/>
              </w:rPr>
              <w:t>2018</w:t>
            </w:r>
          </w:p>
        </w:tc>
        <w:tc>
          <w:tcPr>
            <w:tcW w:w="186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2017</w:t>
            </w:r>
          </w:p>
        </w:tc>
        <w:tc>
          <w:tcPr>
            <w:tcW w:w="1460" w:type="dxa"/>
            <w:vAlign w:val="bottom"/>
            <w:shd w:val="clear" w:color="auto" w:fill="0071CE"/>
          </w:tcPr>
          <w:p>
            <w:pPr>
              <w:jc w:val="right"/>
              <w:ind w:right="122"/>
              <w:spacing w:after="0"/>
              <w:rPr>
                <w:sz w:val="20"/>
                <w:szCs w:val="20"/>
                <w:color w:val="auto"/>
              </w:rPr>
            </w:pPr>
            <w:r>
              <w:rPr>
                <w:rFonts w:ascii="Arial" w:cs="Arial" w:eastAsia="Arial" w:hAnsi="Arial"/>
                <w:sz w:val="14"/>
                <w:szCs w:val="14"/>
                <w:b w:val="1"/>
                <w:bCs w:val="1"/>
                <w:color w:val="FFFFFF"/>
              </w:rPr>
              <w:t>Percentage</w:t>
            </w:r>
          </w:p>
        </w:tc>
        <w:tc>
          <w:tcPr>
            <w:tcW w:w="20" w:type="dxa"/>
            <w:vAlign w:val="bottom"/>
            <w:shd w:val="clear" w:color="auto" w:fill="0071CE"/>
          </w:tcPr>
          <w:p>
            <w:pPr>
              <w:spacing w:after="0"/>
              <w:rPr>
                <w:sz w:val="15"/>
                <w:szCs w:val="15"/>
                <w:color w:val="auto"/>
              </w:rPr>
            </w:pPr>
          </w:p>
        </w:tc>
      </w:tr>
      <w:tr>
        <w:trPr>
          <w:trHeight w:val="211"/>
        </w:trPr>
        <w:tc>
          <w:tcPr>
            <w:tcW w:w="54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200" w:type="dxa"/>
            <w:vAlign w:val="bottom"/>
            <w:tcBorders>
              <w:bottom w:val="single" w:sz="8" w:color="0071CE"/>
            </w:tcBorders>
            <w:shd w:val="clear" w:color="auto" w:fill="0071CE"/>
          </w:tcPr>
          <w:p>
            <w:pPr>
              <w:ind w:left="820"/>
              <w:spacing w:after="0"/>
              <w:rPr>
                <w:sz w:val="20"/>
                <w:szCs w:val="20"/>
                <w:color w:val="auto"/>
              </w:rPr>
            </w:pPr>
            <w:r>
              <w:rPr>
                <w:rFonts w:ascii="Arial" w:cs="Arial" w:eastAsia="Arial" w:hAnsi="Arial"/>
                <w:sz w:val="14"/>
                <w:szCs w:val="14"/>
                <w:b w:val="1"/>
                <w:bCs w:val="1"/>
                <w:color w:val="FFFFFF"/>
              </w:rPr>
              <w:t>Base Salary</w:t>
            </w:r>
          </w:p>
        </w:tc>
        <w:tc>
          <w:tcPr>
            <w:tcW w:w="1860" w:type="dxa"/>
            <w:vAlign w:val="bottom"/>
            <w:tcBorders>
              <w:bottom w:val="single" w:sz="8" w:color="0071CE"/>
            </w:tcBorders>
            <w:shd w:val="clear" w:color="auto" w:fill="0071CE"/>
          </w:tcPr>
          <w:p>
            <w:pPr>
              <w:ind w:left="580"/>
              <w:spacing w:after="0"/>
              <w:rPr>
                <w:sz w:val="20"/>
                <w:szCs w:val="20"/>
                <w:color w:val="auto"/>
              </w:rPr>
            </w:pPr>
            <w:r>
              <w:rPr>
                <w:rFonts w:ascii="Arial" w:cs="Arial" w:eastAsia="Arial" w:hAnsi="Arial"/>
                <w:sz w:val="14"/>
                <w:szCs w:val="14"/>
                <w:b w:val="1"/>
                <w:bCs w:val="1"/>
                <w:color w:val="FFFFFF"/>
              </w:rPr>
              <w:t>Base Salary</w:t>
            </w:r>
          </w:p>
        </w:tc>
        <w:tc>
          <w:tcPr>
            <w:tcW w:w="1460" w:type="dxa"/>
            <w:vAlign w:val="bottom"/>
            <w:tcBorders>
              <w:bottom w:val="single" w:sz="8" w:color="0071CE"/>
            </w:tcBorders>
            <w:shd w:val="clear" w:color="auto" w:fill="0071CE"/>
          </w:tcPr>
          <w:p>
            <w:pPr>
              <w:jc w:val="right"/>
              <w:ind w:right="122"/>
              <w:spacing w:after="0"/>
              <w:rPr>
                <w:sz w:val="20"/>
                <w:szCs w:val="20"/>
                <w:color w:val="auto"/>
              </w:rPr>
            </w:pPr>
            <w:r>
              <w:rPr>
                <w:rFonts w:ascii="Arial" w:cs="Arial" w:eastAsia="Arial" w:hAnsi="Arial"/>
                <w:sz w:val="14"/>
                <w:szCs w:val="14"/>
                <w:b w:val="1"/>
                <w:bCs w:val="1"/>
                <w:color w:val="FFFFFF"/>
              </w:rPr>
              <w:t>Adjustment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11"/>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2200" w:type="dxa"/>
            <w:vAlign w:val="bottom"/>
            <w:shd w:val="clear" w:color="auto" w:fill="E5E5E5"/>
          </w:tcPr>
          <w:p>
            <w:pPr>
              <w:spacing w:after="0"/>
              <w:rPr>
                <w:sz w:val="18"/>
                <w:szCs w:val="18"/>
                <w:color w:val="auto"/>
              </w:rPr>
            </w:pPr>
          </w:p>
        </w:tc>
        <w:tc>
          <w:tcPr>
            <w:tcW w:w="186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 &amp; CEO</w:t>
            </w:r>
          </w:p>
        </w:tc>
        <w:tc>
          <w:tcPr>
            <w:tcW w:w="2200" w:type="dxa"/>
            <w:vAlign w:val="bottom"/>
            <w:shd w:val="clear" w:color="auto" w:fill="E5E5E5"/>
          </w:tcPr>
          <w:p>
            <w:pPr>
              <w:jc w:val="center"/>
              <w:ind w:left="162"/>
              <w:spacing w:after="0"/>
              <w:rPr>
                <w:sz w:val="20"/>
                <w:szCs w:val="20"/>
                <w:color w:val="auto"/>
              </w:rPr>
            </w:pPr>
            <w:r>
              <w:rPr>
                <w:rFonts w:ascii="Arial" w:cs="Arial" w:eastAsia="Arial" w:hAnsi="Arial"/>
                <w:sz w:val="16"/>
                <w:szCs w:val="16"/>
                <w:color w:val="auto"/>
              </w:rPr>
              <w:t>$650,000</w:t>
            </w:r>
          </w:p>
        </w:tc>
        <w:tc>
          <w:tcPr>
            <w:tcW w:w="1860" w:type="dxa"/>
            <w:vAlign w:val="bottom"/>
            <w:shd w:val="clear" w:color="auto" w:fill="E5E5E5"/>
          </w:tcPr>
          <w:p>
            <w:pPr>
              <w:jc w:val="center"/>
              <w:ind w:left="42"/>
              <w:spacing w:after="0"/>
              <w:rPr>
                <w:sz w:val="20"/>
                <w:szCs w:val="20"/>
                <w:color w:val="auto"/>
              </w:rPr>
            </w:pPr>
            <w:r>
              <w:rPr>
                <w:rFonts w:ascii="Arial" w:cs="Arial" w:eastAsia="Arial" w:hAnsi="Arial"/>
                <w:sz w:val="16"/>
                <w:szCs w:val="16"/>
                <w:color w:val="auto"/>
              </w:rPr>
              <w:t>$622,050</w:t>
            </w:r>
          </w:p>
        </w:tc>
        <w:tc>
          <w:tcPr>
            <w:tcW w:w="14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0"/>
                <w:szCs w:val="20"/>
                <w:color w:val="auto"/>
              </w:rPr>
            </w:pPr>
          </w:p>
        </w:tc>
      </w:tr>
      <w:tr>
        <w:trPr>
          <w:trHeight w:val="211"/>
        </w:trPr>
        <w:tc>
          <w:tcPr>
            <w:tcW w:w="5480" w:type="dxa"/>
            <w:vAlign w:val="bottom"/>
          </w:tcPr>
          <w:p>
            <w:pPr>
              <w:ind w:left="60"/>
              <w:spacing w:after="0"/>
              <w:rPr>
                <w:sz w:val="20"/>
                <w:szCs w:val="20"/>
                <w:color w:val="auto"/>
              </w:rPr>
            </w:pPr>
            <w:r>
              <w:rPr>
                <w:rFonts w:ascii="Arial" w:cs="Arial" w:eastAsia="Arial" w:hAnsi="Arial"/>
                <w:sz w:val="16"/>
                <w:szCs w:val="16"/>
                <w:b w:val="1"/>
                <w:bCs w:val="1"/>
                <w:color w:val="0071CE"/>
              </w:rPr>
              <w:t>Bruce Given</w:t>
            </w: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480" w:type="dxa"/>
            <w:vAlign w:val="bottom"/>
          </w:tcPr>
          <w:p>
            <w:pPr>
              <w:ind w:left="60"/>
              <w:spacing w:after="0"/>
              <w:rPr>
                <w:sz w:val="20"/>
                <w:szCs w:val="20"/>
                <w:color w:val="auto"/>
              </w:rPr>
            </w:pPr>
            <w:r>
              <w:rPr>
                <w:rFonts w:ascii="Arial" w:cs="Arial" w:eastAsia="Arial" w:hAnsi="Arial"/>
                <w:sz w:val="16"/>
                <w:szCs w:val="16"/>
                <w:color w:val="auto"/>
              </w:rPr>
              <w:t>Chief Operating Officer</w:t>
            </w:r>
          </w:p>
        </w:tc>
        <w:tc>
          <w:tcPr>
            <w:tcW w:w="2200" w:type="dxa"/>
            <w:vAlign w:val="bottom"/>
          </w:tcPr>
          <w:p>
            <w:pPr>
              <w:jc w:val="center"/>
              <w:ind w:left="162"/>
              <w:spacing w:after="0"/>
              <w:rPr>
                <w:sz w:val="20"/>
                <w:szCs w:val="20"/>
                <w:color w:val="auto"/>
              </w:rPr>
            </w:pPr>
            <w:r>
              <w:rPr>
                <w:rFonts w:ascii="Arial" w:cs="Arial" w:eastAsia="Arial" w:hAnsi="Arial"/>
                <w:sz w:val="16"/>
                <w:szCs w:val="16"/>
                <w:color w:val="auto"/>
              </w:rPr>
              <w:t>$455,000</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$436,477</w:t>
            </w:r>
          </w:p>
        </w:tc>
        <w:tc>
          <w:tcPr>
            <w:tcW w:w="1460" w:type="dxa"/>
            <w:vAlign w:val="bottom"/>
          </w:tcPr>
          <w:p>
            <w:pPr>
              <w:jc w:val="right"/>
              <w:ind w:right="20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r>
      <w:tr>
        <w:trPr>
          <w:trHeight w:val="219"/>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2200" w:type="dxa"/>
            <w:vAlign w:val="bottom"/>
            <w:shd w:val="clear" w:color="auto" w:fill="E5E5E5"/>
          </w:tcPr>
          <w:p>
            <w:pPr>
              <w:spacing w:after="0"/>
              <w:rPr>
                <w:sz w:val="19"/>
                <w:szCs w:val="19"/>
                <w:color w:val="auto"/>
              </w:rPr>
            </w:pPr>
          </w:p>
        </w:tc>
        <w:tc>
          <w:tcPr>
            <w:tcW w:w="1860" w:type="dxa"/>
            <w:vAlign w:val="bottom"/>
            <w:shd w:val="clear" w:color="auto" w:fill="E5E5E5"/>
          </w:tcPr>
          <w:p>
            <w:pPr>
              <w:spacing w:after="0"/>
              <w:rPr>
                <w:sz w:val="19"/>
                <w:szCs w:val="19"/>
                <w:color w:val="auto"/>
              </w:rPr>
            </w:pPr>
          </w:p>
        </w:tc>
        <w:tc>
          <w:tcPr>
            <w:tcW w:w="14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Chief Financial Officer</w:t>
            </w:r>
          </w:p>
        </w:tc>
        <w:tc>
          <w:tcPr>
            <w:tcW w:w="2200" w:type="dxa"/>
            <w:vAlign w:val="bottom"/>
            <w:shd w:val="clear" w:color="auto" w:fill="E5E5E5"/>
          </w:tcPr>
          <w:p>
            <w:pPr>
              <w:jc w:val="center"/>
              <w:ind w:left="162"/>
              <w:spacing w:after="0"/>
              <w:rPr>
                <w:sz w:val="20"/>
                <w:szCs w:val="20"/>
                <w:color w:val="auto"/>
              </w:rPr>
            </w:pPr>
            <w:r>
              <w:rPr>
                <w:rFonts w:ascii="Arial" w:cs="Arial" w:eastAsia="Arial" w:hAnsi="Arial"/>
                <w:sz w:val="16"/>
                <w:szCs w:val="16"/>
                <w:color w:val="auto"/>
              </w:rPr>
              <w:t>$400,000</w:t>
            </w:r>
          </w:p>
        </w:tc>
        <w:tc>
          <w:tcPr>
            <w:tcW w:w="1860" w:type="dxa"/>
            <w:vAlign w:val="bottom"/>
            <w:shd w:val="clear" w:color="auto" w:fill="E5E5E5"/>
          </w:tcPr>
          <w:p>
            <w:pPr>
              <w:jc w:val="center"/>
              <w:ind w:left="42"/>
              <w:spacing w:after="0"/>
              <w:rPr>
                <w:sz w:val="20"/>
                <w:szCs w:val="20"/>
                <w:color w:val="auto"/>
              </w:rPr>
            </w:pPr>
            <w:r>
              <w:rPr>
                <w:rFonts w:ascii="Arial" w:cs="Arial" w:eastAsia="Arial" w:hAnsi="Arial"/>
                <w:sz w:val="16"/>
                <w:szCs w:val="16"/>
                <w:color w:val="auto"/>
              </w:rPr>
              <w:t>$339,363</w:t>
            </w:r>
          </w:p>
        </w:tc>
        <w:tc>
          <w:tcPr>
            <w:tcW w:w="146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0"/>
                <w:szCs w:val="20"/>
                <w:color w:val="auto"/>
              </w:rPr>
            </w:pPr>
          </w:p>
        </w:tc>
      </w:tr>
      <w:tr>
        <w:trPr>
          <w:trHeight w:val="211"/>
        </w:trPr>
        <w:tc>
          <w:tcPr>
            <w:tcW w:w="5480" w:type="dxa"/>
            <w:vAlign w:val="bottom"/>
          </w:tcPr>
          <w:p>
            <w:pPr>
              <w:ind w:left="60"/>
              <w:spacing w:after="0"/>
              <w:rPr>
                <w:sz w:val="20"/>
                <w:szCs w:val="20"/>
                <w:color w:val="auto"/>
              </w:rPr>
            </w:pPr>
            <w:r>
              <w:rPr>
                <w:rFonts w:ascii="Arial" w:cs="Arial" w:eastAsia="Arial" w:hAnsi="Arial"/>
                <w:sz w:val="16"/>
                <w:szCs w:val="16"/>
                <w:b w:val="1"/>
                <w:bCs w:val="1"/>
                <w:color w:val="0071CE"/>
              </w:rPr>
              <w:t>Patrick O’Brien</w:t>
            </w:r>
          </w:p>
        </w:tc>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480" w:type="dxa"/>
            <w:vAlign w:val="bottom"/>
          </w:tcPr>
          <w:p>
            <w:pPr>
              <w:ind w:left="60"/>
              <w:spacing w:after="0"/>
              <w:rPr>
                <w:sz w:val="20"/>
                <w:szCs w:val="20"/>
                <w:color w:val="auto"/>
              </w:rPr>
            </w:pPr>
            <w:r>
              <w:rPr>
                <w:rFonts w:ascii="Arial" w:cs="Arial" w:eastAsia="Arial" w:hAnsi="Arial"/>
                <w:sz w:val="16"/>
                <w:szCs w:val="16"/>
                <w:color w:val="auto"/>
              </w:rPr>
              <w:t>General Counsel</w:t>
            </w:r>
          </w:p>
        </w:tc>
        <w:tc>
          <w:tcPr>
            <w:tcW w:w="2200" w:type="dxa"/>
            <w:vAlign w:val="bottom"/>
          </w:tcPr>
          <w:p>
            <w:pPr>
              <w:jc w:val="center"/>
              <w:ind w:left="162"/>
              <w:spacing w:after="0"/>
              <w:rPr>
                <w:sz w:val="20"/>
                <w:szCs w:val="20"/>
                <w:color w:val="auto"/>
              </w:rPr>
            </w:pPr>
            <w:r>
              <w:rPr>
                <w:rFonts w:ascii="Arial" w:cs="Arial" w:eastAsia="Arial" w:hAnsi="Arial"/>
                <w:sz w:val="16"/>
                <w:szCs w:val="16"/>
                <w:color w:val="auto"/>
              </w:rPr>
              <w:t>$410,000</w:t>
            </w:r>
          </w:p>
        </w:tc>
        <w:tc>
          <w:tcPr>
            <w:tcW w:w="1860" w:type="dxa"/>
            <w:vAlign w:val="bottom"/>
          </w:tcPr>
          <w:p>
            <w:pPr>
              <w:jc w:val="center"/>
              <w:ind w:left="42"/>
              <w:spacing w:after="0"/>
              <w:rPr>
                <w:sz w:val="20"/>
                <w:szCs w:val="20"/>
                <w:color w:val="auto"/>
              </w:rPr>
            </w:pPr>
            <w:r>
              <w:rPr>
                <w:rFonts w:ascii="Arial" w:cs="Arial" w:eastAsia="Arial" w:hAnsi="Arial"/>
                <w:sz w:val="16"/>
                <w:szCs w:val="16"/>
                <w:color w:val="auto"/>
              </w:rPr>
              <w:t>$394,784</w:t>
            </w:r>
          </w:p>
        </w:tc>
        <w:tc>
          <w:tcPr>
            <w:tcW w:w="1460" w:type="dxa"/>
            <w:vAlign w:val="bottom"/>
          </w:tcPr>
          <w:p>
            <w:pPr>
              <w:jc w:val="right"/>
              <w:ind w:right="20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r>
      <w:tr>
        <w:trPr>
          <w:trHeight w:val="219"/>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Zhen Li</w:t>
            </w:r>
          </w:p>
        </w:tc>
        <w:tc>
          <w:tcPr>
            <w:tcW w:w="2200" w:type="dxa"/>
            <w:vAlign w:val="bottom"/>
            <w:shd w:val="clear" w:color="auto" w:fill="E5E5E5"/>
          </w:tcPr>
          <w:p>
            <w:pPr>
              <w:spacing w:after="0"/>
              <w:rPr>
                <w:sz w:val="19"/>
                <w:szCs w:val="19"/>
                <w:color w:val="auto"/>
              </w:rPr>
            </w:pPr>
          </w:p>
        </w:tc>
        <w:tc>
          <w:tcPr>
            <w:tcW w:w="1860" w:type="dxa"/>
            <w:vAlign w:val="bottom"/>
            <w:shd w:val="clear" w:color="auto" w:fill="E5E5E5"/>
          </w:tcPr>
          <w:p>
            <w:pPr>
              <w:spacing w:after="0"/>
              <w:rPr>
                <w:sz w:val="19"/>
                <w:szCs w:val="19"/>
                <w:color w:val="auto"/>
              </w:rPr>
            </w:pPr>
          </w:p>
        </w:tc>
        <w:tc>
          <w:tcPr>
            <w:tcW w:w="14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4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Senior Vice President</w:t>
            </w:r>
          </w:p>
        </w:tc>
        <w:tc>
          <w:tcPr>
            <w:tcW w:w="2200" w:type="dxa"/>
            <w:vAlign w:val="bottom"/>
            <w:shd w:val="clear" w:color="auto" w:fill="E5E5E5"/>
          </w:tcPr>
          <w:p>
            <w:pPr>
              <w:spacing w:after="0"/>
              <w:rPr>
                <w:sz w:val="16"/>
                <w:szCs w:val="16"/>
                <w:color w:val="auto"/>
              </w:rPr>
            </w:pPr>
          </w:p>
        </w:tc>
        <w:tc>
          <w:tcPr>
            <w:tcW w:w="1860" w:type="dxa"/>
            <w:vAlign w:val="bottom"/>
            <w:shd w:val="clear" w:color="auto" w:fill="E5E5E5"/>
          </w:tcPr>
          <w:p>
            <w:pPr>
              <w:spacing w:after="0"/>
              <w:rPr>
                <w:sz w:val="16"/>
                <w:szCs w:val="16"/>
                <w:color w:val="auto"/>
              </w:rPr>
            </w:pPr>
          </w:p>
        </w:tc>
        <w:tc>
          <w:tcPr>
            <w:tcW w:w="146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548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6"/>
                <w:szCs w:val="16"/>
                <w:color w:val="auto"/>
              </w:rPr>
              <w:t>Chemistry &amp; Non-Clinical Development</w:t>
            </w:r>
          </w:p>
        </w:tc>
        <w:tc>
          <w:tcPr>
            <w:tcW w:w="2200" w:type="dxa"/>
            <w:vAlign w:val="bottom"/>
            <w:tcBorders>
              <w:bottom w:val="single" w:sz="8" w:color="0071CE"/>
            </w:tcBorders>
            <w:shd w:val="clear" w:color="auto" w:fill="E5E5E5"/>
          </w:tcPr>
          <w:p>
            <w:pPr>
              <w:jc w:val="center"/>
              <w:ind w:left="162"/>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0071CE"/>
            </w:tcBorders>
            <w:shd w:val="clear" w:color="auto" w:fill="E5E5E5"/>
          </w:tcPr>
          <w:p>
            <w:pPr>
              <w:jc w:val="center"/>
              <w:ind w:left="42"/>
              <w:spacing w:after="0"/>
              <w:rPr>
                <w:sz w:val="20"/>
                <w:szCs w:val="20"/>
                <w:color w:val="auto"/>
              </w:rPr>
            </w:pPr>
            <w:r>
              <w:rPr>
                <w:rFonts w:ascii="Arial" w:cs="Arial" w:eastAsia="Arial" w:hAnsi="Arial"/>
                <w:sz w:val="16"/>
                <w:szCs w:val="16"/>
                <w:color w:val="auto"/>
              </w:rPr>
              <w:t>$249,850</w:t>
            </w:r>
          </w:p>
        </w:tc>
        <w:tc>
          <w:tcPr>
            <w:tcW w:w="1460" w:type="dxa"/>
            <w:vAlign w:val="bottom"/>
            <w:tcBorders>
              <w:bottom w:val="single" w:sz="8" w:color="0071CE"/>
            </w:tcBorders>
            <w:shd w:val="clear" w:color="auto" w:fill="E5E5E5"/>
          </w:tcPr>
          <w:p>
            <w:pPr>
              <w:jc w:val="right"/>
              <w:ind w:right="202"/>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actual base salaries paid to our Named Executive Officers in fiscal 2018 are set forth in the “Fiscal 2018 Summary Compensation Table” below.</w:t>
      </w: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Incentive Compensation</w:t>
      </w:r>
    </w:p>
    <w:p>
      <w:pPr>
        <w:spacing w:after="0" w:line="106" w:lineRule="exact"/>
        <w:rPr>
          <w:sz w:val="20"/>
          <w:szCs w:val="20"/>
          <w:color w:val="auto"/>
        </w:rPr>
      </w:pPr>
    </w:p>
    <w:p>
      <w:pPr>
        <w:ind w:left="220" w:right="20"/>
        <w:spacing w:after="0" w:line="257" w:lineRule="auto"/>
        <w:rPr>
          <w:sz w:val="20"/>
          <w:szCs w:val="20"/>
          <w:color w:val="auto"/>
        </w:rPr>
      </w:pPr>
      <w:r>
        <w:rPr>
          <w:rFonts w:ascii="Arial" w:cs="Arial" w:eastAsia="Arial" w:hAnsi="Arial"/>
          <w:sz w:val="16"/>
          <w:szCs w:val="16"/>
          <w:color w:val="auto"/>
        </w:rPr>
        <w:t>We provide our executive officers, including our Named Executive Officers,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incentive compensation opportunity. Through a collaborative planning process involving our Board of Directors and management, corporate performance objectives are established at the beginning of each year and evaluated regularly by our Board for their continued relevance to our status.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08" w:lineRule="exact"/>
        <w:rPr>
          <w:sz w:val="20"/>
          <w:szCs w:val="20"/>
          <w:color w:val="auto"/>
        </w:rPr>
      </w:pPr>
    </w:p>
    <w:p>
      <w:pPr>
        <w:ind w:left="220" w:right="80"/>
        <w:spacing w:after="0" w:line="253" w:lineRule="auto"/>
        <w:rPr>
          <w:sz w:val="20"/>
          <w:szCs w:val="20"/>
          <w:color w:val="auto"/>
        </w:rPr>
      </w:pPr>
      <w:r>
        <w:rPr>
          <w:rFonts w:ascii="Arial" w:cs="Arial" w:eastAsia="Arial" w:hAnsi="Arial"/>
          <w:sz w:val="16"/>
          <w:szCs w:val="16"/>
          <w:color w:val="auto"/>
        </w:rPr>
        <w:t>For purposes of the 2018 performance-based incentive awards, each of our Named Executive Officers was assigned a target annual incentive award opportunity based upon a percentage of his or her base salary. The target annual incentive award opportunities for our executive officers, including our Named Executive Officers, were recommended by our CEO (except with respect to his own target annual incentive award opportunity) based on each executive officer’s accountability, scope of responsibilities, and potential impact on our performance, and approved by the Compensation Committee. The determination of target annual incentive award opportunities was based on the factors described in “Governance of Executive Compensation Program — Compensation-Setting Process” above. Based on higher levels of control and accountability for our overall performance, a higher percentage of each executive officer’s total target cash compensation was dependent on his or her performance-based annual incentive awards.</w:t>
      </w:r>
    </w:p>
    <w:p>
      <w:pPr>
        <w:spacing w:after="0" w:line="180" w:lineRule="exact"/>
        <w:rPr>
          <w:sz w:val="20"/>
          <w:szCs w:val="20"/>
          <w:color w:val="auto"/>
        </w:rPr>
      </w:pPr>
    </w:p>
    <w:p>
      <w:pPr>
        <w:ind w:left="220" w:right="540"/>
        <w:spacing w:after="0" w:line="291" w:lineRule="auto"/>
        <w:rPr>
          <w:sz w:val="20"/>
          <w:szCs w:val="20"/>
          <w:color w:val="auto"/>
        </w:rPr>
      </w:pPr>
      <w:r>
        <w:rPr>
          <w:rFonts w:ascii="Arial" w:cs="Arial" w:eastAsia="Arial" w:hAnsi="Arial"/>
          <w:sz w:val="16"/>
          <w:szCs w:val="16"/>
          <w:color w:val="auto"/>
        </w:rPr>
        <w:t>For 2018, the Compensation Committee increased the target annual incentive award opportunity for Kenneth Myszkowski and Patrick O’Brien. The increases reflected the increased leadership responsibilities for each position as the Company grows and market-based adjustments.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target annual incentive award opportunities for our Named Executive Officers were as follows: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5480" w:type="dxa"/>
            <w:vAlign w:val="bottom"/>
            <w:shd w:val="clear" w:color="auto" w:fill="0071CE"/>
          </w:tcPr>
          <w:p>
            <w:pPr>
              <w:spacing w:after="0"/>
              <w:rPr>
                <w:sz w:val="15"/>
                <w:szCs w:val="15"/>
                <w:color w:val="auto"/>
              </w:rPr>
            </w:pPr>
          </w:p>
        </w:tc>
        <w:tc>
          <w:tcPr>
            <w:tcW w:w="3300" w:type="dxa"/>
            <w:vAlign w:val="bottom"/>
            <w:shd w:val="clear" w:color="auto" w:fill="0071CE"/>
          </w:tcPr>
          <w:p>
            <w:pPr>
              <w:jc w:val="center"/>
              <w:ind w:left="459"/>
              <w:spacing w:after="0"/>
              <w:rPr>
                <w:sz w:val="20"/>
                <w:szCs w:val="20"/>
                <w:color w:val="auto"/>
              </w:rPr>
            </w:pPr>
            <w:r>
              <w:rPr>
                <w:rFonts w:ascii="Arial" w:cs="Arial" w:eastAsia="Arial" w:hAnsi="Arial"/>
                <w:sz w:val="14"/>
                <w:szCs w:val="14"/>
                <w:b w:val="1"/>
                <w:bCs w:val="1"/>
                <w:color w:val="FFFFFF"/>
              </w:rPr>
              <w:t>2018 Target Annual</w:t>
            </w:r>
          </w:p>
        </w:tc>
        <w:tc>
          <w:tcPr>
            <w:tcW w:w="222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2017 Target Annual</w:t>
            </w:r>
          </w:p>
        </w:tc>
        <w:tc>
          <w:tcPr>
            <w:tcW w:w="20" w:type="dxa"/>
            <w:vAlign w:val="bottom"/>
            <w:shd w:val="clear" w:color="auto" w:fill="0071CE"/>
          </w:tcPr>
          <w:p>
            <w:pPr>
              <w:spacing w:after="0"/>
              <w:rPr>
                <w:sz w:val="15"/>
                <w:szCs w:val="15"/>
                <w:color w:val="auto"/>
              </w:rPr>
            </w:pPr>
          </w:p>
        </w:tc>
      </w:tr>
      <w:tr>
        <w:trPr>
          <w:trHeight w:val="162"/>
        </w:trPr>
        <w:tc>
          <w:tcPr>
            <w:tcW w:w="5480" w:type="dxa"/>
            <w:vAlign w:val="bottom"/>
            <w:shd w:val="clear" w:color="auto" w:fill="0071CE"/>
          </w:tcPr>
          <w:p>
            <w:pPr>
              <w:spacing w:after="0"/>
              <w:rPr>
                <w:sz w:val="14"/>
                <w:szCs w:val="14"/>
                <w:color w:val="auto"/>
              </w:rPr>
            </w:pPr>
          </w:p>
        </w:tc>
        <w:tc>
          <w:tcPr>
            <w:tcW w:w="3300" w:type="dxa"/>
            <w:vAlign w:val="bottom"/>
            <w:shd w:val="clear" w:color="auto" w:fill="0071CE"/>
          </w:tcPr>
          <w:p>
            <w:pPr>
              <w:jc w:val="center"/>
              <w:ind w:left="479"/>
              <w:spacing w:after="0"/>
              <w:rPr>
                <w:sz w:val="20"/>
                <w:szCs w:val="20"/>
                <w:color w:val="auto"/>
              </w:rPr>
            </w:pPr>
            <w:r>
              <w:rPr>
                <w:rFonts w:ascii="Arial" w:cs="Arial" w:eastAsia="Arial" w:hAnsi="Arial"/>
                <w:sz w:val="14"/>
                <w:szCs w:val="14"/>
                <w:b w:val="1"/>
                <w:bCs w:val="1"/>
                <w:color w:val="FFFFFF"/>
              </w:rPr>
              <w:t>Incentive Award</w:t>
            </w:r>
          </w:p>
        </w:tc>
        <w:tc>
          <w:tcPr>
            <w:tcW w:w="222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Incentive Award</w:t>
            </w:r>
          </w:p>
        </w:tc>
        <w:tc>
          <w:tcPr>
            <w:tcW w:w="20" w:type="dxa"/>
            <w:vAlign w:val="bottom"/>
            <w:shd w:val="clear" w:color="auto" w:fill="0071CE"/>
          </w:tcPr>
          <w:p>
            <w:pPr>
              <w:spacing w:after="0"/>
              <w:rPr>
                <w:sz w:val="14"/>
                <w:szCs w:val="14"/>
                <w:color w:val="auto"/>
              </w:rPr>
            </w:pPr>
          </w:p>
        </w:tc>
      </w:tr>
      <w:tr>
        <w:trPr>
          <w:trHeight w:val="162"/>
        </w:trPr>
        <w:tc>
          <w:tcPr>
            <w:tcW w:w="5480" w:type="dxa"/>
            <w:vAlign w:val="bottom"/>
            <w:shd w:val="clear" w:color="auto" w:fill="0071CE"/>
          </w:tcPr>
          <w:p>
            <w:pPr>
              <w:spacing w:after="0"/>
              <w:rPr>
                <w:sz w:val="14"/>
                <w:szCs w:val="14"/>
                <w:color w:val="auto"/>
              </w:rPr>
            </w:pPr>
          </w:p>
        </w:tc>
        <w:tc>
          <w:tcPr>
            <w:tcW w:w="3300" w:type="dxa"/>
            <w:vAlign w:val="bottom"/>
            <w:shd w:val="clear" w:color="auto" w:fill="0071CE"/>
          </w:tcPr>
          <w:p>
            <w:pPr>
              <w:jc w:val="center"/>
              <w:ind w:left="459"/>
              <w:spacing w:after="0"/>
              <w:rPr>
                <w:sz w:val="20"/>
                <w:szCs w:val="20"/>
                <w:color w:val="auto"/>
              </w:rPr>
            </w:pPr>
            <w:r>
              <w:rPr>
                <w:rFonts w:ascii="Arial" w:cs="Arial" w:eastAsia="Arial" w:hAnsi="Arial"/>
                <w:sz w:val="14"/>
                <w:szCs w:val="14"/>
                <w:b w:val="1"/>
                <w:bCs w:val="1"/>
                <w:color w:val="FFFFFF"/>
              </w:rPr>
              <w:t>Opportunity (as a</w:t>
            </w:r>
          </w:p>
        </w:tc>
        <w:tc>
          <w:tcPr>
            <w:tcW w:w="222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Opportunity (as a</w:t>
            </w:r>
          </w:p>
        </w:tc>
        <w:tc>
          <w:tcPr>
            <w:tcW w:w="20" w:type="dxa"/>
            <w:vAlign w:val="bottom"/>
            <w:shd w:val="clear" w:color="auto" w:fill="0071CE"/>
          </w:tcPr>
          <w:p>
            <w:pPr>
              <w:spacing w:after="0"/>
              <w:rPr>
                <w:sz w:val="14"/>
                <w:szCs w:val="14"/>
                <w:color w:val="auto"/>
              </w:rPr>
            </w:pPr>
          </w:p>
        </w:tc>
      </w:tr>
      <w:tr>
        <w:trPr>
          <w:trHeight w:val="162"/>
        </w:trPr>
        <w:tc>
          <w:tcPr>
            <w:tcW w:w="5480" w:type="dxa"/>
            <w:vAlign w:val="bottom"/>
            <w:shd w:val="clear" w:color="auto" w:fill="0071CE"/>
          </w:tcPr>
          <w:p>
            <w:pPr>
              <w:ind w:left="220"/>
              <w:spacing w:after="0"/>
              <w:rPr>
                <w:sz w:val="20"/>
                <w:szCs w:val="20"/>
                <w:color w:val="auto"/>
              </w:rPr>
            </w:pPr>
            <w:r>
              <w:rPr>
                <w:rFonts w:ascii="Arial" w:cs="Arial" w:eastAsia="Arial" w:hAnsi="Arial"/>
                <w:sz w:val="14"/>
                <w:szCs w:val="14"/>
                <w:b w:val="1"/>
                <w:bCs w:val="1"/>
                <w:color w:val="FFFFFF"/>
              </w:rPr>
              <w:t>Named Executive</w:t>
            </w:r>
          </w:p>
        </w:tc>
        <w:tc>
          <w:tcPr>
            <w:tcW w:w="3300" w:type="dxa"/>
            <w:vAlign w:val="bottom"/>
            <w:shd w:val="clear" w:color="auto" w:fill="0071CE"/>
          </w:tcPr>
          <w:p>
            <w:pPr>
              <w:jc w:val="center"/>
              <w:ind w:left="459"/>
              <w:spacing w:after="0"/>
              <w:rPr>
                <w:sz w:val="20"/>
                <w:szCs w:val="20"/>
                <w:color w:val="auto"/>
              </w:rPr>
            </w:pPr>
            <w:r>
              <w:rPr>
                <w:rFonts w:ascii="Arial" w:cs="Arial" w:eastAsia="Arial" w:hAnsi="Arial"/>
                <w:sz w:val="14"/>
                <w:szCs w:val="14"/>
                <w:b w:val="1"/>
                <w:bCs w:val="1"/>
                <w:color w:val="FFFFFF"/>
              </w:rPr>
              <w:t>percentage of base</w:t>
            </w:r>
          </w:p>
        </w:tc>
        <w:tc>
          <w:tcPr>
            <w:tcW w:w="2220" w:type="dxa"/>
            <w:vAlign w:val="bottom"/>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percentage of base</w:t>
            </w:r>
          </w:p>
        </w:tc>
        <w:tc>
          <w:tcPr>
            <w:tcW w:w="20" w:type="dxa"/>
            <w:vAlign w:val="bottom"/>
            <w:shd w:val="clear" w:color="auto" w:fill="0071CE"/>
          </w:tcPr>
          <w:p>
            <w:pPr>
              <w:spacing w:after="0"/>
              <w:rPr>
                <w:sz w:val="14"/>
                <w:szCs w:val="14"/>
                <w:color w:val="auto"/>
              </w:rPr>
            </w:pPr>
          </w:p>
        </w:tc>
      </w:tr>
      <w:tr>
        <w:trPr>
          <w:trHeight w:val="211"/>
        </w:trPr>
        <w:tc>
          <w:tcPr>
            <w:tcW w:w="548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Officer</w:t>
            </w:r>
          </w:p>
        </w:tc>
        <w:tc>
          <w:tcPr>
            <w:tcW w:w="3300" w:type="dxa"/>
            <w:vAlign w:val="bottom"/>
            <w:tcBorders>
              <w:bottom w:val="single" w:sz="8" w:color="0071CE"/>
            </w:tcBorders>
            <w:shd w:val="clear" w:color="auto" w:fill="0071CE"/>
          </w:tcPr>
          <w:p>
            <w:pPr>
              <w:jc w:val="center"/>
              <w:ind w:left="479"/>
              <w:spacing w:after="0"/>
              <w:rPr>
                <w:sz w:val="20"/>
                <w:szCs w:val="20"/>
                <w:color w:val="auto"/>
              </w:rPr>
            </w:pPr>
            <w:r>
              <w:rPr>
                <w:rFonts w:ascii="Arial" w:cs="Arial" w:eastAsia="Arial" w:hAnsi="Arial"/>
                <w:sz w:val="14"/>
                <w:szCs w:val="14"/>
                <w:b w:val="1"/>
                <w:bCs w:val="1"/>
                <w:color w:val="FFFFFF"/>
              </w:rPr>
              <w:t>salary)</w:t>
            </w:r>
          </w:p>
        </w:tc>
        <w:tc>
          <w:tcPr>
            <w:tcW w:w="2220" w:type="dxa"/>
            <w:vAlign w:val="bottom"/>
            <w:tcBorders>
              <w:bottom w:val="single" w:sz="8" w:color="0071CE"/>
            </w:tcBorders>
            <w:shd w:val="clear" w:color="auto" w:fill="0071CE"/>
          </w:tcPr>
          <w:p>
            <w:pPr>
              <w:jc w:val="center"/>
              <w:ind w:left="439"/>
              <w:spacing w:after="0"/>
              <w:rPr>
                <w:sz w:val="20"/>
                <w:szCs w:val="20"/>
                <w:color w:val="auto"/>
              </w:rPr>
            </w:pPr>
            <w:r>
              <w:rPr>
                <w:rFonts w:ascii="Arial" w:cs="Arial" w:eastAsia="Arial" w:hAnsi="Arial"/>
                <w:sz w:val="14"/>
                <w:szCs w:val="14"/>
                <w:b w:val="1"/>
                <w:bCs w:val="1"/>
                <w:color w:val="FFFFFF"/>
              </w:rPr>
              <w:t>salary)</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70"/>
        </w:trPr>
        <w:tc>
          <w:tcPr>
            <w:tcW w:w="5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Dr. Anzalone</w:t>
            </w:r>
          </w:p>
        </w:tc>
        <w:tc>
          <w:tcPr>
            <w:tcW w:w="3300" w:type="dxa"/>
            <w:vAlign w:val="bottom"/>
            <w:shd w:val="clear" w:color="auto" w:fill="E5E5E5"/>
          </w:tcPr>
          <w:p>
            <w:pPr>
              <w:jc w:val="right"/>
              <w:ind w:right="959"/>
              <w:spacing w:after="0"/>
              <w:rPr>
                <w:sz w:val="20"/>
                <w:szCs w:val="20"/>
                <w:color w:val="auto"/>
              </w:rPr>
            </w:pPr>
            <w:r>
              <w:rPr>
                <w:rFonts w:ascii="Arial" w:cs="Arial" w:eastAsia="Arial" w:hAnsi="Arial"/>
                <w:sz w:val="18"/>
                <w:szCs w:val="18"/>
                <w:color w:val="auto"/>
              </w:rPr>
              <w:t>100%</w:t>
            </w:r>
          </w:p>
        </w:tc>
        <w:tc>
          <w:tcPr>
            <w:tcW w:w="222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3"/>
                <w:szCs w:val="23"/>
                <w:color w:val="auto"/>
              </w:rPr>
            </w:pPr>
          </w:p>
        </w:tc>
      </w:tr>
      <w:tr>
        <w:trPr>
          <w:trHeight w:val="265"/>
        </w:trPr>
        <w:tc>
          <w:tcPr>
            <w:tcW w:w="5480" w:type="dxa"/>
            <w:vAlign w:val="bottom"/>
          </w:tcPr>
          <w:p>
            <w:pPr>
              <w:ind w:left="60"/>
              <w:spacing w:after="0"/>
              <w:rPr>
                <w:sz w:val="20"/>
                <w:szCs w:val="20"/>
                <w:color w:val="auto"/>
              </w:rPr>
            </w:pPr>
            <w:r>
              <w:rPr>
                <w:rFonts w:ascii="Arial" w:cs="Arial" w:eastAsia="Arial" w:hAnsi="Arial"/>
                <w:sz w:val="18"/>
                <w:szCs w:val="18"/>
                <w:color w:val="auto"/>
              </w:rPr>
              <w:t>Dr. Given</w:t>
            </w:r>
          </w:p>
        </w:tc>
        <w:tc>
          <w:tcPr>
            <w:tcW w:w="3300" w:type="dxa"/>
            <w:vAlign w:val="bottom"/>
          </w:tcPr>
          <w:p>
            <w:pPr>
              <w:jc w:val="right"/>
              <w:ind w:right="959"/>
              <w:spacing w:after="0"/>
              <w:rPr>
                <w:sz w:val="20"/>
                <w:szCs w:val="20"/>
                <w:color w:val="auto"/>
              </w:rPr>
            </w:pPr>
            <w:r>
              <w:rPr>
                <w:rFonts w:ascii="Arial" w:cs="Arial" w:eastAsia="Arial" w:hAnsi="Arial"/>
                <w:sz w:val="18"/>
                <w:szCs w:val="18"/>
                <w:color w:val="auto"/>
              </w:rPr>
              <w:t>70%</w:t>
            </w:r>
          </w:p>
        </w:tc>
        <w:tc>
          <w:tcPr>
            <w:tcW w:w="2220" w:type="dxa"/>
            <w:vAlign w:val="bottom"/>
          </w:tcPr>
          <w:p>
            <w:pPr>
              <w:jc w:val="right"/>
              <w:ind w:right="419"/>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3"/>
                <w:szCs w:val="23"/>
                <w:color w:val="auto"/>
              </w:rPr>
            </w:pPr>
          </w:p>
        </w:tc>
      </w:tr>
      <w:tr>
        <w:trPr>
          <w:trHeight w:val="275"/>
        </w:trPr>
        <w:tc>
          <w:tcPr>
            <w:tcW w:w="5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Myszkowski</w:t>
            </w:r>
          </w:p>
        </w:tc>
        <w:tc>
          <w:tcPr>
            <w:tcW w:w="3300" w:type="dxa"/>
            <w:vAlign w:val="bottom"/>
            <w:shd w:val="clear" w:color="auto" w:fill="E5E5E5"/>
          </w:tcPr>
          <w:p>
            <w:pPr>
              <w:jc w:val="right"/>
              <w:ind w:right="959"/>
              <w:spacing w:after="0"/>
              <w:rPr>
                <w:sz w:val="20"/>
                <w:szCs w:val="20"/>
                <w:color w:val="auto"/>
              </w:rPr>
            </w:pPr>
            <w:r>
              <w:rPr>
                <w:rFonts w:ascii="Arial" w:cs="Arial" w:eastAsia="Arial" w:hAnsi="Arial"/>
                <w:sz w:val="18"/>
                <w:szCs w:val="18"/>
                <w:color w:val="auto"/>
              </w:rPr>
              <w:t>45%</w:t>
            </w:r>
          </w:p>
        </w:tc>
        <w:tc>
          <w:tcPr>
            <w:tcW w:w="2220" w:type="dxa"/>
            <w:vAlign w:val="bottom"/>
            <w:shd w:val="clear" w:color="auto" w:fill="E5E5E5"/>
          </w:tcPr>
          <w:p>
            <w:pPr>
              <w:jc w:val="right"/>
              <w:ind w:right="419"/>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r>
        <w:trPr>
          <w:trHeight w:val="265"/>
        </w:trPr>
        <w:tc>
          <w:tcPr>
            <w:tcW w:w="5480" w:type="dxa"/>
            <w:vAlign w:val="bottom"/>
          </w:tcPr>
          <w:p>
            <w:pPr>
              <w:ind w:left="60"/>
              <w:spacing w:after="0"/>
              <w:rPr>
                <w:sz w:val="20"/>
                <w:szCs w:val="20"/>
                <w:color w:val="auto"/>
              </w:rPr>
            </w:pPr>
            <w:r>
              <w:rPr>
                <w:rFonts w:ascii="Arial" w:cs="Arial" w:eastAsia="Arial" w:hAnsi="Arial"/>
                <w:sz w:val="18"/>
                <w:szCs w:val="18"/>
                <w:color w:val="auto"/>
              </w:rPr>
              <w:t>Mr. O’Brien</w:t>
            </w:r>
          </w:p>
        </w:tc>
        <w:tc>
          <w:tcPr>
            <w:tcW w:w="3300" w:type="dxa"/>
            <w:vAlign w:val="bottom"/>
          </w:tcPr>
          <w:p>
            <w:pPr>
              <w:jc w:val="right"/>
              <w:ind w:right="959"/>
              <w:spacing w:after="0"/>
              <w:rPr>
                <w:sz w:val="20"/>
                <w:szCs w:val="20"/>
                <w:color w:val="auto"/>
              </w:rPr>
            </w:pPr>
            <w:r>
              <w:rPr>
                <w:rFonts w:ascii="Arial" w:cs="Arial" w:eastAsia="Arial" w:hAnsi="Arial"/>
                <w:sz w:val="18"/>
                <w:szCs w:val="18"/>
                <w:color w:val="auto"/>
              </w:rPr>
              <w:t>45%</w:t>
            </w:r>
          </w:p>
        </w:tc>
        <w:tc>
          <w:tcPr>
            <w:tcW w:w="2220" w:type="dxa"/>
            <w:vAlign w:val="bottom"/>
          </w:tcPr>
          <w:p>
            <w:pPr>
              <w:jc w:val="right"/>
              <w:ind w:right="419"/>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r>
        <w:trPr>
          <w:trHeight w:val="270"/>
        </w:trPr>
        <w:tc>
          <w:tcPr>
            <w:tcW w:w="548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Dr. Li</w:t>
            </w:r>
          </w:p>
        </w:tc>
        <w:tc>
          <w:tcPr>
            <w:tcW w:w="3300" w:type="dxa"/>
            <w:vAlign w:val="bottom"/>
            <w:tcBorders>
              <w:bottom w:val="single" w:sz="8" w:color="0071CE"/>
            </w:tcBorders>
            <w:shd w:val="clear" w:color="auto" w:fill="E5E5E5"/>
          </w:tcPr>
          <w:p>
            <w:pPr>
              <w:jc w:val="right"/>
              <w:ind w:right="959"/>
              <w:spacing w:after="0"/>
              <w:rPr>
                <w:sz w:val="20"/>
                <w:szCs w:val="20"/>
                <w:color w:val="auto"/>
              </w:rPr>
            </w:pPr>
            <w:r>
              <w:rPr>
                <w:rFonts w:ascii="Arial" w:cs="Arial" w:eastAsia="Arial" w:hAnsi="Arial"/>
                <w:sz w:val="18"/>
                <w:szCs w:val="18"/>
                <w:color w:val="auto"/>
              </w:rPr>
              <w:t>40%</w:t>
            </w:r>
          </w:p>
        </w:tc>
        <w:tc>
          <w:tcPr>
            <w:tcW w:w="2220" w:type="dxa"/>
            <w:vAlign w:val="bottom"/>
            <w:tcBorders>
              <w:bottom w:val="single" w:sz="8" w:color="0071CE"/>
            </w:tcBorders>
            <w:shd w:val="clear" w:color="auto" w:fill="E5E5E5"/>
          </w:tcPr>
          <w:p>
            <w:pPr>
              <w:jc w:val="right"/>
              <w:ind w:right="419"/>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3"/>
                <w:szCs w:val="23"/>
                <w:color w:val="auto"/>
              </w:rPr>
            </w:pPr>
          </w:p>
        </w:tc>
      </w:tr>
      <w:tr>
        <w:trPr>
          <w:trHeight w:val="428"/>
        </w:trPr>
        <w:tc>
          <w:tcPr>
            <w:tcW w:w="5480" w:type="dxa"/>
            <w:vAlign w:val="bottom"/>
          </w:tcPr>
          <w:p>
            <w:pPr>
              <w:spacing w:after="0"/>
              <w:rPr>
                <w:sz w:val="20"/>
                <w:szCs w:val="20"/>
                <w:color w:val="auto"/>
              </w:rPr>
            </w:pPr>
            <w:r>
              <w:rPr>
                <w:rFonts w:ascii="Arial" w:cs="Arial" w:eastAsia="Arial" w:hAnsi="Arial"/>
                <w:sz w:val="18"/>
                <w:szCs w:val="18"/>
                <w:b w:val="1"/>
                <w:bCs w:val="1"/>
                <w:color w:val="0071CE"/>
              </w:rPr>
              <w:t>24</w:t>
            </w:r>
          </w:p>
        </w:tc>
        <w:tc>
          <w:tcPr>
            <w:tcW w:w="3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-178435</wp:posOffset>
            </wp:positionV>
            <wp:extent cx="984885"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ectPr>
          <w:pgSz w:w="11900" w:h="16838" w:orient="portrait"/>
          <w:cols w:equalWidth="0" w:num="1">
            <w:col w:w="11240"/>
          </w:cols>
          <w:pgMar w:left="240" w:top="455" w:right="4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160"/>
        <w:spacing w:after="0" w:line="291" w:lineRule="auto"/>
        <w:rPr>
          <w:sz w:val="20"/>
          <w:szCs w:val="20"/>
          <w:color w:val="auto"/>
        </w:rPr>
      </w:pPr>
      <w:r>
        <w:rPr>
          <w:rFonts w:ascii="Arial" w:cs="Arial" w:eastAsia="Arial" w:hAnsi="Arial"/>
          <w:sz w:val="16"/>
          <w:szCs w:val="16"/>
          <w:color w:val="auto"/>
        </w:rPr>
        <w:t>Potential annual incentive awards for our CEO could range from zero to 200% of his target annual incentive award opportunity. There is no set minimum or maximum for annual incentive awards for our other Named Executive Officers.</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Performance Objectives</w:t>
      </w:r>
    </w:p>
    <w:p>
      <w:pPr>
        <w:spacing w:after="0" w:line="108" w:lineRule="exact"/>
        <w:rPr>
          <w:sz w:val="20"/>
          <w:szCs w:val="20"/>
          <w:color w:val="auto"/>
        </w:rPr>
      </w:pPr>
    </w:p>
    <w:p>
      <w:pPr>
        <w:ind w:left="220" w:right="120"/>
        <w:spacing w:after="0" w:line="255" w:lineRule="auto"/>
        <w:rPr>
          <w:sz w:val="20"/>
          <w:szCs w:val="20"/>
          <w:color w:val="auto"/>
        </w:rPr>
      </w:pPr>
      <w:r>
        <w:rPr>
          <w:rFonts w:ascii="Arial" w:cs="Arial" w:eastAsia="Arial" w:hAnsi="Arial"/>
          <w:sz w:val="16"/>
          <w:szCs w:val="16"/>
          <w:color w:val="auto"/>
        </w:rPr>
        <w:t>In determining the amount of the annual incentive award for each of our executive officers, including each of our Named Executive Officers,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2018, the Compensation Committee determined that we had largely achieved or exceeded our primary business objectives set for calendar 2018, as described below.</w:t>
      </w:r>
    </w:p>
    <w:p>
      <w:pPr>
        <w:spacing w:after="0" w:line="221" w:lineRule="exact"/>
        <w:rPr>
          <w:sz w:val="20"/>
          <w:szCs w:val="20"/>
          <w:color w:val="auto"/>
        </w:rPr>
      </w:pPr>
    </w:p>
    <w:tbl>
      <w:tblPr>
        <w:tblLayout w:type="fixed"/>
        <w:tblInd w:w="220" w:type="dxa"/>
        <w:tblCellMar>
          <w:top w:w="0" w:type="dxa"/>
          <w:left w:w="0" w:type="dxa"/>
          <w:bottom w:w="0" w:type="dxa"/>
          <w:right w:w="0" w:type="dxa"/>
        </w:tblCellMar>
      </w:tblPr>
      <w:tr>
        <w:trPr>
          <w:trHeight w:val="236"/>
        </w:trPr>
        <w:tc>
          <w:tcPr>
            <w:tcW w:w="228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Goal</w:t>
            </w:r>
          </w:p>
        </w:tc>
        <w:tc>
          <w:tcPr>
            <w:tcW w:w="1320" w:type="dxa"/>
            <w:vAlign w:val="bottom"/>
            <w:tcBorders>
              <w:bottom w:val="single" w:sz="8" w:color="0071CE"/>
            </w:tcBorders>
            <w:shd w:val="clear" w:color="auto" w:fill="0071CE"/>
          </w:tcPr>
          <w:p>
            <w:pPr>
              <w:spacing w:after="0"/>
              <w:rPr>
                <w:sz w:val="20"/>
                <w:szCs w:val="20"/>
                <w:color w:val="auto"/>
              </w:rPr>
            </w:pPr>
          </w:p>
        </w:tc>
        <w:tc>
          <w:tcPr>
            <w:tcW w:w="2020" w:type="dxa"/>
            <w:vAlign w:val="bottom"/>
            <w:tcBorders>
              <w:bottom w:val="single" w:sz="8" w:color="0071CE"/>
            </w:tcBorders>
            <w:shd w:val="clear" w:color="auto" w:fill="0071CE"/>
          </w:tcPr>
          <w:p>
            <w:pPr>
              <w:spacing w:after="0"/>
              <w:rPr>
                <w:sz w:val="20"/>
                <w:szCs w:val="20"/>
                <w:color w:val="auto"/>
              </w:rPr>
            </w:pPr>
          </w:p>
        </w:tc>
        <w:tc>
          <w:tcPr>
            <w:tcW w:w="5380" w:type="dxa"/>
            <w:vAlign w:val="bottom"/>
            <w:tcBorders>
              <w:bottom w:val="single" w:sz="8" w:color="0071CE"/>
            </w:tcBorders>
            <w:shd w:val="clear" w:color="auto" w:fill="0071CE"/>
          </w:tcPr>
          <w:p>
            <w:pPr>
              <w:ind w:left="2320"/>
              <w:spacing w:after="0"/>
              <w:rPr>
                <w:sz w:val="20"/>
                <w:szCs w:val="20"/>
                <w:color w:val="auto"/>
              </w:rPr>
            </w:pPr>
            <w:r>
              <w:rPr>
                <w:rFonts w:ascii="Arial" w:cs="Arial" w:eastAsia="Arial" w:hAnsi="Arial"/>
                <w:sz w:val="14"/>
                <w:szCs w:val="14"/>
                <w:b w:val="1"/>
                <w:bCs w:val="1"/>
                <w:color w:val="FFFFFF"/>
              </w:rPr>
              <w:t>Achievement</w:t>
            </w:r>
          </w:p>
        </w:tc>
        <w:tc>
          <w:tcPr>
            <w:tcW w:w="20" w:type="dxa"/>
            <w:vAlign w:val="bottom"/>
            <w:tcBorders>
              <w:bottom w:val="single" w:sz="8" w:color="0071CE"/>
            </w:tcBorders>
            <w:shd w:val="clear" w:color="auto" w:fill="0071CE"/>
          </w:tcPr>
          <w:p>
            <w:pPr>
              <w:spacing w:after="0"/>
              <w:rPr>
                <w:sz w:val="20"/>
                <w:szCs w:val="20"/>
                <w:color w:val="auto"/>
              </w:rPr>
            </w:pPr>
          </w:p>
        </w:tc>
      </w:tr>
      <w:tr>
        <w:trPr>
          <w:trHeight w:val="213"/>
        </w:trPr>
        <w:tc>
          <w:tcPr>
            <w:tcW w:w="22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Corporate Development</w:t>
            </w:r>
          </w:p>
        </w:tc>
        <w:tc>
          <w:tcPr>
            <w:tcW w:w="1320" w:type="dxa"/>
            <w:vAlign w:val="bottom"/>
            <w:shd w:val="clear" w:color="auto" w:fill="E5E5E5"/>
          </w:tcPr>
          <w:p>
            <w:pPr>
              <w:ind w:left="20"/>
              <w:spacing w:after="0"/>
              <w:rPr>
                <w:sz w:val="20"/>
                <w:szCs w:val="20"/>
                <w:color w:val="auto"/>
              </w:rPr>
            </w:pPr>
            <w:r>
              <w:rPr>
                <w:rFonts w:ascii="Arial" w:cs="Arial" w:eastAsia="Arial" w:hAnsi="Arial"/>
                <w:sz w:val="16"/>
                <w:szCs w:val="16"/>
                <w:color w:val="auto"/>
              </w:rPr>
              <w:t>Weight: 30%</w:t>
            </w:r>
          </w:p>
        </w:tc>
        <w:tc>
          <w:tcPr>
            <w:tcW w:w="2020" w:type="dxa"/>
            <w:vAlign w:val="bottom"/>
            <w:shd w:val="clear" w:color="auto" w:fill="E5E5E5"/>
          </w:tcPr>
          <w:p>
            <w:pPr>
              <w:spacing w:after="0"/>
              <w:rPr>
                <w:sz w:val="18"/>
                <w:szCs w:val="18"/>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Met and Exceeded</w:t>
            </w:r>
          </w:p>
        </w:tc>
        <w:tc>
          <w:tcPr>
            <w:tcW w:w="20" w:type="dxa"/>
            <w:vAlign w:val="bottom"/>
          </w:tcPr>
          <w:p>
            <w:pPr>
              <w:spacing w:after="0"/>
              <w:rPr>
                <w:sz w:val="18"/>
                <w:szCs w:val="18"/>
                <w:color w:val="auto"/>
              </w:rPr>
            </w:pPr>
          </w:p>
        </w:tc>
      </w:tr>
      <w:tr>
        <w:trPr>
          <w:trHeight w:val="189"/>
        </w:trPr>
        <w:tc>
          <w:tcPr>
            <w:tcW w:w="5620" w:type="dxa"/>
            <w:vAlign w:val="bottom"/>
            <w:gridSpan w:val="3"/>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related to capital formation, market capitalization; board</w:t>
            </w:r>
          </w:p>
        </w:tc>
        <w:tc>
          <w:tcPr>
            <w:tcW w:w="538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270"/>
        </w:trPr>
        <w:tc>
          <w:tcPr>
            <w:tcW w:w="228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interface with scientific leaders</w:t>
            </w:r>
          </w:p>
        </w:tc>
        <w:tc>
          <w:tcPr>
            <w:tcW w:w="1320" w:type="dxa"/>
            <w:vAlign w:val="bottom"/>
            <w:shd w:val="clear" w:color="auto" w:fill="E5E5E5"/>
          </w:tcPr>
          <w:p>
            <w:pPr>
              <w:spacing w:after="0"/>
              <w:rPr>
                <w:sz w:val="23"/>
                <w:szCs w:val="23"/>
                <w:color w:val="auto"/>
              </w:rPr>
            </w:pPr>
          </w:p>
        </w:tc>
        <w:tc>
          <w:tcPr>
            <w:tcW w:w="2020" w:type="dxa"/>
            <w:vAlign w:val="bottom"/>
            <w:shd w:val="clear" w:color="auto" w:fill="E5E5E5"/>
          </w:tcPr>
          <w:p>
            <w:pPr>
              <w:spacing w:after="0"/>
              <w:rPr>
                <w:sz w:val="23"/>
                <w:szCs w:val="23"/>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Raised over $100 million in new capital through stock offerings.</w:t>
            </w:r>
          </w:p>
        </w:tc>
        <w:tc>
          <w:tcPr>
            <w:tcW w:w="20" w:type="dxa"/>
            <w:vAlign w:val="bottom"/>
          </w:tcPr>
          <w:p>
            <w:pPr>
              <w:spacing w:after="0"/>
              <w:rPr>
                <w:sz w:val="23"/>
                <w:szCs w:val="23"/>
                <w:color w:val="auto"/>
              </w:rPr>
            </w:pPr>
          </w:p>
        </w:tc>
      </w:tr>
      <w:tr>
        <w:trPr>
          <w:trHeight w:val="402"/>
        </w:trPr>
        <w:tc>
          <w:tcPr>
            <w:tcW w:w="228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c>
          <w:tcPr>
            <w:tcW w:w="2020" w:type="dxa"/>
            <w:vAlign w:val="bottom"/>
            <w:shd w:val="clear" w:color="auto" w:fill="E5E5E5"/>
          </w:tcPr>
          <w:p>
            <w:pPr>
              <w:spacing w:after="0"/>
              <w:rPr>
                <w:sz w:val="24"/>
                <w:szCs w:val="24"/>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Ended year with a market capitalization of $1.1 billion, an increase of</w:t>
            </w:r>
          </w:p>
        </w:tc>
        <w:tc>
          <w:tcPr>
            <w:tcW w:w="20" w:type="dxa"/>
            <w:vAlign w:val="bottom"/>
          </w:tcPr>
          <w:p>
            <w:pPr>
              <w:spacing w:after="0"/>
              <w:rPr>
                <w:sz w:val="24"/>
                <w:szCs w:val="24"/>
                <w:color w:val="auto"/>
              </w:rPr>
            </w:pPr>
          </w:p>
        </w:tc>
      </w:tr>
      <w:tr>
        <w:trPr>
          <w:trHeight w:val="218"/>
        </w:trPr>
        <w:tc>
          <w:tcPr>
            <w:tcW w:w="2280" w:type="dxa"/>
            <w:vAlign w:val="bottom"/>
            <w:shd w:val="clear" w:color="auto" w:fill="E5E5E5"/>
          </w:tcPr>
          <w:p>
            <w:pPr>
              <w:spacing w:after="0"/>
              <w:rPr>
                <w:sz w:val="19"/>
                <w:szCs w:val="19"/>
                <w:color w:val="auto"/>
              </w:rPr>
            </w:pPr>
          </w:p>
        </w:tc>
        <w:tc>
          <w:tcPr>
            <w:tcW w:w="1320" w:type="dxa"/>
            <w:vAlign w:val="bottom"/>
            <w:shd w:val="clear" w:color="auto" w:fill="E5E5E5"/>
          </w:tcPr>
          <w:p>
            <w:pPr>
              <w:spacing w:after="0"/>
              <w:rPr>
                <w:sz w:val="19"/>
                <w:szCs w:val="19"/>
                <w:color w:val="auto"/>
              </w:rPr>
            </w:pPr>
          </w:p>
        </w:tc>
        <w:tc>
          <w:tcPr>
            <w:tcW w:w="2020" w:type="dxa"/>
            <w:vAlign w:val="bottom"/>
            <w:shd w:val="clear" w:color="auto" w:fill="E5E5E5"/>
          </w:tcPr>
          <w:p>
            <w:pPr>
              <w:spacing w:after="0"/>
              <w:rPr>
                <w:sz w:val="19"/>
                <w:szCs w:val="19"/>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$874 million over 12/31/2017.</w:t>
            </w:r>
          </w:p>
        </w:tc>
        <w:tc>
          <w:tcPr>
            <w:tcW w:w="20" w:type="dxa"/>
            <w:vAlign w:val="bottom"/>
          </w:tcPr>
          <w:p>
            <w:pPr>
              <w:spacing w:after="0"/>
              <w:rPr>
                <w:sz w:val="19"/>
                <w:szCs w:val="19"/>
                <w:color w:val="auto"/>
              </w:rPr>
            </w:pPr>
          </w:p>
        </w:tc>
      </w:tr>
      <w:tr>
        <w:trPr>
          <w:trHeight w:val="402"/>
        </w:trPr>
        <w:tc>
          <w:tcPr>
            <w:tcW w:w="228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c>
          <w:tcPr>
            <w:tcW w:w="2020" w:type="dxa"/>
            <w:vAlign w:val="bottom"/>
            <w:shd w:val="clear" w:color="auto" w:fill="E5E5E5"/>
          </w:tcPr>
          <w:p>
            <w:pPr>
              <w:spacing w:after="0"/>
              <w:rPr>
                <w:sz w:val="24"/>
                <w:szCs w:val="24"/>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Achieved 61% institutional ownership (stretch goal was 70% — deemed</w:t>
            </w:r>
          </w:p>
        </w:tc>
        <w:tc>
          <w:tcPr>
            <w:tcW w:w="20" w:type="dxa"/>
            <w:vAlign w:val="bottom"/>
          </w:tcPr>
          <w:p>
            <w:pPr>
              <w:spacing w:after="0"/>
              <w:rPr>
                <w:sz w:val="24"/>
                <w:szCs w:val="24"/>
                <w:color w:val="auto"/>
              </w:rPr>
            </w:pPr>
          </w:p>
        </w:tc>
      </w:tr>
      <w:tr>
        <w:trPr>
          <w:trHeight w:val="189"/>
        </w:trPr>
        <w:tc>
          <w:tcPr>
            <w:tcW w:w="228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2020" w:type="dxa"/>
            <w:vAlign w:val="bottom"/>
            <w:shd w:val="clear" w:color="auto" w:fill="E5E5E5"/>
          </w:tcPr>
          <w:p>
            <w:pPr>
              <w:spacing w:after="0"/>
              <w:rPr>
                <w:sz w:val="16"/>
                <w:szCs w:val="16"/>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achieved given substantial increase in ownership compared to previous</w:t>
            </w:r>
          </w:p>
        </w:tc>
        <w:tc>
          <w:tcPr>
            <w:tcW w:w="20" w:type="dxa"/>
            <w:vAlign w:val="bottom"/>
          </w:tcPr>
          <w:p>
            <w:pPr>
              <w:spacing w:after="0"/>
              <w:rPr>
                <w:sz w:val="16"/>
                <w:szCs w:val="16"/>
                <w:color w:val="auto"/>
              </w:rPr>
            </w:pPr>
          </w:p>
        </w:tc>
      </w:tr>
      <w:tr>
        <w:trPr>
          <w:trHeight w:val="218"/>
        </w:trPr>
        <w:tc>
          <w:tcPr>
            <w:tcW w:w="2280" w:type="dxa"/>
            <w:vAlign w:val="bottom"/>
            <w:shd w:val="clear" w:color="auto" w:fill="E5E5E5"/>
          </w:tcPr>
          <w:p>
            <w:pPr>
              <w:spacing w:after="0"/>
              <w:rPr>
                <w:sz w:val="19"/>
                <w:szCs w:val="19"/>
                <w:color w:val="auto"/>
              </w:rPr>
            </w:pPr>
          </w:p>
        </w:tc>
        <w:tc>
          <w:tcPr>
            <w:tcW w:w="1320" w:type="dxa"/>
            <w:vAlign w:val="bottom"/>
            <w:shd w:val="clear" w:color="auto" w:fill="E5E5E5"/>
          </w:tcPr>
          <w:p>
            <w:pPr>
              <w:spacing w:after="0"/>
              <w:rPr>
                <w:sz w:val="19"/>
                <w:szCs w:val="19"/>
                <w:color w:val="auto"/>
              </w:rPr>
            </w:pPr>
          </w:p>
        </w:tc>
        <w:tc>
          <w:tcPr>
            <w:tcW w:w="2020" w:type="dxa"/>
            <w:vAlign w:val="bottom"/>
            <w:shd w:val="clear" w:color="auto" w:fill="E5E5E5"/>
          </w:tcPr>
          <w:p>
            <w:pPr>
              <w:spacing w:after="0"/>
              <w:rPr>
                <w:sz w:val="19"/>
                <w:szCs w:val="19"/>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year).</w:t>
            </w:r>
          </w:p>
        </w:tc>
        <w:tc>
          <w:tcPr>
            <w:tcW w:w="20" w:type="dxa"/>
            <w:vAlign w:val="bottom"/>
          </w:tcPr>
          <w:p>
            <w:pPr>
              <w:spacing w:after="0"/>
              <w:rPr>
                <w:sz w:val="19"/>
                <w:szCs w:val="19"/>
                <w:color w:val="auto"/>
              </w:rPr>
            </w:pPr>
          </w:p>
        </w:tc>
      </w:tr>
      <w:tr>
        <w:trPr>
          <w:trHeight w:val="432"/>
        </w:trPr>
        <w:tc>
          <w:tcPr>
            <w:tcW w:w="228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c>
          <w:tcPr>
            <w:tcW w:w="2020" w:type="dxa"/>
            <w:vAlign w:val="bottom"/>
            <w:shd w:val="clear" w:color="auto" w:fill="E5E5E5"/>
          </w:tcPr>
          <w:p>
            <w:pPr>
              <w:spacing w:after="0"/>
              <w:rPr>
                <w:sz w:val="24"/>
                <w:szCs w:val="24"/>
                <w:color w:val="auto"/>
              </w:rPr>
            </w:pPr>
          </w:p>
        </w:tc>
        <w:tc>
          <w:tcPr>
            <w:tcW w:w="53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Increased direct board interface with scientific leaders</w:t>
            </w:r>
          </w:p>
        </w:tc>
        <w:tc>
          <w:tcPr>
            <w:tcW w:w="20" w:type="dxa"/>
            <w:vAlign w:val="bottom"/>
          </w:tcPr>
          <w:p>
            <w:pPr>
              <w:spacing w:after="0"/>
              <w:rPr>
                <w:sz w:val="24"/>
                <w:szCs w:val="24"/>
                <w:color w:val="auto"/>
              </w:rPr>
            </w:pPr>
          </w:p>
        </w:tc>
      </w:tr>
      <w:tr>
        <w:trPr>
          <w:trHeight w:val="83"/>
        </w:trPr>
        <w:tc>
          <w:tcPr>
            <w:tcW w:w="2280" w:type="dxa"/>
            <w:vAlign w:val="bottom"/>
            <w:shd w:val="clear" w:color="auto" w:fill="E5E5E5"/>
          </w:tcPr>
          <w:p>
            <w:pPr>
              <w:spacing w:after="0"/>
              <w:rPr>
                <w:sz w:val="7"/>
                <w:szCs w:val="7"/>
                <w:color w:val="auto"/>
              </w:rPr>
            </w:pPr>
          </w:p>
        </w:tc>
        <w:tc>
          <w:tcPr>
            <w:tcW w:w="1320" w:type="dxa"/>
            <w:vAlign w:val="bottom"/>
            <w:shd w:val="clear" w:color="auto" w:fill="E5E5E5"/>
          </w:tcPr>
          <w:p>
            <w:pPr>
              <w:spacing w:after="0"/>
              <w:rPr>
                <w:sz w:val="7"/>
                <w:szCs w:val="7"/>
                <w:color w:val="auto"/>
              </w:rPr>
            </w:pPr>
          </w:p>
        </w:tc>
        <w:tc>
          <w:tcPr>
            <w:tcW w:w="2020" w:type="dxa"/>
            <w:vAlign w:val="bottom"/>
            <w:shd w:val="clear" w:color="auto" w:fill="E5E5E5"/>
          </w:tcPr>
          <w:p>
            <w:pPr>
              <w:spacing w:after="0"/>
              <w:rPr>
                <w:sz w:val="7"/>
                <w:szCs w:val="7"/>
                <w:color w:val="auto"/>
              </w:rPr>
            </w:pPr>
          </w:p>
        </w:tc>
        <w:tc>
          <w:tcPr>
            <w:tcW w:w="5380" w:type="dxa"/>
            <w:vAlign w:val="bottom"/>
            <w:shd w:val="clear" w:color="auto" w:fill="E5E5E5"/>
          </w:tcPr>
          <w:p>
            <w:pPr>
              <w:spacing w:after="0"/>
              <w:rPr>
                <w:sz w:val="7"/>
                <w:szCs w:val="7"/>
                <w:color w:val="auto"/>
              </w:rPr>
            </w:pPr>
          </w:p>
        </w:tc>
        <w:tc>
          <w:tcPr>
            <w:tcW w:w="20" w:type="dxa"/>
            <w:vAlign w:val="bottom"/>
          </w:tcPr>
          <w:p>
            <w:pPr>
              <w:spacing w:after="0"/>
              <w:rPr>
                <w:sz w:val="7"/>
                <w:szCs w:val="7"/>
                <w:color w:val="auto"/>
              </w:rPr>
            </w:pPr>
          </w:p>
        </w:tc>
      </w:tr>
      <w:tr>
        <w:trPr>
          <w:trHeight w:val="249"/>
        </w:trPr>
        <w:tc>
          <w:tcPr>
            <w:tcW w:w="2280" w:type="dxa"/>
            <w:vAlign w:val="bottom"/>
          </w:tcPr>
          <w:p>
            <w:pPr>
              <w:ind w:left="60"/>
              <w:spacing w:after="0"/>
              <w:rPr>
                <w:sz w:val="20"/>
                <w:szCs w:val="20"/>
                <w:color w:val="auto"/>
              </w:rPr>
            </w:pPr>
            <w:r>
              <w:rPr>
                <w:rFonts w:ascii="Arial" w:cs="Arial" w:eastAsia="Arial" w:hAnsi="Arial"/>
                <w:sz w:val="16"/>
                <w:szCs w:val="16"/>
                <w:b w:val="1"/>
                <w:bCs w:val="1"/>
                <w:color w:val="auto"/>
              </w:rPr>
              <w:t>New Business Development</w:t>
            </w:r>
          </w:p>
        </w:tc>
        <w:tc>
          <w:tcPr>
            <w:tcW w:w="1320" w:type="dxa"/>
            <w:vAlign w:val="bottom"/>
          </w:tcPr>
          <w:p>
            <w:pPr>
              <w:ind w:left="340"/>
              <w:spacing w:after="0"/>
              <w:rPr>
                <w:sz w:val="20"/>
                <w:szCs w:val="20"/>
                <w:color w:val="auto"/>
              </w:rPr>
            </w:pPr>
            <w:r>
              <w:rPr>
                <w:rFonts w:ascii="Arial" w:cs="Arial" w:eastAsia="Arial" w:hAnsi="Arial"/>
                <w:sz w:val="16"/>
                <w:szCs w:val="16"/>
                <w:color w:val="auto"/>
              </w:rPr>
              <w:t>Weight: 20%</w:t>
            </w:r>
          </w:p>
        </w:tc>
        <w:tc>
          <w:tcPr>
            <w:tcW w:w="2020" w:type="dxa"/>
            <w:vAlign w:val="bottom"/>
          </w:tcPr>
          <w:p>
            <w:pPr>
              <w:spacing w:after="0"/>
              <w:rPr>
                <w:sz w:val="21"/>
                <w:szCs w:val="21"/>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Exceeded</w:t>
            </w:r>
          </w:p>
        </w:tc>
        <w:tc>
          <w:tcPr>
            <w:tcW w:w="20" w:type="dxa"/>
            <w:vAlign w:val="bottom"/>
          </w:tcPr>
          <w:p>
            <w:pPr>
              <w:spacing w:after="0"/>
              <w:rPr>
                <w:sz w:val="21"/>
                <w:szCs w:val="21"/>
                <w:color w:val="auto"/>
              </w:rPr>
            </w:pPr>
          </w:p>
        </w:tc>
      </w:tr>
      <w:tr>
        <w:trPr>
          <w:trHeight w:val="394"/>
        </w:trPr>
        <w:tc>
          <w:tcPr>
            <w:tcW w:w="5620" w:type="dxa"/>
            <w:vAlign w:val="bottom"/>
            <w:gridSpan w:val="3"/>
          </w:tcPr>
          <w:p>
            <w:pPr>
              <w:ind w:left="60"/>
              <w:spacing w:after="0"/>
              <w:rPr>
                <w:sz w:val="20"/>
                <w:szCs w:val="20"/>
                <w:color w:val="auto"/>
              </w:rPr>
            </w:pPr>
            <w:r>
              <w:rPr>
                <w:rFonts w:ascii="Arial" w:cs="Arial" w:eastAsia="Arial" w:hAnsi="Arial"/>
                <w:sz w:val="16"/>
                <w:szCs w:val="16"/>
                <w:i w:val="1"/>
                <w:iCs w:val="1"/>
                <w:color w:val="auto"/>
              </w:rPr>
              <w:t>Meet certain goals with regard to new pharma collaborations</w:t>
            </w:r>
          </w:p>
        </w:tc>
        <w:tc>
          <w:tcPr>
            <w:tcW w:w="5380" w:type="dxa"/>
            <w:vAlign w:val="bottom"/>
          </w:tcPr>
          <w:p>
            <w:pPr>
              <w:ind w:left="220"/>
              <w:spacing w:after="0"/>
              <w:rPr>
                <w:sz w:val="20"/>
                <w:szCs w:val="20"/>
                <w:color w:val="auto"/>
              </w:rPr>
            </w:pPr>
            <w:r>
              <w:rPr>
                <w:rFonts w:ascii="Arial" w:cs="Arial" w:eastAsia="Arial" w:hAnsi="Arial"/>
                <w:sz w:val="16"/>
                <w:szCs w:val="16"/>
                <w:color w:val="auto"/>
              </w:rPr>
              <w:t>The Company entered into a multibillion dollar license deal with</w:t>
            </w:r>
          </w:p>
        </w:tc>
        <w:tc>
          <w:tcPr>
            <w:tcW w:w="20" w:type="dxa"/>
            <w:vAlign w:val="bottom"/>
          </w:tcPr>
          <w:p>
            <w:pPr>
              <w:spacing w:after="0"/>
              <w:rPr>
                <w:sz w:val="24"/>
                <w:szCs w:val="24"/>
                <w:color w:val="auto"/>
              </w:rPr>
            </w:pPr>
          </w:p>
        </w:tc>
      </w:tr>
      <w:tr>
        <w:trPr>
          <w:trHeight w:val="189"/>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Janssen Pharmaceuticals after interfacing with multiple potential</w:t>
            </w:r>
          </w:p>
        </w:tc>
        <w:tc>
          <w:tcPr>
            <w:tcW w:w="20" w:type="dxa"/>
            <w:vAlign w:val="bottom"/>
          </w:tcPr>
          <w:p>
            <w:pPr>
              <w:spacing w:after="0"/>
              <w:rPr>
                <w:sz w:val="16"/>
                <w:szCs w:val="16"/>
                <w:color w:val="auto"/>
              </w:rPr>
            </w:pPr>
          </w:p>
        </w:tc>
      </w:tr>
      <w:tr>
        <w:trPr>
          <w:trHeight w:val="218"/>
        </w:trPr>
        <w:tc>
          <w:tcPr>
            <w:tcW w:w="2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partners for ARO-HBV.</w:t>
            </w:r>
          </w:p>
        </w:tc>
        <w:tc>
          <w:tcPr>
            <w:tcW w:w="20" w:type="dxa"/>
            <w:vAlign w:val="bottom"/>
          </w:tcPr>
          <w:p>
            <w:pPr>
              <w:spacing w:after="0"/>
              <w:rPr>
                <w:sz w:val="19"/>
                <w:szCs w:val="19"/>
                <w:color w:val="auto"/>
              </w:rPr>
            </w:pPr>
          </w:p>
        </w:tc>
      </w:tr>
      <w:tr>
        <w:trPr>
          <w:trHeight w:val="402"/>
        </w:trPr>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Further business development goals were eliminated in favor of</w:t>
            </w:r>
          </w:p>
        </w:tc>
        <w:tc>
          <w:tcPr>
            <w:tcW w:w="20" w:type="dxa"/>
            <w:vAlign w:val="bottom"/>
          </w:tcPr>
          <w:p>
            <w:pPr>
              <w:spacing w:after="0"/>
              <w:rPr>
                <w:sz w:val="24"/>
                <w:szCs w:val="24"/>
                <w:color w:val="auto"/>
              </w:rPr>
            </w:pPr>
          </w:p>
        </w:tc>
      </w:tr>
      <w:tr>
        <w:trPr>
          <w:trHeight w:val="189"/>
        </w:trPr>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decision to focus internal development enabled by increased cash</w:t>
            </w:r>
          </w:p>
        </w:tc>
        <w:tc>
          <w:tcPr>
            <w:tcW w:w="20" w:type="dxa"/>
            <w:vAlign w:val="bottom"/>
          </w:tcPr>
          <w:p>
            <w:pPr>
              <w:spacing w:after="0"/>
              <w:rPr>
                <w:sz w:val="16"/>
                <w:szCs w:val="16"/>
                <w:color w:val="auto"/>
              </w:rPr>
            </w:pPr>
          </w:p>
        </w:tc>
      </w:tr>
      <w:tr>
        <w:trPr>
          <w:trHeight w:val="218"/>
        </w:trPr>
        <w:tc>
          <w:tcPr>
            <w:tcW w:w="2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position and commercial potential of pipeline candidates.</w:t>
            </w:r>
          </w:p>
        </w:tc>
        <w:tc>
          <w:tcPr>
            <w:tcW w:w="20" w:type="dxa"/>
            <w:vAlign w:val="bottom"/>
          </w:tcPr>
          <w:p>
            <w:pPr>
              <w:spacing w:after="0"/>
              <w:rPr>
                <w:sz w:val="19"/>
                <w:szCs w:val="19"/>
                <w:color w:val="auto"/>
              </w:rPr>
            </w:pPr>
          </w:p>
        </w:tc>
      </w:tr>
      <w:tr>
        <w:trPr>
          <w:trHeight w:val="494"/>
        </w:trPr>
        <w:tc>
          <w:tcPr>
            <w:tcW w:w="3600" w:type="dxa"/>
            <w:vAlign w:val="bottom"/>
            <w:gridSpan w:val="2"/>
          </w:tcPr>
          <w:p>
            <w:pPr>
              <w:ind w:left="60"/>
              <w:spacing w:after="0"/>
              <w:rPr>
                <w:sz w:val="20"/>
                <w:szCs w:val="20"/>
                <w:color w:val="auto"/>
              </w:rPr>
            </w:pPr>
            <w:r>
              <w:rPr>
                <w:rFonts w:ascii="Arial" w:cs="Arial" w:eastAsia="Arial" w:hAnsi="Arial"/>
                <w:sz w:val="16"/>
                <w:szCs w:val="16"/>
                <w:b w:val="1"/>
                <w:bCs w:val="1"/>
                <w:color w:val="auto"/>
              </w:rPr>
              <w:t>Progress on existing Amgen collaboration</w:t>
            </w:r>
          </w:p>
        </w:tc>
        <w:tc>
          <w:tcPr>
            <w:tcW w:w="2020" w:type="dxa"/>
            <w:vAlign w:val="bottom"/>
          </w:tcPr>
          <w:p>
            <w:pPr>
              <w:ind w:left="80"/>
              <w:spacing w:after="0"/>
              <w:rPr>
                <w:sz w:val="20"/>
                <w:szCs w:val="20"/>
                <w:color w:val="auto"/>
              </w:rPr>
            </w:pPr>
            <w:r>
              <w:rPr>
                <w:rFonts w:ascii="Arial" w:cs="Arial" w:eastAsia="Arial" w:hAnsi="Arial"/>
                <w:sz w:val="16"/>
                <w:szCs w:val="16"/>
                <w:color w:val="auto"/>
              </w:rPr>
              <w:t>Weight: 15%</w:t>
            </w:r>
          </w:p>
        </w:tc>
        <w:tc>
          <w:tcPr>
            <w:tcW w:w="5380" w:type="dxa"/>
            <w:vAlign w:val="bottom"/>
          </w:tcPr>
          <w:p>
            <w:pPr>
              <w:ind w:left="220"/>
              <w:spacing w:after="0"/>
              <w:rPr>
                <w:sz w:val="20"/>
                <w:szCs w:val="20"/>
                <w:color w:val="auto"/>
              </w:rPr>
            </w:pPr>
            <w:r>
              <w:rPr>
                <w:rFonts w:ascii="Arial" w:cs="Arial" w:eastAsia="Arial" w:hAnsi="Arial"/>
                <w:sz w:val="16"/>
                <w:szCs w:val="16"/>
                <w:color w:val="auto"/>
              </w:rPr>
              <w:t>Met</w:t>
            </w:r>
          </w:p>
        </w:tc>
        <w:tc>
          <w:tcPr>
            <w:tcW w:w="20" w:type="dxa"/>
            <w:vAlign w:val="bottom"/>
          </w:tcPr>
          <w:p>
            <w:pPr>
              <w:spacing w:after="0"/>
              <w:rPr>
                <w:sz w:val="24"/>
                <w:szCs w:val="24"/>
                <w:color w:val="auto"/>
              </w:rPr>
            </w:pPr>
          </w:p>
        </w:tc>
      </w:tr>
      <w:tr>
        <w:trPr>
          <w:trHeight w:val="394"/>
        </w:trPr>
        <w:tc>
          <w:tcPr>
            <w:tcW w:w="5620" w:type="dxa"/>
            <w:vAlign w:val="bottom"/>
            <w:gridSpan w:val="3"/>
          </w:tcPr>
          <w:p>
            <w:pPr>
              <w:ind w:left="60"/>
              <w:spacing w:after="0"/>
              <w:rPr>
                <w:sz w:val="20"/>
                <w:szCs w:val="20"/>
                <w:color w:val="auto"/>
              </w:rPr>
            </w:pPr>
            <w:r>
              <w:rPr>
                <w:rFonts w:ascii="Arial" w:cs="Arial" w:eastAsia="Arial" w:hAnsi="Arial"/>
                <w:sz w:val="16"/>
                <w:szCs w:val="16"/>
                <w:i w:val="1"/>
                <w:iCs w:val="1"/>
                <w:color w:val="auto"/>
              </w:rPr>
              <w:t>Meet certain requirements pursuant to Company’s collaboration with Amgen</w:t>
            </w:r>
          </w:p>
        </w:tc>
        <w:tc>
          <w:tcPr>
            <w:tcW w:w="5380" w:type="dxa"/>
            <w:vAlign w:val="bottom"/>
          </w:tcPr>
          <w:p>
            <w:pPr>
              <w:ind w:left="220"/>
              <w:spacing w:after="0"/>
              <w:rPr>
                <w:sz w:val="20"/>
                <w:szCs w:val="20"/>
                <w:color w:val="auto"/>
              </w:rPr>
            </w:pPr>
            <w:r>
              <w:rPr>
                <w:rFonts w:ascii="Arial" w:cs="Arial" w:eastAsia="Arial" w:hAnsi="Arial"/>
                <w:sz w:val="16"/>
                <w:szCs w:val="16"/>
                <w:color w:val="auto"/>
              </w:rPr>
              <w:t>Triggered $10 million milestone payment based on commencement of a</w:t>
            </w:r>
          </w:p>
        </w:tc>
        <w:tc>
          <w:tcPr>
            <w:tcW w:w="20" w:type="dxa"/>
            <w:vAlign w:val="bottom"/>
          </w:tcPr>
          <w:p>
            <w:pPr>
              <w:spacing w:after="0"/>
              <w:rPr>
                <w:sz w:val="24"/>
                <w:szCs w:val="24"/>
                <w:color w:val="auto"/>
              </w:rPr>
            </w:pPr>
          </w:p>
        </w:tc>
      </w:tr>
      <w:tr>
        <w:trPr>
          <w:trHeight w:val="218"/>
        </w:trPr>
        <w:tc>
          <w:tcPr>
            <w:tcW w:w="2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6"/>
                <w:szCs w:val="16"/>
                <w:color w:val="auto"/>
              </w:rPr>
              <w:t>clinical study of licensed product (AMG 890)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-546100</wp:posOffset>
            </wp:positionV>
            <wp:extent cx="6989445" cy="976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9445" cy="976630"/>
                    </a:xfrm>
                    <a:prstGeom prst="rect">
                      <a:avLst/>
                    </a:prstGeom>
                    <a:noFill/>
                  </pic:spPr>
                </pic:pic>
              </a:graphicData>
            </a:graphic>
          </wp:anchor>
        </w:drawing>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Met development criteria for ARO-AMG1</w:t>
      </w:r>
    </w:p>
    <w:p>
      <w:pPr>
        <w:sectPr>
          <w:pgSz w:w="11900" w:h="16838" w:orient="portrait"/>
          <w:cols w:equalWidth="0" w:num="1">
            <w:col w:w="11240"/>
          </w:cols>
          <w:pgMar w:left="240" w:top="455" w:right="419" w:bottom="1440" w:gutter="0" w:footer="0" w:header="0"/>
        </w:sectPr>
      </w:pPr>
    </w:p>
    <w:p>
      <w:pPr>
        <w:spacing w:after="0" w:line="300" w:lineRule="exact"/>
        <w:rPr>
          <w:sz w:val="20"/>
          <w:szCs w:val="20"/>
          <w:color w:val="auto"/>
        </w:rPr>
      </w:pPr>
    </w:p>
    <w:p>
      <w:pPr>
        <w:ind w:left="280"/>
        <w:spacing w:after="0"/>
        <w:tabs>
          <w:tab w:leader="none" w:pos="2300" w:val="left"/>
        </w:tabs>
        <w:rPr>
          <w:sz w:val="20"/>
          <w:szCs w:val="20"/>
          <w:color w:val="auto"/>
        </w:rPr>
      </w:pPr>
      <w:r>
        <w:rPr>
          <w:rFonts w:ascii="Arial" w:cs="Arial" w:eastAsia="Arial" w:hAnsi="Arial"/>
          <w:sz w:val="16"/>
          <w:szCs w:val="16"/>
          <w:b w:val="1"/>
          <w:bCs w:val="1"/>
          <w:color w:val="auto"/>
        </w:rPr>
        <w:t>Clinical Development</w:t>
      </w:r>
      <w:r>
        <w:rPr>
          <w:sz w:val="20"/>
          <w:szCs w:val="20"/>
          <w:color w:val="auto"/>
        </w:rPr>
        <w:tab/>
      </w:r>
      <w:r>
        <w:rPr>
          <w:rFonts w:ascii="Arial" w:cs="Arial" w:eastAsia="Arial" w:hAnsi="Arial"/>
          <w:sz w:val="16"/>
          <w:szCs w:val="16"/>
          <w:color w:val="auto"/>
        </w:rPr>
        <w:t>Weight: 20%</w:t>
      </w:r>
    </w:p>
    <w:p>
      <w:pPr>
        <w:spacing w:after="0" w:line="252" w:lineRule="exact"/>
        <w:rPr>
          <w:sz w:val="20"/>
          <w:szCs w:val="20"/>
          <w:color w:val="auto"/>
        </w:rPr>
      </w:pPr>
    </w:p>
    <w:p>
      <w:pPr>
        <w:ind w:left="280" w:right="160"/>
        <w:spacing w:after="0" w:line="288" w:lineRule="auto"/>
        <w:rPr>
          <w:sz w:val="20"/>
          <w:szCs w:val="20"/>
          <w:color w:val="auto"/>
        </w:rPr>
      </w:pPr>
      <w:r>
        <w:rPr>
          <w:rFonts w:ascii="Arial" w:cs="Arial" w:eastAsia="Arial" w:hAnsi="Arial"/>
          <w:sz w:val="16"/>
          <w:szCs w:val="16"/>
          <w:i w:val="1"/>
          <w:iCs w:val="1"/>
          <w:color w:val="auto"/>
        </w:rPr>
        <w:t>Meet certain goals with regard to progress on the Company’s clinical programs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Met, including certain stretch goals</w:t>
      </w:r>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Completed enrollment in ARO-AAT single ascending dose and multiple ascending dose clinical studies.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Completed pre-IND meeting for follow-on clinical studies for ARO-AAT.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Complete ARO-AAT chronic toxicology studies.</w:t>
      </w:r>
    </w:p>
    <w:p>
      <w:pPr>
        <w:spacing w:after="0" w:line="248"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Filed CTAs for ARO-ANG3 and ARO-APOC3 (ARO-APOC3 in early January 2019).</w:t>
      </w:r>
    </w:p>
    <w:p>
      <w:pPr>
        <w:spacing w:after="0" w:line="200" w:lineRule="exact"/>
        <w:rPr>
          <w:sz w:val="20"/>
          <w:szCs w:val="20"/>
          <w:color w:val="auto"/>
        </w:rPr>
      </w:pPr>
    </w:p>
    <w:p>
      <w:pPr>
        <w:sectPr>
          <w:pgSz w:w="11900" w:h="16838" w:orient="portrait"/>
          <w:cols w:equalWidth="0" w:num="2">
            <w:col w:w="5340" w:space="720"/>
            <w:col w:w="5180"/>
          </w:cols>
          <w:pgMar w:left="240" w:top="455" w:right="419" w:bottom="1440" w:gutter="0" w:footer="0" w:header="0"/>
          <w:type w:val="continuous"/>
        </w:sectPr>
      </w:pP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249"/>
        </w:trPr>
        <w:tc>
          <w:tcPr>
            <w:tcW w:w="12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Non-Clinical</w:t>
            </w:r>
          </w:p>
        </w:tc>
        <w:tc>
          <w:tcPr>
            <w:tcW w:w="37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Weight: 15%</w:t>
            </w:r>
          </w:p>
        </w:tc>
        <w:tc>
          <w:tcPr>
            <w:tcW w:w="6060" w:type="dxa"/>
            <w:vAlign w:val="bottom"/>
            <w:shd w:val="clear" w:color="auto" w:fill="E5E5E5"/>
          </w:tcPr>
          <w:p>
            <w:pPr>
              <w:ind w:left="900"/>
              <w:spacing w:after="0"/>
              <w:rPr>
                <w:sz w:val="20"/>
                <w:szCs w:val="20"/>
                <w:color w:val="auto"/>
              </w:rPr>
            </w:pPr>
            <w:r>
              <w:rPr>
                <w:rFonts w:ascii="Arial" w:cs="Arial" w:eastAsia="Arial" w:hAnsi="Arial"/>
                <w:sz w:val="16"/>
                <w:szCs w:val="16"/>
                <w:color w:val="auto"/>
              </w:rPr>
              <w:t>Met, except certain stretch goals</w:t>
            </w:r>
          </w:p>
        </w:tc>
      </w:tr>
      <w:tr>
        <w:trPr>
          <w:trHeight w:val="446"/>
        </w:trPr>
        <w:tc>
          <w:tcPr>
            <w:tcW w:w="4940" w:type="dxa"/>
            <w:vAlign w:val="bottom"/>
            <w:tcBorders>
              <w:bottom w:val="single" w:sz="8" w:color="E5E5E5"/>
            </w:tcBorders>
            <w:gridSpan w:val="2"/>
            <w:shd w:val="clear" w:color="auto" w:fill="E5E5E5"/>
          </w:tcPr>
          <w:p>
            <w:pPr>
              <w:ind w:left="60"/>
              <w:spacing w:after="0"/>
              <w:rPr>
                <w:sz w:val="20"/>
                <w:szCs w:val="20"/>
                <w:color w:val="auto"/>
              </w:rPr>
            </w:pPr>
            <w:r>
              <w:rPr>
                <w:rFonts w:ascii="Arial" w:cs="Arial" w:eastAsia="Arial" w:hAnsi="Arial"/>
                <w:sz w:val="16"/>
                <w:szCs w:val="16"/>
                <w:i w:val="1"/>
                <w:iCs w:val="1"/>
                <w:color w:val="auto"/>
              </w:rPr>
              <w:t>Meet certain goals for Company’s non-clinical programs</w:t>
            </w:r>
          </w:p>
        </w:tc>
        <w:tc>
          <w:tcPr>
            <w:tcW w:w="6060" w:type="dxa"/>
            <w:vAlign w:val="bottom"/>
            <w:tcBorders>
              <w:bottom w:val="single" w:sz="8" w:color="E5E5E5"/>
            </w:tcBorders>
            <w:shd w:val="clear" w:color="auto" w:fill="E5E5E5"/>
          </w:tcPr>
          <w:p>
            <w:pPr>
              <w:ind w:left="900"/>
              <w:spacing w:after="0"/>
              <w:rPr>
                <w:sz w:val="20"/>
                <w:szCs w:val="20"/>
                <w:color w:val="auto"/>
              </w:rPr>
            </w:pPr>
            <w:r>
              <w:rPr>
                <w:rFonts w:ascii="Arial" w:cs="Arial" w:eastAsia="Arial" w:hAnsi="Arial"/>
                <w:sz w:val="16"/>
                <w:szCs w:val="16"/>
                <w:color w:val="auto"/>
              </w:rPr>
              <w:t>Good progress on Company’s discovery and new target projects.</w:t>
            </w:r>
          </w:p>
        </w:tc>
      </w:tr>
      <w:tr>
        <w:trPr>
          <w:trHeight w:val="20"/>
        </w:trPr>
        <w:tc>
          <w:tcPr>
            <w:tcW w:w="1200" w:type="dxa"/>
            <w:vAlign w:val="bottom"/>
            <w:shd w:val="clear" w:color="auto" w:fill="0071CE"/>
          </w:tcPr>
          <w:p>
            <w:pPr>
              <w:spacing w:after="0" w:line="20" w:lineRule="exact"/>
              <w:rPr>
                <w:sz w:val="1"/>
                <w:szCs w:val="1"/>
                <w:color w:val="auto"/>
              </w:rPr>
            </w:pPr>
          </w:p>
        </w:tc>
        <w:tc>
          <w:tcPr>
            <w:tcW w:w="3740" w:type="dxa"/>
            <w:vAlign w:val="bottom"/>
            <w:shd w:val="clear" w:color="auto" w:fill="0071CE"/>
          </w:tcPr>
          <w:p>
            <w:pPr>
              <w:spacing w:after="0" w:line="20" w:lineRule="exact"/>
              <w:rPr>
                <w:sz w:val="1"/>
                <w:szCs w:val="1"/>
                <w:color w:val="auto"/>
              </w:rPr>
            </w:pPr>
          </w:p>
        </w:tc>
        <w:tc>
          <w:tcPr>
            <w:tcW w:w="6060" w:type="dxa"/>
            <w:vAlign w:val="bottom"/>
            <w:shd w:val="clear" w:color="auto" w:fill="0071C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93980</wp:posOffset>
            </wp:positionV>
            <wp:extent cx="98488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25</w:t>
      </w:r>
    </w:p>
    <w:p>
      <w:pPr>
        <w:sectPr>
          <w:pgSz w:w="11900" w:h="16838" w:orient="portrait"/>
          <w:cols w:equalWidth="0" w:num="1">
            <w:col w:w="11240"/>
          </w:cols>
          <w:pgMar w:left="240" w:top="455" w:right="41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08" w:lineRule="exact"/>
        <w:rPr>
          <w:sz w:val="20"/>
          <w:szCs w:val="20"/>
          <w:color w:val="auto"/>
        </w:rPr>
      </w:pPr>
    </w:p>
    <w:p>
      <w:pPr>
        <w:ind w:left="220" w:right="60"/>
        <w:spacing w:after="0" w:line="257" w:lineRule="auto"/>
        <w:rPr>
          <w:sz w:val="20"/>
          <w:szCs w:val="20"/>
          <w:color w:val="auto"/>
        </w:rPr>
      </w:pPr>
      <w:r>
        <w:rPr>
          <w:rFonts w:ascii="Arial" w:cs="Arial" w:eastAsia="Arial" w:hAnsi="Arial"/>
          <w:sz w:val="16"/>
          <w:szCs w:val="16"/>
          <w:color w:val="auto"/>
        </w:rPr>
        <w:t>The actual annual incentive award payments earned by our Named Executive Officers ranged from 100% to 150% of their target annual incentive award opportunities. Except for the award for our CEO, these awards were recommended by our CEO and approved by the Compensation Committee based on the overall achievement of the Company’s goals, their contributions to the goals, and the overall performance of each officer during the year. The following table sets forth the target annual incentive award opportunities, the actual award payment as a percentage of each Named Executive Officer’s base salary, and the actual award payment made in cash to each of our Named Executive Officers based on their performance in 2018:</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187"/>
        </w:trPr>
        <w:tc>
          <w:tcPr>
            <w:tcW w:w="5200" w:type="dxa"/>
            <w:vAlign w:val="bottom"/>
            <w:shd w:val="clear" w:color="auto" w:fill="0071CE"/>
          </w:tcPr>
          <w:p>
            <w:pPr>
              <w:spacing w:after="0"/>
              <w:rPr>
                <w:sz w:val="16"/>
                <w:szCs w:val="16"/>
                <w:color w:val="auto"/>
              </w:rPr>
            </w:pPr>
          </w:p>
        </w:tc>
        <w:tc>
          <w:tcPr>
            <w:tcW w:w="2080" w:type="dxa"/>
            <w:vAlign w:val="bottom"/>
            <w:gridSpan w:val="2"/>
            <w:shd w:val="clear" w:color="auto" w:fill="0071CE"/>
          </w:tcPr>
          <w:p>
            <w:pPr>
              <w:jc w:val="center"/>
              <w:ind w:right="799"/>
              <w:spacing w:after="0"/>
              <w:rPr>
                <w:sz w:val="20"/>
                <w:szCs w:val="20"/>
                <w:color w:val="auto"/>
              </w:rPr>
            </w:pPr>
            <w:r>
              <w:rPr>
                <w:rFonts w:ascii="Arial" w:cs="Arial" w:eastAsia="Arial" w:hAnsi="Arial"/>
                <w:sz w:val="14"/>
                <w:szCs w:val="14"/>
                <w:b w:val="1"/>
                <w:bCs w:val="1"/>
                <w:color w:val="FFFFFF"/>
              </w:rPr>
              <w:t>Target Annual</w:t>
            </w:r>
          </w:p>
        </w:tc>
        <w:tc>
          <w:tcPr>
            <w:tcW w:w="660" w:type="dxa"/>
            <w:vAlign w:val="bottom"/>
            <w:shd w:val="clear" w:color="auto" w:fill="0071CE"/>
          </w:tcPr>
          <w:p>
            <w:pPr>
              <w:spacing w:after="0"/>
              <w:rPr>
                <w:sz w:val="16"/>
                <w:szCs w:val="16"/>
                <w:color w:val="auto"/>
              </w:rPr>
            </w:pPr>
          </w:p>
        </w:tc>
        <w:tc>
          <w:tcPr>
            <w:tcW w:w="1880" w:type="dxa"/>
            <w:vAlign w:val="bottom"/>
            <w:shd w:val="clear" w:color="auto" w:fill="0071CE"/>
          </w:tcPr>
          <w:p>
            <w:pPr>
              <w:spacing w:after="0"/>
              <w:rPr>
                <w:sz w:val="16"/>
                <w:szCs w:val="16"/>
                <w:color w:val="auto"/>
              </w:rPr>
            </w:pPr>
          </w:p>
        </w:tc>
        <w:tc>
          <w:tcPr>
            <w:tcW w:w="380" w:type="dxa"/>
            <w:vAlign w:val="bottom"/>
            <w:shd w:val="clear" w:color="auto" w:fill="0071CE"/>
          </w:tcPr>
          <w:p>
            <w:pPr>
              <w:spacing w:after="0"/>
              <w:rPr>
                <w:sz w:val="16"/>
                <w:szCs w:val="16"/>
                <w:color w:val="auto"/>
              </w:rPr>
            </w:pPr>
          </w:p>
        </w:tc>
        <w:tc>
          <w:tcPr>
            <w:tcW w:w="800" w:type="dxa"/>
            <w:vAlign w:val="bottom"/>
            <w:shd w:val="clear" w:color="auto" w:fill="0071CE"/>
          </w:tcPr>
          <w:p>
            <w:pPr>
              <w:spacing w:after="0"/>
              <w:rPr>
                <w:sz w:val="16"/>
                <w:szCs w:val="16"/>
                <w:color w:val="auto"/>
              </w:rPr>
            </w:pPr>
          </w:p>
        </w:tc>
        <w:tc>
          <w:tcPr>
            <w:tcW w:w="20" w:type="dxa"/>
            <w:vAlign w:val="bottom"/>
            <w:shd w:val="clear" w:color="auto" w:fill="0071CE"/>
          </w:tcPr>
          <w:p>
            <w:pPr>
              <w:spacing w:after="0"/>
              <w:rPr>
                <w:sz w:val="16"/>
                <w:szCs w:val="16"/>
                <w:color w:val="auto"/>
              </w:rPr>
            </w:pPr>
          </w:p>
        </w:tc>
      </w:tr>
      <w:tr>
        <w:trPr>
          <w:trHeight w:val="162"/>
        </w:trPr>
        <w:tc>
          <w:tcPr>
            <w:tcW w:w="5200" w:type="dxa"/>
            <w:vAlign w:val="bottom"/>
            <w:shd w:val="clear" w:color="auto" w:fill="0071CE"/>
          </w:tcPr>
          <w:p>
            <w:pPr>
              <w:spacing w:after="0"/>
              <w:rPr>
                <w:sz w:val="14"/>
                <w:szCs w:val="14"/>
                <w:color w:val="auto"/>
              </w:rPr>
            </w:pPr>
          </w:p>
        </w:tc>
        <w:tc>
          <w:tcPr>
            <w:tcW w:w="2080" w:type="dxa"/>
            <w:vAlign w:val="bottom"/>
            <w:gridSpan w:val="2"/>
            <w:shd w:val="clear" w:color="auto" w:fill="0071CE"/>
          </w:tcPr>
          <w:p>
            <w:pPr>
              <w:jc w:val="center"/>
              <w:ind w:right="799"/>
              <w:spacing w:after="0"/>
              <w:rPr>
                <w:sz w:val="20"/>
                <w:szCs w:val="20"/>
                <w:color w:val="auto"/>
              </w:rPr>
            </w:pPr>
            <w:r>
              <w:rPr>
                <w:rFonts w:ascii="Arial" w:cs="Arial" w:eastAsia="Arial" w:hAnsi="Arial"/>
                <w:sz w:val="14"/>
                <w:szCs w:val="14"/>
                <w:b w:val="1"/>
                <w:bCs w:val="1"/>
                <w:color w:val="FFFFFF"/>
              </w:rPr>
              <w:t>Incentive Award</w:t>
            </w:r>
          </w:p>
        </w:tc>
        <w:tc>
          <w:tcPr>
            <w:tcW w:w="660" w:type="dxa"/>
            <w:vAlign w:val="bottom"/>
            <w:shd w:val="clear" w:color="auto" w:fill="0071CE"/>
          </w:tcPr>
          <w:p>
            <w:pPr>
              <w:spacing w:after="0"/>
              <w:rPr>
                <w:sz w:val="14"/>
                <w:szCs w:val="14"/>
                <w:color w:val="auto"/>
              </w:rPr>
            </w:pPr>
          </w:p>
        </w:tc>
        <w:tc>
          <w:tcPr>
            <w:tcW w:w="1880" w:type="dxa"/>
            <w:vAlign w:val="bottom"/>
            <w:shd w:val="clear" w:color="auto" w:fill="0071CE"/>
          </w:tcPr>
          <w:p>
            <w:pPr>
              <w:spacing w:after="0"/>
              <w:rPr>
                <w:sz w:val="14"/>
                <w:szCs w:val="14"/>
                <w:color w:val="auto"/>
              </w:rPr>
            </w:pPr>
          </w:p>
        </w:tc>
        <w:tc>
          <w:tcPr>
            <w:tcW w:w="38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5200" w:type="dxa"/>
            <w:vAlign w:val="bottom"/>
            <w:shd w:val="clear" w:color="auto" w:fill="0071CE"/>
          </w:tcPr>
          <w:p>
            <w:pPr>
              <w:spacing w:after="0"/>
              <w:rPr>
                <w:sz w:val="14"/>
                <w:szCs w:val="14"/>
                <w:color w:val="auto"/>
              </w:rPr>
            </w:pPr>
          </w:p>
        </w:tc>
        <w:tc>
          <w:tcPr>
            <w:tcW w:w="2080" w:type="dxa"/>
            <w:vAlign w:val="bottom"/>
            <w:gridSpan w:val="2"/>
            <w:shd w:val="clear" w:color="auto" w:fill="0071CE"/>
          </w:tcPr>
          <w:p>
            <w:pPr>
              <w:jc w:val="center"/>
              <w:ind w:right="799"/>
              <w:spacing w:after="0"/>
              <w:rPr>
                <w:sz w:val="20"/>
                <w:szCs w:val="20"/>
                <w:color w:val="auto"/>
              </w:rPr>
            </w:pPr>
            <w:r>
              <w:rPr>
                <w:rFonts w:ascii="Arial" w:cs="Arial" w:eastAsia="Arial" w:hAnsi="Arial"/>
                <w:sz w:val="14"/>
                <w:szCs w:val="14"/>
                <w:b w:val="1"/>
                <w:bCs w:val="1"/>
                <w:color w:val="FFFFFF"/>
              </w:rPr>
              <w:t>Opportunity (as a</w:t>
            </w:r>
          </w:p>
        </w:tc>
        <w:tc>
          <w:tcPr>
            <w:tcW w:w="2540" w:type="dxa"/>
            <w:vAlign w:val="bottom"/>
            <w:gridSpan w:val="2"/>
            <w:shd w:val="clear" w:color="auto" w:fill="0071CE"/>
          </w:tcPr>
          <w:p>
            <w:pPr>
              <w:jc w:val="center"/>
              <w:ind w:right="819"/>
              <w:spacing w:after="0"/>
              <w:rPr>
                <w:sz w:val="20"/>
                <w:szCs w:val="20"/>
                <w:color w:val="auto"/>
              </w:rPr>
            </w:pPr>
            <w:r>
              <w:rPr>
                <w:rFonts w:ascii="Arial" w:cs="Arial" w:eastAsia="Arial" w:hAnsi="Arial"/>
                <w:sz w:val="14"/>
                <w:szCs w:val="14"/>
                <w:b w:val="1"/>
                <w:bCs w:val="1"/>
                <w:color w:val="FFFFFF"/>
              </w:rPr>
              <w:t>Actual Annual</w:t>
            </w:r>
          </w:p>
        </w:tc>
        <w:tc>
          <w:tcPr>
            <w:tcW w:w="38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62"/>
        </w:trPr>
        <w:tc>
          <w:tcPr>
            <w:tcW w:w="5200" w:type="dxa"/>
            <w:vAlign w:val="bottom"/>
            <w:shd w:val="clear" w:color="auto" w:fill="0071CE"/>
          </w:tcPr>
          <w:p>
            <w:pPr>
              <w:spacing w:after="0"/>
              <w:rPr>
                <w:sz w:val="14"/>
                <w:szCs w:val="14"/>
                <w:color w:val="auto"/>
              </w:rPr>
            </w:pPr>
          </w:p>
        </w:tc>
        <w:tc>
          <w:tcPr>
            <w:tcW w:w="2080" w:type="dxa"/>
            <w:vAlign w:val="bottom"/>
            <w:gridSpan w:val="2"/>
            <w:shd w:val="clear" w:color="auto" w:fill="0071CE"/>
          </w:tcPr>
          <w:p>
            <w:pPr>
              <w:jc w:val="center"/>
              <w:ind w:right="859"/>
              <w:spacing w:after="0"/>
              <w:rPr>
                <w:sz w:val="20"/>
                <w:szCs w:val="20"/>
                <w:color w:val="auto"/>
              </w:rPr>
            </w:pPr>
            <w:r>
              <w:rPr>
                <w:rFonts w:ascii="Arial" w:cs="Arial" w:eastAsia="Arial" w:hAnsi="Arial"/>
                <w:sz w:val="14"/>
                <w:szCs w:val="14"/>
                <w:b w:val="1"/>
                <w:bCs w:val="1"/>
                <w:color w:val="FFFFFF"/>
              </w:rPr>
              <w:t>percentage of</w:t>
            </w:r>
          </w:p>
        </w:tc>
        <w:tc>
          <w:tcPr>
            <w:tcW w:w="2540" w:type="dxa"/>
            <w:vAlign w:val="bottom"/>
            <w:gridSpan w:val="2"/>
            <w:shd w:val="clear" w:color="auto" w:fill="0071CE"/>
          </w:tcPr>
          <w:p>
            <w:pPr>
              <w:jc w:val="center"/>
              <w:ind w:right="799"/>
              <w:spacing w:after="0"/>
              <w:rPr>
                <w:sz w:val="20"/>
                <w:szCs w:val="20"/>
                <w:color w:val="auto"/>
              </w:rPr>
            </w:pPr>
            <w:r>
              <w:rPr>
                <w:rFonts w:ascii="Arial" w:cs="Arial" w:eastAsia="Arial" w:hAnsi="Arial"/>
                <w:sz w:val="14"/>
                <w:szCs w:val="14"/>
                <w:b w:val="1"/>
                <w:bCs w:val="1"/>
                <w:color w:val="FFFFFF"/>
              </w:rPr>
              <w:t>Incentive Award</w:t>
            </w:r>
          </w:p>
        </w:tc>
        <w:tc>
          <w:tcPr>
            <w:tcW w:w="1180" w:type="dxa"/>
            <w:vAlign w:val="bottom"/>
            <w:gridSpan w:val="2"/>
            <w:shd w:val="clear" w:color="auto" w:fill="0071CE"/>
          </w:tcPr>
          <w:p>
            <w:pPr>
              <w:jc w:val="center"/>
              <w:ind w:right="19"/>
              <w:spacing w:after="0"/>
              <w:rPr>
                <w:sz w:val="20"/>
                <w:szCs w:val="20"/>
                <w:color w:val="auto"/>
              </w:rPr>
            </w:pPr>
            <w:r>
              <w:rPr>
                <w:rFonts w:ascii="Arial" w:cs="Arial" w:eastAsia="Arial" w:hAnsi="Arial"/>
                <w:sz w:val="14"/>
                <w:szCs w:val="14"/>
                <w:b w:val="1"/>
                <w:bCs w:val="1"/>
                <w:color w:val="FFFFFF"/>
              </w:rPr>
              <w:t>Actual Annual</w:t>
            </w:r>
          </w:p>
        </w:tc>
        <w:tc>
          <w:tcPr>
            <w:tcW w:w="20" w:type="dxa"/>
            <w:vAlign w:val="bottom"/>
            <w:shd w:val="clear" w:color="auto" w:fill="0071CE"/>
          </w:tcPr>
          <w:p>
            <w:pPr>
              <w:spacing w:after="0"/>
              <w:rPr>
                <w:sz w:val="14"/>
                <w:szCs w:val="14"/>
                <w:color w:val="auto"/>
              </w:rPr>
            </w:pPr>
          </w:p>
        </w:tc>
      </w:tr>
      <w:tr>
        <w:trPr>
          <w:trHeight w:val="162"/>
        </w:trPr>
        <w:tc>
          <w:tcPr>
            <w:tcW w:w="520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Named Executive</w:t>
            </w:r>
          </w:p>
        </w:tc>
        <w:tc>
          <w:tcPr>
            <w:tcW w:w="2080" w:type="dxa"/>
            <w:vAlign w:val="bottom"/>
            <w:gridSpan w:val="2"/>
            <w:shd w:val="clear" w:color="auto" w:fill="0071CE"/>
          </w:tcPr>
          <w:p>
            <w:pPr>
              <w:jc w:val="center"/>
              <w:ind w:right="799"/>
              <w:spacing w:after="0"/>
              <w:rPr>
                <w:sz w:val="20"/>
                <w:szCs w:val="20"/>
                <w:color w:val="auto"/>
              </w:rPr>
            </w:pPr>
            <w:r>
              <w:rPr>
                <w:rFonts w:ascii="Arial" w:cs="Arial" w:eastAsia="Arial" w:hAnsi="Arial"/>
                <w:sz w:val="14"/>
                <w:szCs w:val="14"/>
                <w:b w:val="1"/>
                <w:bCs w:val="1"/>
                <w:color w:val="FFFFFF"/>
              </w:rPr>
              <w:t>base</w:t>
            </w:r>
          </w:p>
        </w:tc>
        <w:tc>
          <w:tcPr>
            <w:tcW w:w="2540" w:type="dxa"/>
            <w:vAlign w:val="bottom"/>
            <w:gridSpan w:val="2"/>
            <w:shd w:val="clear" w:color="auto" w:fill="0071CE"/>
          </w:tcPr>
          <w:p>
            <w:pPr>
              <w:jc w:val="center"/>
              <w:ind w:right="819"/>
              <w:spacing w:after="0"/>
              <w:rPr>
                <w:sz w:val="20"/>
                <w:szCs w:val="20"/>
                <w:color w:val="auto"/>
              </w:rPr>
            </w:pPr>
            <w:r>
              <w:rPr>
                <w:rFonts w:ascii="Arial" w:cs="Arial" w:eastAsia="Arial" w:hAnsi="Arial"/>
                <w:sz w:val="14"/>
                <w:szCs w:val="14"/>
                <w:b w:val="1"/>
                <w:bCs w:val="1"/>
                <w:color w:val="FFFFFF"/>
              </w:rPr>
              <w:t>(as a percentage of</w:t>
            </w:r>
          </w:p>
        </w:tc>
        <w:tc>
          <w:tcPr>
            <w:tcW w:w="1180" w:type="dxa"/>
            <w:vAlign w:val="bottom"/>
            <w:gridSpan w:val="2"/>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Award</w:t>
            </w:r>
          </w:p>
        </w:tc>
        <w:tc>
          <w:tcPr>
            <w:tcW w:w="20" w:type="dxa"/>
            <w:vAlign w:val="bottom"/>
            <w:shd w:val="clear" w:color="auto" w:fill="0071CE"/>
          </w:tcPr>
          <w:p>
            <w:pPr>
              <w:spacing w:after="0"/>
              <w:rPr>
                <w:sz w:val="14"/>
                <w:szCs w:val="14"/>
                <w:color w:val="auto"/>
              </w:rPr>
            </w:pPr>
          </w:p>
        </w:tc>
      </w:tr>
      <w:tr>
        <w:trPr>
          <w:trHeight w:val="211"/>
        </w:trPr>
        <w:tc>
          <w:tcPr>
            <w:tcW w:w="520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Officer</w:t>
            </w:r>
          </w:p>
        </w:tc>
        <w:tc>
          <w:tcPr>
            <w:tcW w:w="2080" w:type="dxa"/>
            <w:vAlign w:val="bottom"/>
            <w:tcBorders>
              <w:bottom w:val="single" w:sz="8" w:color="0071CE"/>
            </w:tcBorders>
            <w:gridSpan w:val="2"/>
            <w:shd w:val="clear" w:color="auto" w:fill="0071CE"/>
          </w:tcPr>
          <w:p>
            <w:pPr>
              <w:jc w:val="center"/>
              <w:ind w:right="819"/>
              <w:spacing w:after="0"/>
              <w:rPr>
                <w:sz w:val="20"/>
                <w:szCs w:val="20"/>
                <w:color w:val="auto"/>
              </w:rPr>
            </w:pPr>
            <w:r>
              <w:rPr>
                <w:rFonts w:ascii="Arial" w:cs="Arial" w:eastAsia="Arial" w:hAnsi="Arial"/>
                <w:sz w:val="14"/>
                <w:szCs w:val="14"/>
                <w:b w:val="1"/>
                <w:bCs w:val="1"/>
                <w:color w:val="FFFFFF"/>
              </w:rPr>
              <w:t>salary)</w:t>
            </w:r>
          </w:p>
        </w:tc>
        <w:tc>
          <w:tcPr>
            <w:tcW w:w="2540" w:type="dxa"/>
            <w:vAlign w:val="bottom"/>
            <w:tcBorders>
              <w:bottom w:val="single" w:sz="8" w:color="0071CE"/>
            </w:tcBorders>
            <w:gridSpan w:val="2"/>
            <w:shd w:val="clear" w:color="auto" w:fill="0071CE"/>
          </w:tcPr>
          <w:p>
            <w:pPr>
              <w:jc w:val="center"/>
              <w:ind w:right="819"/>
              <w:spacing w:after="0"/>
              <w:rPr>
                <w:sz w:val="20"/>
                <w:szCs w:val="20"/>
                <w:color w:val="auto"/>
              </w:rPr>
            </w:pPr>
            <w:r>
              <w:rPr>
                <w:rFonts w:ascii="Arial" w:cs="Arial" w:eastAsia="Arial" w:hAnsi="Arial"/>
                <w:sz w:val="14"/>
                <w:szCs w:val="14"/>
                <w:b w:val="1"/>
                <w:bCs w:val="1"/>
                <w:color w:val="FFFFFF"/>
              </w:rPr>
              <w:t>base salary)</w:t>
            </w:r>
          </w:p>
        </w:tc>
        <w:tc>
          <w:tcPr>
            <w:tcW w:w="1180" w:type="dxa"/>
            <w:vAlign w:val="bottom"/>
            <w:tcBorders>
              <w:bottom w:val="single" w:sz="8" w:color="0071CE"/>
            </w:tcBorders>
            <w:gridSpan w:val="2"/>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56"/>
        </w:trPr>
        <w:tc>
          <w:tcPr>
            <w:tcW w:w="5200" w:type="dxa"/>
            <w:vAlign w:val="bottom"/>
            <w:shd w:val="clear" w:color="auto" w:fill="E5E5E5"/>
          </w:tcPr>
          <w:p>
            <w:pPr>
              <w:ind w:left="60"/>
              <w:spacing w:after="0"/>
              <w:rPr>
                <w:sz w:val="20"/>
                <w:szCs w:val="20"/>
                <w:color w:val="auto"/>
              </w:rPr>
            </w:pPr>
            <w:r>
              <w:rPr>
                <w:rFonts w:ascii="Arial" w:cs="Arial" w:eastAsia="Arial" w:hAnsi="Arial"/>
                <w:sz w:val="16"/>
                <w:szCs w:val="16"/>
                <w:color w:val="auto"/>
              </w:rPr>
              <w:t>Dr. Anzalone</w:t>
            </w:r>
          </w:p>
        </w:tc>
        <w:tc>
          <w:tcPr>
            <w:tcW w:w="2080" w:type="dxa"/>
            <w:vAlign w:val="bottom"/>
            <w:gridSpan w:val="2"/>
            <w:shd w:val="clear" w:color="auto" w:fill="E5E5E5"/>
          </w:tcPr>
          <w:p>
            <w:pPr>
              <w:jc w:val="right"/>
              <w:ind w:right="1039"/>
              <w:spacing w:after="0"/>
              <w:rPr>
                <w:sz w:val="20"/>
                <w:szCs w:val="20"/>
                <w:color w:val="auto"/>
              </w:rPr>
            </w:pPr>
            <w:r>
              <w:rPr>
                <w:rFonts w:ascii="Arial" w:cs="Arial" w:eastAsia="Arial" w:hAnsi="Arial"/>
                <w:sz w:val="16"/>
                <w:szCs w:val="16"/>
                <w:color w:val="auto"/>
              </w:rPr>
              <w:t>100%</w:t>
            </w:r>
          </w:p>
        </w:tc>
        <w:tc>
          <w:tcPr>
            <w:tcW w:w="2540" w:type="dxa"/>
            <w:vAlign w:val="bottom"/>
            <w:gridSpan w:val="2"/>
            <w:shd w:val="clear" w:color="auto" w:fill="E5E5E5"/>
          </w:tcPr>
          <w:p>
            <w:pPr>
              <w:jc w:val="right"/>
              <w:ind w:right="1319"/>
              <w:spacing w:after="0"/>
              <w:rPr>
                <w:sz w:val="20"/>
                <w:szCs w:val="20"/>
                <w:color w:val="auto"/>
              </w:rPr>
            </w:pPr>
            <w:r>
              <w:rPr>
                <w:rFonts w:ascii="Arial" w:cs="Arial" w:eastAsia="Arial" w:hAnsi="Arial"/>
                <w:sz w:val="16"/>
                <w:szCs w:val="16"/>
                <w:color w:val="auto"/>
              </w:rPr>
              <w:t>150%</w:t>
            </w:r>
          </w:p>
        </w:tc>
        <w:tc>
          <w:tcPr>
            <w:tcW w:w="118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$975,000</w:t>
            </w:r>
          </w:p>
        </w:tc>
        <w:tc>
          <w:tcPr>
            <w:tcW w:w="20" w:type="dxa"/>
            <w:vAlign w:val="bottom"/>
          </w:tcPr>
          <w:p>
            <w:pPr>
              <w:spacing w:after="0"/>
              <w:rPr>
                <w:sz w:val="22"/>
                <w:szCs w:val="22"/>
                <w:color w:val="auto"/>
              </w:rPr>
            </w:pPr>
          </w:p>
        </w:tc>
      </w:tr>
      <w:tr>
        <w:trPr>
          <w:trHeight w:val="249"/>
        </w:trPr>
        <w:tc>
          <w:tcPr>
            <w:tcW w:w="5200" w:type="dxa"/>
            <w:vAlign w:val="bottom"/>
          </w:tcPr>
          <w:p>
            <w:pPr>
              <w:ind w:left="60"/>
              <w:spacing w:after="0"/>
              <w:rPr>
                <w:sz w:val="20"/>
                <w:szCs w:val="20"/>
                <w:color w:val="auto"/>
              </w:rPr>
            </w:pPr>
            <w:r>
              <w:rPr>
                <w:rFonts w:ascii="Arial" w:cs="Arial" w:eastAsia="Arial" w:hAnsi="Arial"/>
                <w:sz w:val="16"/>
                <w:szCs w:val="16"/>
                <w:color w:val="auto"/>
              </w:rPr>
              <w:t>Dr. Given</w:t>
            </w:r>
          </w:p>
        </w:tc>
        <w:tc>
          <w:tcPr>
            <w:tcW w:w="2080" w:type="dxa"/>
            <w:vAlign w:val="bottom"/>
            <w:gridSpan w:val="2"/>
          </w:tcPr>
          <w:p>
            <w:pPr>
              <w:jc w:val="right"/>
              <w:ind w:right="1039"/>
              <w:spacing w:after="0"/>
              <w:rPr>
                <w:sz w:val="20"/>
                <w:szCs w:val="20"/>
                <w:color w:val="auto"/>
              </w:rPr>
            </w:pPr>
            <w:r>
              <w:rPr>
                <w:rFonts w:ascii="Arial" w:cs="Arial" w:eastAsia="Arial" w:hAnsi="Arial"/>
                <w:sz w:val="16"/>
                <w:szCs w:val="16"/>
                <w:color w:val="auto"/>
              </w:rPr>
              <w:t>70%</w:t>
            </w:r>
          </w:p>
        </w:tc>
        <w:tc>
          <w:tcPr>
            <w:tcW w:w="2540" w:type="dxa"/>
            <w:vAlign w:val="bottom"/>
            <w:gridSpan w:val="2"/>
          </w:tcPr>
          <w:p>
            <w:pPr>
              <w:jc w:val="right"/>
              <w:ind w:right="1319"/>
              <w:spacing w:after="0"/>
              <w:rPr>
                <w:sz w:val="20"/>
                <w:szCs w:val="20"/>
                <w:color w:val="auto"/>
              </w:rPr>
            </w:pPr>
            <w:r>
              <w:rPr>
                <w:rFonts w:ascii="Arial" w:cs="Arial" w:eastAsia="Arial" w:hAnsi="Arial"/>
                <w:sz w:val="16"/>
                <w:szCs w:val="16"/>
                <w:color w:val="auto"/>
              </w:rPr>
              <w:t>98%</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$445,900</w:t>
            </w:r>
          </w:p>
        </w:tc>
        <w:tc>
          <w:tcPr>
            <w:tcW w:w="20" w:type="dxa"/>
            <w:vAlign w:val="bottom"/>
          </w:tcPr>
          <w:p>
            <w:pPr>
              <w:spacing w:after="0"/>
              <w:rPr>
                <w:sz w:val="21"/>
                <w:szCs w:val="21"/>
                <w:color w:val="auto"/>
              </w:rPr>
            </w:pPr>
          </w:p>
        </w:tc>
      </w:tr>
      <w:tr>
        <w:trPr>
          <w:trHeight w:val="264"/>
        </w:trPr>
        <w:tc>
          <w:tcPr>
            <w:tcW w:w="5200" w:type="dxa"/>
            <w:vAlign w:val="bottom"/>
            <w:shd w:val="clear" w:color="auto" w:fill="E5E5E5"/>
          </w:tcPr>
          <w:p>
            <w:pPr>
              <w:ind w:left="60"/>
              <w:spacing w:after="0"/>
              <w:rPr>
                <w:sz w:val="20"/>
                <w:szCs w:val="20"/>
                <w:color w:val="auto"/>
              </w:rPr>
            </w:pPr>
            <w:r>
              <w:rPr>
                <w:rFonts w:ascii="Arial" w:cs="Arial" w:eastAsia="Arial" w:hAnsi="Arial"/>
                <w:sz w:val="16"/>
                <w:szCs w:val="16"/>
                <w:color w:val="auto"/>
              </w:rPr>
              <w:t>Mr. Myszkowski</w:t>
            </w:r>
          </w:p>
        </w:tc>
        <w:tc>
          <w:tcPr>
            <w:tcW w:w="2080" w:type="dxa"/>
            <w:vAlign w:val="bottom"/>
            <w:gridSpan w:val="2"/>
            <w:shd w:val="clear" w:color="auto" w:fill="E5E5E5"/>
          </w:tcPr>
          <w:p>
            <w:pPr>
              <w:jc w:val="right"/>
              <w:ind w:right="1039"/>
              <w:spacing w:after="0"/>
              <w:rPr>
                <w:sz w:val="20"/>
                <w:szCs w:val="20"/>
                <w:color w:val="auto"/>
              </w:rPr>
            </w:pPr>
            <w:r>
              <w:rPr>
                <w:rFonts w:ascii="Arial" w:cs="Arial" w:eastAsia="Arial" w:hAnsi="Arial"/>
                <w:sz w:val="16"/>
                <w:szCs w:val="16"/>
                <w:color w:val="auto"/>
              </w:rPr>
              <w:t>45%</w:t>
            </w:r>
          </w:p>
        </w:tc>
        <w:tc>
          <w:tcPr>
            <w:tcW w:w="2540" w:type="dxa"/>
            <w:vAlign w:val="bottom"/>
            <w:gridSpan w:val="2"/>
            <w:shd w:val="clear" w:color="auto" w:fill="E5E5E5"/>
          </w:tcPr>
          <w:p>
            <w:pPr>
              <w:jc w:val="right"/>
              <w:ind w:right="1319"/>
              <w:spacing w:after="0"/>
              <w:rPr>
                <w:sz w:val="20"/>
                <w:szCs w:val="20"/>
                <w:color w:val="auto"/>
              </w:rPr>
            </w:pPr>
            <w:r>
              <w:rPr>
                <w:rFonts w:ascii="Arial" w:cs="Arial" w:eastAsia="Arial" w:hAnsi="Arial"/>
                <w:sz w:val="16"/>
                <w:szCs w:val="16"/>
                <w:color w:val="auto"/>
              </w:rPr>
              <w:t>45%</w:t>
            </w:r>
          </w:p>
        </w:tc>
        <w:tc>
          <w:tcPr>
            <w:tcW w:w="1180" w:type="dxa"/>
            <w:vAlign w:val="bottom"/>
            <w:gridSpan w:val="2"/>
            <w:shd w:val="clear" w:color="auto" w:fill="E5E5E5"/>
          </w:tcPr>
          <w:p>
            <w:pPr>
              <w:jc w:val="right"/>
              <w:ind w:right="39"/>
              <w:spacing w:after="0"/>
              <w:rPr>
                <w:sz w:val="20"/>
                <w:szCs w:val="20"/>
                <w:color w:val="auto"/>
              </w:rPr>
            </w:pPr>
            <w:r>
              <w:rPr>
                <w:rFonts w:ascii="Arial" w:cs="Arial" w:eastAsia="Arial" w:hAnsi="Arial"/>
                <w:sz w:val="16"/>
                <w:szCs w:val="16"/>
                <w:color w:val="auto"/>
              </w:rPr>
              <w:t>$180,000</w:t>
            </w:r>
          </w:p>
        </w:tc>
        <w:tc>
          <w:tcPr>
            <w:tcW w:w="20" w:type="dxa"/>
            <w:vAlign w:val="bottom"/>
          </w:tcPr>
          <w:p>
            <w:pPr>
              <w:spacing w:after="0"/>
              <w:rPr>
                <w:sz w:val="22"/>
                <w:szCs w:val="22"/>
                <w:color w:val="auto"/>
              </w:rPr>
            </w:pPr>
          </w:p>
        </w:tc>
      </w:tr>
      <w:tr>
        <w:trPr>
          <w:trHeight w:val="249"/>
        </w:trPr>
        <w:tc>
          <w:tcPr>
            <w:tcW w:w="5200" w:type="dxa"/>
            <w:vAlign w:val="bottom"/>
          </w:tcPr>
          <w:p>
            <w:pPr>
              <w:ind w:left="60"/>
              <w:spacing w:after="0"/>
              <w:rPr>
                <w:sz w:val="20"/>
                <w:szCs w:val="20"/>
                <w:color w:val="auto"/>
              </w:rPr>
            </w:pPr>
            <w:r>
              <w:rPr>
                <w:rFonts w:ascii="Arial" w:cs="Arial" w:eastAsia="Arial" w:hAnsi="Arial"/>
                <w:sz w:val="16"/>
                <w:szCs w:val="16"/>
                <w:color w:val="auto"/>
              </w:rPr>
              <w:t>Mr. O’Brien</w:t>
            </w:r>
          </w:p>
        </w:tc>
        <w:tc>
          <w:tcPr>
            <w:tcW w:w="2080" w:type="dxa"/>
            <w:vAlign w:val="bottom"/>
            <w:gridSpan w:val="2"/>
          </w:tcPr>
          <w:p>
            <w:pPr>
              <w:jc w:val="right"/>
              <w:ind w:right="1039"/>
              <w:spacing w:after="0"/>
              <w:rPr>
                <w:sz w:val="20"/>
                <w:szCs w:val="20"/>
                <w:color w:val="auto"/>
              </w:rPr>
            </w:pPr>
            <w:r>
              <w:rPr>
                <w:rFonts w:ascii="Arial" w:cs="Arial" w:eastAsia="Arial" w:hAnsi="Arial"/>
                <w:sz w:val="16"/>
                <w:szCs w:val="16"/>
                <w:color w:val="auto"/>
              </w:rPr>
              <w:t>45%</w:t>
            </w:r>
          </w:p>
        </w:tc>
        <w:tc>
          <w:tcPr>
            <w:tcW w:w="2540" w:type="dxa"/>
            <w:vAlign w:val="bottom"/>
            <w:gridSpan w:val="2"/>
          </w:tcPr>
          <w:p>
            <w:pPr>
              <w:jc w:val="right"/>
              <w:ind w:right="1319"/>
              <w:spacing w:after="0"/>
              <w:rPr>
                <w:sz w:val="20"/>
                <w:szCs w:val="20"/>
                <w:color w:val="auto"/>
              </w:rPr>
            </w:pPr>
            <w:r>
              <w:rPr>
                <w:rFonts w:ascii="Arial" w:cs="Arial" w:eastAsia="Arial" w:hAnsi="Arial"/>
                <w:sz w:val="16"/>
                <w:szCs w:val="16"/>
                <w:color w:val="auto"/>
              </w:rPr>
              <w:t>45%</w:t>
            </w: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$184,500</w:t>
            </w:r>
          </w:p>
        </w:tc>
        <w:tc>
          <w:tcPr>
            <w:tcW w:w="20" w:type="dxa"/>
            <w:vAlign w:val="bottom"/>
          </w:tcPr>
          <w:p>
            <w:pPr>
              <w:spacing w:after="0"/>
              <w:rPr>
                <w:sz w:val="21"/>
                <w:szCs w:val="21"/>
                <w:color w:val="auto"/>
              </w:rPr>
            </w:pPr>
          </w:p>
        </w:tc>
      </w:tr>
      <w:tr>
        <w:trPr>
          <w:trHeight w:val="258"/>
        </w:trPr>
        <w:tc>
          <w:tcPr>
            <w:tcW w:w="520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6"/>
                <w:szCs w:val="16"/>
                <w:color w:val="auto"/>
              </w:rPr>
              <w:t>Dr. Li</w:t>
            </w:r>
          </w:p>
        </w:tc>
        <w:tc>
          <w:tcPr>
            <w:tcW w:w="460" w:type="dxa"/>
            <w:vAlign w:val="bottom"/>
            <w:shd w:val="clear" w:color="auto" w:fill="E5E5E5"/>
          </w:tcPr>
          <w:p>
            <w:pPr>
              <w:spacing w:after="0"/>
              <w:rPr>
                <w:sz w:val="22"/>
                <w:szCs w:val="22"/>
                <w:color w:val="auto"/>
              </w:rPr>
            </w:pPr>
          </w:p>
        </w:tc>
        <w:tc>
          <w:tcPr>
            <w:tcW w:w="1620" w:type="dxa"/>
            <w:vAlign w:val="bottom"/>
            <w:tcBorders>
              <w:bottom w:val="single" w:sz="8" w:color="0071CE"/>
            </w:tcBorders>
            <w:shd w:val="clear" w:color="auto" w:fill="E5E5E5"/>
          </w:tcPr>
          <w:p>
            <w:pPr>
              <w:jc w:val="right"/>
              <w:ind w:right="1039"/>
              <w:spacing w:after="0"/>
              <w:rPr>
                <w:sz w:val="20"/>
                <w:szCs w:val="20"/>
                <w:color w:val="auto"/>
              </w:rPr>
            </w:pPr>
            <w:r>
              <w:rPr>
                <w:rFonts w:ascii="Arial" w:cs="Arial" w:eastAsia="Arial" w:hAnsi="Arial"/>
                <w:sz w:val="16"/>
                <w:szCs w:val="16"/>
                <w:color w:val="auto"/>
              </w:rPr>
              <w:t>40%</w:t>
            </w:r>
          </w:p>
        </w:tc>
        <w:tc>
          <w:tcPr>
            <w:tcW w:w="660" w:type="dxa"/>
            <w:vAlign w:val="bottom"/>
            <w:shd w:val="clear" w:color="auto" w:fill="E5E5E5"/>
          </w:tcPr>
          <w:p>
            <w:pPr>
              <w:spacing w:after="0"/>
              <w:rPr>
                <w:sz w:val="22"/>
                <w:szCs w:val="22"/>
                <w:color w:val="auto"/>
              </w:rPr>
            </w:pPr>
          </w:p>
        </w:tc>
        <w:tc>
          <w:tcPr>
            <w:tcW w:w="1880" w:type="dxa"/>
            <w:vAlign w:val="bottom"/>
            <w:tcBorders>
              <w:bottom w:val="single" w:sz="8" w:color="0071CE"/>
            </w:tcBorders>
            <w:shd w:val="clear" w:color="auto" w:fill="E5E5E5"/>
          </w:tcPr>
          <w:p>
            <w:pPr>
              <w:jc w:val="right"/>
              <w:ind w:right="1319"/>
              <w:spacing w:after="0"/>
              <w:rPr>
                <w:sz w:val="20"/>
                <w:szCs w:val="20"/>
                <w:color w:val="auto"/>
              </w:rPr>
            </w:pPr>
            <w:r>
              <w:rPr>
                <w:rFonts w:ascii="Arial" w:cs="Arial" w:eastAsia="Arial" w:hAnsi="Arial"/>
                <w:sz w:val="16"/>
                <w:szCs w:val="16"/>
                <w:color w:val="auto"/>
              </w:rPr>
              <w:t>50%</w:t>
            </w:r>
          </w:p>
        </w:tc>
        <w:tc>
          <w:tcPr>
            <w:tcW w:w="380" w:type="dxa"/>
            <w:vAlign w:val="bottom"/>
            <w:shd w:val="clear" w:color="auto" w:fill="E5E5E5"/>
          </w:tcPr>
          <w:p>
            <w:pPr>
              <w:spacing w:after="0"/>
              <w:rPr>
                <w:sz w:val="22"/>
                <w:szCs w:val="22"/>
                <w:color w:val="auto"/>
              </w:rPr>
            </w:pPr>
          </w:p>
        </w:tc>
        <w:tc>
          <w:tcPr>
            <w:tcW w:w="800" w:type="dxa"/>
            <w:vAlign w:val="bottom"/>
            <w:tcBorders>
              <w:bottom w:val="single" w:sz="8" w:color="0071CE"/>
            </w:tcBorders>
            <w:shd w:val="clear" w:color="auto" w:fill="E5E5E5"/>
          </w:tcPr>
          <w:p>
            <w:pPr>
              <w:jc w:val="right"/>
              <w:ind w:right="39"/>
              <w:spacing w:after="0"/>
              <w:rPr>
                <w:sz w:val="20"/>
                <w:szCs w:val="20"/>
                <w:color w:val="auto"/>
              </w:rPr>
            </w:pPr>
            <w:r>
              <w:rPr>
                <w:rFonts w:ascii="Arial" w:cs="Arial" w:eastAsia="Arial" w:hAnsi="Arial"/>
                <w:sz w:val="16"/>
                <w:szCs w:val="16"/>
                <w:color w:val="auto"/>
                <w:w w:val="98"/>
              </w:rPr>
              <w:t>$150,000</w:t>
            </w:r>
          </w:p>
        </w:tc>
        <w:tc>
          <w:tcPr>
            <w:tcW w:w="20" w:type="dxa"/>
            <w:vAlign w:val="bottom"/>
          </w:tcPr>
          <w:p>
            <w:pPr>
              <w:spacing w:after="0"/>
              <w:rPr>
                <w:sz w:val="22"/>
                <w:szCs w:val="22"/>
                <w:color w:val="auto"/>
              </w:rPr>
            </w:pPr>
          </w:p>
        </w:tc>
      </w:tr>
    </w:tbl>
    <w:p>
      <w:pPr>
        <w:spacing w:after="0" w:line="198" w:lineRule="exact"/>
        <w:rPr>
          <w:sz w:val="20"/>
          <w:szCs w:val="20"/>
          <w:color w:val="auto"/>
        </w:rPr>
      </w:pPr>
    </w:p>
    <w:p>
      <w:pPr>
        <w:ind w:left="220" w:right="320"/>
        <w:spacing w:after="0" w:line="291" w:lineRule="auto"/>
        <w:rPr>
          <w:sz w:val="20"/>
          <w:szCs w:val="20"/>
          <w:color w:val="auto"/>
        </w:rPr>
      </w:pPr>
      <w:r>
        <w:rPr>
          <w:rFonts w:ascii="Arial" w:cs="Arial" w:eastAsia="Arial" w:hAnsi="Arial"/>
          <w:sz w:val="16"/>
          <w:szCs w:val="16"/>
          <w:color w:val="auto"/>
        </w:rPr>
        <w:t>The annual incentive award payments made to our Named Executive Officers for fiscal 2018 are set forth in the “Fiscal 2018 Summary Compensation Table” below.</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Long-Term Incentive Compensation</w:t>
      </w:r>
    </w:p>
    <w:p>
      <w:pPr>
        <w:spacing w:after="0" w:line="106" w:lineRule="exact"/>
        <w:rPr>
          <w:sz w:val="20"/>
          <w:szCs w:val="20"/>
          <w:color w:val="auto"/>
        </w:rPr>
      </w:pPr>
    </w:p>
    <w:p>
      <w:pPr>
        <w:ind w:left="220" w:right="260"/>
        <w:spacing w:after="0" w:line="261"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71" w:lineRule="exact"/>
        <w:rPr>
          <w:sz w:val="20"/>
          <w:szCs w:val="20"/>
          <w:color w:val="auto"/>
        </w:rPr>
      </w:pPr>
    </w:p>
    <w:p>
      <w:pPr>
        <w:ind w:left="220" w:right="160"/>
        <w:spacing w:after="0" w:line="268"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2018 Long-Term Incentive Awards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108" w:lineRule="exact"/>
        <w:rPr>
          <w:sz w:val="20"/>
          <w:szCs w:val="20"/>
          <w:color w:val="auto"/>
        </w:rPr>
      </w:pPr>
    </w:p>
    <w:p>
      <w:pPr>
        <w:ind w:left="220" w:right="160"/>
        <w:spacing w:after="0" w:line="268" w:lineRule="auto"/>
        <w:rPr>
          <w:sz w:val="20"/>
          <w:szCs w:val="20"/>
          <w:color w:val="auto"/>
        </w:rPr>
      </w:pPr>
      <w:r>
        <w:rPr>
          <w:rFonts w:ascii="Arial" w:cs="Arial" w:eastAsia="Arial" w:hAnsi="Arial"/>
          <w:sz w:val="16"/>
          <w:szCs w:val="16"/>
          <w:color w:val="auto"/>
        </w:rPr>
        <w:t>Annual equity awards granted to our executive officers are solely in the form of restricted stock unit (“RSU”) awards that may be settled for shares of our common stock. In the case of our CEO, the award is entirely performance-based (“PRSU”). On January 1, 2018, Dr. Anzalone was granted a performance-based RSU (“PRSU”) of 500,000 shares to be vested in three equal installments on the achievement of the following milestones:</w:t>
      </w:r>
    </w:p>
    <w:p>
      <w:pPr>
        <w:spacing w:after="0" w:line="72" w:lineRule="exact"/>
        <w:rPr>
          <w:sz w:val="20"/>
          <w:szCs w:val="20"/>
          <w:color w:val="auto"/>
        </w:rPr>
      </w:pPr>
    </w:p>
    <w:p>
      <w:pPr>
        <w:ind w:left="420" w:hanging="210"/>
        <w:spacing w:after="0"/>
        <w:tabs>
          <w:tab w:leader="none" w:pos="42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Achieve market capitalization of $600 million and hold for 6 consecutive weeks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Execute a business development transaction for a target outside hepatocytes</w:t>
      </w:r>
    </w:p>
    <w:p>
      <w:pPr>
        <w:spacing w:after="0" w:line="126" w:lineRule="exact"/>
        <w:rPr>
          <w:rFonts w:ascii="Arial" w:cs="Arial" w:eastAsia="Arial" w:hAnsi="Arial"/>
          <w:sz w:val="16"/>
          <w:szCs w:val="16"/>
          <w:color w:val="0071CE"/>
        </w:rPr>
      </w:pPr>
    </w:p>
    <w:p>
      <w:pPr>
        <w:ind w:left="420" w:hanging="210"/>
        <w:spacing w:after="0"/>
        <w:tabs>
          <w:tab w:leader="none" w:pos="420" w:val="left"/>
        </w:tabs>
        <w:numPr>
          <w:ilvl w:val="0"/>
          <w:numId w:val="40"/>
        </w:numPr>
        <w:rPr>
          <w:rFonts w:ascii="Arial" w:cs="Arial" w:eastAsia="Arial" w:hAnsi="Arial"/>
          <w:sz w:val="16"/>
          <w:szCs w:val="16"/>
          <w:color w:val="0071CE"/>
        </w:rPr>
      </w:pPr>
      <w:r>
        <w:rPr>
          <w:rFonts w:ascii="Arial" w:cs="Arial" w:eastAsia="Arial" w:hAnsi="Arial"/>
          <w:sz w:val="16"/>
          <w:szCs w:val="16"/>
          <w:color w:val="auto"/>
        </w:rPr>
        <w:t>Initiate a study that could be pivotal or meet criteria that big pharma would consider to be proof of concept</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milestones must be achieved by January 1, 2020 or the grants will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108585</wp:posOffset>
            </wp:positionV>
            <wp:extent cx="98488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26</w:t>
      </w:r>
    </w:p>
    <w:p>
      <w:pPr>
        <w:sectPr>
          <w:pgSz w:w="11900" w:h="16838" w:orient="portrait"/>
          <w:cols w:equalWidth="0" w:num="1">
            <w:col w:w="11240"/>
          </w:cols>
          <w:pgMar w:left="240" w:top="455" w:right="4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2018, the Compensation Committee certified achievement of the performance milestones and the vesting of the following PRSUs.</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3700" w:type="dxa"/>
            <w:vAlign w:val="bottom"/>
            <w:shd w:val="clear" w:color="auto" w:fill="0071CE"/>
          </w:tcPr>
          <w:p>
            <w:pPr>
              <w:spacing w:after="0"/>
              <w:rPr>
                <w:sz w:val="15"/>
                <w:szCs w:val="15"/>
                <w:color w:val="auto"/>
              </w:rPr>
            </w:pPr>
          </w:p>
        </w:tc>
        <w:tc>
          <w:tcPr>
            <w:tcW w:w="3840" w:type="dxa"/>
            <w:vAlign w:val="bottom"/>
            <w:shd w:val="clear" w:color="auto" w:fill="0071CE"/>
          </w:tcPr>
          <w:p>
            <w:pPr>
              <w:spacing w:after="0"/>
              <w:rPr>
                <w:sz w:val="15"/>
                <w:szCs w:val="15"/>
                <w:color w:val="auto"/>
              </w:rPr>
            </w:pPr>
          </w:p>
        </w:tc>
        <w:tc>
          <w:tcPr>
            <w:tcW w:w="3460" w:type="dxa"/>
            <w:vAlign w:val="bottom"/>
            <w:shd w:val="clear" w:color="auto" w:fill="0071CE"/>
          </w:tcPr>
          <w:p>
            <w:pPr>
              <w:ind w:left="1340"/>
              <w:spacing w:after="0"/>
              <w:rPr>
                <w:sz w:val="20"/>
                <w:szCs w:val="20"/>
                <w:color w:val="auto"/>
              </w:rPr>
            </w:pPr>
            <w:r>
              <w:rPr>
                <w:rFonts w:ascii="Arial" w:cs="Arial" w:eastAsia="Arial" w:hAnsi="Arial"/>
                <w:sz w:val="14"/>
                <w:szCs w:val="14"/>
                <w:b w:val="1"/>
                <w:bCs w:val="1"/>
                <w:color w:val="FFFFFF"/>
              </w:rPr>
              <w:t>No. of Shares</w:t>
            </w:r>
          </w:p>
        </w:tc>
        <w:tc>
          <w:tcPr>
            <w:tcW w:w="20" w:type="dxa"/>
            <w:vAlign w:val="bottom"/>
            <w:shd w:val="clear" w:color="auto" w:fill="0071CE"/>
          </w:tcPr>
          <w:p>
            <w:pPr>
              <w:spacing w:after="0"/>
              <w:rPr>
                <w:sz w:val="15"/>
                <w:szCs w:val="15"/>
                <w:color w:val="auto"/>
              </w:rPr>
            </w:pPr>
          </w:p>
        </w:tc>
      </w:tr>
      <w:tr>
        <w:trPr>
          <w:trHeight w:val="211"/>
        </w:trPr>
        <w:tc>
          <w:tcPr>
            <w:tcW w:w="370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Performance Goal</w:t>
            </w:r>
          </w:p>
        </w:tc>
        <w:tc>
          <w:tcPr>
            <w:tcW w:w="3840" w:type="dxa"/>
            <w:vAlign w:val="bottom"/>
            <w:tcBorders>
              <w:bottom w:val="single" w:sz="8" w:color="0071CE"/>
            </w:tcBorders>
            <w:shd w:val="clear" w:color="auto" w:fill="0071CE"/>
          </w:tcPr>
          <w:p>
            <w:pPr>
              <w:ind w:left="1680"/>
              <w:spacing w:after="0"/>
              <w:rPr>
                <w:sz w:val="20"/>
                <w:szCs w:val="20"/>
                <w:color w:val="auto"/>
              </w:rPr>
            </w:pPr>
            <w:r>
              <w:rPr>
                <w:rFonts w:ascii="Arial" w:cs="Arial" w:eastAsia="Arial" w:hAnsi="Arial"/>
                <w:sz w:val="14"/>
                <w:szCs w:val="14"/>
                <w:b w:val="1"/>
                <w:bCs w:val="1"/>
                <w:color w:val="FFFFFF"/>
              </w:rPr>
              <w:t>Achievement</w:t>
            </w:r>
          </w:p>
        </w:tc>
        <w:tc>
          <w:tcPr>
            <w:tcW w:w="3460" w:type="dxa"/>
            <w:vAlign w:val="bottom"/>
            <w:tcBorders>
              <w:bottom w:val="single" w:sz="8" w:color="0071CE"/>
            </w:tcBorders>
            <w:shd w:val="clear" w:color="auto" w:fill="0071CE"/>
          </w:tcPr>
          <w:p>
            <w:pPr>
              <w:ind w:left="1160"/>
              <w:spacing w:after="0"/>
              <w:rPr>
                <w:sz w:val="20"/>
                <w:szCs w:val="20"/>
                <w:color w:val="auto"/>
              </w:rPr>
            </w:pPr>
            <w:r>
              <w:rPr>
                <w:rFonts w:ascii="Arial" w:cs="Arial" w:eastAsia="Arial" w:hAnsi="Arial"/>
                <w:sz w:val="14"/>
                <w:szCs w:val="14"/>
                <w:b w:val="1"/>
                <w:bCs w:val="1"/>
                <w:color w:val="FFFFFF"/>
              </w:rPr>
              <w:t>Certified as Vested</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11"/>
        </w:trPr>
        <w:tc>
          <w:tcPr>
            <w:tcW w:w="3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Achieve $1 billion market capitalization and hold</w:t>
            </w:r>
          </w:p>
        </w:tc>
        <w:tc>
          <w:tcPr>
            <w:tcW w:w="38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Achieved on 12/18/2018</w:t>
            </w:r>
          </w:p>
        </w:tc>
        <w:tc>
          <w:tcPr>
            <w:tcW w:w="34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180,000 shares pursuant to a PRSU award</w:t>
            </w:r>
          </w:p>
        </w:tc>
        <w:tc>
          <w:tcPr>
            <w:tcW w:w="20" w:type="dxa"/>
            <w:vAlign w:val="bottom"/>
          </w:tcPr>
          <w:p>
            <w:pPr>
              <w:spacing w:after="0"/>
              <w:rPr>
                <w:sz w:val="18"/>
                <w:szCs w:val="18"/>
                <w:color w:val="auto"/>
              </w:rPr>
            </w:pPr>
          </w:p>
        </w:tc>
      </w:tr>
      <w:tr>
        <w:trPr>
          <w:trHeight w:val="218"/>
        </w:trPr>
        <w:tc>
          <w:tcPr>
            <w:tcW w:w="3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for 2 quarters</w:t>
            </w:r>
          </w:p>
        </w:tc>
        <w:tc>
          <w:tcPr>
            <w:tcW w:w="3840" w:type="dxa"/>
            <w:vAlign w:val="bottom"/>
            <w:shd w:val="clear" w:color="auto" w:fill="E5E5E5"/>
          </w:tcPr>
          <w:p>
            <w:pPr>
              <w:spacing w:after="0"/>
              <w:rPr>
                <w:sz w:val="19"/>
                <w:szCs w:val="19"/>
                <w:color w:val="auto"/>
              </w:rPr>
            </w:pPr>
          </w:p>
        </w:tc>
        <w:tc>
          <w:tcPr>
            <w:tcW w:w="34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3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1/1/2016</w:t>
            </w:r>
          </w:p>
        </w:tc>
        <w:tc>
          <w:tcPr>
            <w:tcW w:w="3840" w:type="dxa"/>
            <w:vAlign w:val="bottom"/>
            <w:tcBorders>
              <w:bottom w:val="single" w:sz="8" w:color="E5E5E5"/>
            </w:tcBorders>
            <w:shd w:val="clear" w:color="auto" w:fill="E5E5E5"/>
          </w:tcPr>
          <w:p>
            <w:pPr>
              <w:spacing w:after="0"/>
              <w:rPr>
                <w:sz w:val="24"/>
                <w:szCs w:val="24"/>
                <w:color w:val="auto"/>
              </w:rPr>
            </w:pPr>
          </w:p>
        </w:tc>
        <w:tc>
          <w:tcPr>
            <w:tcW w:w="346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3700" w:type="dxa"/>
            <w:vAlign w:val="bottom"/>
          </w:tcPr>
          <w:p>
            <w:pPr>
              <w:ind w:left="60"/>
              <w:spacing w:after="0"/>
              <w:rPr>
                <w:sz w:val="20"/>
                <w:szCs w:val="20"/>
                <w:color w:val="auto"/>
              </w:rPr>
            </w:pPr>
            <w:r>
              <w:rPr>
                <w:rFonts w:ascii="Arial" w:cs="Arial" w:eastAsia="Arial" w:hAnsi="Arial"/>
                <w:sz w:val="16"/>
                <w:szCs w:val="16"/>
                <w:color w:val="auto"/>
              </w:rPr>
              <w:t>File an IND or equivalent for an extra-hepatic</w:t>
            </w:r>
          </w:p>
        </w:tc>
        <w:tc>
          <w:tcPr>
            <w:tcW w:w="3840" w:type="dxa"/>
            <w:vAlign w:val="bottom"/>
          </w:tcPr>
          <w:p>
            <w:pPr>
              <w:ind w:left="320"/>
              <w:spacing w:after="0"/>
              <w:rPr>
                <w:sz w:val="20"/>
                <w:szCs w:val="20"/>
                <w:color w:val="auto"/>
              </w:rPr>
            </w:pPr>
            <w:r>
              <w:rPr>
                <w:rFonts w:ascii="Arial" w:cs="Arial" w:eastAsia="Arial" w:hAnsi="Arial"/>
                <w:sz w:val="16"/>
                <w:szCs w:val="16"/>
                <w:color w:val="auto"/>
              </w:rPr>
              <w:t>The Compensation Committee deemed this</w:t>
            </w:r>
          </w:p>
        </w:tc>
        <w:tc>
          <w:tcPr>
            <w:tcW w:w="3460" w:type="dxa"/>
            <w:vAlign w:val="bottom"/>
          </w:tcPr>
          <w:p>
            <w:pPr>
              <w:ind w:left="200"/>
              <w:spacing w:after="0"/>
              <w:rPr>
                <w:sz w:val="20"/>
                <w:szCs w:val="20"/>
                <w:color w:val="auto"/>
              </w:rPr>
            </w:pPr>
            <w:r>
              <w:rPr>
                <w:rFonts w:ascii="Arial" w:cs="Arial" w:eastAsia="Arial" w:hAnsi="Arial"/>
                <w:sz w:val="16"/>
                <w:szCs w:val="16"/>
                <w:color w:val="auto"/>
              </w:rPr>
              <w:t>180,000 shares pursuant to a PRSU award</w:t>
            </w:r>
          </w:p>
        </w:tc>
        <w:tc>
          <w:tcPr>
            <w:tcW w:w="20" w:type="dxa"/>
            <w:vAlign w:val="bottom"/>
          </w:tcPr>
          <w:p>
            <w:pPr>
              <w:spacing w:after="0"/>
              <w:rPr>
                <w:sz w:val="18"/>
                <w:szCs w:val="18"/>
                <w:color w:val="auto"/>
              </w:rPr>
            </w:pPr>
          </w:p>
        </w:tc>
      </w:tr>
      <w:tr>
        <w:trPr>
          <w:trHeight w:val="189"/>
        </w:trPr>
        <w:tc>
          <w:tcPr>
            <w:tcW w:w="3700" w:type="dxa"/>
            <w:vAlign w:val="bottom"/>
          </w:tcPr>
          <w:p>
            <w:pPr>
              <w:ind w:left="60"/>
              <w:spacing w:after="0"/>
              <w:rPr>
                <w:sz w:val="20"/>
                <w:szCs w:val="20"/>
                <w:color w:val="auto"/>
              </w:rPr>
            </w:pPr>
            <w:r>
              <w:rPr>
                <w:rFonts w:ascii="Arial" w:cs="Arial" w:eastAsia="Arial" w:hAnsi="Arial"/>
                <w:sz w:val="16"/>
                <w:szCs w:val="16"/>
                <w:color w:val="auto"/>
              </w:rPr>
              <w:t>target</w:t>
            </w:r>
          </w:p>
        </w:tc>
        <w:tc>
          <w:tcPr>
            <w:tcW w:w="3840" w:type="dxa"/>
            <w:vAlign w:val="bottom"/>
          </w:tcPr>
          <w:p>
            <w:pPr>
              <w:ind w:left="320"/>
              <w:spacing w:after="0"/>
              <w:rPr>
                <w:sz w:val="20"/>
                <w:szCs w:val="20"/>
                <w:color w:val="auto"/>
              </w:rPr>
            </w:pPr>
            <w:r>
              <w:rPr>
                <w:rFonts w:ascii="Arial" w:cs="Arial" w:eastAsia="Arial" w:hAnsi="Arial"/>
                <w:sz w:val="16"/>
                <w:szCs w:val="16"/>
                <w:color w:val="auto"/>
              </w:rPr>
              <w:t>completed on 12/11/2018, given that the</w:t>
            </w: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00" w:type="dxa"/>
            <w:vAlign w:val="bottom"/>
          </w:tcPr>
          <w:p>
            <w:pPr>
              <w:spacing w:after="0"/>
              <w:rPr>
                <w:sz w:val="16"/>
                <w:szCs w:val="16"/>
                <w:color w:val="auto"/>
              </w:rPr>
            </w:pPr>
          </w:p>
        </w:tc>
        <w:tc>
          <w:tcPr>
            <w:tcW w:w="3840" w:type="dxa"/>
            <w:vAlign w:val="bottom"/>
          </w:tcPr>
          <w:p>
            <w:pPr>
              <w:ind w:left="320"/>
              <w:spacing w:after="0"/>
              <w:rPr>
                <w:sz w:val="20"/>
                <w:szCs w:val="20"/>
                <w:color w:val="auto"/>
              </w:rPr>
            </w:pPr>
            <w:r>
              <w:rPr>
                <w:rFonts w:ascii="Arial" w:cs="Arial" w:eastAsia="Arial" w:hAnsi="Arial"/>
                <w:sz w:val="16"/>
                <w:szCs w:val="16"/>
                <w:color w:val="auto"/>
              </w:rPr>
              <w:t>Company could have filed an IND for an extra-</w:t>
            </w: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0"/>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Granted 1/1/2016</w:t>
            </w:r>
          </w:p>
        </w:tc>
        <w:tc>
          <w:tcPr>
            <w:tcW w:w="3840" w:type="dxa"/>
            <w:vAlign w:val="bottom"/>
          </w:tcPr>
          <w:p>
            <w:pPr>
              <w:ind w:left="320"/>
              <w:spacing w:after="0"/>
              <w:rPr>
                <w:sz w:val="20"/>
                <w:szCs w:val="20"/>
                <w:color w:val="auto"/>
              </w:rPr>
            </w:pPr>
            <w:r>
              <w:rPr>
                <w:rFonts w:ascii="Arial" w:cs="Arial" w:eastAsia="Arial" w:hAnsi="Arial"/>
                <w:sz w:val="16"/>
                <w:szCs w:val="16"/>
                <w:color w:val="auto"/>
              </w:rPr>
              <w:t>hepatic target, but chose to delay this filing for</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3700" w:type="dxa"/>
            <w:vAlign w:val="bottom"/>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6"/>
                <w:szCs w:val="16"/>
                <w:color w:val="auto"/>
              </w:rPr>
              <w:t>strategic purposes</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3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Execute a significant business development</w:t>
            </w:r>
          </w:p>
        </w:tc>
        <w:tc>
          <w:tcPr>
            <w:tcW w:w="38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Janssen collaboration</w:t>
            </w:r>
          </w:p>
        </w:tc>
        <w:tc>
          <w:tcPr>
            <w:tcW w:w="34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163,000 shares pursuant to a PRSU award</w:t>
            </w:r>
          </w:p>
        </w:tc>
        <w:tc>
          <w:tcPr>
            <w:tcW w:w="20" w:type="dxa"/>
            <w:vAlign w:val="bottom"/>
          </w:tcPr>
          <w:p>
            <w:pPr>
              <w:spacing w:after="0"/>
              <w:rPr>
                <w:sz w:val="18"/>
                <w:szCs w:val="18"/>
                <w:color w:val="auto"/>
              </w:rPr>
            </w:pPr>
          </w:p>
        </w:tc>
      </w:tr>
      <w:tr>
        <w:trPr>
          <w:trHeight w:val="218"/>
        </w:trPr>
        <w:tc>
          <w:tcPr>
            <w:tcW w:w="3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transaction by 12/31/2019</w:t>
            </w:r>
          </w:p>
        </w:tc>
        <w:tc>
          <w:tcPr>
            <w:tcW w:w="3840" w:type="dxa"/>
            <w:vAlign w:val="bottom"/>
            <w:shd w:val="clear" w:color="auto" w:fill="E5E5E5"/>
          </w:tcPr>
          <w:p>
            <w:pPr>
              <w:spacing w:after="0"/>
              <w:rPr>
                <w:sz w:val="19"/>
                <w:szCs w:val="19"/>
                <w:color w:val="auto"/>
              </w:rPr>
            </w:pPr>
          </w:p>
        </w:tc>
        <w:tc>
          <w:tcPr>
            <w:tcW w:w="3460" w:type="dxa"/>
            <w:vAlign w:val="bottom"/>
            <w:shd w:val="clear" w:color="auto" w:fill="E5E5E5"/>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3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4/12/2017</w:t>
            </w:r>
          </w:p>
        </w:tc>
        <w:tc>
          <w:tcPr>
            <w:tcW w:w="3840" w:type="dxa"/>
            <w:vAlign w:val="bottom"/>
            <w:tcBorders>
              <w:bottom w:val="single" w:sz="8" w:color="E5E5E5"/>
            </w:tcBorders>
            <w:shd w:val="clear" w:color="auto" w:fill="E5E5E5"/>
          </w:tcPr>
          <w:p>
            <w:pPr>
              <w:spacing w:after="0"/>
              <w:rPr>
                <w:sz w:val="24"/>
                <w:szCs w:val="24"/>
                <w:color w:val="auto"/>
              </w:rPr>
            </w:pPr>
          </w:p>
        </w:tc>
        <w:tc>
          <w:tcPr>
            <w:tcW w:w="346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3700" w:type="dxa"/>
            <w:vAlign w:val="bottom"/>
          </w:tcPr>
          <w:p>
            <w:pPr>
              <w:ind w:left="60"/>
              <w:spacing w:after="0"/>
              <w:rPr>
                <w:sz w:val="20"/>
                <w:szCs w:val="20"/>
                <w:color w:val="auto"/>
              </w:rPr>
            </w:pPr>
            <w:r>
              <w:rPr>
                <w:rFonts w:ascii="Arial" w:cs="Arial" w:eastAsia="Arial" w:hAnsi="Arial"/>
                <w:sz w:val="16"/>
                <w:szCs w:val="16"/>
                <w:color w:val="auto"/>
              </w:rPr>
              <w:t>Trigger a milestone payment pursuant to the</w:t>
            </w:r>
          </w:p>
        </w:tc>
        <w:tc>
          <w:tcPr>
            <w:tcW w:w="3840" w:type="dxa"/>
            <w:vAlign w:val="bottom"/>
          </w:tcPr>
          <w:p>
            <w:pPr>
              <w:ind w:left="320"/>
              <w:spacing w:after="0"/>
              <w:rPr>
                <w:sz w:val="20"/>
                <w:szCs w:val="20"/>
                <w:color w:val="auto"/>
              </w:rPr>
            </w:pPr>
            <w:r>
              <w:rPr>
                <w:rFonts w:ascii="Arial" w:cs="Arial" w:eastAsia="Arial" w:hAnsi="Arial"/>
                <w:sz w:val="16"/>
                <w:szCs w:val="16"/>
                <w:color w:val="auto"/>
              </w:rPr>
              <w:t>Achieved on 8/31/2018</w:t>
            </w:r>
          </w:p>
        </w:tc>
        <w:tc>
          <w:tcPr>
            <w:tcW w:w="3460" w:type="dxa"/>
            <w:vAlign w:val="bottom"/>
          </w:tcPr>
          <w:p>
            <w:pPr>
              <w:ind w:left="200"/>
              <w:spacing w:after="0"/>
              <w:rPr>
                <w:sz w:val="20"/>
                <w:szCs w:val="20"/>
                <w:color w:val="auto"/>
              </w:rPr>
            </w:pPr>
            <w:r>
              <w:rPr>
                <w:rFonts w:ascii="Arial" w:cs="Arial" w:eastAsia="Arial" w:hAnsi="Arial"/>
                <w:sz w:val="16"/>
                <w:szCs w:val="16"/>
                <w:color w:val="auto"/>
              </w:rPr>
              <w:t>163,000 shares pursuant to a PRSU award</w:t>
            </w:r>
          </w:p>
        </w:tc>
        <w:tc>
          <w:tcPr>
            <w:tcW w:w="20" w:type="dxa"/>
            <w:vAlign w:val="bottom"/>
          </w:tcPr>
          <w:p>
            <w:pPr>
              <w:spacing w:after="0"/>
              <w:rPr>
                <w:sz w:val="18"/>
                <w:szCs w:val="18"/>
                <w:color w:val="auto"/>
              </w:rPr>
            </w:pPr>
          </w:p>
        </w:tc>
      </w:tr>
      <w:tr>
        <w:trPr>
          <w:trHeight w:val="218"/>
        </w:trPr>
        <w:tc>
          <w:tcPr>
            <w:tcW w:w="3700" w:type="dxa"/>
            <w:vAlign w:val="bottom"/>
          </w:tcPr>
          <w:p>
            <w:pPr>
              <w:ind w:left="60"/>
              <w:spacing w:after="0"/>
              <w:rPr>
                <w:sz w:val="20"/>
                <w:szCs w:val="20"/>
                <w:color w:val="auto"/>
              </w:rPr>
            </w:pPr>
            <w:r>
              <w:rPr>
                <w:rFonts w:ascii="Arial" w:cs="Arial" w:eastAsia="Arial" w:hAnsi="Arial"/>
                <w:sz w:val="16"/>
                <w:szCs w:val="16"/>
                <w:color w:val="auto"/>
              </w:rPr>
              <w:t>Amgen agreements</w:t>
            </w:r>
          </w:p>
        </w:tc>
        <w:tc>
          <w:tcPr>
            <w:tcW w:w="38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700" w:type="dxa"/>
            <w:vAlign w:val="bottom"/>
          </w:tcPr>
          <w:p>
            <w:pPr>
              <w:ind w:left="60"/>
              <w:spacing w:after="0"/>
              <w:rPr>
                <w:sz w:val="20"/>
                <w:szCs w:val="20"/>
                <w:color w:val="auto"/>
              </w:rPr>
            </w:pPr>
            <w:r>
              <w:rPr>
                <w:rFonts w:ascii="Arial" w:cs="Arial" w:eastAsia="Arial" w:hAnsi="Arial"/>
                <w:sz w:val="16"/>
                <w:szCs w:val="16"/>
                <w:i w:val="1"/>
                <w:iCs w:val="1"/>
                <w:color w:val="auto"/>
              </w:rPr>
              <w:t>Granted 4/12/2017</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
        </w:trPr>
        <w:tc>
          <w:tcPr>
            <w:tcW w:w="3700" w:type="dxa"/>
            <w:vAlign w:val="bottom"/>
          </w:tcPr>
          <w:p>
            <w:pPr>
              <w:spacing w:after="0"/>
              <w:rPr>
                <w:sz w:val="3"/>
                <w:szCs w:val="3"/>
                <w:color w:val="auto"/>
              </w:rPr>
            </w:pPr>
          </w:p>
        </w:tc>
        <w:tc>
          <w:tcPr>
            <w:tcW w:w="384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1"/>
        </w:trPr>
        <w:tc>
          <w:tcPr>
            <w:tcW w:w="3700" w:type="dxa"/>
            <w:vAlign w:val="bottom"/>
            <w:shd w:val="clear" w:color="auto" w:fill="E5E5E5"/>
          </w:tcPr>
          <w:p>
            <w:pPr>
              <w:ind w:left="60"/>
              <w:spacing w:after="0"/>
              <w:rPr>
                <w:sz w:val="20"/>
                <w:szCs w:val="20"/>
                <w:color w:val="auto"/>
              </w:rPr>
            </w:pPr>
            <w:r>
              <w:rPr>
                <w:rFonts w:ascii="Arial" w:cs="Arial" w:eastAsia="Arial" w:hAnsi="Arial"/>
                <w:sz w:val="16"/>
                <w:szCs w:val="16"/>
                <w:color w:val="auto"/>
              </w:rPr>
              <w:t>Hold Market Cap of $600 million for 6 weeks</w:t>
            </w:r>
          </w:p>
        </w:tc>
        <w:tc>
          <w:tcPr>
            <w:tcW w:w="3840" w:type="dxa"/>
            <w:vAlign w:val="bottom"/>
            <w:shd w:val="clear" w:color="auto" w:fill="E5E5E5"/>
          </w:tcPr>
          <w:p>
            <w:pPr>
              <w:ind w:left="320"/>
              <w:spacing w:after="0"/>
              <w:rPr>
                <w:sz w:val="20"/>
                <w:szCs w:val="20"/>
                <w:color w:val="auto"/>
              </w:rPr>
            </w:pPr>
            <w:r>
              <w:rPr>
                <w:rFonts w:ascii="Arial" w:cs="Arial" w:eastAsia="Arial" w:hAnsi="Arial"/>
                <w:sz w:val="16"/>
                <w:szCs w:val="16"/>
                <w:color w:val="auto"/>
              </w:rPr>
              <w:t>Achieved on 8/31/2018</w:t>
            </w:r>
          </w:p>
        </w:tc>
        <w:tc>
          <w:tcPr>
            <w:tcW w:w="34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166,667 shares pursuant to a PRSU award</w:t>
            </w:r>
          </w:p>
        </w:tc>
        <w:tc>
          <w:tcPr>
            <w:tcW w:w="20" w:type="dxa"/>
            <w:vAlign w:val="bottom"/>
          </w:tcPr>
          <w:p>
            <w:pPr>
              <w:spacing w:after="0"/>
              <w:rPr>
                <w:sz w:val="20"/>
                <w:szCs w:val="20"/>
                <w:color w:val="auto"/>
              </w:rPr>
            </w:pPr>
          </w:p>
        </w:tc>
      </w:tr>
      <w:tr>
        <w:trPr>
          <w:trHeight w:val="454"/>
        </w:trPr>
        <w:tc>
          <w:tcPr>
            <w:tcW w:w="37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Granted 1/1/2018</w:t>
            </w:r>
          </w:p>
        </w:tc>
        <w:tc>
          <w:tcPr>
            <w:tcW w:w="3840" w:type="dxa"/>
            <w:vAlign w:val="bottom"/>
            <w:tcBorders>
              <w:bottom w:val="single" w:sz="8" w:color="E5E5E5"/>
            </w:tcBorders>
            <w:shd w:val="clear" w:color="auto" w:fill="E5E5E5"/>
          </w:tcPr>
          <w:p>
            <w:pPr>
              <w:spacing w:after="0"/>
              <w:rPr>
                <w:sz w:val="24"/>
                <w:szCs w:val="24"/>
                <w:color w:val="auto"/>
              </w:rPr>
            </w:pPr>
          </w:p>
        </w:tc>
        <w:tc>
          <w:tcPr>
            <w:tcW w:w="3460" w:type="dxa"/>
            <w:vAlign w:val="bottom"/>
            <w:tcBorders>
              <w:bottom w:val="single" w:sz="8" w:color="E5E5E5"/>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00" w:type="dxa"/>
            <w:vAlign w:val="bottom"/>
            <w:shd w:val="clear" w:color="auto" w:fill="0071CE"/>
          </w:tcPr>
          <w:p>
            <w:pPr>
              <w:spacing w:after="0" w:line="20" w:lineRule="exact"/>
              <w:rPr>
                <w:sz w:val="1"/>
                <w:szCs w:val="1"/>
                <w:color w:val="auto"/>
              </w:rPr>
            </w:pPr>
          </w:p>
        </w:tc>
        <w:tc>
          <w:tcPr>
            <w:tcW w:w="3840" w:type="dxa"/>
            <w:vAlign w:val="bottom"/>
            <w:shd w:val="clear" w:color="auto" w:fill="0071CE"/>
          </w:tcPr>
          <w:p>
            <w:pPr>
              <w:spacing w:after="0" w:line="20" w:lineRule="exact"/>
              <w:rPr>
                <w:sz w:val="1"/>
                <w:szCs w:val="1"/>
                <w:color w:val="auto"/>
              </w:rPr>
            </w:pPr>
          </w:p>
        </w:tc>
        <w:tc>
          <w:tcPr>
            <w:tcW w:w="3460" w:type="dxa"/>
            <w:vAlign w:val="bottom"/>
            <w:shd w:val="clear" w:color="auto" w:fill="0071C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Equity Awards for Other Named Executive Officers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Compensation Committee approved the following aggregate equity awards for our Named Executive Officers for 2018:</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6060" w:type="dxa"/>
            <w:vAlign w:val="bottom"/>
            <w:shd w:val="clear" w:color="auto" w:fill="0071CE"/>
          </w:tcPr>
          <w:p>
            <w:pPr>
              <w:spacing w:after="0"/>
              <w:rPr>
                <w:sz w:val="15"/>
                <w:szCs w:val="15"/>
                <w:color w:val="auto"/>
              </w:rPr>
            </w:pPr>
          </w:p>
        </w:tc>
        <w:tc>
          <w:tcPr>
            <w:tcW w:w="2840" w:type="dxa"/>
            <w:vAlign w:val="bottom"/>
            <w:shd w:val="clear" w:color="auto" w:fill="0071CE"/>
          </w:tcPr>
          <w:p>
            <w:pPr>
              <w:jc w:val="center"/>
              <w:ind w:left="338"/>
              <w:spacing w:after="0"/>
              <w:rPr>
                <w:sz w:val="20"/>
                <w:szCs w:val="20"/>
                <w:color w:val="auto"/>
              </w:rPr>
            </w:pPr>
            <w:r>
              <w:rPr>
                <w:rFonts w:ascii="Arial" w:cs="Arial" w:eastAsia="Arial" w:hAnsi="Arial"/>
                <w:sz w:val="14"/>
                <w:szCs w:val="14"/>
                <w:b w:val="1"/>
                <w:bCs w:val="1"/>
                <w:color w:val="FFFFFF"/>
              </w:rPr>
              <w:t>Restricted Stock Unit</w:t>
            </w:r>
          </w:p>
        </w:tc>
        <w:tc>
          <w:tcPr>
            <w:tcW w:w="2100" w:type="dxa"/>
            <w:vAlign w:val="bottom"/>
            <w:gridSpan w:val="2"/>
            <w:shd w:val="clear" w:color="auto" w:fill="0071CE"/>
          </w:tcPr>
          <w:p>
            <w:pPr>
              <w:ind w:left="480"/>
              <w:spacing w:after="0"/>
              <w:rPr>
                <w:sz w:val="20"/>
                <w:szCs w:val="20"/>
                <w:color w:val="auto"/>
              </w:rPr>
            </w:pPr>
            <w:r>
              <w:rPr>
                <w:rFonts w:ascii="Arial" w:cs="Arial" w:eastAsia="Arial" w:hAnsi="Arial"/>
                <w:sz w:val="14"/>
                <w:szCs w:val="14"/>
                <w:b w:val="1"/>
                <w:bCs w:val="1"/>
                <w:color w:val="FFFFFF"/>
              </w:rPr>
              <w:t>Restricted Stock Unit</w:t>
            </w:r>
          </w:p>
        </w:tc>
        <w:tc>
          <w:tcPr>
            <w:tcW w:w="20" w:type="dxa"/>
            <w:vAlign w:val="bottom"/>
            <w:shd w:val="clear" w:color="auto" w:fill="0071CE"/>
          </w:tcPr>
          <w:p>
            <w:pPr>
              <w:spacing w:after="0"/>
              <w:rPr>
                <w:sz w:val="15"/>
                <w:szCs w:val="15"/>
                <w:color w:val="auto"/>
              </w:rPr>
            </w:pPr>
          </w:p>
        </w:tc>
      </w:tr>
      <w:tr>
        <w:trPr>
          <w:trHeight w:val="162"/>
        </w:trPr>
        <w:tc>
          <w:tcPr>
            <w:tcW w:w="6060" w:type="dxa"/>
            <w:vAlign w:val="bottom"/>
            <w:shd w:val="clear" w:color="auto" w:fill="0071CE"/>
          </w:tcPr>
          <w:p>
            <w:pPr>
              <w:ind w:left="220"/>
              <w:spacing w:after="0"/>
              <w:rPr>
                <w:sz w:val="20"/>
                <w:szCs w:val="20"/>
                <w:color w:val="auto"/>
              </w:rPr>
            </w:pPr>
            <w:r>
              <w:rPr>
                <w:rFonts w:ascii="Arial" w:cs="Arial" w:eastAsia="Arial" w:hAnsi="Arial"/>
                <w:sz w:val="14"/>
                <w:szCs w:val="14"/>
                <w:b w:val="1"/>
                <w:bCs w:val="1"/>
                <w:color w:val="FFFFFF"/>
              </w:rPr>
              <w:t>Named Executive</w:t>
            </w:r>
          </w:p>
        </w:tc>
        <w:tc>
          <w:tcPr>
            <w:tcW w:w="2840" w:type="dxa"/>
            <w:vAlign w:val="bottom"/>
            <w:shd w:val="clear" w:color="auto" w:fill="0071CE"/>
          </w:tcPr>
          <w:p>
            <w:pPr>
              <w:jc w:val="center"/>
              <w:ind w:left="358"/>
              <w:spacing w:after="0"/>
              <w:rPr>
                <w:sz w:val="20"/>
                <w:szCs w:val="20"/>
                <w:color w:val="auto"/>
              </w:rPr>
            </w:pPr>
            <w:r>
              <w:rPr>
                <w:rFonts w:ascii="Arial" w:cs="Arial" w:eastAsia="Arial" w:hAnsi="Arial"/>
                <w:sz w:val="14"/>
                <w:szCs w:val="14"/>
                <w:b w:val="1"/>
                <w:bCs w:val="1"/>
                <w:color w:val="FFFFFF"/>
              </w:rPr>
              <w:t>Awards</w:t>
            </w:r>
          </w:p>
        </w:tc>
        <w:tc>
          <w:tcPr>
            <w:tcW w:w="780" w:type="dxa"/>
            <w:vAlign w:val="bottom"/>
            <w:shd w:val="clear" w:color="auto" w:fill="0071CE"/>
          </w:tcPr>
          <w:p>
            <w:pPr>
              <w:spacing w:after="0"/>
              <w:rPr>
                <w:sz w:val="14"/>
                <w:szCs w:val="14"/>
                <w:color w:val="auto"/>
              </w:rPr>
            </w:pPr>
          </w:p>
        </w:tc>
        <w:tc>
          <w:tcPr>
            <w:tcW w:w="1320" w:type="dxa"/>
            <w:vAlign w:val="bottom"/>
            <w:shd w:val="clear" w:color="auto" w:fill="0071CE"/>
          </w:tcPr>
          <w:p>
            <w:pPr>
              <w:jc w:val="right"/>
              <w:ind w:right="516"/>
              <w:spacing w:after="0"/>
              <w:rPr>
                <w:sz w:val="20"/>
                <w:szCs w:val="20"/>
                <w:color w:val="auto"/>
              </w:rPr>
            </w:pPr>
            <w:r>
              <w:rPr>
                <w:rFonts w:ascii="Arial" w:cs="Arial" w:eastAsia="Arial" w:hAnsi="Arial"/>
                <w:sz w:val="14"/>
                <w:szCs w:val="14"/>
                <w:b w:val="1"/>
                <w:bCs w:val="1"/>
                <w:color w:val="FFFFFF"/>
              </w:rPr>
              <w:t>Awards</w:t>
            </w:r>
          </w:p>
        </w:tc>
        <w:tc>
          <w:tcPr>
            <w:tcW w:w="20" w:type="dxa"/>
            <w:vAlign w:val="bottom"/>
            <w:shd w:val="clear" w:color="auto" w:fill="0071CE"/>
          </w:tcPr>
          <w:p>
            <w:pPr>
              <w:spacing w:after="0"/>
              <w:rPr>
                <w:sz w:val="14"/>
                <w:szCs w:val="14"/>
                <w:color w:val="auto"/>
              </w:rPr>
            </w:pPr>
          </w:p>
        </w:tc>
      </w:tr>
      <w:tr>
        <w:trPr>
          <w:trHeight w:val="211"/>
        </w:trPr>
        <w:tc>
          <w:tcPr>
            <w:tcW w:w="606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Officer</w:t>
            </w:r>
          </w:p>
        </w:tc>
        <w:tc>
          <w:tcPr>
            <w:tcW w:w="2840" w:type="dxa"/>
            <w:vAlign w:val="bottom"/>
            <w:tcBorders>
              <w:bottom w:val="single" w:sz="8" w:color="0071CE"/>
            </w:tcBorders>
            <w:shd w:val="clear" w:color="auto" w:fill="0071CE"/>
          </w:tcPr>
          <w:p>
            <w:pPr>
              <w:jc w:val="center"/>
              <w:ind w:left="338"/>
              <w:spacing w:after="0"/>
              <w:rPr>
                <w:sz w:val="20"/>
                <w:szCs w:val="20"/>
                <w:color w:val="auto"/>
              </w:rPr>
            </w:pPr>
            <w:r>
              <w:rPr>
                <w:rFonts w:ascii="Arial" w:cs="Arial" w:eastAsia="Arial" w:hAnsi="Arial"/>
                <w:sz w:val="14"/>
                <w:szCs w:val="14"/>
                <w:b w:val="1"/>
                <w:bCs w:val="1"/>
                <w:color w:val="FFFFFF"/>
              </w:rPr>
              <w:t>(number of shares)</w:t>
            </w:r>
          </w:p>
        </w:tc>
        <w:tc>
          <w:tcPr>
            <w:tcW w:w="780" w:type="dxa"/>
            <w:vAlign w:val="bottom"/>
            <w:tcBorders>
              <w:bottom w:val="single" w:sz="8" w:color="0071CE"/>
            </w:tcBorders>
            <w:shd w:val="clear" w:color="auto" w:fill="0071CE"/>
          </w:tcPr>
          <w:p>
            <w:pPr>
              <w:spacing w:after="0"/>
              <w:rPr>
                <w:sz w:val="18"/>
                <w:szCs w:val="18"/>
                <w:color w:val="auto"/>
              </w:rPr>
            </w:pPr>
          </w:p>
        </w:tc>
        <w:tc>
          <w:tcPr>
            <w:tcW w:w="1320" w:type="dxa"/>
            <w:vAlign w:val="bottom"/>
            <w:tcBorders>
              <w:bottom w:val="single" w:sz="8" w:color="0071CE"/>
            </w:tcBorders>
            <w:shd w:val="clear" w:color="auto" w:fill="0071CE"/>
          </w:tcPr>
          <w:p>
            <w:pPr>
              <w:jc w:val="right"/>
              <w:ind w:right="676"/>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0071CE"/>
            </w:tcBorders>
            <w:shd w:val="clear" w:color="auto" w:fill="0071CE"/>
          </w:tcPr>
          <w:p>
            <w:pPr>
              <w:spacing w:after="0"/>
              <w:rPr>
                <w:sz w:val="18"/>
                <w:szCs w:val="18"/>
                <w:color w:val="auto"/>
              </w:rPr>
            </w:pPr>
          </w:p>
        </w:tc>
      </w:tr>
      <w:tr>
        <w:trPr>
          <w:trHeight w:val="270"/>
        </w:trPr>
        <w:tc>
          <w:tcPr>
            <w:tcW w:w="606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Given</w:t>
            </w:r>
          </w:p>
        </w:tc>
        <w:tc>
          <w:tcPr>
            <w:tcW w:w="284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175,000</w:t>
            </w:r>
          </w:p>
        </w:tc>
        <w:tc>
          <w:tcPr>
            <w:tcW w:w="780" w:type="dxa"/>
            <w:vAlign w:val="bottom"/>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644,000</w:t>
            </w:r>
          </w:p>
        </w:tc>
        <w:tc>
          <w:tcPr>
            <w:tcW w:w="20" w:type="dxa"/>
            <w:vAlign w:val="bottom"/>
          </w:tcPr>
          <w:p>
            <w:pPr>
              <w:spacing w:after="0"/>
              <w:rPr>
                <w:sz w:val="23"/>
                <w:szCs w:val="23"/>
                <w:color w:val="auto"/>
              </w:rPr>
            </w:pPr>
          </w:p>
        </w:tc>
      </w:tr>
      <w:tr>
        <w:trPr>
          <w:trHeight w:val="265"/>
        </w:trPr>
        <w:tc>
          <w:tcPr>
            <w:tcW w:w="6060" w:type="dxa"/>
            <w:vAlign w:val="bottom"/>
          </w:tcPr>
          <w:p>
            <w:pPr>
              <w:ind w:left="60"/>
              <w:spacing w:after="0"/>
              <w:rPr>
                <w:sz w:val="20"/>
                <w:szCs w:val="20"/>
                <w:color w:val="auto"/>
              </w:rPr>
            </w:pPr>
            <w:r>
              <w:rPr>
                <w:rFonts w:ascii="Arial" w:cs="Arial" w:eastAsia="Arial" w:hAnsi="Arial"/>
                <w:sz w:val="18"/>
                <w:szCs w:val="18"/>
                <w:color w:val="auto"/>
              </w:rPr>
              <w:t>Mr. Myszkowski</w:t>
            </w:r>
          </w:p>
        </w:tc>
        <w:tc>
          <w:tcPr>
            <w:tcW w:w="2840" w:type="dxa"/>
            <w:vAlign w:val="bottom"/>
          </w:tcPr>
          <w:p>
            <w:pPr>
              <w:jc w:val="right"/>
              <w:ind w:right="398"/>
              <w:spacing w:after="0"/>
              <w:rPr>
                <w:sz w:val="20"/>
                <w:szCs w:val="20"/>
                <w:color w:val="auto"/>
              </w:rPr>
            </w:pPr>
            <w:r>
              <w:rPr>
                <w:rFonts w:ascii="Arial" w:cs="Arial" w:eastAsia="Arial" w:hAnsi="Arial"/>
                <w:sz w:val="18"/>
                <w:szCs w:val="18"/>
                <w:color w:val="auto"/>
              </w:rPr>
              <w:t>75,000</w:t>
            </w:r>
          </w:p>
        </w:tc>
        <w:tc>
          <w:tcPr>
            <w:tcW w:w="780" w:type="dxa"/>
            <w:vAlign w:val="bottom"/>
          </w:tcPr>
          <w:p>
            <w:pPr>
              <w:ind w:left="4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276,000</w:t>
            </w:r>
          </w:p>
        </w:tc>
        <w:tc>
          <w:tcPr>
            <w:tcW w:w="20" w:type="dxa"/>
            <w:vAlign w:val="bottom"/>
          </w:tcPr>
          <w:p>
            <w:pPr>
              <w:spacing w:after="0"/>
              <w:rPr>
                <w:sz w:val="23"/>
                <w:szCs w:val="23"/>
                <w:color w:val="auto"/>
              </w:rPr>
            </w:pPr>
          </w:p>
        </w:tc>
      </w:tr>
      <w:tr>
        <w:trPr>
          <w:trHeight w:val="275"/>
        </w:trPr>
        <w:tc>
          <w:tcPr>
            <w:tcW w:w="6060" w:type="dxa"/>
            <w:vAlign w:val="bottom"/>
            <w:shd w:val="clear" w:color="auto" w:fill="E5E5E5"/>
          </w:tcPr>
          <w:p>
            <w:pPr>
              <w:ind w:left="60"/>
              <w:spacing w:after="0"/>
              <w:rPr>
                <w:sz w:val="20"/>
                <w:szCs w:val="20"/>
                <w:color w:val="auto"/>
              </w:rPr>
            </w:pPr>
            <w:r>
              <w:rPr>
                <w:rFonts w:ascii="Arial" w:cs="Arial" w:eastAsia="Arial" w:hAnsi="Arial"/>
                <w:sz w:val="18"/>
                <w:szCs w:val="18"/>
                <w:color w:val="auto"/>
              </w:rPr>
              <w:t>Mr. O’Brien</w:t>
            </w:r>
          </w:p>
        </w:tc>
        <w:tc>
          <w:tcPr>
            <w:tcW w:w="284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60,000</w:t>
            </w:r>
          </w:p>
        </w:tc>
        <w:tc>
          <w:tcPr>
            <w:tcW w:w="780" w:type="dxa"/>
            <w:vAlign w:val="bottom"/>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220,800</w:t>
            </w:r>
          </w:p>
        </w:tc>
        <w:tc>
          <w:tcPr>
            <w:tcW w:w="20" w:type="dxa"/>
            <w:vAlign w:val="bottom"/>
          </w:tcPr>
          <w:p>
            <w:pPr>
              <w:spacing w:after="0"/>
              <w:rPr>
                <w:sz w:val="23"/>
                <w:szCs w:val="23"/>
                <w:color w:val="auto"/>
              </w:rPr>
            </w:pPr>
          </w:p>
        </w:tc>
      </w:tr>
      <w:tr>
        <w:trPr>
          <w:trHeight w:val="265"/>
        </w:trPr>
        <w:tc>
          <w:tcPr>
            <w:tcW w:w="6060" w:type="dxa"/>
            <w:vAlign w:val="bottom"/>
            <w:tcBorders>
              <w:bottom w:val="single" w:sz="8" w:color="0071CE"/>
            </w:tcBorders>
          </w:tcPr>
          <w:p>
            <w:pPr>
              <w:ind w:left="60"/>
              <w:spacing w:after="0"/>
              <w:rPr>
                <w:sz w:val="20"/>
                <w:szCs w:val="20"/>
                <w:color w:val="auto"/>
              </w:rPr>
            </w:pPr>
            <w:r>
              <w:rPr>
                <w:rFonts w:ascii="Arial" w:cs="Arial" w:eastAsia="Arial" w:hAnsi="Arial"/>
                <w:sz w:val="18"/>
                <w:szCs w:val="18"/>
                <w:color w:val="auto"/>
              </w:rPr>
              <w:t>Dr. Li</w:t>
            </w:r>
          </w:p>
        </w:tc>
        <w:tc>
          <w:tcPr>
            <w:tcW w:w="2840" w:type="dxa"/>
            <w:vAlign w:val="bottom"/>
            <w:tcBorders>
              <w:bottom w:val="single" w:sz="8" w:color="0071CE"/>
            </w:tcBorders>
          </w:tcPr>
          <w:p>
            <w:pPr>
              <w:jc w:val="right"/>
              <w:ind w:right="398"/>
              <w:spacing w:after="0"/>
              <w:rPr>
                <w:sz w:val="20"/>
                <w:szCs w:val="20"/>
                <w:color w:val="auto"/>
              </w:rPr>
            </w:pPr>
            <w:r>
              <w:rPr>
                <w:rFonts w:ascii="Arial" w:cs="Arial" w:eastAsia="Arial" w:hAnsi="Arial"/>
                <w:sz w:val="18"/>
                <w:szCs w:val="18"/>
                <w:color w:val="auto"/>
              </w:rPr>
              <w:t>65,000</w:t>
            </w:r>
          </w:p>
        </w:tc>
        <w:tc>
          <w:tcPr>
            <w:tcW w:w="780" w:type="dxa"/>
            <w:vAlign w:val="bottom"/>
            <w:tcBorders>
              <w:bottom w:val="single" w:sz="8" w:color="0071CE"/>
            </w:tcBorders>
          </w:tcPr>
          <w:p>
            <w:pPr>
              <w:ind w:left="4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239,200</w:t>
            </w:r>
          </w:p>
        </w:tc>
        <w:tc>
          <w:tcPr>
            <w:tcW w:w="20" w:type="dxa"/>
            <w:vAlign w:val="bottom"/>
          </w:tcPr>
          <w:p>
            <w:pPr>
              <w:spacing w:after="0"/>
              <w:rPr>
                <w:sz w:val="23"/>
                <w:szCs w:val="23"/>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awards vest over 4 years in 4 equal installments.</w:t>
      </w:r>
    </w:p>
    <w:p>
      <w:pPr>
        <w:spacing w:after="0" w:line="221" w:lineRule="exact"/>
        <w:rPr>
          <w:sz w:val="20"/>
          <w:szCs w:val="20"/>
          <w:color w:val="auto"/>
        </w:rPr>
      </w:pPr>
    </w:p>
    <w:p>
      <w:pPr>
        <w:ind w:left="220" w:right="60"/>
        <w:spacing w:after="0" w:line="291" w:lineRule="auto"/>
        <w:rPr>
          <w:sz w:val="20"/>
          <w:szCs w:val="20"/>
          <w:color w:val="auto"/>
        </w:rPr>
      </w:pPr>
      <w:r>
        <w:rPr>
          <w:rFonts w:ascii="Arial" w:cs="Arial" w:eastAsia="Arial" w:hAnsi="Arial"/>
          <w:sz w:val="16"/>
          <w:szCs w:val="16"/>
          <w:color w:val="auto"/>
        </w:rPr>
        <w:t>The equity awards granted to our Named Executive Officers in fiscal 2018 are set forth in the “Fiscal 2018 Summary Compensation Table” and the “Fiscal 2018 Grants of Plan-Based Awards Table” below.</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Welfare and Health Benefits</w:t>
      </w:r>
    </w:p>
    <w:p>
      <w:pPr>
        <w:spacing w:after="0" w:line="106" w:lineRule="exact"/>
        <w:rPr>
          <w:sz w:val="20"/>
          <w:szCs w:val="20"/>
          <w:color w:val="auto"/>
        </w:rPr>
      </w:pPr>
    </w:p>
    <w:p>
      <w:pPr>
        <w:ind w:left="220" w:right="160"/>
        <w:spacing w:after="0" w:line="255" w:lineRule="auto"/>
        <w:rPr>
          <w:sz w:val="20"/>
          <w:szCs w:val="20"/>
          <w:color w:val="auto"/>
        </w:rPr>
      </w:pPr>
      <w:r>
        <w:rPr>
          <w:rFonts w:ascii="Arial" w:cs="Arial" w:eastAsia="Arial" w:hAnsi="Arial"/>
          <w:sz w:val="16"/>
          <w:szCs w:val="16"/>
          <w:color w:val="auto"/>
        </w:rPr>
        <w:t>Our executive officers, including our Named Executive Officers, are eligible to participate in all of our employee benefit plans, including medical, dental, vision, life, and disability insurance, in each case on the same basis as our other employees, subject to applicable law. In addition, we provide additional life insurance for our CEO for the benefit of his heirs. We also provide vacation and other paid holidays to all our employees, including our executive officers, all of which we believe to be comparable to those provided at peer companies.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80645</wp:posOffset>
            </wp:positionV>
            <wp:extent cx="98488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6"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27</w:t>
      </w:r>
    </w:p>
    <w:p>
      <w:pPr>
        <w:sectPr>
          <w:pgSz w:w="11900" w:h="16838" w:orient="portrait"/>
          <w:cols w:equalWidth="0" w:num="1">
            <w:col w:w="11240"/>
          </w:cols>
          <w:pgMar w:left="240" w:top="455" w:right="4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20"/>
        <w:spacing w:after="0" w:line="257"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Named Executive Officers,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Named Executive Officers is reflected in the “All Other Compensation” column of the “Summary Compensation Table” below.</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06" w:lineRule="exact"/>
        <w:rPr>
          <w:sz w:val="20"/>
          <w:szCs w:val="20"/>
          <w:color w:val="auto"/>
        </w:rPr>
      </w:pPr>
    </w:p>
    <w:p>
      <w:pPr>
        <w:jc w:val="both"/>
        <w:ind w:left="220" w:right="120"/>
        <w:spacing w:after="0" w:line="261"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71" w:lineRule="exact"/>
        <w:rPr>
          <w:sz w:val="20"/>
          <w:szCs w:val="20"/>
          <w:color w:val="auto"/>
        </w:rPr>
      </w:pPr>
    </w:p>
    <w:p>
      <w:pPr>
        <w:ind w:left="220" w:right="260"/>
        <w:spacing w:after="0" w:line="291"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06"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73" w:lineRule="exact"/>
        <w:rPr>
          <w:sz w:val="20"/>
          <w:szCs w:val="20"/>
          <w:color w:val="auto"/>
        </w:rPr>
      </w:pPr>
    </w:p>
    <w:p>
      <w:pPr>
        <w:ind w:left="220" w:right="440"/>
        <w:spacing w:after="0" w:line="291" w:lineRule="auto"/>
        <w:rPr>
          <w:sz w:val="20"/>
          <w:szCs w:val="20"/>
          <w:color w:val="auto"/>
        </w:rPr>
      </w:pPr>
      <w:r>
        <w:rPr>
          <w:rFonts w:ascii="Arial" w:cs="Arial" w:eastAsia="Arial" w:hAnsi="Arial"/>
          <w:sz w:val="16"/>
          <w:szCs w:val="16"/>
          <w:color w:val="auto"/>
        </w:rPr>
        <w:t>For detailed descriptions of the employment arrangements we maintained with our Named Executive Officers for 2018, see “Termination Benefits — Potential Payments Upon Termination or Change in Control” below.</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08" w:lineRule="exact"/>
        <w:rPr>
          <w:sz w:val="20"/>
          <w:szCs w:val="20"/>
          <w:color w:val="auto"/>
        </w:rPr>
      </w:pPr>
    </w:p>
    <w:p>
      <w:pPr>
        <w:ind w:left="220" w:right="20"/>
        <w:spacing w:after="0" w:line="255" w:lineRule="auto"/>
        <w:rPr>
          <w:sz w:val="20"/>
          <w:szCs w:val="20"/>
          <w:color w:val="auto"/>
        </w:rPr>
      </w:pPr>
      <w:r>
        <w:rPr>
          <w:rFonts w:ascii="Arial" w:cs="Arial" w:eastAsia="Arial" w:hAnsi="Arial"/>
          <w:sz w:val="16"/>
          <w:szCs w:val="16"/>
          <w:color w:val="auto"/>
        </w:rPr>
        <w:t>We have entered into an employment agreement with our CEO, and we also have agreements with our CFO and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to executive officers who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76" w:lineRule="exact"/>
        <w:rPr>
          <w:sz w:val="20"/>
          <w:szCs w:val="20"/>
          <w:color w:val="auto"/>
        </w:rPr>
      </w:pPr>
    </w:p>
    <w:p>
      <w:pPr>
        <w:ind w:left="220" w:right="80"/>
        <w:spacing w:after="0" w:line="291"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47" w:lineRule="exact"/>
        <w:rPr>
          <w:sz w:val="20"/>
          <w:szCs w:val="20"/>
          <w:color w:val="auto"/>
        </w:rPr>
      </w:pPr>
    </w:p>
    <w:p>
      <w:pPr>
        <w:jc w:val="both"/>
        <w:ind w:left="220"/>
        <w:spacing w:after="0" w:line="261" w:lineRule="auto"/>
        <w:rPr>
          <w:sz w:val="20"/>
          <w:szCs w:val="20"/>
          <w:color w:val="auto"/>
        </w:rPr>
      </w:pPr>
      <w:r>
        <w:rPr>
          <w:rFonts w:ascii="Arial" w:cs="Arial" w:eastAsia="Arial" w:hAnsi="Arial"/>
          <w:sz w:val="16"/>
          <w:szCs w:val="16"/>
          <w:color w:val="auto"/>
        </w:rPr>
        <w:t>In addition, our 2013 Incentive Plan provides for the acceleration of vesting of outstanding and unvested equity awards in the event of a change in control of the Company, as defined in the plan, except as otherwise determined by our Board. The Company has amended the agreements for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171" w:lineRule="exact"/>
        <w:rPr>
          <w:sz w:val="20"/>
          <w:szCs w:val="20"/>
          <w:color w:val="auto"/>
        </w:rPr>
      </w:pPr>
    </w:p>
    <w:p>
      <w:pPr>
        <w:jc w:val="both"/>
        <w:ind w:left="220" w:right="140"/>
        <w:spacing w:after="0" w:line="268" w:lineRule="auto"/>
        <w:rPr>
          <w:sz w:val="20"/>
          <w:szCs w:val="20"/>
          <w:color w:val="auto"/>
        </w:rPr>
      </w:pPr>
      <w:r>
        <w:rPr>
          <w:rFonts w:ascii="Arial" w:cs="Arial" w:eastAsia="Arial" w:hAnsi="Arial"/>
          <w:sz w:val="16"/>
          <w:szCs w:val="16"/>
          <w:color w:val="auto"/>
        </w:rPr>
        <w:t>For detailed descriptions of the post-employment compensation arrangements we maintained with our Named Executive Officers for 2018, as well as an estimate of the potential payments and benefits payable under these arrangements, see “Termination Benefits — Potential Payments Upon Termination or Change in Control” below.</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Awards Grant Policy</w:t>
      </w:r>
    </w:p>
    <w:p>
      <w:pPr>
        <w:spacing w:after="0" w:line="106" w:lineRule="exact"/>
        <w:rPr>
          <w:sz w:val="20"/>
          <w:szCs w:val="20"/>
          <w:color w:val="auto"/>
        </w:rPr>
      </w:pPr>
    </w:p>
    <w:p>
      <w:pPr>
        <w:ind w:left="220" w:right="100"/>
        <w:spacing w:after="0" w:line="268"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on the commencement of their employment. We do not have any program, plan, or practice to grant options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74295</wp:posOffset>
            </wp:positionV>
            <wp:extent cx="984885" cy="205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28</w:t>
      </w:r>
    </w:p>
    <w:p>
      <w:pPr>
        <w:sectPr>
          <w:pgSz w:w="11900" w:h="16838" w:orient="portrait"/>
          <w:cols w:equalWidth="0" w:num="1">
            <w:col w:w="11220"/>
          </w:cols>
          <w:pgMar w:left="24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400"/>
        <w:spacing w:after="0" w:line="291" w:lineRule="auto"/>
        <w:rPr>
          <w:sz w:val="20"/>
          <w:szCs w:val="20"/>
          <w:color w:val="auto"/>
        </w:rPr>
      </w:pPr>
      <w:r>
        <w:rPr>
          <w:rFonts w:ascii="Arial" w:cs="Arial" w:eastAsia="Arial" w:hAnsi="Arial"/>
          <w:sz w:val="16"/>
          <w:szCs w:val="16"/>
          <w:color w:val="auto"/>
        </w:rPr>
        <w:t>purchase shares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47" w:lineRule="exact"/>
        <w:rPr>
          <w:sz w:val="20"/>
          <w:szCs w:val="20"/>
          <w:color w:val="auto"/>
        </w:rPr>
      </w:pPr>
    </w:p>
    <w:p>
      <w:pPr>
        <w:ind w:left="220" w:right="60"/>
        <w:spacing w:after="0" w:line="261"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71" w:lineRule="exact"/>
        <w:rPr>
          <w:sz w:val="20"/>
          <w:szCs w:val="20"/>
          <w:color w:val="auto"/>
        </w:rPr>
      </w:pPr>
    </w:p>
    <w:p>
      <w:pPr>
        <w:ind w:left="220" w:right="100"/>
        <w:spacing w:after="0" w:line="268" w:lineRule="auto"/>
        <w:rPr>
          <w:sz w:val="20"/>
          <w:szCs w:val="20"/>
          <w:color w:val="auto"/>
        </w:rPr>
      </w:pPr>
      <w:r>
        <w:rPr>
          <w:rFonts w:ascii="Arial" w:cs="Arial" w:eastAsia="Arial" w:hAnsi="Arial"/>
          <w:sz w:val="16"/>
          <w:szCs w:val="16"/>
          <w:color w:val="auto"/>
        </w:rPr>
        <w:t>Under the terms of our 2013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Ownership Policy</w:t>
      </w:r>
    </w:p>
    <w:p>
      <w:pPr>
        <w:spacing w:after="0" w:line="106" w:lineRule="exact"/>
        <w:rPr>
          <w:sz w:val="20"/>
          <w:szCs w:val="20"/>
          <w:color w:val="auto"/>
        </w:rPr>
      </w:pPr>
    </w:p>
    <w:p>
      <w:pPr>
        <w:ind w:left="220" w:right="40"/>
        <w:spacing w:after="0" w:line="261" w:lineRule="auto"/>
        <w:rPr>
          <w:sz w:val="20"/>
          <w:szCs w:val="20"/>
          <w:color w:val="auto"/>
        </w:rPr>
      </w:pPr>
      <w:r>
        <w:rPr>
          <w:rFonts w:ascii="Arial" w:cs="Arial" w:eastAsia="Arial" w:hAnsi="Arial"/>
          <w:sz w:val="16"/>
          <w:szCs w:val="16"/>
          <w:color w:val="auto"/>
        </w:rPr>
        <w:t>We maintain a stock ownership policy for our CEO, COO,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COO and CFO to own a minimum number of shares of our common stock equal to a value of twice their annualized base salary. Each of these executive officers has achieved the required ownership.</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December 2017, our Board adopted a compensation recovery (“clawback”) policy as follows:</w:t>
      </w:r>
    </w:p>
    <w:p>
      <w:pPr>
        <w:spacing w:after="0" w:line="113" w:lineRule="exact"/>
        <w:rPr>
          <w:sz w:val="20"/>
          <w:szCs w:val="20"/>
          <w:color w:val="auto"/>
        </w:rPr>
      </w:pPr>
    </w:p>
    <w:p>
      <w:pPr>
        <w:ind w:left="540" w:right="100"/>
        <w:spacing w:after="0" w:line="252" w:lineRule="auto"/>
        <w:rPr>
          <w:sz w:val="20"/>
          <w:szCs w:val="20"/>
          <w:color w:val="auto"/>
        </w:rPr>
      </w:pPr>
      <w:r>
        <w:rPr>
          <w:rFonts w:ascii="Arial" w:cs="Arial" w:eastAsia="Arial" w:hAnsi="Arial"/>
          <w:sz w:val="16"/>
          <w:szCs w:val="16"/>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 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181" w:lineRule="exact"/>
        <w:rPr>
          <w:sz w:val="20"/>
          <w:szCs w:val="20"/>
          <w:color w:val="auto"/>
        </w:rPr>
      </w:pPr>
    </w:p>
    <w:p>
      <w:pPr>
        <w:ind w:left="220" w:right="180"/>
        <w:spacing w:after="0" w:line="291" w:lineRule="auto"/>
        <w:rPr>
          <w:sz w:val="20"/>
          <w:szCs w:val="20"/>
          <w:color w:val="auto"/>
        </w:rPr>
      </w:pPr>
      <w:r>
        <w:rPr>
          <w:rFonts w:ascii="Arial" w:cs="Arial" w:eastAsia="Arial" w:hAnsi="Arial"/>
          <w:sz w:val="16"/>
          <w:szCs w:val="16"/>
          <w:color w:val="auto"/>
        </w:rPr>
        <w:t>In addition, our 2013 Incentive Plan provides for the recovery of awards made under the plan in accordance with any applicable compensation recovery or recoupment policy, including as required by law, regulation, or national securities exchange rule.</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Policy Prohibiting Hedging and Pledging</w:t>
      </w:r>
    </w:p>
    <w:p>
      <w:pPr>
        <w:spacing w:after="0" w:line="106" w:lineRule="exact"/>
        <w:rPr>
          <w:sz w:val="20"/>
          <w:szCs w:val="20"/>
          <w:color w:val="auto"/>
        </w:rPr>
      </w:pPr>
    </w:p>
    <w:p>
      <w:pPr>
        <w:ind w:left="220" w:right="40"/>
        <w:spacing w:after="0" w:line="268" w:lineRule="auto"/>
        <w:rPr>
          <w:sz w:val="20"/>
          <w:szCs w:val="20"/>
          <w:color w:val="auto"/>
        </w:rPr>
      </w:pPr>
      <w:r>
        <w:rPr>
          <w:rFonts w:ascii="Arial" w:cs="Arial" w:eastAsia="Arial" w:hAnsi="Arial"/>
          <w:sz w:val="16"/>
          <w:szCs w:val="16"/>
          <w:color w:val="auto"/>
        </w:rPr>
        <w:t>Our Insider Trading Policy prohibits our employees, including our executive officers, and the non-employee members of our Board from short-term trading, options trading, trading on margin, pledging our common stock as collateral, and all hedging transactions with respect to our securities, except for pledging up to 50% owned and vested stock as collateral for a loan subject to the approval of the Board.</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04"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auto"/>
        </w:rPr>
        <w:t>Prior to the US Tax Cuts and Jobs Act enacted in December of 2017 (the “</w:t>
      </w:r>
      <w:r>
        <w:rPr>
          <w:rFonts w:ascii="Arial" w:cs="Arial" w:eastAsia="Arial" w:hAnsi="Arial"/>
          <w:sz w:val="16"/>
          <w:szCs w:val="16"/>
          <w:b w:val="1"/>
          <w:bCs w:val="1"/>
          <w:color w:val="auto"/>
        </w:rPr>
        <w:t>US Tax Act</w:t>
      </w:r>
      <w:r>
        <w:rPr>
          <w:rFonts w:ascii="Arial" w:cs="Arial" w:eastAsia="Arial" w:hAnsi="Arial"/>
          <w:sz w:val="16"/>
          <w:szCs w:val="16"/>
          <w:color w:val="auto"/>
        </w:rPr>
        <w:t>”), compensation that satisfied conditions set forth under Section 162(m) of the Internal Revenue Code to qualify as “performance-based compensation” was not subject to a $1 million limit on deductibility, and the limit did not apply to compensation paid to the Chief Financial Officer. The US Tax Act eliminates the performance-based compensation exception and applies the limit to the Chief Financial Officer and certain former executive officers. However, it provides a transition rule with respect to remuneration provided under a written contract which was in effect on November 2, 2017 and which was not materially modified after that date. With eliminating the exemption for performance-based compensation, we expect that we will be unable to deduct all compensation in excess of $1 million paid to our Chief Executive Officer, Chief Financial Officer and our other Named Executive Officers covered by the new tax law, other than previously granted awards that comply with the transition rules. We monitor the application of Section 162(m) and the associated Treasury regulations on an ongoing basis and the advisability of qualifying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82550</wp:posOffset>
            </wp:positionV>
            <wp:extent cx="984885" cy="205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9"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29</w:t>
      </w:r>
    </w:p>
    <w:p>
      <w:pPr>
        <w:sectPr>
          <w:pgSz w:w="11900" w:h="16838" w:orient="portrait"/>
          <w:cols w:equalWidth="0" w:num="1">
            <w:col w:w="11220"/>
          </w:cols>
          <w:pgMar w:left="24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220"/>
        <w:spacing w:after="0" w:line="268" w:lineRule="auto"/>
        <w:rPr>
          <w:sz w:val="20"/>
          <w:szCs w:val="20"/>
          <w:color w:val="auto"/>
        </w:rPr>
      </w:pPr>
      <w:r>
        <w:rPr>
          <w:rFonts w:ascii="Arial" w:cs="Arial" w:eastAsia="Arial" w:hAnsi="Arial"/>
          <w:sz w:val="16"/>
          <w:szCs w:val="16"/>
          <w:color w:val="auto"/>
        </w:rPr>
        <w:t>executive compensation for deductibility. Notwithstanding the repeal of the exemption for “performance-based compensation,” the Compensation Committee intends to maintain its commitment to structuring the Company’s executive compensation programs in a manner designed to align pay with performance.</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06"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80010</wp:posOffset>
            </wp:positionV>
            <wp:extent cx="98488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30</w:t>
      </w:r>
    </w:p>
    <w:p>
      <w:pPr>
        <w:sectPr>
          <w:pgSz w:w="11900" w:h="16838" w:orient="portrait"/>
          <w:cols w:equalWidth="0" w:num="1">
            <w:col w:w="11160"/>
          </w:cols>
          <w:pgMar w:left="240" w:top="455"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Compensation Risk Assessment</w:t>
      </w:r>
    </w:p>
    <w:p>
      <w:pPr>
        <w:spacing w:after="0" w:line="358" w:lineRule="exact"/>
        <w:rPr>
          <w:sz w:val="20"/>
          <w:szCs w:val="20"/>
          <w:color w:val="auto"/>
        </w:rPr>
      </w:pPr>
    </w:p>
    <w:p>
      <w:pPr>
        <w:ind w:left="220" w:right="20"/>
        <w:spacing w:after="0" w:line="255"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Named Executive Officers.</w:t>
      </w:r>
    </w:p>
    <w:p>
      <w:pPr>
        <w:spacing w:after="0" w:line="176" w:lineRule="exact"/>
        <w:rPr>
          <w:sz w:val="20"/>
          <w:szCs w:val="20"/>
          <w:color w:val="auto"/>
        </w:rPr>
      </w:pPr>
    </w:p>
    <w:p>
      <w:pPr>
        <w:ind w:left="220" w:right="40"/>
        <w:spacing w:after="0" w:line="255"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08" w:lineRule="exact"/>
        <w:rPr>
          <w:sz w:val="20"/>
          <w:szCs w:val="20"/>
          <w:color w:val="auto"/>
        </w:rPr>
      </w:pPr>
    </w:p>
    <w:p>
      <w:pPr>
        <w:ind w:left="220" w:right="220"/>
        <w:spacing w:after="0" w:line="268"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Submitted by the Compensation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of the Board of Directors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Perry, Chairman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William Waddill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95885</wp:posOffset>
            </wp:positionV>
            <wp:extent cx="98488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0"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31</w:t>
      </w:r>
    </w:p>
    <w:p>
      <w:pPr>
        <w:sectPr>
          <w:pgSz w:w="11900" w:h="16838" w:orient="portrait"/>
          <w:cols w:equalWidth="0" w:num="1">
            <w:col w:w="11220"/>
          </w:cols>
          <w:pgMar w:left="24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108" w:lineRule="exact"/>
        <w:rPr>
          <w:sz w:val="20"/>
          <w:szCs w:val="20"/>
          <w:color w:val="auto"/>
        </w:rPr>
      </w:pPr>
    </w:p>
    <w:p>
      <w:pPr>
        <w:ind w:left="220" w:right="80"/>
        <w:spacing w:after="0" w:line="268" w:lineRule="auto"/>
        <w:rPr>
          <w:sz w:val="20"/>
          <w:szCs w:val="20"/>
          <w:color w:val="auto"/>
        </w:rPr>
      </w:pPr>
      <w:r>
        <w:rPr>
          <w:rFonts w:ascii="Arial" w:cs="Arial" w:eastAsia="Arial" w:hAnsi="Arial"/>
          <w:sz w:val="16"/>
          <w:szCs w:val="16"/>
          <w:color w:val="auto"/>
        </w:rPr>
        <w:t>During 2018, Dr. Perry, Dr. Ferrari, Mr. Waddill and Mr. Frykman served on the Compensation Committee. During fiscal year 2018 and through December 2018, there were no compensation committee interlocks between the Company and other entities involving the Company’s executive officers and directors.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20"/>
        <w:spacing w:after="0" w:line="268" w:lineRule="auto"/>
        <w:rPr>
          <w:sz w:val="20"/>
          <w:szCs w:val="20"/>
          <w:color w:val="auto"/>
        </w:rPr>
      </w:pPr>
      <w:r>
        <w:rPr>
          <w:rFonts w:ascii="Arial" w:cs="Arial" w:eastAsia="Arial" w:hAnsi="Arial"/>
          <w:sz w:val="16"/>
          <w:szCs w:val="16"/>
          <w:color w:val="auto"/>
        </w:rPr>
        <w:t>The following table summarizes compensation earned for services rendered during fiscal 2018, 2017, and 2016 by our Chief Executive Officer, our Chief Financial Officer, our Chief Operating Officer, our General Counsel and our Senior Vice President of Chemistry and Non-Clinical Development, collectively our “Named Executive Officers”:</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140" w:type="dxa"/>
            <w:vAlign w:val="bottom"/>
            <w:shd w:val="clear" w:color="auto" w:fill="0071CE"/>
          </w:tcPr>
          <w:p>
            <w:pPr>
              <w:spacing w:after="0"/>
              <w:rPr>
                <w:sz w:val="15"/>
                <w:szCs w:val="15"/>
                <w:color w:val="auto"/>
              </w:rPr>
            </w:pPr>
          </w:p>
        </w:tc>
        <w:tc>
          <w:tcPr>
            <w:tcW w:w="140" w:type="dxa"/>
            <w:vAlign w:val="bottom"/>
            <w:shd w:val="clear" w:color="auto" w:fill="0071CE"/>
          </w:tcPr>
          <w:p>
            <w:pPr>
              <w:spacing w:after="0"/>
              <w:rPr>
                <w:sz w:val="15"/>
                <w:szCs w:val="15"/>
                <w:color w:val="auto"/>
              </w:rPr>
            </w:pPr>
          </w:p>
        </w:tc>
        <w:tc>
          <w:tcPr>
            <w:tcW w:w="540" w:type="dxa"/>
            <w:vAlign w:val="bottom"/>
            <w:shd w:val="clear" w:color="auto" w:fill="0071CE"/>
          </w:tcPr>
          <w:p>
            <w:pPr>
              <w:spacing w:after="0"/>
              <w:rPr>
                <w:sz w:val="15"/>
                <w:szCs w:val="15"/>
                <w:color w:val="auto"/>
              </w:rPr>
            </w:pPr>
          </w:p>
        </w:tc>
        <w:tc>
          <w:tcPr>
            <w:tcW w:w="800" w:type="dxa"/>
            <w:vAlign w:val="bottom"/>
            <w:shd w:val="clear" w:color="auto" w:fill="0071CE"/>
          </w:tcPr>
          <w:p>
            <w:pPr>
              <w:spacing w:after="0"/>
              <w:rPr>
                <w:sz w:val="15"/>
                <w:szCs w:val="15"/>
                <w:color w:val="auto"/>
              </w:rPr>
            </w:pPr>
          </w:p>
        </w:tc>
        <w:tc>
          <w:tcPr>
            <w:tcW w:w="70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1800" w:type="dxa"/>
            <w:vAlign w:val="bottom"/>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rPr>
              <w:t>Non-Equity</w:t>
            </w:r>
          </w:p>
        </w:tc>
        <w:tc>
          <w:tcPr>
            <w:tcW w:w="1800" w:type="dxa"/>
            <w:vAlign w:val="bottom"/>
            <w:shd w:val="clear" w:color="auto" w:fill="0071CE"/>
          </w:tcPr>
          <w:p>
            <w:pPr>
              <w:spacing w:after="0"/>
              <w:rPr>
                <w:sz w:val="15"/>
                <w:szCs w:val="15"/>
                <w:color w:val="auto"/>
              </w:rPr>
            </w:pPr>
          </w:p>
        </w:tc>
        <w:tc>
          <w:tcPr>
            <w:tcW w:w="108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40" w:type="dxa"/>
            <w:vAlign w:val="bottom"/>
            <w:shd w:val="clear" w:color="auto" w:fill="0071CE"/>
          </w:tcPr>
          <w:p>
            <w:pPr>
              <w:spacing w:after="0"/>
              <w:rPr>
                <w:sz w:val="14"/>
                <w:szCs w:val="14"/>
                <w:color w:val="auto"/>
              </w:rPr>
            </w:pPr>
          </w:p>
        </w:tc>
        <w:tc>
          <w:tcPr>
            <w:tcW w:w="140" w:type="dxa"/>
            <w:vAlign w:val="bottom"/>
            <w:shd w:val="clear" w:color="auto" w:fill="0071CE"/>
          </w:tcPr>
          <w:p>
            <w:pPr>
              <w:spacing w:after="0"/>
              <w:rPr>
                <w:sz w:val="14"/>
                <w:szCs w:val="14"/>
                <w:color w:val="auto"/>
              </w:rPr>
            </w:pPr>
          </w:p>
        </w:tc>
        <w:tc>
          <w:tcPr>
            <w:tcW w:w="540" w:type="dxa"/>
            <w:vAlign w:val="bottom"/>
            <w:shd w:val="clear" w:color="auto" w:fill="0071CE"/>
          </w:tcPr>
          <w:p>
            <w:pPr>
              <w:spacing w:after="0"/>
              <w:rPr>
                <w:sz w:val="14"/>
                <w:szCs w:val="14"/>
                <w:color w:val="auto"/>
              </w:rPr>
            </w:pPr>
          </w:p>
        </w:tc>
        <w:tc>
          <w:tcPr>
            <w:tcW w:w="800" w:type="dxa"/>
            <w:vAlign w:val="bottom"/>
            <w:shd w:val="clear" w:color="auto" w:fill="0071CE"/>
          </w:tcPr>
          <w:p>
            <w:pPr>
              <w:spacing w:after="0"/>
              <w:rPr>
                <w:sz w:val="14"/>
                <w:szCs w:val="14"/>
                <w:color w:val="auto"/>
              </w:rPr>
            </w:pPr>
          </w:p>
        </w:tc>
        <w:tc>
          <w:tcPr>
            <w:tcW w:w="700" w:type="dxa"/>
            <w:vAlign w:val="bottom"/>
            <w:shd w:val="clear" w:color="auto" w:fill="0071CE"/>
          </w:tcPr>
          <w:p>
            <w:pPr>
              <w:spacing w:after="0"/>
              <w:rPr>
                <w:sz w:val="14"/>
                <w:szCs w:val="14"/>
                <w:color w:val="auto"/>
              </w:rPr>
            </w:pPr>
          </w:p>
        </w:tc>
        <w:tc>
          <w:tcPr>
            <w:tcW w:w="10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0" w:type="dxa"/>
            <w:vAlign w:val="bottom"/>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Option</w:t>
            </w:r>
          </w:p>
        </w:tc>
        <w:tc>
          <w:tcPr>
            <w:tcW w:w="1800" w:type="dxa"/>
            <w:vAlign w:val="bottom"/>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rPr>
              <w:t>Incentive Plan</w:t>
            </w:r>
          </w:p>
        </w:tc>
        <w:tc>
          <w:tcPr>
            <w:tcW w:w="180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 and</w:t>
            </w:r>
          </w:p>
        </w:tc>
        <w:tc>
          <w:tcPr>
            <w:tcW w:w="140" w:type="dxa"/>
            <w:vAlign w:val="bottom"/>
            <w:shd w:val="clear" w:color="auto" w:fill="0071CE"/>
          </w:tcPr>
          <w:p>
            <w:pPr>
              <w:spacing w:after="0"/>
              <w:rPr>
                <w:sz w:val="14"/>
                <w:szCs w:val="14"/>
                <w:color w:val="auto"/>
              </w:rPr>
            </w:pPr>
          </w:p>
        </w:tc>
        <w:tc>
          <w:tcPr>
            <w:tcW w:w="540" w:type="dxa"/>
            <w:vAlign w:val="bottom"/>
            <w:shd w:val="clear" w:color="auto" w:fill="0071CE"/>
          </w:tcPr>
          <w:p>
            <w:pPr>
              <w:spacing w:after="0"/>
              <w:rPr>
                <w:sz w:val="14"/>
                <w:szCs w:val="14"/>
                <w:color w:val="auto"/>
              </w:rPr>
            </w:pPr>
          </w:p>
        </w:tc>
        <w:tc>
          <w:tcPr>
            <w:tcW w:w="800" w:type="dxa"/>
            <w:vAlign w:val="bottom"/>
            <w:shd w:val="clear" w:color="auto" w:fill="0071CE"/>
          </w:tcPr>
          <w:p>
            <w:pPr>
              <w:jc w:val="right"/>
              <w:ind w:right="140"/>
              <w:spacing w:after="0"/>
              <w:rPr>
                <w:sz w:val="20"/>
                <w:szCs w:val="20"/>
                <w:color w:val="auto"/>
              </w:rPr>
            </w:pPr>
            <w:r>
              <w:rPr>
                <w:rFonts w:ascii="Arial" w:cs="Arial" w:eastAsia="Arial" w:hAnsi="Arial"/>
                <w:sz w:val="14"/>
                <w:szCs w:val="14"/>
                <w:b w:val="1"/>
                <w:bCs w:val="1"/>
                <w:color w:val="FFFFFF"/>
              </w:rPr>
              <w:t>Salary</w:t>
            </w:r>
          </w:p>
        </w:tc>
        <w:tc>
          <w:tcPr>
            <w:tcW w:w="70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Bonus</w:t>
            </w:r>
          </w:p>
        </w:tc>
        <w:tc>
          <w:tcPr>
            <w:tcW w:w="10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(1)</w:t>
            </w:r>
          </w:p>
        </w:tc>
        <w:tc>
          <w:tcPr>
            <w:tcW w:w="1000" w:type="dxa"/>
            <w:vAlign w:val="bottom"/>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rPr>
              <w:t>Awards (1)</w:t>
            </w:r>
          </w:p>
        </w:tc>
        <w:tc>
          <w:tcPr>
            <w:tcW w:w="1800" w:type="dxa"/>
            <w:vAlign w:val="bottom"/>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rPr>
              <w:t>Compensation (2)</w:t>
            </w:r>
          </w:p>
        </w:tc>
        <w:tc>
          <w:tcPr>
            <w:tcW w:w="180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Compensation (3)</w:t>
            </w:r>
          </w:p>
        </w:tc>
        <w:tc>
          <w:tcPr>
            <w:tcW w:w="108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Principal Position</w:t>
            </w:r>
          </w:p>
        </w:tc>
        <w:tc>
          <w:tcPr>
            <w:tcW w:w="140" w:type="dxa"/>
            <w:vAlign w:val="bottom"/>
            <w:tcBorders>
              <w:bottom w:val="single" w:sz="8" w:color="0071CE"/>
            </w:tcBorders>
            <w:shd w:val="clear" w:color="auto" w:fill="0071CE"/>
          </w:tcPr>
          <w:p>
            <w:pPr>
              <w:spacing w:after="0"/>
              <w:rPr>
                <w:sz w:val="17"/>
                <w:szCs w:val="17"/>
                <w:color w:val="auto"/>
              </w:rPr>
            </w:pPr>
          </w:p>
        </w:tc>
        <w:tc>
          <w:tcPr>
            <w:tcW w:w="540" w:type="dxa"/>
            <w:vAlign w:val="bottom"/>
            <w:tcBorders>
              <w:bottom w:val="single" w:sz="8" w:color="0071CE"/>
            </w:tcBorders>
            <w:shd w:val="clear" w:color="auto" w:fill="0071CE"/>
          </w:tcPr>
          <w:p>
            <w:pPr>
              <w:ind w:left="40"/>
              <w:spacing w:after="0"/>
              <w:rPr>
                <w:sz w:val="20"/>
                <w:szCs w:val="20"/>
                <w:color w:val="auto"/>
              </w:rPr>
            </w:pPr>
            <w:r>
              <w:rPr>
                <w:rFonts w:ascii="Arial" w:cs="Arial" w:eastAsia="Arial" w:hAnsi="Arial"/>
                <w:sz w:val="14"/>
                <w:szCs w:val="14"/>
                <w:b w:val="1"/>
                <w:bCs w:val="1"/>
                <w:color w:val="FFFFFF"/>
              </w:rPr>
              <w:t>Year</w:t>
            </w:r>
          </w:p>
        </w:tc>
        <w:tc>
          <w:tcPr>
            <w:tcW w:w="800" w:type="dxa"/>
            <w:vAlign w:val="bottom"/>
            <w:tcBorders>
              <w:bottom w:val="single" w:sz="8" w:color="0071CE"/>
            </w:tcBorders>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1CE"/>
            </w:tcBorders>
            <w:shd w:val="clear" w:color="auto" w:fill="0071CE"/>
          </w:tcPr>
          <w:p>
            <w:pPr>
              <w:ind w:left="240"/>
              <w:spacing w:after="0"/>
              <w:rPr>
                <w:sz w:val="20"/>
                <w:szCs w:val="20"/>
                <w:color w:val="auto"/>
              </w:rPr>
            </w:pPr>
            <w:r>
              <w:rPr>
                <w:rFonts w:ascii="Arial" w:cs="Arial" w:eastAsia="Arial" w:hAnsi="Arial"/>
                <w:sz w:val="14"/>
                <w:szCs w:val="14"/>
                <w:b w:val="1"/>
                <w:bCs w:val="1"/>
                <w:color w:val="FFFFFF"/>
              </w:rPr>
              <w:t>(S)</w:t>
            </w:r>
          </w:p>
        </w:tc>
        <w:tc>
          <w:tcPr>
            <w:tcW w:w="100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1CE"/>
            </w:tcBorders>
            <w:shd w:val="clear" w:color="auto" w:fill="0071CE"/>
          </w:tcPr>
          <w:p>
            <w:pPr>
              <w:jc w:val="center"/>
              <w:ind w:right="61"/>
              <w:spacing w:after="0"/>
              <w:rPr>
                <w:sz w:val="20"/>
                <w:szCs w:val="20"/>
                <w:color w:val="auto"/>
              </w:rPr>
            </w:pPr>
            <w:r>
              <w:rPr>
                <w:rFonts w:ascii="Arial" w:cs="Arial" w:eastAsia="Arial" w:hAnsi="Arial"/>
                <w:sz w:val="14"/>
                <w:szCs w:val="14"/>
                <w:b w:val="1"/>
                <w:bCs w:val="1"/>
                <w:color w:val="FFFFFF"/>
              </w:rPr>
              <w:t>($)</w:t>
            </w:r>
          </w:p>
        </w:tc>
        <w:tc>
          <w:tcPr>
            <w:tcW w:w="1800" w:type="dxa"/>
            <w:vAlign w:val="bottom"/>
            <w:tcBorders>
              <w:bottom w:val="single" w:sz="8" w:color="0071CE"/>
            </w:tcBorders>
            <w:shd w:val="clear" w:color="auto" w:fill="0071CE"/>
          </w:tcPr>
          <w:p>
            <w:pPr>
              <w:jc w:val="center"/>
              <w:ind w:right="81"/>
              <w:spacing w:after="0"/>
              <w:rPr>
                <w:sz w:val="20"/>
                <w:szCs w:val="20"/>
                <w:color w:val="auto"/>
              </w:rPr>
            </w:pPr>
            <w:r>
              <w:rPr>
                <w:rFonts w:ascii="Arial" w:cs="Arial" w:eastAsia="Arial" w:hAnsi="Arial"/>
                <w:sz w:val="14"/>
                <w:szCs w:val="14"/>
                <w:b w:val="1"/>
                <w:bCs w:val="1"/>
                <w:color w:val="FFFFFF"/>
                <w:w w:val="99"/>
              </w:rPr>
              <w:t>($)**</w:t>
            </w:r>
          </w:p>
        </w:tc>
        <w:tc>
          <w:tcPr>
            <w:tcW w:w="1800" w:type="dxa"/>
            <w:vAlign w:val="bottom"/>
            <w:tcBorders>
              <w:bottom w:val="single" w:sz="8" w:color="0071CE"/>
            </w:tcBorders>
            <w:shd w:val="clear" w:color="auto" w:fill="0071CE"/>
          </w:tcPr>
          <w:p>
            <w:pPr>
              <w:jc w:val="center"/>
              <w:ind w:left="1"/>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bottom w:val="single" w:sz="8" w:color="0071CE"/>
            </w:tcBorders>
            <w:shd w:val="clear" w:color="auto" w:fill="0071CE"/>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71CE"/>
            </w:tcBorders>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680" w:type="dxa"/>
            <w:vAlign w:val="bottom"/>
            <w:gridSpan w:val="2"/>
            <w:shd w:val="clear" w:color="auto" w:fill="E5E5E5"/>
          </w:tcPr>
          <w:p>
            <w:pPr>
              <w:ind w:left="200"/>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643,012</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975,000</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1,889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1,619,901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President and Chief</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616,068</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537,900(5)</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715,357</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1,889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1,871,214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Executive Officer</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2016</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592,373</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368,797</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448,594</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1,889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1,411,653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14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6"/>
                <w:szCs w:val="16"/>
                <w:color w:val="auto"/>
              </w:rPr>
              <w:t>2018</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384,841</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276,000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180,000</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12,177</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853,018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60"/>
              <w:spacing w:after="0"/>
              <w:rPr>
                <w:sz w:val="20"/>
                <w:szCs w:val="20"/>
                <w:color w:val="auto"/>
              </w:rPr>
            </w:pPr>
            <w:r>
              <w:rPr>
                <w:rFonts w:ascii="Arial" w:cs="Arial" w:eastAsia="Arial" w:hAnsi="Arial"/>
                <w:sz w:val="16"/>
                <w:szCs w:val="16"/>
                <w:color w:val="auto"/>
              </w:rPr>
              <w:t>Chief Financial Officer</w:t>
            </w: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2017</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336,099</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224,750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152,713</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11,809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725,371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4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2016</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321,692</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307,500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184,383</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130,524</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12,431</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956,530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Bruce D. Given</w:t>
            </w:r>
          </w:p>
        </w:tc>
        <w:tc>
          <w:tcPr>
            <w:tcW w:w="680" w:type="dxa"/>
            <w:vAlign w:val="bottom"/>
            <w:gridSpan w:val="2"/>
            <w:shd w:val="clear" w:color="auto" w:fill="E5E5E5"/>
          </w:tcPr>
          <w:p>
            <w:pPr>
              <w:ind w:left="200"/>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450,362</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644,000</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445,900</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11,799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1,552,061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Chief Operating Officer</w:t>
            </w: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432,250</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589,000</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351,340</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11,599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1,384,189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2016</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415,625</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922,500</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276,575</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251,796</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11,399</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1,877,895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40" w:type="dxa"/>
            <w:vAlign w:val="bottom"/>
          </w:tcPr>
          <w:p>
            <w:pPr>
              <w:ind w:left="60"/>
              <w:spacing w:after="0"/>
              <w:rPr>
                <w:sz w:val="20"/>
                <w:szCs w:val="20"/>
                <w:color w:val="auto"/>
              </w:rPr>
            </w:pPr>
            <w:r>
              <w:rPr>
                <w:rFonts w:ascii="Arial" w:cs="Arial" w:eastAsia="Arial" w:hAnsi="Arial"/>
                <w:sz w:val="16"/>
                <w:szCs w:val="16"/>
                <w:b w:val="1"/>
                <w:bCs w:val="1"/>
                <w:color w:val="0071CE"/>
              </w:rPr>
              <w:t>Patrick O’Brien</w:t>
            </w:r>
          </w:p>
        </w:tc>
        <w:tc>
          <w:tcPr>
            <w:tcW w:w="140" w:type="dxa"/>
            <w:vAlign w:val="bottom"/>
          </w:tcPr>
          <w:p>
            <w:pPr>
              <w:spacing w:after="0"/>
              <w:rPr>
                <w:sz w:val="17"/>
                <w:szCs w:val="17"/>
                <w:color w:val="auto"/>
              </w:rPr>
            </w:pPr>
          </w:p>
        </w:tc>
        <w:tc>
          <w:tcPr>
            <w:tcW w:w="540" w:type="dxa"/>
            <w:vAlign w:val="bottom"/>
          </w:tcPr>
          <w:p>
            <w:pPr>
              <w:ind w:left="60"/>
              <w:spacing w:after="0"/>
              <w:rPr>
                <w:sz w:val="20"/>
                <w:szCs w:val="20"/>
                <w:color w:val="auto"/>
              </w:rPr>
            </w:pPr>
            <w:r>
              <w:rPr>
                <w:rFonts w:ascii="Arial" w:cs="Arial" w:eastAsia="Arial" w:hAnsi="Arial"/>
                <w:sz w:val="16"/>
                <w:szCs w:val="16"/>
                <w:color w:val="auto"/>
              </w:rPr>
              <w:t>2018</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406,196</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220,800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184,500</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11,799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823,295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60"/>
              <w:spacing w:after="0"/>
              <w:rPr>
                <w:sz w:val="20"/>
                <w:szCs w:val="20"/>
                <w:color w:val="auto"/>
              </w:rPr>
            </w:pPr>
            <w:r>
              <w:rPr>
                <w:rFonts w:ascii="Arial" w:cs="Arial" w:eastAsia="Arial" w:hAnsi="Arial"/>
                <w:sz w:val="16"/>
                <w:szCs w:val="16"/>
                <w:color w:val="auto"/>
              </w:rPr>
              <w:t>General Counsel</w:t>
            </w: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2017</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390,988</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224,750</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177,653</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11,599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804,990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4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6"/>
                <w:szCs w:val="16"/>
                <w:color w:val="auto"/>
              </w:rPr>
              <w:t>2016</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375,949</w:t>
            </w:r>
          </w:p>
        </w:tc>
        <w:tc>
          <w:tcPr>
            <w:tcW w:w="700" w:type="dxa"/>
            <w:vAlign w:val="bottom"/>
          </w:tcPr>
          <w:p>
            <w:pPr>
              <w:ind w:left="2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276,575</w:t>
            </w:r>
          </w:p>
        </w:tc>
        <w:tc>
          <w:tcPr>
            <w:tcW w:w="1800" w:type="dxa"/>
            <w:vAlign w:val="bottom"/>
          </w:tcPr>
          <w:p>
            <w:pPr>
              <w:jc w:val="right"/>
              <w:ind w:right="581"/>
              <w:spacing w:after="0"/>
              <w:rPr>
                <w:sz w:val="20"/>
                <w:szCs w:val="20"/>
                <w:color w:val="auto"/>
              </w:rPr>
            </w:pPr>
            <w:r>
              <w:rPr>
                <w:rFonts w:ascii="Arial" w:cs="Arial" w:eastAsia="Arial" w:hAnsi="Arial"/>
                <w:sz w:val="16"/>
                <w:szCs w:val="16"/>
                <w:color w:val="auto"/>
              </w:rPr>
              <w:t>170,820</w:t>
            </w:r>
          </w:p>
        </w:tc>
        <w:tc>
          <w:tcPr>
            <w:tcW w:w="1800" w:type="dxa"/>
            <w:vAlign w:val="bottom"/>
          </w:tcPr>
          <w:p>
            <w:pPr>
              <w:jc w:val="right"/>
              <w:ind w:right="501"/>
              <w:spacing w:after="0"/>
              <w:rPr>
                <w:sz w:val="20"/>
                <w:szCs w:val="20"/>
                <w:color w:val="auto"/>
              </w:rPr>
            </w:pPr>
            <w:r>
              <w:rPr>
                <w:rFonts w:ascii="Arial" w:cs="Arial" w:eastAsia="Arial" w:hAnsi="Arial"/>
                <w:sz w:val="16"/>
                <w:szCs w:val="16"/>
                <w:color w:val="auto"/>
              </w:rPr>
              <w:t>11,399</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834,743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Zhen Li</w:t>
            </w:r>
          </w:p>
        </w:tc>
        <w:tc>
          <w:tcPr>
            <w:tcW w:w="680" w:type="dxa"/>
            <w:vAlign w:val="bottom"/>
            <w:gridSpan w:val="2"/>
            <w:shd w:val="clear" w:color="auto" w:fill="E5E5E5"/>
          </w:tcPr>
          <w:p>
            <w:pPr>
              <w:ind w:left="200"/>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287,462</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239,200</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150,000</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9,462</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686,124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Senior Vice President,</w:t>
            </w:r>
          </w:p>
        </w:tc>
        <w:tc>
          <w:tcPr>
            <w:tcW w:w="140" w:type="dxa"/>
            <w:vAlign w:val="bottom"/>
            <w:shd w:val="clear" w:color="auto" w:fill="E5E5E5"/>
          </w:tcPr>
          <w:p>
            <w:pPr>
              <w:spacing w:after="0"/>
              <w:rPr>
                <w:sz w:val="17"/>
                <w:szCs w:val="17"/>
                <w:color w:val="auto"/>
              </w:rPr>
            </w:pPr>
          </w:p>
        </w:tc>
        <w:tc>
          <w:tcPr>
            <w:tcW w:w="540" w:type="dxa"/>
            <w:vAlign w:val="bottom"/>
            <w:shd w:val="clear" w:color="auto" w:fill="E5E5E5"/>
          </w:tcPr>
          <w:p>
            <w:pPr>
              <w:ind w:left="60"/>
              <w:spacing w:after="0"/>
              <w:rPr>
                <w:sz w:val="20"/>
                <w:szCs w:val="20"/>
                <w:color w:val="auto"/>
              </w:rPr>
            </w:pPr>
            <w:r>
              <w:rPr>
                <w:rFonts w:ascii="Arial" w:cs="Arial" w:eastAsia="Arial" w:hAnsi="Arial"/>
                <w:sz w:val="16"/>
                <w:szCs w:val="16"/>
                <w:color w:val="auto"/>
              </w:rPr>
              <w:t>2017</w:t>
            </w:r>
          </w:p>
        </w:tc>
        <w:tc>
          <w:tcPr>
            <w:tcW w:w="80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247,448</w:t>
            </w:r>
          </w:p>
        </w:tc>
        <w:tc>
          <w:tcPr>
            <w:tcW w:w="700" w:type="dxa"/>
            <w:vAlign w:val="bottom"/>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131,750</w:t>
            </w:r>
          </w:p>
        </w:tc>
        <w:tc>
          <w:tcPr>
            <w:tcW w:w="100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81"/>
              <w:spacing w:after="0"/>
              <w:rPr>
                <w:sz w:val="20"/>
                <w:szCs w:val="20"/>
                <w:color w:val="auto"/>
              </w:rPr>
            </w:pPr>
            <w:r>
              <w:rPr>
                <w:rFonts w:ascii="Arial" w:cs="Arial" w:eastAsia="Arial" w:hAnsi="Arial"/>
                <w:sz w:val="16"/>
                <w:szCs w:val="16"/>
                <w:color w:val="auto"/>
              </w:rPr>
              <w:t>120,000</w:t>
            </w:r>
          </w:p>
        </w:tc>
        <w:tc>
          <w:tcPr>
            <w:tcW w:w="1800" w:type="dxa"/>
            <w:vAlign w:val="bottom"/>
            <w:shd w:val="clear" w:color="auto" w:fill="E5E5E5"/>
          </w:tcPr>
          <w:p>
            <w:pPr>
              <w:jc w:val="right"/>
              <w:ind w:right="501"/>
              <w:spacing w:after="0"/>
              <w:rPr>
                <w:sz w:val="20"/>
                <w:szCs w:val="20"/>
                <w:color w:val="auto"/>
              </w:rPr>
            </w:pPr>
            <w:r>
              <w:rPr>
                <w:rFonts w:ascii="Arial" w:cs="Arial" w:eastAsia="Arial" w:hAnsi="Arial"/>
                <w:sz w:val="16"/>
                <w:szCs w:val="16"/>
                <w:color w:val="auto"/>
              </w:rPr>
              <w:t>6,798</w:t>
            </w:r>
          </w:p>
        </w:tc>
        <w:tc>
          <w:tcPr>
            <w:tcW w:w="10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505,996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E5E5E5"/>
          </w:tcPr>
          <w:p>
            <w:pPr>
              <w:ind w:left="60"/>
              <w:spacing w:after="0" w:line="171" w:lineRule="exact"/>
              <w:rPr>
                <w:sz w:val="20"/>
                <w:szCs w:val="20"/>
                <w:color w:val="auto"/>
              </w:rPr>
            </w:pPr>
            <w:r>
              <w:rPr>
                <w:rFonts w:ascii="Arial" w:cs="Arial" w:eastAsia="Arial" w:hAnsi="Arial"/>
                <w:sz w:val="16"/>
                <w:szCs w:val="16"/>
                <w:color w:val="auto"/>
              </w:rPr>
              <w:t>Chemistry and Non-</w:t>
            </w:r>
          </w:p>
        </w:tc>
        <w:tc>
          <w:tcPr>
            <w:tcW w:w="140" w:type="dxa"/>
            <w:vAlign w:val="bottom"/>
            <w:shd w:val="clear" w:color="auto" w:fill="E5E5E5"/>
          </w:tcPr>
          <w:p>
            <w:pPr>
              <w:spacing w:after="0"/>
              <w:rPr>
                <w:sz w:val="14"/>
                <w:szCs w:val="14"/>
                <w:color w:val="auto"/>
              </w:rPr>
            </w:pPr>
          </w:p>
        </w:tc>
        <w:tc>
          <w:tcPr>
            <w:tcW w:w="5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2016</w:t>
            </w:r>
          </w:p>
        </w:tc>
        <w:tc>
          <w:tcPr>
            <w:tcW w:w="800" w:type="dxa"/>
            <w:vAlign w:val="bottom"/>
            <w:vMerge w:val="restart"/>
            <w:shd w:val="clear" w:color="auto" w:fill="E5E5E5"/>
          </w:tcPr>
          <w:p>
            <w:pPr>
              <w:jc w:val="right"/>
              <w:ind w:right="20"/>
              <w:spacing w:after="0"/>
              <w:rPr>
                <w:sz w:val="20"/>
                <w:szCs w:val="20"/>
                <w:color w:val="auto"/>
              </w:rPr>
            </w:pPr>
            <w:r>
              <w:rPr>
                <w:rFonts w:ascii="Arial" w:cs="Arial" w:eastAsia="Arial" w:hAnsi="Arial"/>
                <w:sz w:val="16"/>
                <w:szCs w:val="16"/>
                <w:color w:val="auto"/>
              </w:rPr>
              <w:t>237,930</w:t>
            </w:r>
          </w:p>
        </w:tc>
        <w:tc>
          <w:tcPr>
            <w:tcW w:w="70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5E5E5"/>
          </w:tcPr>
          <w:p>
            <w:pPr>
              <w:jc w:val="right"/>
              <w:ind w:right="141"/>
              <w:spacing w:after="0"/>
              <w:rPr>
                <w:sz w:val="20"/>
                <w:szCs w:val="20"/>
                <w:color w:val="auto"/>
              </w:rPr>
            </w:pPr>
            <w:r>
              <w:rPr>
                <w:rFonts w:ascii="Arial" w:cs="Arial" w:eastAsia="Arial" w:hAnsi="Arial"/>
                <w:sz w:val="16"/>
                <w:szCs w:val="16"/>
                <w:color w:val="auto"/>
              </w:rPr>
              <w:t>230,479</w:t>
            </w:r>
          </w:p>
        </w:tc>
        <w:tc>
          <w:tcPr>
            <w:tcW w:w="1800" w:type="dxa"/>
            <w:vAlign w:val="bottom"/>
            <w:vMerge w:val="restart"/>
            <w:shd w:val="clear" w:color="auto" w:fill="E5E5E5"/>
          </w:tcPr>
          <w:p>
            <w:pPr>
              <w:jc w:val="right"/>
              <w:ind w:right="581"/>
              <w:spacing w:after="0"/>
              <w:rPr>
                <w:sz w:val="20"/>
                <w:szCs w:val="20"/>
                <w:color w:val="auto"/>
              </w:rPr>
            </w:pPr>
            <w:r>
              <w:rPr>
                <w:rFonts w:ascii="Arial" w:cs="Arial" w:eastAsia="Arial" w:hAnsi="Arial"/>
                <w:sz w:val="16"/>
                <w:szCs w:val="16"/>
                <w:color w:val="auto"/>
              </w:rPr>
              <w:t>72,072</w:t>
            </w:r>
          </w:p>
        </w:tc>
        <w:tc>
          <w:tcPr>
            <w:tcW w:w="1800" w:type="dxa"/>
            <w:vAlign w:val="bottom"/>
            <w:vMerge w:val="restart"/>
            <w:shd w:val="clear" w:color="auto" w:fill="E5E5E5"/>
          </w:tcPr>
          <w:p>
            <w:pPr>
              <w:jc w:val="right"/>
              <w:ind w:right="501"/>
              <w:spacing w:after="0"/>
              <w:rPr>
                <w:sz w:val="20"/>
                <w:szCs w:val="20"/>
                <w:color w:val="auto"/>
              </w:rPr>
            </w:pPr>
            <w:r>
              <w:rPr>
                <w:rFonts w:ascii="Arial" w:cs="Arial" w:eastAsia="Arial" w:hAnsi="Arial"/>
                <w:sz w:val="16"/>
                <w:szCs w:val="16"/>
                <w:color w:val="auto"/>
              </w:rPr>
              <w:t>10,173</w:t>
            </w:r>
          </w:p>
        </w:tc>
        <w:tc>
          <w:tcPr>
            <w:tcW w:w="1080" w:type="dxa"/>
            <w:vAlign w:val="bottom"/>
            <w:vMerge w:val="restart"/>
            <w:shd w:val="clear" w:color="auto" w:fill="E5E5E5"/>
          </w:tcPr>
          <w:p>
            <w:pPr>
              <w:jc w:val="right"/>
              <w:ind w:right="20"/>
              <w:spacing w:after="0"/>
              <w:rPr>
                <w:sz w:val="20"/>
                <w:szCs w:val="20"/>
                <w:color w:val="auto"/>
              </w:rPr>
            </w:pPr>
            <w:r>
              <w:rPr>
                <w:rFonts w:ascii="Arial" w:cs="Arial" w:eastAsia="Arial" w:hAnsi="Arial"/>
                <w:sz w:val="16"/>
                <w:szCs w:val="16"/>
                <w:color w:val="auto"/>
              </w:rPr>
              <w:t>550,654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vMerge w:val="restart"/>
            <w:shd w:val="clear" w:color="auto" w:fill="E5E5E5"/>
          </w:tcPr>
          <w:p>
            <w:pPr>
              <w:ind w:left="60"/>
              <w:spacing w:after="0"/>
              <w:rPr>
                <w:sz w:val="20"/>
                <w:szCs w:val="20"/>
                <w:color w:val="auto"/>
              </w:rPr>
            </w:pPr>
            <w:r>
              <w:rPr>
                <w:rFonts w:ascii="Arial" w:cs="Arial" w:eastAsia="Arial" w:hAnsi="Arial"/>
                <w:sz w:val="16"/>
                <w:szCs w:val="16"/>
                <w:color w:val="auto"/>
              </w:rPr>
              <w:t>Clinical Development</w:t>
            </w:r>
          </w:p>
        </w:tc>
        <w:tc>
          <w:tcPr>
            <w:tcW w:w="140" w:type="dxa"/>
            <w:vAlign w:val="bottom"/>
            <w:shd w:val="clear" w:color="auto" w:fill="E5E5E5"/>
          </w:tcPr>
          <w:p>
            <w:pPr>
              <w:spacing w:after="0"/>
              <w:rPr>
                <w:sz w:val="13"/>
                <w:szCs w:val="13"/>
                <w:color w:val="auto"/>
              </w:rPr>
            </w:pPr>
          </w:p>
        </w:tc>
        <w:tc>
          <w:tcPr>
            <w:tcW w:w="540" w:type="dxa"/>
            <w:vAlign w:val="bottom"/>
            <w:vMerge w:val="continue"/>
            <w:shd w:val="clear" w:color="auto" w:fill="E5E5E5"/>
          </w:tcPr>
          <w:p>
            <w:pPr>
              <w:spacing w:after="0"/>
              <w:rPr>
                <w:sz w:val="13"/>
                <w:szCs w:val="13"/>
                <w:color w:val="auto"/>
              </w:rPr>
            </w:pPr>
          </w:p>
        </w:tc>
        <w:tc>
          <w:tcPr>
            <w:tcW w:w="800" w:type="dxa"/>
            <w:vAlign w:val="bottom"/>
            <w:vMerge w:val="continue"/>
            <w:shd w:val="clear" w:color="auto" w:fill="E5E5E5"/>
          </w:tcPr>
          <w:p>
            <w:pPr>
              <w:spacing w:after="0"/>
              <w:rPr>
                <w:sz w:val="13"/>
                <w:szCs w:val="13"/>
                <w:color w:val="auto"/>
              </w:rPr>
            </w:pPr>
          </w:p>
        </w:tc>
        <w:tc>
          <w:tcPr>
            <w:tcW w:w="700" w:type="dxa"/>
            <w:vAlign w:val="bottom"/>
            <w:vMerge w:val="continue"/>
            <w:shd w:val="clear" w:color="auto" w:fill="E5E5E5"/>
          </w:tcPr>
          <w:p>
            <w:pPr>
              <w:spacing w:after="0"/>
              <w:rPr>
                <w:sz w:val="13"/>
                <w:szCs w:val="13"/>
                <w:color w:val="auto"/>
              </w:rPr>
            </w:pPr>
          </w:p>
        </w:tc>
        <w:tc>
          <w:tcPr>
            <w:tcW w:w="1000" w:type="dxa"/>
            <w:vAlign w:val="bottom"/>
            <w:vMerge w:val="continue"/>
            <w:shd w:val="clear" w:color="auto" w:fill="E5E5E5"/>
          </w:tcPr>
          <w:p>
            <w:pPr>
              <w:spacing w:after="0"/>
              <w:rPr>
                <w:sz w:val="13"/>
                <w:szCs w:val="13"/>
                <w:color w:val="auto"/>
              </w:rPr>
            </w:pPr>
          </w:p>
        </w:tc>
        <w:tc>
          <w:tcPr>
            <w:tcW w:w="1000" w:type="dxa"/>
            <w:vAlign w:val="bottom"/>
            <w:vMerge w:val="continue"/>
            <w:shd w:val="clear" w:color="auto" w:fill="E5E5E5"/>
          </w:tcPr>
          <w:p>
            <w:pPr>
              <w:spacing w:after="0"/>
              <w:rPr>
                <w:sz w:val="13"/>
                <w:szCs w:val="13"/>
                <w:color w:val="auto"/>
              </w:rPr>
            </w:pPr>
          </w:p>
        </w:tc>
        <w:tc>
          <w:tcPr>
            <w:tcW w:w="1800" w:type="dxa"/>
            <w:vAlign w:val="bottom"/>
            <w:vMerge w:val="continue"/>
            <w:shd w:val="clear" w:color="auto" w:fill="E5E5E5"/>
          </w:tcPr>
          <w:p>
            <w:pPr>
              <w:spacing w:after="0"/>
              <w:rPr>
                <w:sz w:val="13"/>
                <w:szCs w:val="13"/>
                <w:color w:val="auto"/>
              </w:rPr>
            </w:pPr>
          </w:p>
        </w:tc>
        <w:tc>
          <w:tcPr>
            <w:tcW w:w="1800" w:type="dxa"/>
            <w:vAlign w:val="bottom"/>
            <w:vMerge w:val="continue"/>
            <w:shd w:val="clear" w:color="auto" w:fill="E5E5E5"/>
          </w:tcPr>
          <w:p>
            <w:pPr>
              <w:spacing w:after="0"/>
              <w:rPr>
                <w:sz w:val="13"/>
                <w:szCs w:val="13"/>
                <w:color w:val="auto"/>
              </w:rPr>
            </w:pPr>
          </w:p>
        </w:tc>
        <w:tc>
          <w:tcPr>
            <w:tcW w:w="1080" w:type="dxa"/>
            <w:vAlign w:val="bottom"/>
            <w:vMerge w:val="continue"/>
            <w:shd w:val="clear" w:color="auto" w:fill="E5E5E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40" w:type="dxa"/>
            <w:vAlign w:val="bottom"/>
            <w:tcBorders>
              <w:bottom w:val="single" w:sz="8" w:color="0071CE"/>
            </w:tcBorders>
            <w:vMerge w:val="continue"/>
            <w:shd w:val="clear" w:color="auto" w:fill="E5E5E5"/>
          </w:tcPr>
          <w:p>
            <w:pPr>
              <w:spacing w:after="0"/>
              <w:rPr>
                <w:sz w:val="5"/>
                <w:szCs w:val="5"/>
                <w:color w:val="auto"/>
              </w:rPr>
            </w:pPr>
          </w:p>
        </w:tc>
        <w:tc>
          <w:tcPr>
            <w:tcW w:w="140" w:type="dxa"/>
            <w:vAlign w:val="bottom"/>
            <w:tcBorders>
              <w:bottom w:val="single" w:sz="8" w:color="0071CE"/>
            </w:tcBorders>
            <w:shd w:val="clear" w:color="auto" w:fill="E5E5E5"/>
          </w:tcPr>
          <w:p>
            <w:pPr>
              <w:spacing w:after="0"/>
              <w:rPr>
                <w:sz w:val="5"/>
                <w:szCs w:val="5"/>
                <w:color w:val="auto"/>
              </w:rPr>
            </w:pPr>
          </w:p>
        </w:tc>
        <w:tc>
          <w:tcPr>
            <w:tcW w:w="540" w:type="dxa"/>
            <w:vAlign w:val="bottom"/>
            <w:tcBorders>
              <w:bottom w:val="single" w:sz="8" w:color="0071CE"/>
            </w:tcBorders>
            <w:shd w:val="clear" w:color="auto" w:fill="E5E5E5"/>
          </w:tcPr>
          <w:p>
            <w:pPr>
              <w:spacing w:after="0"/>
              <w:rPr>
                <w:sz w:val="5"/>
                <w:szCs w:val="5"/>
                <w:color w:val="auto"/>
              </w:rPr>
            </w:pPr>
          </w:p>
        </w:tc>
        <w:tc>
          <w:tcPr>
            <w:tcW w:w="800" w:type="dxa"/>
            <w:vAlign w:val="bottom"/>
            <w:tcBorders>
              <w:bottom w:val="single" w:sz="8" w:color="0071CE"/>
            </w:tcBorders>
            <w:shd w:val="clear" w:color="auto" w:fill="E5E5E5"/>
          </w:tcPr>
          <w:p>
            <w:pPr>
              <w:spacing w:after="0"/>
              <w:rPr>
                <w:sz w:val="5"/>
                <w:szCs w:val="5"/>
                <w:color w:val="auto"/>
              </w:rPr>
            </w:pPr>
          </w:p>
        </w:tc>
        <w:tc>
          <w:tcPr>
            <w:tcW w:w="700" w:type="dxa"/>
            <w:vAlign w:val="bottom"/>
            <w:tcBorders>
              <w:bottom w:val="single" w:sz="8" w:color="0071CE"/>
            </w:tcBorders>
            <w:shd w:val="clear" w:color="auto" w:fill="E5E5E5"/>
          </w:tcPr>
          <w:p>
            <w:pPr>
              <w:spacing w:after="0"/>
              <w:rPr>
                <w:sz w:val="5"/>
                <w:szCs w:val="5"/>
                <w:color w:val="auto"/>
              </w:rPr>
            </w:pPr>
          </w:p>
        </w:tc>
        <w:tc>
          <w:tcPr>
            <w:tcW w:w="1000" w:type="dxa"/>
            <w:vAlign w:val="bottom"/>
            <w:tcBorders>
              <w:bottom w:val="single" w:sz="8" w:color="0071CE"/>
            </w:tcBorders>
            <w:shd w:val="clear" w:color="auto" w:fill="E5E5E5"/>
          </w:tcPr>
          <w:p>
            <w:pPr>
              <w:spacing w:after="0"/>
              <w:rPr>
                <w:sz w:val="5"/>
                <w:szCs w:val="5"/>
                <w:color w:val="auto"/>
              </w:rPr>
            </w:pPr>
          </w:p>
        </w:tc>
        <w:tc>
          <w:tcPr>
            <w:tcW w:w="1000" w:type="dxa"/>
            <w:vAlign w:val="bottom"/>
            <w:tcBorders>
              <w:bottom w:val="single" w:sz="8" w:color="0071CE"/>
            </w:tcBorders>
            <w:shd w:val="clear" w:color="auto" w:fill="E5E5E5"/>
          </w:tcPr>
          <w:p>
            <w:pPr>
              <w:spacing w:after="0"/>
              <w:rPr>
                <w:sz w:val="5"/>
                <w:szCs w:val="5"/>
                <w:color w:val="auto"/>
              </w:rPr>
            </w:pPr>
          </w:p>
        </w:tc>
        <w:tc>
          <w:tcPr>
            <w:tcW w:w="1800" w:type="dxa"/>
            <w:vAlign w:val="bottom"/>
            <w:tcBorders>
              <w:bottom w:val="single" w:sz="8" w:color="0071CE"/>
            </w:tcBorders>
            <w:shd w:val="clear" w:color="auto" w:fill="E5E5E5"/>
          </w:tcPr>
          <w:p>
            <w:pPr>
              <w:spacing w:after="0"/>
              <w:rPr>
                <w:sz w:val="5"/>
                <w:szCs w:val="5"/>
                <w:color w:val="auto"/>
              </w:rPr>
            </w:pPr>
          </w:p>
        </w:tc>
        <w:tc>
          <w:tcPr>
            <w:tcW w:w="1800" w:type="dxa"/>
            <w:vAlign w:val="bottom"/>
            <w:tcBorders>
              <w:bottom w:val="single" w:sz="8" w:color="0071CE"/>
            </w:tcBorders>
            <w:shd w:val="clear" w:color="auto" w:fill="E5E5E5"/>
          </w:tcPr>
          <w:p>
            <w:pPr>
              <w:spacing w:after="0"/>
              <w:rPr>
                <w:sz w:val="5"/>
                <w:szCs w:val="5"/>
                <w:color w:val="auto"/>
              </w:rPr>
            </w:pPr>
          </w:p>
        </w:tc>
        <w:tc>
          <w:tcPr>
            <w:tcW w:w="1080" w:type="dxa"/>
            <w:vAlign w:val="bottom"/>
            <w:tcBorders>
              <w:bottom w:val="single" w:sz="8" w:color="0071CE"/>
            </w:tcBorders>
            <w:shd w:val="clear" w:color="auto" w:fill="E5E5E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40" w:right="300" w:hanging="330"/>
        <w:spacing w:after="0" w:line="266"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columns represent the total grant date fair value, computed in accordance with ASC 718, of stock options and restricted stock units granted during fiscal year 2018, 2017 and 2016. The assumptions used to calculate the value of the stock underlying the option and restricted stock unit awards are set forth in Note 8 of the Notes to the Consolidated Financial Statements included with the Company’s Annual Report on Form 10-K.</w:t>
      </w:r>
    </w:p>
    <w:p>
      <w:pPr>
        <w:spacing w:after="0" w:line="31" w:lineRule="exact"/>
        <w:rPr>
          <w:rFonts w:ascii="Arial" w:cs="Arial" w:eastAsia="Arial" w:hAnsi="Arial"/>
          <w:sz w:val="14"/>
          <w:szCs w:val="14"/>
          <w:color w:val="auto"/>
        </w:rPr>
      </w:pPr>
    </w:p>
    <w:p>
      <w:pPr>
        <w:ind w:left="540" w:right="240" w:hanging="330"/>
        <w:spacing w:after="0" w:line="290"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 2018, 2017 and 2016 and paid in fiscal year 2019, 2018 and 2017, respectively. The Annual Bonuses are described in more detail in the “Bonus Incentive” section.</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81" w:lineRule="exact"/>
        <w:rPr>
          <w:rFonts w:ascii="Arial" w:cs="Arial" w:eastAsia="Arial" w:hAnsi="Arial"/>
          <w:sz w:val="14"/>
          <w:szCs w:val="14"/>
          <w:color w:val="auto"/>
        </w:rPr>
      </w:pPr>
    </w:p>
    <w:p>
      <w:pPr>
        <w:ind w:left="540" w:right="40" w:hanging="330"/>
        <w:spacing w:after="0" w:line="249"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 January 2018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 under applicable accounting guidance, and assigned a grant date fair value of $0 based on this evaluation. If we had determined that as of the date of the grant it was probable that 100% of the performance conditions would be achieved, we would have assigned a grant date fair value of $1,840,000 for the restricted stock units. The amounts reported in the Summary Compensation Table for these awards may not represent the amounts that Christopher Anzalone will realize from the awards. Whether, and to what extent, a named executive officer realizes value will depend on our actual operating performance, stock price fluctuations and the named executive officer’s continued employment.</w:t>
      </w:r>
    </w:p>
    <w:p>
      <w:pPr>
        <w:spacing w:after="0" w:line="44" w:lineRule="exact"/>
        <w:rPr>
          <w:rFonts w:ascii="Arial" w:cs="Arial" w:eastAsia="Arial" w:hAnsi="Arial"/>
          <w:sz w:val="14"/>
          <w:szCs w:val="14"/>
          <w:color w:val="auto"/>
        </w:rPr>
      </w:pPr>
    </w:p>
    <w:p>
      <w:pPr>
        <w:ind w:left="540" w:right="40" w:hanging="330"/>
        <w:spacing w:after="0" w:line="253" w:lineRule="auto"/>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the Stock Awards column reflect the grant date fair value of an April 2017 restricted stock unit award that is subject to vesting upon the achievement of specific performance conditions. We determined the performance conditions that were probable and not probable of being achieved as of the grant date, as defined under applicable accounting guidance, and assigned a grant date fair value of $537,900 based on this evaluation. If we had determined that as of the date of the grant it was probable that 100% of the performance conditions would be achieved, we would have assigned a grant date fair value of $1,613,700 for the restricted stock units. The amounts reported in the Summary Compensation Table for these awards may not represent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77470</wp:posOffset>
            </wp:positionV>
            <wp:extent cx="98488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32</w:t>
      </w:r>
    </w:p>
    <w:p>
      <w:pPr>
        <w:sectPr>
          <w:pgSz w:w="11900" w:h="16838" w:orient="portrait"/>
          <w:cols w:equalWidth="0" w:num="1">
            <w:col w:w="11240"/>
          </w:cols>
          <w:pgMar w:left="240" w:top="455" w:right="4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51" w:lineRule="exact"/>
        <w:rPr>
          <w:sz w:val="20"/>
          <w:szCs w:val="20"/>
          <w:color w:val="auto"/>
        </w:rPr>
      </w:pPr>
    </w:p>
    <w:p>
      <w:pPr>
        <w:ind w:left="540" w:right="480"/>
        <w:spacing w:after="0" w:line="290" w:lineRule="auto"/>
        <w:rPr>
          <w:sz w:val="20"/>
          <w:szCs w:val="20"/>
          <w:color w:val="auto"/>
        </w:rPr>
      </w:pPr>
      <w:r>
        <w:rPr>
          <w:rFonts w:ascii="Arial" w:cs="Arial" w:eastAsia="Arial" w:hAnsi="Arial"/>
          <w:sz w:val="14"/>
          <w:szCs w:val="14"/>
          <w:color w:val="auto"/>
        </w:rPr>
        <w:t>that Christopher Anzalone will realize from the awards. Whether, and to what extent, a named executive officer realizes value will depend on our actual operating performance, stock price fluctuations and the named executive officer’s continued employment.</w:t>
      </w:r>
    </w:p>
    <w:p>
      <w:pPr>
        <w:spacing w:after="0" w:line="16" w:lineRule="exact"/>
        <w:rPr>
          <w:sz w:val="20"/>
          <w:szCs w:val="20"/>
          <w:color w:val="auto"/>
        </w:rPr>
      </w:pPr>
    </w:p>
    <w:p>
      <w:pPr>
        <w:ind w:left="540" w:right="20" w:hanging="330"/>
        <w:spacing w:after="0" w:line="249"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reflects the grant date fair value of a January 2016 restricted stock unit award that is subject to vesting upon the achievement of specific performance-based conditions. We determined the performance conditions were not probable of being achieved as of the grant date, as defined under applicable accounting guidance, and assigned a grant date fair value of $0 based on this evaluation. If we had determined that as of the date of the grant it was probable that 100% of the performance-based conditions would be achieved, we would have assigned a grant date fair value of $3,321,000 for the restricted stock units. The amount reported in the Summary Compensation Table for this award may not represent the amount that Christopher Anzalone will realize from the award. Whether, and to what extent, a named executive officer realizes value will depend on our actual operating performance, stock price fluctuations and the named executive officer’s continued employment.</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cash bonus and equity grants made to the named executive officers in fiscal 2018:</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2880" w:type="dxa"/>
            <w:vAlign w:val="bottom"/>
            <w:shd w:val="clear" w:color="auto" w:fill="0071CE"/>
          </w:tcPr>
          <w:p>
            <w:pPr>
              <w:spacing w:after="0"/>
              <w:rPr>
                <w:sz w:val="19"/>
                <w:szCs w:val="19"/>
                <w:color w:val="auto"/>
              </w:rPr>
            </w:pPr>
          </w:p>
        </w:tc>
        <w:tc>
          <w:tcPr>
            <w:tcW w:w="1200" w:type="dxa"/>
            <w:vAlign w:val="bottom"/>
            <w:shd w:val="clear" w:color="auto" w:fill="0071CE"/>
          </w:tcPr>
          <w:p>
            <w:pPr>
              <w:spacing w:after="0"/>
              <w:rPr>
                <w:sz w:val="19"/>
                <w:szCs w:val="19"/>
                <w:color w:val="auto"/>
              </w:rPr>
            </w:pPr>
          </w:p>
        </w:tc>
        <w:tc>
          <w:tcPr>
            <w:tcW w:w="900" w:type="dxa"/>
            <w:vAlign w:val="bottom"/>
            <w:shd w:val="clear" w:color="auto" w:fill="0071CE"/>
          </w:tcPr>
          <w:p>
            <w:pPr>
              <w:spacing w:after="0"/>
              <w:rPr>
                <w:sz w:val="19"/>
                <w:szCs w:val="19"/>
                <w:color w:val="auto"/>
              </w:rPr>
            </w:pPr>
          </w:p>
        </w:tc>
        <w:tc>
          <w:tcPr>
            <w:tcW w:w="1320" w:type="dxa"/>
            <w:vAlign w:val="bottom"/>
            <w:shd w:val="clear" w:color="auto" w:fill="0071CE"/>
          </w:tcPr>
          <w:p>
            <w:pPr>
              <w:spacing w:after="0"/>
              <w:rPr>
                <w:sz w:val="19"/>
                <w:szCs w:val="19"/>
                <w:color w:val="auto"/>
              </w:rPr>
            </w:pPr>
          </w:p>
        </w:tc>
        <w:tc>
          <w:tcPr>
            <w:tcW w:w="980" w:type="dxa"/>
            <w:vAlign w:val="bottom"/>
            <w:shd w:val="clear" w:color="auto" w:fill="0071CE"/>
          </w:tcPr>
          <w:p>
            <w:pPr>
              <w:spacing w:after="0"/>
              <w:rPr>
                <w:sz w:val="19"/>
                <w:szCs w:val="19"/>
                <w:color w:val="auto"/>
              </w:rPr>
            </w:pPr>
          </w:p>
        </w:tc>
        <w:tc>
          <w:tcPr>
            <w:tcW w:w="120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Estimated</w:t>
            </w:r>
          </w:p>
        </w:tc>
        <w:tc>
          <w:tcPr>
            <w:tcW w:w="1560" w:type="dxa"/>
            <w:vAlign w:val="bottom"/>
            <w:shd w:val="clear" w:color="auto" w:fill="0071CE"/>
          </w:tcPr>
          <w:p>
            <w:pPr>
              <w:spacing w:after="0"/>
              <w:rPr>
                <w:sz w:val="19"/>
                <w:szCs w:val="19"/>
                <w:color w:val="auto"/>
              </w:rPr>
            </w:pPr>
          </w:p>
        </w:tc>
        <w:tc>
          <w:tcPr>
            <w:tcW w:w="96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900" w:type="dxa"/>
            <w:vAlign w:val="bottom"/>
            <w:shd w:val="clear" w:color="auto" w:fill="0071CE"/>
          </w:tcPr>
          <w:p>
            <w:pPr>
              <w:spacing w:after="0"/>
              <w:rPr>
                <w:sz w:val="14"/>
                <w:szCs w:val="14"/>
                <w:color w:val="auto"/>
              </w:rPr>
            </w:pPr>
          </w:p>
        </w:tc>
        <w:tc>
          <w:tcPr>
            <w:tcW w:w="132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20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Future Payouts</w:t>
            </w:r>
          </w:p>
        </w:tc>
        <w:tc>
          <w:tcPr>
            <w:tcW w:w="1560" w:type="dxa"/>
            <w:vAlign w:val="bottom"/>
            <w:vMerge w:val="restart"/>
            <w:shd w:val="clear" w:color="auto" w:fill="0071CE"/>
          </w:tcPr>
          <w:p>
            <w:pPr>
              <w:jc w:val="center"/>
              <w:ind w:left="42"/>
              <w:spacing w:after="0"/>
              <w:rPr>
                <w:sz w:val="20"/>
                <w:szCs w:val="20"/>
                <w:color w:val="auto"/>
              </w:rPr>
            </w:pPr>
            <w:r>
              <w:rPr>
                <w:rFonts w:ascii="Arial" w:cs="Arial" w:eastAsia="Arial" w:hAnsi="Arial"/>
                <w:sz w:val="14"/>
                <w:szCs w:val="14"/>
                <w:b w:val="1"/>
                <w:bCs w:val="1"/>
                <w:color w:val="FFFFFF"/>
              </w:rPr>
              <w:t>All Other Stock</w:t>
            </w:r>
          </w:p>
        </w:tc>
        <w:tc>
          <w:tcPr>
            <w:tcW w:w="96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80" w:type="dxa"/>
            <w:vAlign w:val="bottom"/>
            <w:shd w:val="clear" w:color="auto" w:fill="0071CE"/>
          </w:tcPr>
          <w:p>
            <w:pPr>
              <w:spacing w:after="0"/>
              <w:rPr>
                <w:sz w:val="4"/>
                <w:szCs w:val="4"/>
                <w:color w:val="auto"/>
              </w:rPr>
            </w:pPr>
          </w:p>
        </w:tc>
        <w:tc>
          <w:tcPr>
            <w:tcW w:w="1200" w:type="dxa"/>
            <w:vAlign w:val="bottom"/>
            <w:shd w:val="clear" w:color="auto" w:fill="0071CE"/>
          </w:tcPr>
          <w:p>
            <w:pPr>
              <w:spacing w:after="0"/>
              <w:rPr>
                <w:sz w:val="4"/>
                <w:szCs w:val="4"/>
                <w:color w:val="auto"/>
              </w:rPr>
            </w:pPr>
          </w:p>
        </w:tc>
        <w:tc>
          <w:tcPr>
            <w:tcW w:w="3200" w:type="dxa"/>
            <w:vAlign w:val="bottom"/>
            <w:gridSpan w:val="3"/>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1200" w:type="dxa"/>
            <w:vAlign w:val="bottom"/>
            <w:vMerge w:val="restart"/>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Under Equity</w:t>
            </w:r>
          </w:p>
        </w:tc>
        <w:tc>
          <w:tcPr>
            <w:tcW w:w="1560" w:type="dxa"/>
            <w:vAlign w:val="bottom"/>
            <w:vMerge w:val="continue"/>
            <w:shd w:val="clear" w:color="auto" w:fill="0071CE"/>
          </w:tcPr>
          <w:p>
            <w:pPr>
              <w:spacing w:after="0"/>
              <w:rPr>
                <w:sz w:val="4"/>
                <w:szCs w:val="4"/>
                <w:color w:val="auto"/>
              </w:rPr>
            </w:pPr>
          </w:p>
        </w:tc>
        <w:tc>
          <w:tcPr>
            <w:tcW w:w="960" w:type="dxa"/>
            <w:vAlign w:val="bottom"/>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0071CE"/>
          </w:tcPr>
          <w:p>
            <w:pPr>
              <w:spacing w:after="0"/>
              <w:rPr>
                <w:sz w:val="9"/>
                <w:szCs w:val="9"/>
                <w:color w:val="auto"/>
              </w:rPr>
            </w:pPr>
          </w:p>
        </w:tc>
        <w:tc>
          <w:tcPr>
            <w:tcW w:w="1200" w:type="dxa"/>
            <w:vAlign w:val="bottom"/>
            <w:shd w:val="clear" w:color="auto" w:fill="0071CE"/>
          </w:tcPr>
          <w:p>
            <w:pPr>
              <w:spacing w:after="0"/>
              <w:rPr>
                <w:sz w:val="9"/>
                <w:szCs w:val="9"/>
                <w:color w:val="auto"/>
              </w:rPr>
            </w:pPr>
          </w:p>
        </w:tc>
        <w:tc>
          <w:tcPr>
            <w:tcW w:w="3200" w:type="dxa"/>
            <w:vAlign w:val="bottom"/>
            <w:gridSpan w:val="3"/>
            <w:vMerge w:val="continue"/>
            <w:shd w:val="clear" w:color="auto" w:fill="0071CE"/>
          </w:tcPr>
          <w:p>
            <w:pPr>
              <w:spacing w:after="0"/>
              <w:rPr>
                <w:sz w:val="9"/>
                <w:szCs w:val="9"/>
                <w:color w:val="auto"/>
              </w:rPr>
            </w:pPr>
          </w:p>
        </w:tc>
        <w:tc>
          <w:tcPr>
            <w:tcW w:w="1200" w:type="dxa"/>
            <w:vAlign w:val="bottom"/>
            <w:vMerge w:val="continue"/>
            <w:shd w:val="clear" w:color="auto" w:fill="0071CE"/>
          </w:tcPr>
          <w:p>
            <w:pPr>
              <w:spacing w:after="0"/>
              <w:rPr>
                <w:sz w:val="9"/>
                <w:szCs w:val="9"/>
                <w:color w:val="auto"/>
              </w:rPr>
            </w:pPr>
          </w:p>
        </w:tc>
        <w:tc>
          <w:tcPr>
            <w:tcW w:w="1560" w:type="dxa"/>
            <w:vAlign w:val="bottom"/>
            <w:vMerge w:val="restart"/>
            <w:shd w:val="clear" w:color="auto" w:fill="0071CE"/>
          </w:tcPr>
          <w:p>
            <w:pPr>
              <w:jc w:val="center"/>
              <w:ind w:left="22"/>
              <w:spacing w:after="0"/>
              <w:rPr>
                <w:sz w:val="20"/>
                <w:szCs w:val="20"/>
                <w:color w:val="auto"/>
              </w:rPr>
            </w:pPr>
            <w:r>
              <w:rPr>
                <w:rFonts w:ascii="Arial" w:cs="Arial" w:eastAsia="Arial" w:hAnsi="Arial"/>
                <w:sz w:val="14"/>
                <w:szCs w:val="14"/>
                <w:b w:val="1"/>
                <w:bCs w:val="1"/>
                <w:color w:val="FFFFFF"/>
              </w:rPr>
              <w:t>Awards: Number</w:t>
            </w:r>
          </w:p>
        </w:tc>
        <w:tc>
          <w:tcPr>
            <w:tcW w:w="960" w:type="dxa"/>
            <w:vAlign w:val="bottom"/>
            <w:shd w:val="clear" w:color="auto" w:fill="0071C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880" w:type="dxa"/>
            <w:vAlign w:val="bottom"/>
            <w:shd w:val="clear" w:color="auto" w:fill="0071CE"/>
          </w:tcPr>
          <w:p>
            <w:pPr>
              <w:spacing w:after="0"/>
              <w:rPr>
                <w:sz w:val="4"/>
                <w:szCs w:val="4"/>
                <w:color w:val="auto"/>
              </w:rPr>
            </w:pPr>
          </w:p>
        </w:tc>
        <w:tc>
          <w:tcPr>
            <w:tcW w:w="1200" w:type="dxa"/>
            <w:vAlign w:val="bottom"/>
            <w:shd w:val="clear" w:color="auto" w:fill="0071CE"/>
          </w:tcPr>
          <w:p>
            <w:pPr>
              <w:spacing w:after="0"/>
              <w:rPr>
                <w:sz w:val="4"/>
                <w:szCs w:val="4"/>
                <w:color w:val="auto"/>
              </w:rPr>
            </w:pPr>
          </w:p>
        </w:tc>
        <w:tc>
          <w:tcPr>
            <w:tcW w:w="900" w:type="dxa"/>
            <w:vAlign w:val="bottom"/>
            <w:shd w:val="clear" w:color="auto" w:fill="0071CE"/>
          </w:tcPr>
          <w:p>
            <w:pPr>
              <w:spacing w:after="0"/>
              <w:rPr>
                <w:sz w:val="4"/>
                <w:szCs w:val="4"/>
                <w:color w:val="auto"/>
              </w:rPr>
            </w:pP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Under Non-Equity</w:t>
            </w:r>
          </w:p>
        </w:tc>
        <w:tc>
          <w:tcPr>
            <w:tcW w:w="980" w:type="dxa"/>
            <w:vAlign w:val="bottom"/>
            <w:shd w:val="clear" w:color="auto" w:fill="0071CE"/>
          </w:tcPr>
          <w:p>
            <w:pPr>
              <w:spacing w:after="0"/>
              <w:rPr>
                <w:sz w:val="4"/>
                <w:szCs w:val="4"/>
                <w:color w:val="auto"/>
              </w:rPr>
            </w:pPr>
          </w:p>
        </w:tc>
        <w:tc>
          <w:tcPr>
            <w:tcW w:w="1200" w:type="dxa"/>
            <w:vAlign w:val="bottom"/>
            <w:vMerge w:val="restart"/>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Incentive Plan</w:t>
            </w:r>
          </w:p>
        </w:tc>
        <w:tc>
          <w:tcPr>
            <w:tcW w:w="1560" w:type="dxa"/>
            <w:vAlign w:val="bottom"/>
            <w:vMerge w:val="continue"/>
            <w:shd w:val="clear" w:color="auto" w:fill="0071CE"/>
          </w:tcPr>
          <w:p>
            <w:pPr>
              <w:spacing w:after="0"/>
              <w:rPr>
                <w:sz w:val="4"/>
                <w:szCs w:val="4"/>
                <w:color w:val="auto"/>
              </w:rPr>
            </w:pPr>
          </w:p>
        </w:tc>
        <w:tc>
          <w:tcPr>
            <w:tcW w:w="960" w:type="dxa"/>
            <w:vAlign w:val="bottom"/>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0071CE"/>
          </w:tcPr>
          <w:p>
            <w:pPr>
              <w:spacing w:after="0"/>
              <w:rPr>
                <w:sz w:val="9"/>
                <w:szCs w:val="9"/>
                <w:color w:val="auto"/>
              </w:rPr>
            </w:pPr>
          </w:p>
        </w:tc>
        <w:tc>
          <w:tcPr>
            <w:tcW w:w="1200" w:type="dxa"/>
            <w:vAlign w:val="bottom"/>
            <w:shd w:val="clear" w:color="auto" w:fill="0071CE"/>
          </w:tcPr>
          <w:p>
            <w:pPr>
              <w:spacing w:after="0"/>
              <w:rPr>
                <w:sz w:val="9"/>
                <w:szCs w:val="9"/>
                <w:color w:val="auto"/>
              </w:rPr>
            </w:pPr>
          </w:p>
        </w:tc>
        <w:tc>
          <w:tcPr>
            <w:tcW w:w="900" w:type="dxa"/>
            <w:vAlign w:val="bottom"/>
            <w:shd w:val="clear" w:color="auto" w:fill="0071CE"/>
          </w:tcPr>
          <w:p>
            <w:pPr>
              <w:spacing w:after="0"/>
              <w:rPr>
                <w:sz w:val="9"/>
                <w:szCs w:val="9"/>
                <w:color w:val="auto"/>
              </w:rPr>
            </w:pPr>
          </w:p>
        </w:tc>
        <w:tc>
          <w:tcPr>
            <w:tcW w:w="1320" w:type="dxa"/>
            <w:vAlign w:val="bottom"/>
            <w:vMerge w:val="continue"/>
            <w:shd w:val="clear" w:color="auto" w:fill="0071CE"/>
          </w:tcPr>
          <w:p>
            <w:pPr>
              <w:spacing w:after="0"/>
              <w:rPr>
                <w:sz w:val="9"/>
                <w:szCs w:val="9"/>
                <w:color w:val="auto"/>
              </w:rPr>
            </w:pPr>
          </w:p>
        </w:tc>
        <w:tc>
          <w:tcPr>
            <w:tcW w:w="980" w:type="dxa"/>
            <w:vAlign w:val="bottom"/>
            <w:shd w:val="clear" w:color="auto" w:fill="0071CE"/>
          </w:tcPr>
          <w:p>
            <w:pPr>
              <w:spacing w:after="0"/>
              <w:rPr>
                <w:sz w:val="9"/>
                <w:szCs w:val="9"/>
                <w:color w:val="auto"/>
              </w:rPr>
            </w:pPr>
          </w:p>
        </w:tc>
        <w:tc>
          <w:tcPr>
            <w:tcW w:w="1200" w:type="dxa"/>
            <w:vAlign w:val="bottom"/>
            <w:vMerge w:val="continue"/>
            <w:shd w:val="clear" w:color="auto" w:fill="0071CE"/>
          </w:tcPr>
          <w:p>
            <w:pPr>
              <w:spacing w:after="0"/>
              <w:rPr>
                <w:sz w:val="9"/>
                <w:szCs w:val="9"/>
                <w:color w:val="auto"/>
              </w:rPr>
            </w:pPr>
          </w:p>
        </w:tc>
        <w:tc>
          <w:tcPr>
            <w:tcW w:w="1560" w:type="dxa"/>
            <w:vAlign w:val="bottom"/>
            <w:vMerge w:val="restart"/>
            <w:shd w:val="clear" w:color="auto" w:fill="0071CE"/>
          </w:tcPr>
          <w:p>
            <w:pPr>
              <w:jc w:val="center"/>
              <w:ind w:left="22"/>
              <w:spacing w:after="0"/>
              <w:rPr>
                <w:sz w:val="20"/>
                <w:szCs w:val="20"/>
                <w:color w:val="auto"/>
              </w:rPr>
            </w:pPr>
            <w:r>
              <w:rPr>
                <w:rFonts w:ascii="Arial" w:cs="Arial" w:eastAsia="Arial" w:hAnsi="Arial"/>
                <w:sz w:val="14"/>
                <w:szCs w:val="14"/>
                <w:b w:val="1"/>
                <w:bCs w:val="1"/>
                <w:color w:val="FFFFFF"/>
              </w:rPr>
              <w:t>of Shares of</w:t>
            </w:r>
          </w:p>
        </w:tc>
        <w:tc>
          <w:tcPr>
            <w:tcW w:w="960" w:type="dxa"/>
            <w:vAlign w:val="bottom"/>
            <w:vMerge w:val="restart"/>
            <w:shd w:val="clear" w:color="auto" w:fill="0071CE"/>
          </w:tcPr>
          <w:p>
            <w:pPr>
              <w:jc w:val="center"/>
              <w:ind w:left="21"/>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54"/>
        </w:trPr>
        <w:tc>
          <w:tcPr>
            <w:tcW w:w="2880" w:type="dxa"/>
            <w:vAlign w:val="bottom"/>
            <w:shd w:val="clear" w:color="auto" w:fill="0071CE"/>
          </w:tcPr>
          <w:p>
            <w:pPr>
              <w:spacing w:after="0"/>
              <w:rPr>
                <w:sz w:val="4"/>
                <w:szCs w:val="4"/>
                <w:color w:val="auto"/>
              </w:rPr>
            </w:pPr>
          </w:p>
        </w:tc>
        <w:tc>
          <w:tcPr>
            <w:tcW w:w="1200" w:type="dxa"/>
            <w:vAlign w:val="bottom"/>
            <w:shd w:val="clear" w:color="auto" w:fill="0071CE"/>
          </w:tcPr>
          <w:p>
            <w:pPr>
              <w:spacing w:after="0"/>
              <w:rPr>
                <w:sz w:val="4"/>
                <w:szCs w:val="4"/>
                <w:color w:val="auto"/>
              </w:rPr>
            </w:pPr>
          </w:p>
        </w:tc>
        <w:tc>
          <w:tcPr>
            <w:tcW w:w="3200" w:type="dxa"/>
            <w:vAlign w:val="bottom"/>
            <w:gridSpan w:val="3"/>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 Plan Awards (1)</w:t>
            </w:r>
          </w:p>
        </w:tc>
        <w:tc>
          <w:tcPr>
            <w:tcW w:w="1200" w:type="dxa"/>
            <w:vAlign w:val="bottom"/>
            <w:vMerge w:val="restart"/>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rPr>
              <w:t>Awards (2)</w:t>
            </w:r>
          </w:p>
        </w:tc>
        <w:tc>
          <w:tcPr>
            <w:tcW w:w="1560" w:type="dxa"/>
            <w:vAlign w:val="bottom"/>
            <w:vMerge w:val="continue"/>
            <w:shd w:val="clear" w:color="auto" w:fill="0071CE"/>
          </w:tcPr>
          <w:p>
            <w:pPr>
              <w:spacing w:after="0"/>
              <w:rPr>
                <w:sz w:val="4"/>
                <w:szCs w:val="4"/>
                <w:color w:val="auto"/>
              </w:rPr>
            </w:pPr>
          </w:p>
        </w:tc>
        <w:tc>
          <w:tcPr>
            <w:tcW w:w="960" w:type="dxa"/>
            <w:vAlign w:val="bottom"/>
            <w:vMerge w:val="continue"/>
            <w:shd w:val="clear" w:color="auto" w:fill="0071C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0071CE"/>
          </w:tcPr>
          <w:p>
            <w:pPr>
              <w:spacing w:after="0"/>
              <w:rPr>
                <w:sz w:val="14"/>
                <w:szCs w:val="14"/>
                <w:color w:val="auto"/>
              </w:rPr>
            </w:pPr>
          </w:p>
        </w:tc>
        <w:tc>
          <w:tcPr>
            <w:tcW w:w="1200" w:type="dxa"/>
            <w:vAlign w:val="bottom"/>
            <w:shd w:val="clear" w:color="auto" w:fill="0071CE"/>
          </w:tcPr>
          <w:p>
            <w:pPr>
              <w:spacing w:after="0"/>
              <w:rPr>
                <w:sz w:val="14"/>
                <w:szCs w:val="14"/>
                <w:color w:val="auto"/>
              </w:rPr>
            </w:pPr>
          </w:p>
        </w:tc>
        <w:tc>
          <w:tcPr>
            <w:tcW w:w="3200" w:type="dxa"/>
            <w:vAlign w:val="bottom"/>
            <w:gridSpan w:val="3"/>
            <w:vMerge w:val="continue"/>
            <w:shd w:val="clear" w:color="auto" w:fill="0071CE"/>
          </w:tcPr>
          <w:p>
            <w:pPr>
              <w:spacing w:after="0"/>
              <w:rPr>
                <w:sz w:val="14"/>
                <w:szCs w:val="14"/>
                <w:color w:val="auto"/>
              </w:rPr>
            </w:pPr>
          </w:p>
        </w:tc>
        <w:tc>
          <w:tcPr>
            <w:tcW w:w="1200" w:type="dxa"/>
            <w:vAlign w:val="bottom"/>
            <w:vMerge w:val="continue"/>
            <w:shd w:val="clear" w:color="auto" w:fill="0071CE"/>
          </w:tcPr>
          <w:p>
            <w:pPr>
              <w:spacing w:after="0"/>
              <w:rPr>
                <w:sz w:val="14"/>
                <w:szCs w:val="14"/>
                <w:color w:val="auto"/>
              </w:rPr>
            </w:pPr>
          </w:p>
        </w:tc>
        <w:tc>
          <w:tcPr>
            <w:tcW w:w="1560" w:type="dxa"/>
            <w:vAlign w:val="bottom"/>
            <w:shd w:val="clear" w:color="auto" w:fill="0071CE"/>
          </w:tcPr>
          <w:p>
            <w:pPr>
              <w:jc w:val="center"/>
              <w:ind w:left="22"/>
              <w:spacing w:after="0"/>
              <w:rPr>
                <w:sz w:val="20"/>
                <w:szCs w:val="20"/>
                <w:color w:val="auto"/>
              </w:rPr>
            </w:pPr>
            <w:r>
              <w:rPr>
                <w:rFonts w:ascii="Arial" w:cs="Arial" w:eastAsia="Arial" w:hAnsi="Arial"/>
                <w:sz w:val="14"/>
                <w:szCs w:val="14"/>
                <w:b w:val="1"/>
                <w:bCs w:val="1"/>
                <w:color w:val="FFFFFF"/>
              </w:rPr>
              <w:t>Stock or Units</w:t>
            </w:r>
          </w:p>
        </w:tc>
        <w:tc>
          <w:tcPr>
            <w:tcW w:w="960" w:type="dxa"/>
            <w:vAlign w:val="bottom"/>
            <w:shd w:val="clear" w:color="auto" w:fill="0071CE"/>
          </w:tcPr>
          <w:p>
            <w:pPr>
              <w:jc w:val="center"/>
              <w:ind w:left="21"/>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91"/>
        </w:trPr>
        <w:tc>
          <w:tcPr>
            <w:tcW w:w="288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0071CE"/>
          </w:tcPr>
          <w:p>
            <w:pPr>
              <w:jc w:val="right"/>
              <w:ind w:right="100"/>
              <w:spacing w:after="0"/>
              <w:rPr>
                <w:sz w:val="20"/>
                <w:szCs w:val="20"/>
                <w:color w:val="auto"/>
              </w:rPr>
            </w:pPr>
            <w:r>
              <w:rPr>
                <w:rFonts w:ascii="Arial" w:cs="Arial" w:eastAsia="Arial" w:hAnsi="Arial"/>
                <w:sz w:val="14"/>
                <w:szCs w:val="14"/>
                <w:b w:val="1"/>
                <w:bCs w:val="1"/>
                <w:color w:val="FFFFFF"/>
              </w:rPr>
              <w:t>Grant Date</w:t>
            </w:r>
          </w:p>
        </w:tc>
        <w:tc>
          <w:tcPr>
            <w:tcW w:w="900" w:type="dxa"/>
            <w:vAlign w:val="bottom"/>
            <w:shd w:val="clear" w:color="auto" w:fill="0071CE"/>
          </w:tcPr>
          <w:p>
            <w:pPr>
              <w:ind w:left="180"/>
              <w:spacing w:after="0"/>
              <w:rPr>
                <w:sz w:val="20"/>
                <w:szCs w:val="20"/>
                <w:color w:val="auto"/>
              </w:rPr>
            </w:pPr>
            <w:r>
              <w:rPr>
                <w:rFonts w:ascii="Arial" w:cs="Arial" w:eastAsia="Arial" w:hAnsi="Arial"/>
                <w:sz w:val="14"/>
                <w:szCs w:val="14"/>
                <w:b w:val="1"/>
                <w:bCs w:val="1"/>
                <w:color w:val="FFFFFF"/>
              </w:rPr>
              <w:t>Minimum</w:t>
            </w:r>
          </w:p>
        </w:tc>
        <w:tc>
          <w:tcPr>
            <w:tcW w:w="1320" w:type="dxa"/>
            <w:vAlign w:val="bottom"/>
            <w:shd w:val="clear" w:color="auto" w:fill="0071CE"/>
          </w:tcPr>
          <w:p>
            <w:pPr>
              <w:jc w:val="right"/>
              <w:ind w:right="380"/>
              <w:spacing w:after="0"/>
              <w:rPr>
                <w:sz w:val="20"/>
                <w:szCs w:val="20"/>
                <w:color w:val="auto"/>
              </w:rPr>
            </w:pPr>
            <w:r>
              <w:rPr>
                <w:rFonts w:ascii="Arial" w:cs="Arial" w:eastAsia="Arial" w:hAnsi="Arial"/>
                <w:sz w:val="14"/>
                <w:szCs w:val="14"/>
                <w:b w:val="1"/>
                <w:bCs w:val="1"/>
                <w:color w:val="FFFFFF"/>
              </w:rPr>
              <w:t>Target</w:t>
            </w:r>
          </w:p>
        </w:tc>
        <w:tc>
          <w:tcPr>
            <w:tcW w:w="980" w:type="dxa"/>
            <w:vAlign w:val="bottom"/>
            <w:shd w:val="clear" w:color="auto" w:fill="0071CE"/>
          </w:tcPr>
          <w:p>
            <w:pPr>
              <w:jc w:val="right"/>
              <w:ind w:right="140"/>
              <w:spacing w:after="0"/>
              <w:rPr>
                <w:sz w:val="20"/>
                <w:szCs w:val="20"/>
                <w:color w:val="auto"/>
              </w:rPr>
            </w:pPr>
            <w:r>
              <w:rPr>
                <w:rFonts w:ascii="Arial" w:cs="Arial" w:eastAsia="Arial" w:hAnsi="Arial"/>
                <w:sz w:val="14"/>
                <w:szCs w:val="14"/>
                <w:b w:val="1"/>
                <w:bCs w:val="1"/>
                <w:color w:val="FFFFFF"/>
              </w:rPr>
              <w:t>Maximum</w:t>
            </w:r>
          </w:p>
        </w:tc>
        <w:tc>
          <w:tcPr>
            <w:tcW w:w="1200" w:type="dxa"/>
            <w:vAlign w:val="bottom"/>
            <w:shd w:val="clear" w:color="auto" w:fill="0071CE"/>
          </w:tcPr>
          <w:p>
            <w:pPr>
              <w:jc w:val="center"/>
              <w:ind w:left="62"/>
              <w:spacing w:after="0"/>
              <w:rPr>
                <w:sz w:val="20"/>
                <w:szCs w:val="20"/>
                <w:color w:val="auto"/>
              </w:rPr>
            </w:pPr>
            <w:r>
              <w:rPr>
                <w:rFonts w:ascii="Arial" w:cs="Arial" w:eastAsia="Arial" w:hAnsi="Arial"/>
                <w:sz w:val="14"/>
                <w:szCs w:val="14"/>
                <w:b w:val="1"/>
                <w:bCs w:val="1"/>
                <w:color w:val="FFFFFF"/>
                <w:w w:val="98"/>
              </w:rPr>
              <w:t>Target</w:t>
            </w:r>
          </w:p>
        </w:tc>
        <w:tc>
          <w:tcPr>
            <w:tcW w:w="1560" w:type="dxa"/>
            <w:vAlign w:val="bottom"/>
            <w:shd w:val="clear" w:color="auto" w:fill="0071CE"/>
          </w:tcPr>
          <w:p>
            <w:pPr>
              <w:jc w:val="center"/>
              <w:ind w:left="22"/>
              <w:spacing w:after="0"/>
              <w:rPr>
                <w:sz w:val="20"/>
                <w:szCs w:val="20"/>
                <w:color w:val="auto"/>
              </w:rPr>
            </w:pPr>
            <w:r>
              <w:rPr>
                <w:rFonts w:ascii="Arial" w:cs="Arial" w:eastAsia="Arial" w:hAnsi="Arial"/>
                <w:sz w:val="14"/>
                <w:szCs w:val="14"/>
                <w:b w:val="1"/>
                <w:bCs w:val="1"/>
                <w:color w:val="FFFFFF"/>
                <w:w w:val="99"/>
              </w:rPr>
              <w:t>(#) (3)</w:t>
            </w:r>
          </w:p>
        </w:tc>
        <w:tc>
          <w:tcPr>
            <w:tcW w:w="960" w:type="dxa"/>
            <w:vAlign w:val="bottom"/>
            <w:shd w:val="clear" w:color="auto" w:fill="0071CE"/>
          </w:tcPr>
          <w:p>
            <w:pPr>
              <w:jc w:val="center"/>
              <w:ind w:left="21"/>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4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Christopher Anzalone</w:t>
            </w:r>
          </w:p>
        </w:tc>
        <w:tc>
          <w:tcPr>
            <w:tcW w:w="120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320" w:type="dxa"/>
            <w:vAlign w:val="bottom"/>
            <w:shd w:val="clear" w:color="auto" w:fill="E5E5E5"/>
          </w:tcPr>
          <w:p>
            <w:pPr>
              <w:spacing w:after="0"/>
              <w:rPr>
                <w:sz w:val="21"/>
                <w:szCs w:val="21"/>
                <w:color w:val="auto"/>
              </w:rPr>
            </w:pPr>
          </w:p>
        </w:tc>
        <w:tc>
          <w:tcPr>
            <w:tcW w:w="980" w:type="dxa"/>
            <w:vAlign w:val="bottom"/>
            <w:shd w:val="clear" w:color="auto" w:fill="E5E5E5"/>
          </w:tcPr>
          <w:p>
            <w:pPr>
              <w:spacing w:after="0"/>
              <w:rPr>
                <w:sz w:val="21"/>
                <w:szCs w:val="21"/>
                <w:color w:val="auto"/>
              </w:rPr>
            </w:pPr>
          </w:p>
        </w:tc>
        <w:tc>
          <w:tcPr>
            <w:tcW w:w="1200" w:type="dxa"/>
            <w:vAlign w:val="bottom"/>
            <w:shd w:val="clear" w:color="auto" w:fill="E5E5E5"/>
          </w:tcPr>
          <w:p>
            <w:pPr>
              <w:spacing w:after="0"/>
              <w:rPr>
                <w:sz w:val="21"/>
                <w:szCs w:val="21"/>
                <w:color w:val="auto"/>
              </w:rPr>
            </w:pPr>
          </w:p>
        </w:tc>
        <w:tc>
          <w:tcPr>
            <w:tcW w:w="15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00" w:type="dxa"/>
            <w:vAlign w:val="bottom"/>
            <w:shd w:val="clear" w:color="auto" w:fill="E5E5E5"/>
          </w:tcPr>
          <w:p>
            <w:pPr>
              <w:spacing w:after="0"/>
              <w:rPr>
                <w:sz w:val="21"/>
                <w:szCs w:val="21"/>
                <w:color w:val="auto"/>
              </w:rPr>
            </w:pP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$ 650,000</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w w:val="99"/>
              </w:rPr>
              <w:t>$ 1,300,000</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00" w:type="dxa"/>
            <w:vAlign w:val="bottom"/>
            <w:shd w:val="clear" w:color="auto" w:fill="E5E5E5"/>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166,667</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00" w:type="dxa"/>
            <w:vAlign w:val="bottom"/>
            <w:shd w:val="clear" w:color="auto" w:fill="E5E5E5"/>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166,667</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PRSUs (4)</w:t>
            </w:r>
          </w:p>
        </w:tc>
        <w:tc>
          <w:tcPr>
            <w:tcW w:w="1200" w:type="dxa"/>
            <w:vAlign w:val="bottom"/>
            <w:shd w:val="clear" w:color="auto" w:fill="E5E5E5"/>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166,666</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880" w:type="dxa"/>
            <w:vAlign w:val="bottom"/>
          </w:tcPr>
          <w:p>
            <w:pPr>
              <w:ind w:left="60"/>
              <w:spacing w:after="0"/>
              <w:rPr>
                <w:sz w:val="20"/>
                <w:szCs w:val="20"/>
                <w:color w:val="auto"/>
              </w:rPr>
            </w:pPr>
            <w:r>
              <w:rPr>
                <w:rFonts w:ascii="Arial" w:cs="Arial" w:eastAsia="Arial" w:hAnsi="Arial"/>
                <w:sz w:val="16"/>
                <w:szCs w:val="16"/>
                <w:b w:val="1"/>
                <w:bCs w:val="1"/>
                <w:color w:val="0071CE"/>
              </w:rPr>
              <w:t>Kenneth Myszkowski</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200" w:type="dxa"/>
            <w:vAlign w:val="bottom"/>
          </w:tcPr>
          <w:p>
            <w:pPr>
              <w:spacing w:after="0"/>
              <w:rPr>
                <w:sz w:val="21"/>
                <w:szCs w:val="21"/>
                <w:color w:val="auto"/>
              </w:rPr>
            </w:pPr>
          </w:p>
        </w:tc>
        <w:tc>
          <w:tcPr>
            <w:tcW w:w="9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$ 180,000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80"/>
              <w:spacing w:after="0"/>
              <w:rPr>
                <w:sz w:val="20"/>
                <w:szCs w:val="20"/>
                <w:color w:val="auto"/>
              </w:rPr>
            </w:pPr>
            <w:r>
              <w:rPr>
                <w:rFonts w:ascii="Arial" w:cs="Arial" w:eastAsia="Arial" w:hAnsi="Arial"/>
                <w:sz w:val="16"/>
                <w:szCs w:val="16"/>
                <w:color w:val="auto"/>
              </w:rPr>
              <w:t>RSUs</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75,000</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$ 276,000</w:t>
            </w:r>
          </w:p>
        </w:tc>
        <w:tc>
          <w:tcPr>
            <w:tcW w:w="0" w:type="dxa"/>
            <w:vAlign w:val="bottom"/>
          </w:tcPr>
          <w:p>
            <w:pPr>
              <w:spacing w:after="0"/>
              <w:rPr>
                <w:sz w:val="1"/>
                <w:szCs w:val="1"/>
                <w:color w:val="auto"/>
              </w:rPr>
            </w:pPr>
          </w:p>
        </w:tc>
      </w:tr>
      <w:tr>
        <w:trPr>
          <w:trHeight w:val="257"/>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Bruce D. Given</w:t>
            </w:r>
          </w:p>
        </w:tc>
        <w:tc>
          <w:tcPr>
            <w:tcW w:w="1200" w:type="dxa"/>
            <w:vAlign w:val="bottom"/>
            <w:shd w:val="clear" w:color="auto" w:fill="E5E5E5"/>
          </w:tcPr>
          <w:p>
            <w:pPr>
              <w:spacing w:after="0"/>
              <w:rPr>
                <w:sz w:val="22"/>
                <w:szCs w:val="22"/>
                <w:color w:val="auto"/>
              </w:rPr>
            </w:pPr>
          </w:p>
        </w:tc>
        <w:tc>
          <w:tcPr>
            <w:tcW w:w="900" w:type="dxa"/>
            <w:vAlign w:val="bottom"/>
            <w:shd w:val="clear" w:color="auto" w:fill="E5E5E5"/>
          </w:tcPr>
          <w:p>
            <w:pPr>
              <w:spacing w:after="0"/>
              <w:rPr>
                <w:sz w:val="22"/>
                <w:szCs w:val="22"/>
                <w:color w:val="auto"/>
              </w:rPr>
            </w:pPr>
          </w:p>
        </w:tc>
        <w:tc>
          <w:tcPr>
            <w:tcW w:w="132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200" w:type="dxa"/>
            <w:vAlign w:val="bottom"/>
            <w:shd w:val="clear" w:color="auto" w:fill="E5E5E5"/>
          </w:tcPr>
          <w:p>
            <w:pPr>
              <w:spacing w:after="0"/>
              <w:rPr>
                <w:sz w:val="22"/>
                <w:szCs w:val="22"/>
                <w:color w:val="auto"/>
              </w:rPr>
            </w:pPr>
          </w:p>
        </w:tc>
        <w:tc>
          <w:tcPr>
            <w:tcW w:w="156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00" w:type="dxa"/>
            <w:vAlign w:val="bottom"/>
            <w:shd w:val="clear" w:color="auto" w:fill="E5E5E5"/>
          </w:tcPr>
          <w:p>
            <w:pPr>
              <w:spacing w:after="0"/>
              <w:rPr>
                <w:sz w:val="21"/>
                <w:szCs w:val="21"/>
                <w:color w:val="auto"/>
              </w:rPr>
            </w:pP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$ 318,500</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200" w:type="dxa"/>
            <w:vAlign w:val="bottom"/>
            <w:shd w:val="clear" w:color="auto" w:fill="E5E5E5"/>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175,000</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$ 644,000</w:t>
            </w:r>
          </w:p>
        </w:tc>
        <w:tc>
          <w:tcPr>
            <w:tcW w:w="0" w:type="dxa"/>
            <w:vAlign w:val="bottom"/>
          </w:tcPr>
          <w:p>
            <w:pPr>
              <w:spacing w:after="0"/>
              <w:rPr>
                <w:sz w:val="1"/>
                <w:szCs w:val="1"/>
                <w:color w:val="auto"/>
              </w:rPr>
            </w:pPr>
          </w:p>
        </w:tc>
      </w:tr>
      <w:tr>
        <w:trPr>
          <w:trHeight w:val="249"/>
        </w:trPr>
        <w:tc>
          <w:tcPr>
            <w:tcW w:w="2880" w:type="dxa"/>
            <w:vAlign w:val="bottom"/>
          </w:tcPr>
          <w:p>
            <w:pPr>
              <w:ind w:left="60"/>
              <w:spacing w:after="0"/>
              <w:rPr>
                <w:sz w:val="20"/>
                <w:szCs w:val="20"/>
                <w:color w:val="auto"/>
              </w:rPr>
            </w:pPr>
            <w:r>
              <w:rPr>
                <w:rFonts w:ascii="Arial" w:cs="Arial" w:eastAsia="Arial" w:hAnsi="Arial"/>
                <w:sz w:val="16"/>
                <w:szCs w:val="16"/>
                <w:b w:val="1"/>
                <w:bCs w:val="1"/>
                <w:color w:val="0071CE"/>
              </w:rPr>
              <w:t>Patrick O’Brien</w:t>
            </w:r>
          </w:p>
        </w:tc>
        <w:tc>
          <w:tcPr>
            <w:tcW w:w="1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80"/>
              <w:spacing w:after="0"/>
              <w:rPr>
                <w:sz w:val="20"/>
                <w:szCs w:val="20"/>
                <w:color w:val="auto"/>
              </w:rPr>
            </w:pPr>
            <w:r>
              <w:rPr>
                <w:rFonts w:ascii="Arial" w:cs="Arial" w:eastAsia="Arial" w:hAnsi="Arial"/>
                <w:sz w:val="16"/>
                <w:szCs w:val="16"/>
                <w:color w:val="auto"/>
              </w:rPr>
              <w:t>Cash Bonus</w:t>
            </w:r>
          </w:p>
        </w:tc>
        <w:tc>
          <w:tcPr>
            <w:tcW w:w="1200" w:type="dxa"/>
            <w:vAlign w:val="bottom"/>
          </w:tcPr>
          <w:p>
            <w:pPr>
              <w:spacing w:after="0"/>
              <w:rPr>
                <w:sz w:val="21"/>
                <w:szCs w:val="21"/>
                <w:color w:val="auto"/>
              </w:rPr>
            </w:pPr>
          </w:p>
        </w:tc>
        <w:tc>
          <w:tcPr>
            <w:tcW w:w="9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$ 184,500</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80"/>
              <w:spacing w:after="0"/>
              <w:rPr>
                <w:sz w:val="20"/>
                <w:szCs w:val="20"/>
                <w:color w:val="auto"/>
              </w:rPr>
            </w:pPr>
            <w:r>
              <w:rPr>
                <w:rFonts w:ascii="Arial" w:cs="Arial" w:eastAsia="Arial" w:hAnsi="Arial"/>
                <w:sz w:val="16"/>
                <w:szCs w:val="16"/>
                <w:color w:val="auto"/>
              </w:rPr>
              <w:t>RSUs</w:t>
            </w: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60,000</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$ 220,800</w:t>
            </w:r>
          </w:p>
        </w:tc>
        <w:tc>
          <w:tcPr>
            <w:tcW w:w="0" w:type="dxa"/>
            <w:vAlign w:val="bottom"/>
          </w:tcPr>
          <w:p>
            <w:pPr>
              <w:spacing w:after="0"/>
              <w:rPr>
                <w:sz w:val="1"/>
                <w:szCs w:val="1"/>
                <w:color w:val="auto"/>
              </w:rPr>
            </w:pPr>
          </w:p>
        </w:tc>
      </w:tr>
      <w:tr>
        <w:trPr>
          <w:trHeight w:val="257"/>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0071CE"/>
              </w:rPr>
              <w:t>Zhen Li</w:t>
            </w:r>
          </w:p>
        </w:tc>
        <w:tc>
          <w:tcPr>
            <w:tcW w:w="1200" w:type="dxa"/>
            <w:vAlign w:val="bottom"/>
            <w:shd w:val="clear" w:color="auto" w:fill="E5E5E5"/>
          </w:tcPr>
          <w:p>
            <w:pPr>
              <w:spacing w:after="0"/>
              <w:rPr>
                <w:sz w:val="22"/>
                <w:szCs w:val="22"/>
                <w:color w:val="auto"/>
              </w:rPr>
            </w:pPr>
          </w:p>
        </w:tc>
        <w:tc>
          <w:tcPr>
            <w:tcW w:w="900" w:type="dxa"/>
            <w:vAlign w:val="bottom"/>
            <w:shd w:val="clear" w:color="auto" w:fill="E5E5E5"/>
          </w:tcPr>
          <w:p>
            <w:pPr>
              <w:spacing w:after="0"/>
              <w:rPr>
                <w:sz w:val="22"/>
                <w:szCs w:val="22"/>
                <w:color w:val="auto"/>
              </w:rPr>
            </w:pPr>
          </w:p>
        </w:tc>
        <w:tc>
          <w:tcPr>
            <w:tcW w:w="132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1200" w:type="dxa"/>
            <w:vAlign w:val="bottom"/>
            <w:shd w:val="clear" w:color="auto" w:fill="E5E5E5"/>
          </w:tcPr>
          <w:p>
            <w:pPr>
              <w:spacing w:after="0"/>
              <w:rPr>
                <w:sz w:val="22"/>
                <w:szCs w:val="22"/>
                <w:color w:val="auto"/>
              </w:rPr>
            </w:pPr>
          </w:p>
        </w:tc>
        <w:tc>
          <w:tcPr>
            <w:tcW w:w="1560" w:type="dxa"/>
            <w:vAlign w:val="bottom"/>
            <w:shd w:val="clear" w:color="auto" w:fill="E5E5E5"/>
          </w:tcPr>
          <w:p>
            <w:pPr>
              <w:spacing w:after="0"/>
              <w:rPr>
                <w:sz w:val="22"/>
                <w:szCs w:val="22"/>
                <w:color w:val="auto"/>
              </w:rPr>
            </w:pPr>
          </w:p>
        </w:tc>
        <w:tc>
          <w:tcPr>
            <w:tcW w:w="96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Cash Bonus</w:t>
            </w:r>
          </w:p>
        </w:tc>
        <w:tc>
          <w:tcPr>
            <w:tcW w:w="1200" w:type="dxa"/>
            <w:vAlign w:val="bottom"/>
            <w:shd w:val="clear" w:color="auto" w:fill="E5E5E5"/>
          </w:tcPr>
          <w:p>
            <w:pPr>
              <w:spacing w:after="0"/>
              <w:rPr>
                <w:sz w:val="21"/>
                <w:szCs w:val="21"/>
                <w:color w:val="auto"/>
              </w:rPr>
            </w:pPr>
          </w:p>
        </w:tc>
        <w:tc>
          <w:tcPr>
            <w:tcW w:w="9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$ 120,000</w:t>
            </w:r>
          </w:p>
        </w:tc>
        <w:tc>
          <w:tcPr>
            <w:tcW w:w="98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N/A</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9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2880" w:type="dxa"/>
            <w:vAlign w:val="bottom"/>
            <w:tcBorders>
              <w:bottom w:val="single" w:sz="8" w:color="0071CE"/>
            </w:tcBorders>
            <w:shd w:val="clear" w:color="auto" w:fill="E5E5E5"/>
          </w:tcPr>
          <w:p>
            <w:pPr>
              <w:ind w:left="480"/>
              <w:spacing w:after="0"/>
              <w:rPr>
                <w:sz w:val="20"/>
                <w:szCs w:val="20"/>
                <w:color w:val="auto"/>
              </w:rPr>
            </w:pPr>
            <w:r>
              <w:rPr>
                <w:rFonts w:ascii="Arial" w:cs="Arial" w:eastAsia="Arial" w:hAnsi="Arial"/>
                <w:sz w:val="16"/>
                <w:szCs w:val="16"/>
                <w:color w:val="auto"/>
              </w:rPr>
              <w:t>RSUs</w:t>
            </w:r>
          </w:p>
        </w:tc>
        <w:tc>
          <w:tcPr>
            <w:tcW w:w="1200" w:type="dxa"/>
            <w:vAlign w:val="bottom"/>
            <w:tcBorders>
              <w:bottom w:val="single" w:sz="8" w:color="0071CE"/>
            </w:tcBorders>
            <w:shd w:val="clear" w:color="auto" w:fill="E5E5E5"/>
          </w:tcPr>
          <w:p>
            <w:pPr>
              <w:jc w:val="right"/>
              <w:ind w:right="120"/>
              <w:spacing w:after="0"/>
              <w:rPr>
                <w:sz w:val="20"/>
                <w:szCs w:val="20"/>
                <w:color w:val="auto"/>
              </w:rPr>
            </w:pPr>
            <w:r>
              <w:rPr>
                <w:rFonts w:ascii="Arial" w:cs="Arial" w:eastAsia="Arial" w:hAnsi="Arial"/>
                <w:sz w:val="16"/>
                <w:szCs w:val="16"/>
                <w:color w:val="auto"/>
              </w:rPr>
              <w:t>1/1/2018</w:t>
            </w:r>
          </w:p>
        </w:tc>
        <w:tc>
          <w:tcPr>
            <w:tcW w:w="900" w:type="dxa"/>
            <w:vAlign w:val="bottom"/>
            <w:tcBorders>
              <w:bottom w:val="single" w:sz="8" w:color="0071CE"/>
            </w:tcBorders>
            <w:shd w:val="clear" w:color="auto" w:fill="E5E5E5"/>
          </w:tcPr>
          <w:p>
            <w:pPr>
              <w:ind w:lef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0071CE"/>
            </w:tcBorders>
            <w:shd w:val="clear" w:color="auto" w:fill="E5E5E5"/>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71CE"/>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71CE"/>
            </w:tcBorders>
            <w:shd w:val="clear" w:color="auto" w:fill="E5E5E5"/>
          </w:tcPr>
          <w:p>
            <w:pPr>
              <w:jc w:val="right"/>
              <w:ind w:right="82"/>
              <w:spacing w:after="0"/>
              <w:rPr>
                <w:sz w:val="20"/>
                <w:szCs w:val="20"/>
                <w:color w:val="auto"/>
              </w:rPr>
            </w:pPr>
            <w:r>
              <w:rPr>
                <w:rFonts w:ascii="Arial" w:cs="Arial" w:eastAsia="Arial" w:hAnsi="Arial"/>
                <w:sz w:val="16"/>
                <w:szCs w:val="16"/>
                <w:color w:val="auto"/>
              </w:rPr>
              <w:t>65,000</w:t>
            </w:r>
          </w:p>
        </w:tc>
        <w:tc>
          <w:tcPr>
            <w:tcW w:w="960" w:type="dxa"/>
            <w:vAlign w:val="bottom"/>
            <w:tcBorders>
              <w:bottom w:val="single" w:sz="8" w:color="0071CE"/>
            </w:tcBorders>
            <w:shd w:val="clear" w:color="auto" w:fill="E5E5E5"/>
          </w:tcPr>
          <w:p>
            <w:pPr>
              <w:jc w:val="right"/>
              <w:ind w:right="21"/>
              <w:spacing w:after="0"/>
              <w:rPr>
                <w:sz w:val="20"/>
                <w:szCs w:val="20"/>
                <w:color w:val="auto"/>
              </w:rPr>
            </w:pPr>
            <w:r>
              <w:rPr>
                <w:rFonts w:ascii="Arial" w:cs="Arial" w:eastAsia="Arial" w:hAnsi="Arial"/>
                <w:sz w:val="16"/>
                <w:szCs w:val="16"/>
                <w:color w:val="auto"/>
              </w:rPr>
              <w:t>$ 239,200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-2920365</wp:posOffset>
            </wp:positionV>
            <wp:extent cx="27324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2405" cy="8255"/>
                    </a:xfrm>
                    <a:prstGeom prst="rect">
                      <a:avLst/>
                    </a:prstGeom>
                    <a:noFill/>
                  </pic:spPr>
                </pic:pic>
              </a:graphicData>
            </a:graphic>
          </wp:anchor>
        </w:drawing>
      </w:r>
    </w:p>
    <w:p>
      <w:pPr>
        <w:spacing w:after="0" w:line="88" w:lineRule="exact"/>
        <w:rPr>
          <w:sz w:val="20"/>
          <w:szCs w:val="20"/>
          <w:color w:val="auto"/>
        </w:rPr>
      </w:pPr>
    </w:p>
    <w:p>
      <w:pPr>
        <w:ind w:left="540" w:right="140" w:hanging="330"/>
        <w:spacing w:after="0" w:line="290"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named executive officers in 2018. Actual payments were made in fiscal 2019 and the amounts are reported in the Summary Compensation Table above.</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RSU and PRSU are described above in the “Compensation Discussion and Analysis” under the heading “Equity Compensation”.</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RSUs have various vesting parameters. The RSUs granted in 2018 vest in four equal annual installments beginning 1 year from the grant date.</w:t>
      </w:r>
    </w:p>
    <w:p>
      <w:pPr>
        <w:spacing w:after="0" w:line="81" w:lineRule="exact"/>
        <w:rPr>
          <w:rFonts w:ascii="Arial" w:cs="Arial" w:eastAsia="Arial" w:hAnsi="Arial"/>
          <w:sz w:val="14"/>
          <w:szCs w:val="14"/>
          <w:color w:val="auto"/>
        </w:rPr>
      </w:pPr>
    </w:p>
    <w:p>
      <w:pPr>
        <w:ind w:left="540" w:right="160" w:hanging="330"/>
        <w:spacing w:after="0" w:line="290"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determined that as of the date of the grant it was not probable as defined under applicable accounting guidance that any of the performance vesting conditions for these PRSU awards would be achieved and assigned a grant date fair value of $0 based on this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60960</wp:posOffset>
            </wp:positionV>
            <wp:extent cx="98488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5"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33</w:t>
      </w:r>
    </w:p>
    <w:p>
      <w:pPr>
        <w:sectPr>
          <w:pgSz w:w="11900" w:h="16838" w:orient="portrait"/>
          <w:cols w:equalWidth="0" w:num="1">
            <w:col w:w="11220"/>
          </w:cols>
          <w:pgMar w:left="24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120"/>
        <w:spacing w:after="0" w:line="291" w:lineRule="auto"/>
        <w:rPr>
          <w:sz w:val="20"/>
          <w:szCs w:val="20"/>
          <w:color w:val="auto"/>
        </w:rPr>
      </w:pPr>
      <w:r>
        <w:rPr>
          <w:rFonts w:ascii="Arial" w:cs="Arial" w:eastAsia="Arial" w:hAnsi="Arial"/>
          <w:sz w:val="16"/>
          <w:szCs w:val="16"/>
          <w:color w:val="auto"/>
        </w:rPr>
        <w:t>The following table provides information, with respect to the Named Executive Officers, concerning the outstanding equity awards covering shares of the Company’s common stock as of September 30, 2018.</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jc w:val="right"/>
              <w:spacing w:after="0"/>
              <w:rPr>
                <w:sz w:val="20"/>
                <w:szCs w:val="20"/>
                <w:color w:val="auto"/>
              </w:rPr>
            </w:pPr>
            <w:r>
              <w:rPr>
                <w:rFonts w:ascii="Arial" w:cs="Arial" w:eastAsia="Arial" w:hAnsi="Arial"/>
                <w:sz w:val="14"/>
                <w:szCs w:val="14"/>
                <w:b w:val="1"/>
                <w:bCs w:val="1"/>
                <w:color w:val="FFFFFF"/>
              </w:rPr>
              <w:t>Option Awards</w:t>
            </w: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1800" w:type="dxa"/>
            <w:vAlign w:val="bottom"/>
            <w:gridSpan w:val="2"/>
            <w:shd w:val="clear" w:color="auto" w:fill="0071CE"/>
          </w:tcPr>
          <w:p>
            <w:pPr>
              <w:jc w:val="right"/>
              <w:ind w:right="628"/>
              <w:spacing w:after="0"/>
              <w:rPr>
                <w:sz w:val="20"/>
                <w:szCs w:val="20"/>
                <w:color w:val="auto"/>
              </w:rPr>
            </w:pPr>
            <w:r>
              <w:rPr>
                <w:rFonts w:ascii="Arial" w:cs="Arial" w:eastAsia="Arial" w:hAnsi="Arial"/>
                <w:sz w:val="14"/>
                <w:szCs w:val="14"/>
                <w:b w:val="1"/>
                <w:bCs w:val="1"/>
                <w:color w:val="FFFFFF"/>
              </w:rPr>
              <w:t>Stock Awards</w:t>
            </w:r>
          </w:p>
        </w:tc>
        <w:tc>
          <w:tcPr>
            <w:tcW w:w="820" w:type="dxa"/>
            <w:vAlign w:val="bottom"/>
            <w:shd w:val="clear" w:color="auto" w:fill="0071CE"/>
          </w:tcPr>
          <w:p>
            <w:pPr>
              <w:spacing w:after="0"/>
              <w:rPr>
                <w:sz w:val="14"/>
                <w:szCs w:val="14"/>
                <w:color w:val="auto"/>
              </w:rPr>
            </w:pPr>
          </w:p>
        </w:tc>
      </w:tr>
      <w:tr>
        <w:trPr>
          <w:trHeight w:val="201"/>
        </w:trPr>
        <w:tc>
          <w:tcPr>
            <w:tcW w:w="1820" w:type="dxa"/>
            <w:vAlign w:val="bottom"/>
            <w:shd w:val="clear" w:color="auto" w:fill="0071CE"/>
          </w:tcPr>
          <w:p>
            <w:pPr>
              <w:spacing w:after="0"/>
              <w:rPr>
                <w:sz w:val="17"/>
                <w:szCs w:val="17"/>
                <w:color w:val="auto"/>
              </w:rPr>
            </w:pPr>
          </w:p>
        </w:tc>
        <w:tc>
          <w:tcPr>
            <w:tcW w:w="880" w:type="dxa"/>
            <w:vAlign w:val="bottom"/>
            <w:shd w:val="clear" w:color="auto" w:fill="0071CE"/>
          </w:tcPr>
          <w:p>
            <w:pPr>
              <w:spacing w:after="0"/>
              <w:rPr>
                <w:sz w:val="17"/>
                <w:szCs w:val="17"/>
                <w:color w:val="auto"/>
              </w:rPr>
            </w:pPr>
          </w:p>
        </w:tc>
        <w:tc>
          <w:tcPr>
            <w:tcW w:w="940" w:type="dxa"/>
            <w:vAlign w:val="bottom"/>
            <w:shd w:val="clear" w:color="auto" w:fill="0071CE"/>
          </w:tcPr>
          <w:p>
            <w:pPr>
              <w:spacing w:after="0"/>
              <w:rPr>
                <w:sz w:val="17"/>
                <w:szCs w:val="17"/>
                <w:color w:val="auto"/>
              </w:rPr>
            </w:pPr>
          </w:p>
        </w:tc>
        <w:tc>
          <w:tcPr>
            <w:tcW w:w="1840" w:type="dxa"/>
            <w:vAlign w:val="bottom"/>
            <w:shd w:val="clear" w:color="auto" w:fill="0071CE"/>
          </w:tcPr>
          <w:p>
            <w:pPr>
              <w:spacing w:after="0"/>
              <w:rPr>
                <w:sz w:val="17"/>
                <w:szCs w:val="17"/>
                <w:color w:val="auto"/>
              </w:rPr>
            </w:pPr>
          </w:p>
        </w:tc>
        <w:tc>
          <w:tcPr>
            <w:tcW w:w="760" w:type="dxa"/>
            <w:vAlign w:val="bottom"/>
            <w:shd w:val="clear" w:color="auto" w:fill="0071CE"/>
          </w:tcPr>
          <w:p>
            <w:pPr>
              <w:spacing w:after="0"/>
              <w:rPr>
                <w:sz w:val="17"/>
                <w:szCs w:val="17"/>
                <w:color w:val="auto"/>
              </w:rPr>
            </w:pPr>
          </w:p>
        </w:tc>
        <w:tc>
          <w:tcPr>
            <w:tcW w:w="1100" w:type="dxa"/>
            <w:vAlign w:val="bottom"/>
            <w:shd w:val="clear" w:color="auto" w:fill="0071CE"/>
          </w:tcPr>
          <w:p>
            <w:pPr>
              <w:spacing w:after="0"/>
              <w:rPr>
                <w:sz w:val="17"/>
                <w:szCs w:val="17"/>
                <w:color w:val="auto"/>
              </w:rPr>
            </w:pPr>
          </w:p>
        </w:tc>
        <w:tc>
          <w:tcPr>
            <w:tcW w:w="1040" w:type="dxa"/>
            <w:vAlign w:val="bottom"/>
            <w:shd w:val="clear" w:color="auto" w:fill="0071CE"/>
          </w:tcPr>
          <w:p>
            <w:pPr>
              <w:spacing w:after="0"/>
              <w:rPr>
                <w:sz w:val="17"/>
                <w:szCs w:val="17"/>
                <w:color w:val="auto"/>
              </w:rPr>
            </w:pPr>
          </w:p>
        </w:tc>
        <w:tc>
          <w:tcPr>
            <w:tcW w:w="960" w:type="dxa"/>
            <w:vAlign w:val="bottom"/>
            <w:shd w:val="clear" w:color="auto" w:fill="0071CE"/>
          </w:tcPr>
          <w:p>
            <w:pPr>
              <w:spacing w:after="0"/>
              <w:rPr>
                <w:sz w:val="17"/>
                <w:szCs w:val="17"/>
                <w:color w:val="auto"/>
              </w:rPr>
            </w:pPr>
          </w:p>
        </w:tc>
        <w:tc>
          <w:tcPr>
            <w:tcW w:w="840" w:type="dxa"/>
            <w:vAlign w:val="bottom"/>
            <w:shd w:val="clear" w:color="auto" w:fill="0071CE"/>
          </w:tcPr>
          <w:p>
            <w:pPr>
              <w:spacing w:after="0"/>
              <w:rPr>
                <w:sz w:val="17"/>
                <w:szCs w:val="17"/>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Value</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Market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of</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Value of</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spacing w:after="0"/>
              <w:rPr>
                <w:sz w:val="14"/>
                <w:szCs w:val="14"/>
                <w:color w:val="auto"/>
              </w:rPr>
            </w:pP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Shares or</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r>
      <w:tr>
        <w:trPr>
          <w:trHeight w:val="164"/>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840" w:type="dxa"/>
            <w:vAlign w:val="bottom"/>
            <w:shd w:val="clear" w:color="auto" w:fill="0071CE"/>
          </w:tcPr>
          <w:p>
            <w:pPr>
              <w:spacing w:after="0"/>
              <w:rPr>
                <w:sz w:val="14"/>
                <w:szCs w:val="14"/>
                <w:color w:val="auto"/>
              </w:rPr>
            </w:pP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w w:val="99"/>
              </w:rPr>
              <w:t>Units of</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Securities</w:t>
            </w:r>
          </w:p>
        </w:tc>
        <w:tc>
          <w:tcPr>
            <w:tcW w:w="1840" w:type="dxa"/>
            <w:vAlign w:val="bottom"/>
            <w:shd w:val="clear" w:color="auto" w:fill="0071CE"/>
          </w:tcPr>
          <w:p>
            <w:pPr>
              <w:jc w:val="center"/>
              <w:ind w:right="128"/>
              <w:spacing w:after="0"/>
              <w:rPr>
                <w:sz w:val="20"/>
                <w:szCs w:val="20"/>
                <w:color w:val="auto"/>
              </w:rPr>
            </w:pPr>
            <w:r>
              <w:rPr>
                <w:rFonts w:ascii="Arial" w:cs="Arial" w:eastAsia="Arial" w:hAnsi="Arial"/>
                <w:sz w:val="14"/>
                <w:szCs w:val="14"/>
                <w:b w:val="1"/>
                <w:bCs w:val="1"/>
                <w:color w:val="FFFFFF"/>
              </w:rPr>
              <w:t>Number of</w:t>
            </w: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Underlying</w:t>
            </w:r>
          </w:p>
        </w:tc>
        <w:tc>
          <w:tcPr>
            <w:tcW w:w="1840" w:type="dxa"/>
            <w:vAlign w:val="bottom"/>
            <w:shd w:val="clear" w:color="auto" w:fill="0071CE"/>
          </w:tcPr>
          <w:p>
            <w:pPr>
              <w:jc w:val="center"/>
              <w:ind w:right="128"/>
              <w:spacing w:after="0"/>
              <w:rPr>
                <w:sz w:val="20"/>
                <w:szCs w:val="20"/>
                <w:color w:val="auto"/>
              </w:rPr>
            </w:pPr>
            <w:r>
              <w:rPr>
                <w:rFonts w:ascii="Arial" w:cs="Arial" w:eastAsia="Arial" w:hAnsi="Arial"/>
                <w:sz w:val="14"/>
                <w:szCs w:val="14"/>
                <w:b w:val="1"/>
                <w:bCs w:val="1"/>
                <w:color w:val="FFFFFF"/>
              </w:rPr>
              <w:t>Securities</w:t>
            </w: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That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Unexercised</w:t>
            </w:r>
          </w:p>
        </w:tc>
        <w:tc>
          <w:tcPr>
            <w:tcW w:w="1840" w:type="dxa"/>
            <w:vAlign w:val="bottom"/>
            <w:shd w:val="clear" w:color="auto" w:fill="0071CE"/>
          </w:tcPr>
          <w:p>
            <w:pPr>
              <w:jc w:val="center"/>
              <w:ind w:right="128"/>
              <w:spacing w:after="0"/>
              <w:rPr>
                <w:sz w:val="20"/>
                <w:szCs w:val="20"/>
                <w:color w:val="auto"/>
              </w:rPr>
            </w:pPr>
            <w:r>
              <w:rPr>
                <w:rFonts w:ascii="Arial" w:cs="Arial" w:eastAsia="Arial" w:hAnsi="Arial"/>
                <w:sz w:val="14"/>
                <w:szCs w:val="14"/>
                <w:b w:val="1"/>
                <w:bCs w:val="1"/>
                <w:color w:val="FFFFFF"/>
              </w:rPr>
              <w:t>Underlying</w:t>
            </w:r>
          </w:p>
        </w:tc>
        <w:tc>
          <w:tcPr>
            <w:tcW w:w="76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Have</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Options (#</w:t>
            </w:r>
          </w:p>
        </w:tc>
        <w:tc>
          <w:tcPr>
            <w:tcW w:w="1840" w:type="dxa"/>
            <w:vAlign w:val="bottom"/>
            <w:shd w:val="clear" w:color="auto" w:fill="0071CE"/>
          </w:tcPr>
          <w:p>
            <w:pPr>
              <w:jc w:val="center"/>
              <w:ind w:right="148"/>
              <w:spacing w:after="0"/>
              <w:rPr>
                <w:sz w:val="20"/>
                <w:szCs w:val="20"/>
                <w:color w:val="auto"/>
              </w:rPr>
            </w:pPr>
            <w:r>
              <w:rPr>
                <w:rFonts w:ascii="Arial" w:cs="Arial" w:eastAsia="Arial" w:hAnsi="Arial"/>
                <w:sz w:val="14"/>
                <w:szCs w:val="14"/>
                <w:b w:val="1"/>
                <w:bCs w:val="1"/>
                <w:color w:val="FFFFFF"/>
              </w:rPr>
              <w:t>Unexercised</w:t>
            </w:r>
          </w:p>
        </w:tc>
        <w:tc>
          <w:tcPr>
            <w:tcW w:w="760" w:type="dxa"/>
            <w:vAlign w:val="bottom"/>
            <w:shd w:val="clear" w:color="auto" w:fill="0071CE"/>
          </w:tcPr>
          <w:p>
            <w:pPr>
              <w:jc w:val="center"/>
              <w:ind w:right="108"/>
              <w:spacing w:after="0"/>
              <w:rPr>
                <w:sz w:val="20"/>
                <w:szCs w:val="20"/>
                <w:color w:val="auto"/>
              </w:rPr>
            </w:pPr>
            <w:r>
              <w:rPr>
                <w:rFonts w:ascii="Arial" w:cs="Arial" w:eastAsia="Arial" w:hAnsi="Arial"/>
                <w:sz w:val="14"/>
                <w:szCs w:val="14"/>
                <w:b w:val="1"/>
                <w:bCs w:val="1"/>
                <w:color w:val="FFFFFF"/>
              </w:rPr>
              <w:t>Option</w:t>
            </w:r>
          </w:p>
        </w:tc>
        <w:tc>
          <w:tcPr>
            <w:tcW w:w="110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Option</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Not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r>
      <w:tr>
        <w:trPr>
          <w:trHeight w:val="162"/>
        </w:trPr>
        <w:tc>
          <w:tcPr>
            <w:tcW w:w="1820" w:type="dxa"/>
            <w:vAlign w:val="bottom"/>
            <w:shd w:val="clear" w:color="auto" w:fill="0071CE"/>
          </w:tcPr>
          <w:p>
            <w:pPr>
              <w:spacing w:after="0"/>
              <w:rPr>
                <w:sz w:val="14"/>
                <w:szCs w:val="14"/>
                <w:color w:val="auto"/>
              </w:rPr>
            </w:pPr>
          </w:p>
        </w:tc>
        <w:tc>
          <w:tcPr>
            <w:tcW w:w="880" w:type="dxa"/>
            <w:vAlign w:val="bottom"/>
            <w:shd w:val="clear" w:color="auto" w:fill="0071CE"/>
          </w:tcPr>
          <w:p>
            <w:pPr>
              <w:ind w:left="280"/>
              <w:spacing w:after="0"/>
              <w:rPr>
                <w:sz w:val="20"/>
                <w:szCs w:val="20"/>
                <w:color w:val="auto"/>
              </w:rPr>
            </w:pPr>
            <w:r>
              <w:rPr>
                <w:rFonts w:ascii="Arial" w:cs="Arial" w:eastAsia="Arial" w:hAnsi="Arial"/>
                <w:sz w:val="14"/>
                <w:szCs w:val="14"/>
                <w:b w:val="1"/>
                <w:bCs w:val="1"/>
                <w:color w:val="FFFFFF"/>
              </w:rPr>
              <w:t>Grant</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Exercisable)</w:t>
            </w:r>
          </w:p>
        </w:tc>
        <w:tc>
          <w:tcPr>
            <w:tcW w:w="1840" w:type="dxa"/>
            <w:vAlign w:val="bottom"/>
            <w:shd w:val="clear" w:color="auto" w:fill="0071CE"/>
          </w:tcPr>
          <w:p>
            <w:pPr>
              <w:jc w:val="center"/>
              <w:ind w:right="128"/>
              <w:spacing w:after="0"/>
              <w:rPr>
                <w:sz w:val="20"/>
                <w:szCs w:val="20"/>
                <w:color w:val="auto"/>
              </w:rPr>
            </w:pPr>
            <w:r>
              <w:rPr>
                <w:rFonts w:ascii="Arial" w:cs="Arial" w:eastAsia="Arial" w:hAnsi="Arial"/>
                <w:sz w:val="14"/>
                <w:szCs w:val="14"/>
                <w:b w:val="1"/>
                <w:bCs w:val="1"/>
                <w:color w:val="FFFFFF"/>
              </w:rPr>
              <w:t>Options (#</w:t>
            </w:r>
          </w:p>
        </w:tc>
        <w:tc>
          <w:tcPr>
            <w:tcW w:w="760" w:type="dxa"/>
            <w:vAlign w:val="bottom"/>
            <w:shd w:val="clear" w:color="auto" w:fill="0071CE"/>
          </w:tcPr>
          <w:p>
            <w:pPr>
              <w:jc w:val="center"/>
              <w:ind w:right="88"/>
              <w:spacing w:after="0"/>
              <w:rPr>
                <w:sz w:val="20"/>
                <w:szCs w:val="20"/>
                <w:color w:val="auto"/>
              </w:rPr>
            </w:pPr>
            <w:r>
              <w:rPr>
                <w:rFonts w:ascii="Arial" w:cs="Arial" w:eastAsia="Arial" w:hAnsi="Arial"/>
                <w:sz w:val="14"/>
                <w:szCs w:val="14"/>
                <w:b w:val="1"/>
                <w:bCs w:val="1"/>
                <w:color w:val="FFFFFF"/>
              </w:rPr>
              <w:t>Exercise</w:t>
            </w:r>
          </w:p>
        </w:tc>
        <w:tc>
          <w:tcPr>
            <w:tcW w:w="110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rPr>
              <w:t>Expiration</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Vested</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189"/>
        </w:trPr>
        <w:tc>
          <w:tcPr>
            <w:tcW w:w="182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71CE"/>
          </w:tcPr>
          <w:p>
            <w:pPr>
              <w:ind w:left="320"/>
              <w:spacing w:after="0"/>
              <w:rPr>
                <w:sz w:val="20"/>
                <w:szCs w:val="20"/>
                <w:color w:val="auto"/>
              </w:rPr>
            </w:pPr>
            <w:r>
              <w:rPr>
                <w:rFonts w:ascii="Arial" w:cs="Arial" w:eastAsia="Arial" w:hAnsi="Arial"/>
                <w:sz w:val="14"/>
                <w:szCs w:val="14"/>
                <w:b w:val="1"/>
                <w:bCs w:val="1"/>
                <w:color w:val="FFFFFF"/>
              </w:rPr>
              <w:t>Date</w:t>
            </w:r>
          </w:p>
        </w:tc>
        <w:tc>
          <w:tcPr>
            <w:tcW w:w="9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(1)</w:t>
            </w:r>
          </w:p>
        </w:tc>
        <w:tc>
          <w:tcPr>
            <w:tcW w:w="1840" w:type="dxa"/>
            <w:vAlign w:val="bottom"/>
            <w:shd w:val="clear" w:color="auto" w:fill="0071CE"/>
          </w:tcPr>
          <w:p>
            <w:pPr>
              <w:jc w:val="center"/>
              <w:ind w:right="148"/>
              <w:spacing w:after="0"/>
              <w:rPr>
                <w:sz w:val="20"/>
                <w:szCs w:val="20"/>
                <w:color w:val="auto"/>
              </w:rPr>
            </w:pPr>
            <w:r>
              <w:rPr>
                <w:rFonts w:ascii="Arial" w:cs="Arial" w:eastAsia="Arial" w:hAnsi="Arial"/>
                <w:sz w:val="14"/>
                <w:szCs w:val="14"/>
                <w:b w:val="1"/>
                <w:bCs w:val="1"/>
                <w:color w:val="FFFFFF"/>
              </w:rPr>
              <w:t>Unexercisable)</w:t>
            </w:r>
          </w:p>
        </w:tc>
        <w:tc>
          <w:tcPr>
            <w:tcW w:w="760" w:type="dxa"/>
            <w:vAlign w:val="bottom"/>
            <w:shd w:val="clear" w:color="auto" w:fill="0071CE"/>
          </w:tcPr>
          <w:p>
            <w:pPr>
              <w:jc w:val="center"/>
              <w:ind w:right="88"/>
              <w:spacing w:after="0"/>
              <w:rPr>
                <w:sz w:val="20"/>
                <w:szCs w:val="20"/>
                <w:color w:val="auto"/>
              </w:rPr>
            </w:pPr>
            <w:r>
              <w:rPr>
                <w:rFonts w:ascii="Arial" w:cs="Arial" w:eastAsia="Arial" w:hAnsi="Arial"/>
                <w:sz w:val="14"/>
                <w:szCs w:val="14"/>
                <w:b w:val="1"/>
                <w:bCs w:val="1"/>
                <w:color w:val="FFFFFF"/>
              </w:rPr>
              <w:t>Price ($)</w:t>
            </w:r>
          </w:p>
        </w:tc>
        <w:tc>
          <w:tcPr>
            <w:tcW w:w="110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Date</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(3)</w:t>
            </w:r>
          </w:p>
        </w:tc>
        <w:tc>
          <w:tcPr>
            <w:tcW w:w="96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 (4)</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(2)</w:t>
            </w:r>
          </w:p>
        </w:tc>
        <w:tc>
          <w:tcPr>
            <w:tcW w:w="8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(4)</w:t>
            </w:r>
          </w:p>
        </w:tc>
      </w:tr>
      <w:tr>
        <w:trPr>
          <w:trHeight w:val="275"/>
        </w:trPr>
        <w:tc>
          <w:tcPr>
            <w:tcW w:w="18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0071CE"/>
              </w:rPr>
              <w:t>Christopher Anzalone</w:t>
            </w: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10/8/2009</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112,650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5.10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10/8/2019</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3/4/2010</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56,325</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5.20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3/4/2020</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8/16/2010</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9.90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3/16/2020</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160"/>
              <w:spacing w:after="0"/>
              <w:rPr>
                <w:sz w:val="20"/>
                <w:szCs w:val="20"/>
                <w:color w:val="auto"/>
              </w:rPr>
            </w:pPr>
            <w:r>
              <w:rPr>
                <w:rFonts w:ascii="Arial" w:cs="Arial" w:eastAsia="Arial" w:hAnsi="Arial"/>
                <w:sz w:val="14"/>
                <w:szCs w:val="14"/>
                <w:color w:val="auto"/>
                <w:w w:val="99"/>
              </w:rPr>
              <w:t>10/21/2011</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4.60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10/21/2021</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2/16/2012</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5.19</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2/16/2022</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9/28/2012</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2.62</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9/28/2022</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5/6/2013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2.01</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5/6/2023</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9/21/2013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69,991</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4.75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9/21/2023</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2/6/2014</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14.54</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2/6/2024</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3/6/2015</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7.75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3/6/2025</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53,333</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26,667</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6.15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1/1/2026</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360,000</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6,901,200</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4/12/2017</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163,000</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3,124,710</w:t>
            </w:r>
          </w:p>
        </w:tc>
      </w:tr>
      <w:tr>
        <w:trPr>
          <w:trHeight w:val="271"/>
        </w:trPr>
        <w:tc>
          <w:tcPr>
            <w:tcW w:w="1820" w:type="dxa"/>
            <w:vAlign w:val="bottom"/>
            <w:tcBorders>
              <w:bottom w:val="single" w:sz="8" w:color="E5E5E5"/>
            </w:tcBorders>
            <w:shd w:val="clear" w:color="auto" w:fill="E5E5E5"/>
          </w:tcPr>
          <w:p>
            <w:pPr>
              <w:spacing w:after="0"/>
              <w:rPr>
                <w:sz w:val="23"/>
                <w:szCs w:val="23"/>
                <w:color w:val="auto"/>
              </w:rPr>
            </w:pPr>
          </w:p>
        </w:tc>
        <w:tc>
          <w:tcPr>
            <w:tcW w:w="880" w:type="dxa"/>
            <w:vAlign w:val="bottom"/>
            <w:tcBorders>
              <w:bottom w:val="single" w:sz="8" w:color="E5E5E5"/>
            </w:tcBorders>
            <w:shd w:val="clear" w:color="auto" w:fill="E5E5E5"/>
          </w:tcPr>
          <w:p>
            <w:pPr>
              <w:ind w:left="300"/>
              <w:spacing w:after="0"/>
              <w:rPr>
                <w:sz w:val="20"/>
                <w:szCs w:val="20"/>
                <w:color w:val="auto"/>
              </w:rPr>
            </w:pPr>
            <w:r>
              <w:rPr>
                <w:rFonts w:ascii="Arial" w:cs="Arial" w:eastAsia="Arial" w:hAnsi="Arial"/>
                <w:sz w:val="14"/>
                <w:szCs w:val="14"/>
                <w:color w:val="auto"/>
              </w:rPr>
              <w:t>1/1/2018</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E5E5E5"/>
            </w:tcBorders>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333,333</w:t>
            </w:r>
          </w:p>
        </w:tc>
        <w:tc>
          <w:tcPr>
            <w:tcW w:w="82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6,389,994</w:t>
            </w:r>
          </w:p>
        </w:tc>
      </w:tr>
      <w:tr>
        <w:trPr>
          <w:trHeight w:val="275"/>
        </w:trPr>
        <w:tc>
          <w:tcPr>
            <w:tcW w:w="1820" w:type="dxa"/>
            <w:vAlign w:val="bottom"/>
          </w:tcPr>
          <w:p>
            <w:pPr>
              <w:ind w:left="60"/>
              <w:spacing w:after="0"/>
              <w:rPr>
                <w:sz w:val="20"/>
                <w:szCs w:val="20"/>
                <w:color w:val="auto"/>
              </w:rPr>
            </w:pPr>
            <w:r>
              <w:rPr>
                <w:rFonts w:ascii="Arial" w:cs="Arial" w:eastAsia="Arial" w:hAnsi="Arial"/>
                <w:sz w:val="14"/>
                <w:szCs w:val="14"/>
                <w:b w:val="1"/>
                <w:bCs w:val="1"/>
                <w:color w:val="0071CE"/>
              </w:rPr>
              <w:t>Kenneth Myszkowski</w:t>
            </w:r>
          </w:p>
        </w:tc>
        <w:tc>
          <w:tcPr>
            <w:tcW w:w="880" w:type="dxa"/>
            <w:vAlign w:val="bottom"/>
          </w:tcPr>
          <w:p>
            <w:pPr>
              <w:ind w:left="300"/>
              <w:spacing w:after="0"/>
              <w:rPr>
                <w:sz w:val="20"/>
                <w:szCs w:val="20"/>
                <w:color w:val="auto"/>
              </w:rPr>
            </w:pPr>
            <w:r>
              <w:rPr>
                <w:rFonts w:ascii="Arial" w:cs="Arial" w:eastAsia="Arial" w:hAnsi="Arial"/>
                <w:sz w:val="14"/>
                <w:szCs w:val="14"/>
                <w:color w:val="auto"/>
              </w:rPr>
              <w:t>3/4/2010</w:t>
            </w:r>
          </w:p>
        </w:tc>
        <w:tc>
          <w:tcPr>
            <w:tcW w:w="940" w:type="dxa"/>
            <w:vAlign w:val="bottom"/>
          </w:tcPr>
          <w:p>
            <w:pPr>
              <w:jc w:val="right"/>
              <w:spacing w:after="0"/>
              <w:rPr>
                <w:sz w:val="20"/>
                <w:szCs w:val="20"/>
                <w:color w:val="auto"/>
              </w:rPr>
            </w:pPr>
            <w:r>
              <w:rPr>
                <w:rFonts w:ascii="Arial" w:cs="Arial" w:eastAsia="Arial" w:hAnsi="Arial"/>
                <w:sz w:val="14"/>
                <w:szCs w:val="14"/>
                <w:color w:val="auto"/>
              </w:rPr>
              <w:t>8,000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5.20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3/4/2020</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Arial" w:cs="Arial" w:eastAsia="Arial" w:hAnsi="Arial"/>
                <w:sz w:val="14"/>
                <w:szCs w:val="14"/>
                <w:color w:val="auto"/>
              </w:rPr>
              <w:t>8/16/2010</w:t>
            </w:r>
          </w:p>
        </w:tc>
        <w:tc>
          <w:tcPr>
            <w:tcW w:w="940" w:type="dxa"/>
            <w:vAlign w:val="bottom"/>
          </w:tcPr>
          <w:p>
            <w:pPr>
              <w:jc w:val="right"/>
              <w:spacing w:after="0"/>
              <w:rPr>
                <w:sz w:val="20"/>
                <w:szCs w:val="20"/>
                <w:color w:val="auto"/>
              </w:rPr>
            </w:pPr>
            <w:r>
              <w:rPr>
                <w:rFonts w:ascii="Arial" w:cs="Arial" w:eastAsia="Arial" w:hAnsi="Arial"/>
                <w:sz w:val="14"/>
                <w:szCs w:val="14"/>
                <w:color w:val="auto"/>
              </w:rPr>
              <w:t>12,000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9.90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3/16/2020</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4"/>
                <w:szCs w:val="14"/>
                <w:color w:val="auto"/>
                <w:w w:val="99"/>
              </w:rPr>
              <w:t>10/21/2011</w:t>
            </w:r>
          </w:p>
        </w:tc>
        <w:tc>
          <w:tcPr>
            <w:tcW w:w="940" w:type="dxa"/>
            <w:vAlign w:val="bottom"/>
          </w:tcPr>
          <w:p>
            <w:pPr>
              <w:jc w:val="right"/>
              <w:spacing w:after="0"/>
              <w:rPr>
                <w:sz w:val="20"/>
                <w:szCs w:val="20"/>
                <w:color w:val="auto"/>
              </w:rPr>
            </w:pPr>
            <w:r>
              <w:rPr>
                <w:rFonts w:ascii="Arial" w:cs="Arial" w:eastAsia="Arial" w:hAnsi="Arial"/>
                <w:sz w:val="14"/>
                <w:szCs w:val="14"/>
                <w:color w:val="auto"/>
              </w:rPr>
              <w:t>15,000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4.60</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10/21/2021</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220"/>
              <w:spacing w:after="0"/>
              <w:rPr>
                <w:sz w:val="20"/>
                <w:szCs w:val="20"/>
                <w:color w:val="auto"/>
              </w:rPr>
            </w:pPr>
            <w:r>
              <w:rPr>
                <w:rFonts w:ascii="Arial" w:cs="Arial" w:eastAsia="Arial" w:hAnsi="Arial"/>
                <w:sz w:val="14"/>
                <w:szCs w:val="14"/>
                <w:color w:val="auto"/>
              </w:rPr>
              <w:t>2/16/2012</w:t>
            </w:r>
          </w:p>
        </w:tc>
        <w:tc>
          <w:tcPr>
            <w:tcW w:w="940" w:type="dxa"/>
            <w:vAlign w:val="bottom"/>
          </w:tcPr>
          <w:p>
            <w:pPr>
              <w:jc w:val="right"/>
              <w:spacing w:after="0"/>
              <w:rPr>
                <w:sz w:val="20"/>
                <w:szCs w:val="20"/>
                <w:color w:val="auto"/>
              </w:rPr>
            </w:pPr>
            <w:r>
              <w:rPr>
                <w:rFonts w:ascii="Arial" w:cs="Arial" w:eastAsia="Arial" w:hAnsi="Arial"/>
                <w:sz w:val="14"/>
                <w:szCs w:val="14"/>
                <w:color w:val="auto"/>
              </w:rPr>
              <w:t>68,000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5.19</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2/16/2022</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2/6/2014</w:t>
            </w:r>
          </w:p>
        </w:tc>
        <w:tc>
          <w:tcPr>
            <w:tcW w:w="940" w:type="dxa"/>
            <w:vAlign w:val="bottom"/>
          </w:tcPr>
          <w:p>
            <w:pPr>
              <w:jc w:val="right"/>
              <w:spacing w:after="0"/>
              <w:rPr>
                <w:sz w:val="20"/>
                <w:szCs w:val="20"/>
                <w:color w:val="auto"/>
              </w:rPr>
            </w:pPr>
            <w:r>
              <w:rPr>
                <w:rFonts w:ascii="Arial" w:cs="Arial" w:eastAsia="Arial" w:hAnsi="Arial"/>
                <w:sz w:val="14"/>
                <w:szCs w:val="14"/>
                <w:color w:val="auto"/>
              </w:rPr>
              <w:t>50,000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14.54</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2/6/2024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3/6/2015</w:t>
            </w:r>
          </w:p>
        </w:tc>
        <w:tc>
          <w:tcPr>
            <w:tcW w:w="940" w:type="dxa"/>
            <w:vAlign w:val="bottom"/>
          </w:tcPr>
          <w:p>
            <w:pPr>
              <w:jc w:val="right"/>
              <w:spacing w:after="0"/>
              <w:rPr>
                <w:sz w:val="20"/>
                <w:szCs w:val="20"/>
                <w:color w:val="auto"/>
              </w:rPr>
            </w:pPr>
            <w:r>
              <w:rPr>
                <w:rFonts w:ascii="Arial" w:cs="Arial" w:eastAsia="Arial" w:hAnsi="Arial"/>
                <w:sz w:val="14"/>
                <w:szCs w:val="14"/>
                <w:color w:val="auto"/>
              </w:rPr>
              <w:t>43,750</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6,250</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7.75</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3/6/2025</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tcPr>
          <w:p>
            <w:pPr>
              <w:jc w:val="right"/>
              <w:spacing w:after="0"/>
              <w:rPr>
                <w:sz w:val="20"/>
                <w:szCs w:val="20"/>
                <w:color w:val="auto"/>
              </w:rPr>
            </w:pPr>
            <w:r>
              <w:rPr>
                <w:rFonts w:ascii="Arial" w:cs="Arial" w:eastAsia="Arial" w:hAnsi="Arial"/>
                <w:sz w:val="14"/>
                <w:szCs w:val="14"/>
                <w:color w:val="auto"/>
              </w:rPr>
              <w:t>26,666</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13,334</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6.15</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1/1/2026</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16,667</w:t>
            </w:r>
          </w:p>
        </w:tc>
        <w:tc>
          <w:tcPr>
            <w:tcW w:w="960" w:type="dxa"/>
            <w:vAlign w:val="bottom"/>
          </w:tcPr>
          <w:p>
            <w:pPr>
              <w:jc w:val="right"/>
              <w:spacing w:after="0"/>
              <w:rPr>
                <w:sz w:val="20"/>
                <w:szCs w:val="20"/>
                <w:color w:val="auto"/>
              </w:rPr>
            </w:pPr>
            <w:r>
              <w:rPr>
                <w:rFonts w:ascii="Arial" w:cs="Arial" w:eastAsia="Arial" w:hAnsi="Arial"/>
                <w:sz w:val="14"/>
                <w:szCs w:val="14"/>
                <w:color w:val="auto"/>
              </w:rPr>
              <w:t>319,506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1/1/2017</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145,000</w:t>
            </w:r>
          </w:p>
        </w:tc>
        <w:tc>
          <w:tcPr>
            <w:tcW w:w="960" w:type="dxa"/>
            <w:vAlign w:val="bottom"/>
          </w:tcPr>
          <w:p>
            <w:pPr>
              <w:jc w:val="right"/>
              <w:spacing w:after="0"/>
              <w:rPr>
                <w:sz w:val="20"/>
                <w:szCs w:val="20"/>
                <w:color w:val="auto"/>
              </w:rPr>
            </w:pPr>
            <w:r>
              <w:rPr>
                <w:rFonts w:ascii="Arial" w:cs="Arial" w:eastAsia="Arial" w:hAnsi="Arial"/>
                <w:sz w:val="14"/>
                <w:szCs w:val="14"/>
                <w:color w:val="auto"/>
              </w:rPr>
              <w:t>2,779,650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tcPr>
          <w:p>
            <w:pPr>
              <w:spacing w:after="0"/>
              <w:rPr>
                <w:sz w:val="21"/>
                <w:szCs w:val="21"/>
                <w:color w:val="auto"/>
              </w:rPr>
            </w:pPr>
          </w:p>
        </w:tc>
        <w:tc>
          <w:tcPr>
            <w:tcW w:w="880" w:type="dxa"/>
            <w:vAlign w:val="bottom"/>
          </w:tcPr>
          <w:p>
            <w:pPr>
              <w:ind w:left="300"/>
              <w:spacing w:after="0"/>
              <w:rPr>
                <w:sz w:val="20"/>
                <w:szCs w:val="20"/>
                <w:color w:val="auto"/>
              </w:rPr>
            </w:pPr>
            <w:r>
              <w:rPr>
                <w:rFonts w:ascii="Arial" w:cs="Arial" w:eastAsia="Arial" w:hAnsi="Arial"/>
                <w:sz w:val="14"/>
                <w:szCs w:val="14"/>
                <w:color w:val="auto"/>
              </w:rPr>
              <w:t>1/1/2018</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75,000</w:t>
            </w:r>
          </w:p>
        </w:tc>
        <w:tc>
          <w:tcPr>
            <w:tcW w:w="960" w:type="dxa"/>
            <w:vAlign w:val="bottom"/>
          </w:tcPr>
          <w:p>
            <w:pPr>
              <w:jc w:val="right"/>
              <w:spacing w:after="0"/>
              <w:rPr>
                <w:sz w:val="20"/>
                <w:szCs w:val="20"/>
                <w:color w:val="auto"/>
              </w:rPr>
            </w:pPr>
            <w:r>
              <w:rPr>
                <w:rFonts w:ascii="Arial" w:cs="Arial" w:eastAsia="Arial" w:hAnsi="Arial"/>
                <w:sz w:val="14"/>
                <w:szCs w:val="14"/>
                <w:color w:val="auto"/>
              </w:rPr>
              <w:t>1,437,750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48"/>
        </w:trPr>
        <w:tc>
          <w:tcPr>
            <w:tcW w:w="1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5"/>
        </w:trPr>
        <w:tc>
          <w:tcPr>
            <w:tcW w:w="182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0071CE"/>
              </w:rPr>
              <w:t>Bruce D. Given</w:t>
            </w: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9/28/2009</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6.20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9/28/2019</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160"/>
              <w:spacing w:after="0"/>
              <w:rPr>
                <w:sz w:val="20"/>
                <w:szCs w:val="20"/>
                <w:color w:val="auto"/>
              </w:rPr>
            </w:pPr>
            <w:r>
              <w:rPr>
                <w:rFonts w:ascii="Arial" w:cs="Arial" w:eastAsia="Arial" w:hAnsi="Arial"/>
                <w:sz w:val="14"/>
                <w:szCs w:val="14"/>
                <w:color w:val="auto"/>
                <w:w w:val="99"/>
              </w:rPr>
              <w:t>10/26/2011</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5.20</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10/26/2021</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2/16/2012</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5.19</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2/16/2022</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9/28/2012</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2.62</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9/28/2022</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5/6/2013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2.01</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5/6/2023</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9/21/2013</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4.75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9/21/2023</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2/6/2014</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14.54</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2/6/2024</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3/6/2015</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52,500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7,500</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7.75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3/6/2025</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40,000</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20,000</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6.15</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1/1/2026</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50,000</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958,500</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1820" w:type="dxa"/>
            <w:vAlign w:val="bottom"/>
            <w:shd w:val="clear" w:color="auto" w:fill="E5E5E5"/>
          </w:tcPr>
          <w:p>
            <w:pPr>
              <w:spacing w:after="0"/>
              <w:rPr>
                <w:sz w:val="21"/>
                <w:szCs w:val="21"/>
                <w:color w:val="auto"/>
              </w:rPr>
            </w:pPr>
          </w:p>
        </w:tc>
        <w:tc>
          <w:tcPr>
            <w:tcW w:w="880" w:type="dxa"/>
            <w:vAlign w:val="bottom"/>
            <w:shd w:val="clear" w:color="auto" w:fill="E5E5E5"/>
          </w:tcPr>
          <w:p>
            <w:pPr>
              <w:ind w:left="300"/>
              <w:spacing w:after="0"/>
              <w:rPr>
                <w:sz w:val="20"/>
                <w:szCs w:val="20"/>
                <w:color w:val="auto"/>
              </w:rPr>
            </w:pPr>
            <w:r>
              <w:rPr>
                <w:rFonts w:ascii="Arial" w:cs="Arial" w:eastAsia="Arial" w:hAnsi="Arial"/>
                <w:sz w:val="14"/>
                <w:szCs w:val="14"/>
                <w:color w:val="auto"/>
              </w:rPr>
              <w:t>1/1/2017</w:t>
            </w:r>
          </w:p>
        </w:tc>
        <w:tc>
          <w:tcPr>
            <w:tcW w:w="9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380,000</w:t>
            </w: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7,284,600</w:t>
            </w:r>
          </w:p>
        </w:tc>
        <w:tc>
          <w:tcPr>
            <w:tcW w:w="8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1820" w:type="dxa"/>
            <w:vAlign w:val="bottom"/>
            <w:tcBorders>
              <w:bottom w:val="single" w:sz="8" w:color="E5E5E5"/>
            </w:tcBorders>
            <w:shd w:val="clear" w:color="auto" w:fill="E5E5E5"/>
          </w:tcPr>
          <w:p>
            <w:pPr>
              <w:spacing w:after="0"/>
              <w:rPr>
                <w:sz w:val="23"/>
                <w:szCs w:val="23"/>
                <w:color w:val="auto"/>
              </w:rPr>
            </w:pPr>
          </w:p>
        </w:tc>
        <w:tc>
          <w:tcPr>
            <w:tcW w:w="880" w:type="dxa"/>
            <w:vAlign w:val="bottom"/>
            <w:tcBorders>
              <w:bottom w:val="single" w:sz="8" w:color="E5E5E5"/>
            </w:tcBorders>
            <w:shd w:val="clear" w:color="auto" w:fill="E5E5E5"/>
          </w:tcPr>
          <w:p>
            <w:pPr>
              <w:ind w:left="300"/>
              <w:spacing w:after="0"/>
              <w:rPr>
                <w:sz w:val="20"/>
                <w:szCs w:val="20"/>
                <w:color w:val="auto"/>
              </w:rPr>
            </w:pPr>
            <w:r>
              <w:rPr>
                <w:rFonts w:ascii="Arial" w:cs="Arial" w:eastAsia="Arial" w:hAnsi="Arial"/>
                <w:sz w:val="14"/>
                <w:szCs w:val="14"/>
                <w:color w:val="auto"/>
              </w:rPr>
              <w:t>1/1/2018</w:t>
            </w:r>
          </w:p>
        </w:tc>
        <w:tc>
          <w:tcPr>
            <w:tcW w:w="9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E5E5E5"/>
            </w:tcBorders>
            <w:shd w:val="clear" w:color="auto" w:fill="E5E5E5"/>
          </w:tcPr>
          <w:p>
            <w:pPr>
              <w:jc w:val="right"/>
              <w:ind w:right="7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color w:val="auto"/>
              </w:rPr>
              <w:t>175,000</w:t>
            </w:r>
          </w:p>
        </w:tc>
        <w:tc>
          <w:tcPr>
            <w:tcW w:w="9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3,354,750</w:t>
            </w:r>
          </w:p>
        </w:tc>
        <w:tc>
          <w:tcPr>
            <w:tcW w:w="840" w:type="dxa"/>
            <w:vAlign w:val="bottom"/>
            <w:tcBorders>
              <w:bottom w:val="single" w:sz="8" w:color="E5E5E5"/>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5E5E5"/>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820" w:type="dxa"/>
            <w:vAlign w:val="bottom"/>
            <w:shd w:val="clear" w:color="auto" w:fill="0071CE"/>
          </w:tcPr>
          <w:p>
            <w:pPr>
              <w:spacing w:after="0" w:line="20" w:lineRule="exact"/>
              <w:rPr>
                <w:sz w:val="1"/>
                <w:szCs w:val="1"/>
                <w:color w:val="auto"/>
              </w:rPr>
            </w:pPr>
          </w:p>
        </w:tc>
        <w:tc>
          <w:tcPr>
            <w:tcW w:w="880" w:type="dxa"/>
            <w:vAlign w:val="bottom"/>
            <w:shd w:val="clear" w:color="auto" w:fill="0071CE"/>
          </w:tcPr>
          <w:p>
            <w:pPr>
              <w:spacing w:after="0" w:line="20" w:lineRule="exact"/>
              <w:rPr>
                <w:sz w:val="1"/>
                <w:szCs w:val="1"/>
                <w:color w:val="auto"/>
              </w:rPr>
            </w:pPr>
          </w:p>
        </w:tc>
        <w:tc>
          <w:tcPr>
            <w:tcW w:w="940" w:type="dxa"/>
            <w:vAlign w:val="bottom"/>
            <w:shd w:val="clear" w:color="auto" w:fill="0071CE"/>
          </w:tcPr>
          <w:p>
            <w:pPr>
              <w:spacing w:after="0" w:line="20" w:lineRule="exact"/>
              <w:rPr>
                <w:sz w:val="1"/>
                <w:szCs w:val="1"/>
                <w:color w:val="auto"/>
              </w:rPr>
            </w:pPr>
          </w:p>
        </w:tc>
        <w:tc>
          <w:tcPr>
            <w:tcW w:w="1840" w:type="dxa"/>
            <w:vAlign w:val="bottom"/>
            <w:shd w:val="clear" w:color="auto" w:fill="0071CE"/>
          </w:tcPr>
          <w:p>
            <w:pPr>
              <w:spacing w:after="0" w:line="20" w:lineRule="exact"/>
              <w:rPr>
                <w:sz w:val="1"/>
                <w:szCs w:val="1"/>
                <w:color w:val="auto"/>
              </w:rPr>
            </w:pPr>
          </w:p>
        </w:tc>
        <w:tc>
          <w:tcPr>
            <w:tcW w:w="760" w:type="dxa"/>
            <w:vAlign w:val="bottom"/>
            <w:shd w:val="clear" w:color="auto" w:fill="0071CE"/>
          </w:tcPr>
          <w:p>
            <w:pPr>
              <w:spacing w:after="0" w:line="20" w:lineRule="exact"/>
              <w:rPr>
                <w:sz w:val="1"/>
                <w:szCs w:val="1"/>
                <w:color w:val="auto"/>
              </w:rPr>
            </w:pPr>
          </w:p>
        </w:tc>
        <w:tc>
          <w:tcPr>
            <w:tcW w:w="1100" w:type="dxa"/>
            <w:vAlign w:val="bottom"/>
            <w:shd w:val="clear" w:color="auto" w:fill="0071CE"/>
          </w:tcPr>
          <w:p>
            <w:pPr>
              <w:spacing w:after="0" w:line="20" w:lineRule="exact"/>
              <w:rPr>
                <w:sz w:val="1"/>
                <w:szCs w:val="1"/>
                <w:color w:val="auto"/>
              </w:rPr>
            </w:pPr>
          </w:p>
        </w:tc>
        <w:tc>
          <w:tcPr>
            <w:tcW w:w="1040" w:type="dxa"/>
            <w:vAlign w:val="bottom"/>
            <w:shd w:val="clear" w:color="auto" w:fill="0071CE"/>
          </w:tcPr>
          <w:p>
            <w:pPr>
              <w:spacing w:after="0" w:line="20" w:lineRule="exact"/>
              <w:rPr>
                <w:sz w:val="1"/>
                <w:szCs w:val="1"/>
                <w:color w:val="auto"/>
              </w:rPr>
            </w:pPr>
          </w:p>
        </w:tc>
        <w:tc>
          <w:tcPr>
            <w:tcW w:w="960" w:type="dxa"/>
            <w:vAlign w:val="bottom"/>
            <w:shd w:val="clear" w:color="auto" w:fill="0071CE"/>
          </w:tcPr>
          <w:p>
            <w:pPr>
              <w:spacing w:after="0" w:line="20" w:lineRule="exact"/>
              <w:rPr>
                <w:sz w:val="1"/>
                <w:szCs w:val="1"/>
                <w:color w:val="auto"/>
              </w:rPr>
            </w:pPr>
          </w:p>
        </w:tc>
        <w:tc>
          <w:tcPr>
            <w:tcW w:w="840" w:type="dxa"/>
            <w:vAlign w:val="bottom"/>
            <w:shd w:val="clear" w:color="auto" w:fill="0071CE"/>
          </w:tcPr>
          <w:p>
            <w:pPr>
              <w:spacing w:after="0" w:line="20" w:lineRule="exact"/>
              <w:rPr>
                <w:sz w:val="1"/>
                <w:szCs w:val="1"/>
                <w:color w:val="auto"/>
              </w:rPr>
            </w:pPr>
          </w:p>
        </w:tc>
        <w:tc>
          <w:tcPr>
            <w:tcW w:w="820" w:type="dxa"/>
            <w:vAlign w:val="bottom"/>
            <w:shd w:val="clear" w:color="auto" w:fill="0071C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-7400290</wp:posOffset>
            </wp:positionV>
            <wp:extent cx="52254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25415"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93980</wp:posOffset>
            </wp:positionV>
            <wp:extent cx="98488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34</w:t>
      </w:r>
    </w:p>
    <w:p>
      <w:pPr>
        <w:sectPr>
          <w:pgSz w:w="11900" w:h="16838" w:orient="portrait"/>
          <w:cols w:equalWidth="0" w:num="1">
            <w:col w:w="11220"/>
          </w:cols>
          <w:pgMar w:left="24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220" w:type="dxa"/>
        <w:tblCellMar>
          <w:top w:w="0" w:type="dxa"/>
          <w:left w:w="0" w:type="dxa"/>
          <w:bottom w:w="0" w:type="dxa"/>
          <w:right w:w="0" w:type="dxa"/>
        </w:tblCellMar>
      </w:tblPr>
      <w:tr>
        <w:trPr>
          <w:trHeight w:val="202"/>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760" w:type="dxa"/>
            <w:vAlign w:val="bottom"/>
            <w:gridSpan w:val="4"/>
          </w:tcPr>
          <w:p>
            <w:pPr>
              <w:ind w:left="120"/>
              <w:spacing w:after="0"/>
              <w:rPr>
                <w:sz w:val="20"/>
                <w:szCs w:val="20"/>
                <w:color w:val="auto"/>
              </w:rPr>
            </w:pPr>
            <w:r>
              <w:rPr>
                <w:rFonts w:ascii="Arial" w:cs="Arial" w:eastAsia="Arial" w:hAnsi="Arial"/>
                <w:sz w:val="14"/>
                <w:szCs w:val="14"/>
                <w:b w:val="1"/>
                <w:bCs w:val="1"/>
                <w:color w:val="0071CE"/>
              </w:rPr>
              <w:t xml:space="preserve">2019 PROXY STATEMENT  </w:t>
            </w:r>
            <w:r>
              <w:rPr>
                <w:rFonts w:ascii="Arial" w:cs="Arial" w:eastAsia="Arial" w:hAnsi="Arial"/>
                <w:sz w:val="14"/>
                <w:szCs w:val="14"/>
                <w:b w:val="1"/>
                <w:bCs w:val="1"/>
                <w:i w:val="1"/>
                <w:iCs w:val="1"/>
                <w:color w:val="3FAE2A"/>
              </w:rPr>
              <w:t>Executive Compensation</w:t>
            </w:r>
          </w:p>
        </w:tc>
      </w:tr>
      <w:tr>
        <w:trPr>
          <w:trHeight w:val="123"/>
        </w:trPr>
        <w:tc>
          <w:tcPr>
            <w:tcW w:w="1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jc w:val="right"/>
              <w:spacing w:after="0"/>
              <w:rPr>
                <w:sz w:val="20"/>
                <w:szCs w:val="20"/>
                <w:color w:val="auto"/>
              </w:rPr>
            </w:pPr>
            <w:r>
              <w:rPr>
                <w:rFonts w:ascii="Arial" w:cs="Arial" w:eastAsia="Arial" w:hAnsi="Arial"/>
                <w:sz w:val="14"/>
                <w:szCs w:val="14"/>
                <w:b w:val="1"/>
                <w:bCs w:val="1"/>
                <w:color w:val="FFFFFF"/>
              </w:rPr>
              <w:t>Option Awards</w:t>
            </w: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840" w:type="dxa"/>
            <w:vAlign w:val="bottom"/>
            <w:gridSpan w:val="2"/>
            <w:shd w:val="clear" w:color="auto" w:fill="0071CE"/>
          </w:tcPr>
          <w:p>
            <w:pPr>
              <w:ind w:left="160"/>
              <w:spacing w:after="0"/>
              <w:rPr>
                <w:sz w:val="20"/>
                <w:szCs w:val="20"/>
                <w:color w:val="auto"/>
              </w:rPr>
            </w:pPr>
            <w:r>
              <w:rPr>
                <w:rFonts w:ascii="Arial" w:cs="Arial" w:eastAsia="Arial" w:hAnsi="Arial"/>
                <w:sz w:val="14"/>
                <w:szCs w:val="14"/>
                <w:b w:val="1"/>
                <w:bCs w:val="1"/>
                <w:color w:val="FFFFFF"/>
              </w:rPr>
              <w:t>Stock Awards</w:t>
            </w:r>
          </w:p>
        </w:tc>
        <w:tc>
          <w:tcPr>
            <w:tcW w:w="780" w:type="dxa"/>
            <w:vAlign w:val="bottom"/>
            <w:shd w:val="clear" w:color="auto" w:fill="0071CE"/>
          </w:tcPr>
          <w:p>
            <w:pPr>
              <w:spacing w:after="0"/>
              <w:rPr>
                <w:sz w:val="14"/>
                <w:szCs w:val="14"/>
                <w:color w:val="auto"/>
              </w:rPr>
            </w:pPr>
          </w:p>
        </w:tc>
      </w:tr>
      <w:tr>
        <w:trPr>
          <w:trHeight w:val="201"/>
        </w:trPr>
        <w:tc>
          <w:tcPr>
            <w:tcW w:w="1560" w:type="dxa"/>
            <w:vAlign w:val="bottom"/>
            <w:shd w:val="clear" w:color="auto" w:fill="0071CE"/>
          </w:tcPr>
          <w:p>
            <w:pPr>
              <w:spacing w:after="0"/>
              <w:rPr>
                <w:sz w:val="17"/>
                <w:szCs w:val="17"/>
                <w:color w:val="auto"/>
              </w:rPr>
            </w:pPr>
          </w:p>
        </w:tc>
        <w:tc>
          <w:tcPr>
            <w:tcW w:w="980" w:type="dxa"/>
            <w:vAlign w:val="bottom"/>
            <w:shd w:val="clear" w:color="auto" w:fill="0071CE"/>
          </w:tcPr>
          <w:p>
            <w:pPr>
              <w:spacing w:after="0"/>
              <w:rPr>
                <w:sz w:val="17"/>
                <w:szCs w:val="17"/>
                <w:color w:val="auto"/>
              </w:rPr>
            </w:pPr>
          </w:p>
        </w:tc>
        <w:tc>
          <w:tcPr>
            <w:tcW w:w="1100" w:type="dxa"/>
            <w:vAlign w:val="bottom"/>
            <w:shd w:val="clear" w:color="auto" w:fill="0071CE"/>
          </w:tcPr>
          <w:p>
            <w:pPr>
              <w:spacing w:after="0"/>
              <w:rPr>
                <w:sz w:val="17"/>
                <w:szCs w:val="17"/>
                <w:color w:val="auto"/>
              </w:rPr>
            </w:pPr>
          </w:p>
        </w:tc>
        <w:tc>
          <w:tcPr>
            <w:tcW w:w="1740" w:type="dxa"/>
            <w:vAlign w:val="bottom"/>
            <w:shd w:val="clear" w:color="auto" w:fill="0071CE"/>
          </w:tcPr>
          <w:p>
            <w:pPr>
              <w:spacing w:after="0"/>
              <w:rPr>
                <w:sz w:val="17"/>
                <w:szCs w:val="17"/>
                <w:color w:val="auto"/>
              </w:rPr>
            </w:pPr>
          </w:p>
        </w:tc>
        <w:tc>
          <w:tcPr>
            <w:tcW w:w="780" w:type="dxa"/>
            <w:vAlign w:val="bottom"/>
            <w:shd w:val="clear" w:color="auto" w:fill="0071CE"/>
          </w:tcPr>
          <w:p>
            <w:pPr>
              <w:spacing w:after="0"/>
              <w:rPr>
                <w:sz w:val="17"/>
                <w:szCs w:val="17"/>
                <w:color w:val="auto"/>
              </w:rPr>
            </w:pPr>
          </w:p>
        </w:tc>
        <w:tc>
          <w:tcPr>
            <w:tcW w:w="1080" w:type="dxa"/>
            <w:vAlign w:val="bottom"/>
            <w:shd w:val="clear" w:color="auto" w:fill="0071CE"/>
          </w:tcPr>
          <w:p>
            <w:pPr>
              <w:spacing w:after="0"/>
              <w:rPr>
                <w:sz w:val="17"/>
                <w:szCs w:val="17"/>
                <w:color w:val="auto"/>
              </w:rPr>
            </w:pPr>
          </w:p>
        </w:tc>
        <w:tc>
          <w:tcPr>
            <w:tcW w:w="1140" w:type="dxa"/>
            <w:vAlign w:val="bottom"/>
            <w:shd w:val="clear" w:color="auto" w:fill="0071CE"/>
          </w:tcPr>
          <w:p>
            <w:pPr>
              <w:spacing w:after="0"/>
              <w:rPr>
                <w:sz w:val="17"/>
                <w:szCs w:val="17"/>
                <w:color w:val="auto"/>
              </w:rPr>
            </w:pPr>
          </w:p>
        </w:tc>
        <w:tc>
          <w:tcPr>
            <w:tcW w:w="1000" w:type="dxa"/>
            <w:vAlign w:val="bottom"/>
            <w:shd w:val="clear" w:color="auto" w:fill="0071CE"/>
          </w:tcPr>
          <w:p>
            <w:pPr>
              <w:spacing w:after="0"/>
              <w:rPr>
                <w:sz w:val="17"/>
                <w:szCs w:val="17"/>
                <w:color w:val="auto"/>
              </w:rPr>
            </w:pPr>
          </w:p>
        </w:tc>
        <w:tc>
          <w:tcPr>
            <w:tcW w:w="840" w:type="dxa"/>
            <w:vAlign w:val="bottom"/>
            <w:shd w:val="clear" w:color="auto" w:fill="0071CE"/>
          </w:tcPr>
          <w:p>
            <w:pPr>
              <w:spacing w:after="0"/>
              <w:rPr>
                <w:sz w:val="17"/>
                <w:szCs w:val="17"/>
                <w:color w:val="auto"/>
              </w:rPr>
            </w:pP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Equity</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Incentive</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Plan</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spacing w:after="0"/>
              <w:rPr>
                <w:sz w:val="14"/>
                <w:szCs w:val="14"/>
                <w:color w:val="auto"/>
              </w:rPr>
            </w:pP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6"/>
              </w:rPr>
              <w:t>Value</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Market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0"/>
              </w:rPr>
              <w:t>of</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spacing w:after="0"/>
              <w:rPr>
                <w:sz w:val="14"/>
                <w:szCs w:val="14"/>
                <w:color w:val="auto"/>
              </w:rPr>
            </w:pP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w w:val="99"/>
              </w:rPr>
              <w:t>Value of</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Unearned</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Shares or</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r>
      <w:tr>
        <w:trPr>
          <w:trHeight w:val="164"/>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jc w:val="center"/>
              <w:ind w:right="68"/>
              <w:spacing w:after="0"/>
              <w:rPr>
                <w:sz w:val="20"/>
                <w:szCs w:val="20"/>
                <w:color w:val="auto"/>
              </w:rPr>
            </w:pPr>
            <w:r>
              <w:rPr>
                <w:rFonts w:ascii="Arial" w:cs="Arial" w:eastAsia="Arial" w:hAnsi="Arial"/>
                <w:sz w:val="14"/>
                <w:szCs w:val="14"/>
                <w:b w:val="1"/>
                <w:bCs w:val="1"/>
                <w:color w:val="FFFFFF"/>
              </w:rPr>
              <w:t>Number of</w:t>
            </w:r>
          </w:p>
        </w:tc>
        <w:tc>
          <w:tcPr>
            <w:tcW w:w="1740" w:type="dxa"/>
            <w:vAlign w:val="bottom"/>
            <w:shd w:val="clear" w:color="auto" w:fill="0071CE"/>
          </w:tcPr>
          <w:p>
            <w:pPr>
              <w:spacing w:after="0"/>
              <w:rPr>
                <w:sz w:val="14"/>
                <w:szCs w:val="14"/>
                <w:color w:val="auto"/>
              </w:rPr>
            </w:pP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Shares or</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Units of</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Units of</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jc w:val="center"/>
              <w:ind w:right="68"/>
              <w:spacing w:after="0"/>
              <w:rPr>
                <w:sz w:val="20"/>
                <w:szCs w:val="20"/>
                <w:color w:val="auto"/>
              </w:rPr>
            </w:pPr>
            <w:r>
              <w:rPr>
                <w:rFonts w:ascii="Arial" w:cs="Arial" w:eastAsia="Arial" w:hAnsi="Arial"/>
                <w:sz w:val="14"/>
                <w:szCs w:val="14"/>
                <w:b w:val="1"/>
                <w:bCs w:val="1"/>
                <w:color w:val="FFFFFF"/>
              </w:rPr>
              <w:t>Securities</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Number of</w:t>
            </w: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Units of</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w w:val="99"/>
              </w:rPr>
              <w:t>Stock</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Underlying</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Securities</w:t>
            </w: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Stock</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That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That</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Unexercised</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Underlying</w:t>
            </w:r>
          </w:p>
        </w:tc>
        <w:tc>
          <w:tcPr>
            <w:tcW w:w="780" w:type="dxa"/>
            <w:vAlign w:val="bottom"/>
            <w:shd w:val="clear" w:color="auto" w:fill="0071CE"/>
          </w:tcPr>
          <w:p>
            <w:pPr>
              <w:spacing w:after="0"/>
              <w:rPr>
                <w:sz w:val="14"/>
                <w:szCs w:val="14"/>
                <w:color w:val="auto"/>
              </w:rPr>
            </w:pPr>
          </w:p>
        </w:tc>
        <w:tc>
          <w:tcPr>
            <w:tcW w:w="1080" w:type="dxa"/>
            <w:vAlign w:val="bottom"/>
            <w:shd w:val="clear" w:color="auto" w:fill="0071CE"/>
          </w:tcPr>
          <w:p>
            <w:pPr>
              <w:spacing w:after="0"/>
              <w:rPr>
                <w:sz w:val="14"/>
                <w:szCs w:val="14"/>
                <w:color w:val="auto"/>
              </w:rPr>
            </w:pPr>
          </w:p>
        </w:tc>
        <w:tc>
          <w:tcPr>
            <w:tcW w:w="11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That</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Have</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Have</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spacing w:after="0"/>
              <w:rPr>
                <w:sz w:val="14"/>
                <w:szCs w:val="14"/>
                <w:color w:val="auto"/>
              </w:rPr>
            </w:pPr>
          </w:p>
        </w:tc>
        <w:tc>
          <w:tcPr>
            <w:tcW w:w="110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Options (#</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Unexercised</w:t>
            </w:r>
          </w:p>
        </w:tc>
        <w:tc>
          <w:tcPr>
            <w:tcW w:w="780" w:type="dxa"/>
            <w:vAlign w:val="bottom"/>
            <w:shd w:val="clear" w:color="auto" w:fill="0071CE"/>
          </w:tcPr>
          <w:p>
            <w:pPr>
              <w:jc w:val="center"/>
              <w:ind w:right="88"/>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Have Not</w:t>
            </w:r>
          </w:p>
        </w:tc>
        <w:tc>
          <w:tcPr>
            <w:tcW w:w="1000" w:type="dxa"/>
            <w:vAlign w:val="bottom"/>
            <w:shd w:val="clear" w:color="auto" w:fill="0071CE"/>
          </w:tcPr>
          <w:p>
            <w:pPr>
              <w:jc w:val="center"/>
              <w:ind w:left="88"/>
              <w:spacing w:after="0"/>
              <w:rPr>
                <w:sz w:val="20"/>
                <w:szCs w:val="20"/>
                <w:color w:val="auto"/>
              </w:rPr>
            </w:pPr>
            <w:r>
              <w:rPr>
                <w:rFonts w:ascii="Arial" w:cs="Arial" w:eastAsia="Arial" w:hAnsi="Arial"/>
                <w:sz w:val="14"/>
                <w:szCs w:val="14"/>
                <w:b w:val="1"/>
                <w:bCs w:val="1"/>
                <w:color w:val="FFFFFF"/>
              </w:rPr>
              <w:t>Not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Not</w:t>
            </w:r>
          </w:p>
        </w:tc>
      </w:tr>
      <w:tr>
        <w:trPr>
          <w:trHeight w:val="162"/>
        </w:trPr>
        <w:tc>
          <w:tcPr>
            <w:tcW w:w="1560" w:type="dxa"/>
            <w:vAlign w:val="bottom"/>
            <w:shd w:val="clear" w:color="auto" w:fill="0071CE"/>
          </w:tcPr>
          <w:p>
            <w:pPr>
              <w:spacing w:after="0"/>
              <w:rPr>
                <w:sz w:val="14"/>
                <w:szCs w:val="14"/>
                <w:color w:val="auto"/>
              </w:rPr>
            </w:pPr>
          </w:p>
        </w:tc>
        <w:tc>
          <w:tcPr>
            <w:tcW w:w="980" w:type="dxa"/>
            <w:vAlign w:val="bottom"/>
            <w:shd w:val="clear" w:color="auto" w:fill="0071CE"/>
          </w:tcPr>
          <w:p>
            <w:pPr>
              <w:jc w:val="right"/>
              <w:ind w:right="208"/>
              <w:spacing w:after="0"/>
              <w:rPr>
                <w:sz w:val="20"/>
                <w:szCs w:val="20"/>
                <w:color w:val="auto"/>
              </w:rPr>
            </w:pPr>
            <w:r>
              <w:rPr>
                <w:rFonts w:ascii="Arial" w:cs="Arial" w:eastAsia="Arial" w:hAnsi="Arial"/>
                <w:sz w:val="14"/>
                <w:szCs w:val="14"/>
                <w:b w:val="1"/>
                <w:bCs w:val="1"/>
                <w:color w:val="FFFFFF"/>
              </w:rPr>
              <w:t>Grant</w:t>
            </w:r>
          </w:p>
        </w:tc>
        <w:tc>
          <w:tcPr>
            <w:tcW w:w="1100" w:type="dxa"/>
            <w:vAlign w:val="bottom"/>
            <w:shd w:val="clear" w:color="auto" w:fill="0071CE"/>
          </w:tcPr>
          <w:p>
            <w:pPr>
              <w:jc w:val="center"/>
              <w:ind w:right="68"/>
              <w:spacing w:after="0"/>
              <w:rPr>
                <w:sz w:val="20"/>
                <w:szCs w:val="20"/>
                <w:color w:val="auto"/>
              </w:rPr>
            </w:pPr>
            <w:r>
              <w:rPr>
                <w:rFonts w:ascii="Arial" w:cs="Arial" w:eastAsia="Arial" w:hAnsi="Arial"/>
                <w:sz w:val="14"/>
                <w:szCs w:val="14"/>
                <w:b w:val="1"/>
                <w:bCs w:val="1"/>
                <w:color w:val="FFFFFF"/>
              </w:rPr>
              <w:t>Exercisable)</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Options (#</w:t>
            </w:r>
          </w:p>
        </w:tc>
        <w:tc>
          <w:tcPr>
            <w:tcW w:w="780" w:type="dxa"/>
            <w:vAlign w:val="bottom"/>
            <w:shd w:val="clear" w:color="auto" w:fill="0071CE"/>
          </w:tcPr>
          <w:p>
            <w:pPr>
              <w:jc w:val="center"/>
              <w:ind w:right="108"/>
              <w:spacing w:after="0"/>
              <w:rPr>
                <w:sz w:val="20"/>
                <w:szCs w:val="20"/>
                <w:color w:val="auto"/>
              </w:rPr>
            </w:pPr>
            <w:r>
              <w:rPr>
                <w:rFonts w:ascii="Arial" w:cs="Arial" w:eastAsia="Arial" w:hAnsi="Arial"/>
                <w:sz w:val="14"/>
                <w:szCs w:val="14"/>
                <w:b w:val="1"/>
                <w:bCs w:val="1"/>
                <w:color w:val="FFFFFF"/>
              </w:rPr>
              <w:t>Exercise</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Expiration</w:t>
            </w:r>
          </w:p>
        </w:tc>
        <w:tc>
          <w:tcPr>
            <w:tcW w:w="1140" w:type="dxa"/>
            <w:vAlign w:val="bottom"/>
            <w:shd w:val="clear" w:color="auto" w:fill="0071CE"/>
          </w:tcPr>
          <w:p>
            <w:pPr>
              <w:jc w:val="center"/>
              <w:ind w:left="8"/>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rPr>
              <w:t>Vested</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Vested</w:t>
            </w:r>
          </w:p>
        </w:tc>
      </w:tr>
      <w:tr>
        <w:trPr>
          <w:trHeight w:val="189"/>
        </w:trPr>
        <w:tc>
          <w:tcPr>
            <w:tcW w:w="1560" w:type="dxa"/>
            <w:vAlign w:val="bottom"/>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980" w:type="dxa"/>
            <w:vAlign w:val="bottom"/>
            <w:shd w:val="clear" w:color="auto" w:fill="0071CE"/>
          </w:tcPr>
          <w:p>
            <w:pPr>
              <w:jc w:val="right"/>
              <w:ind w:right="228"/>
              <w:spacing w:after="0"/>
              <w:rPr>
                <w:sz w:val="20"/>
                <w:szCs w:val="20"/>
                <w:color w:val="auto"/>
              </w:rPr>
            </w:pPr>
            <w:r>
              <w:rPr>
                <w:rFonts w:ascii="Arial" w:cs="Arial" w:eastAsia="Arial" w:hAnsi="Arial"/>
                <w:sz w:val="14"/>
                <w:szCs w:val="14"/>
                <w:b w:val="1"/>
                <w:bCs w:val="1"/>
                <w:color w:val="FFFFFF"/>
              </w:rPr>
              <w:t>Date</w:t>
            </w:r>
          </w:p>
        </w:tc>
        <w:tc>
          <w:tcPr>
            <w:tcW w:w="1100" w:type="dxa"/>
            <w:vAlign w:val="bottom"/>
            <w:shd w:val="clear" w:color="auto" w:fill="0071CE"/>
          </w:tcPr>
          <w:p>
            <w:pPr>
              <w:jc w:val="center"/>
              <w:ind w:right="48"/>
              <w:spacing w:after="0"/>
              <w:rPr>
                <w:sz w:val="20"/>
                <w:szCs w:val="20"/>
                <w:color w:val="auto"/>
              </w:rPr>
            </w:pPr>
            <w:r>
              <w:rPr>
                <w:rFonts w:ascii="Arial" w:cs="Arial" w:eastAsia="Arial" w:hAnsi="Arial"/>
                <w:sz w:val="14"/>
                <w:szCs w:val="14"/>
                <w:b w:val="1"/>
                <w:bCs w:val="1"/>
                <w:color w:val="FFFFFF"/>
              </w:rPr>
              <w:t>(1)</w:t>
            </w:r>
          </w:p>
        </w:tc>
        <w:tc>
          <w:tcPr>
            <w:tcW w:w="1740" w:type="dxa"/>
            <w:vAlign w:val="bottom"/>
            <w:shd w:val="clear" w:color="auto" w:fill="0071CE"/>
          </w:tcPr>
          <w:p>
            <w:pPr>
              <w:jc w:val="center"/>
              <w:ind w:right="308"/>
              <w:spacing w:after="0"/>
              <w:rPr>
                <w:sz w:val="20"/>
                <w:szCs w:val="20"/>
                <w:color w:val="auto"/>
              </w:rPr>
            </w:pPr>
            <w:r>
              <w:rPr>
                <w:rFonts w:ascii="Arial" w:cs="Arial" w:eastAsia="Arial" w:hAnsi="Arial"/>
                <w:sz w:val="14"/>
                <w:szCs w:val="14"/>
                <w:b w:val="1"/>
                <w:bCs w:val="1"/>
                <w:color w:val="FFFFFF"/>
              </w:rPr>
              <w:t>Unexercisable)</w:t>
            </w:r>
          </w:p>
        </w:tc>
        <w:tc>
          <w:tcPr>
            <w:tcW w:w="780" w:type="dxa"/>
            <w:vAlign w:val="bottom"/>
            <w:shd w:val="clear" w:color="auto" w:fill="0071CE"/>
          </w:tcPr>
          <w:p>
            <w:pPr>
              <w:jc w:val="center"/>
              <w:ind w:right="108"/>
              <w:spacing w:after="0"/>
              <w:rPr>
                <w:sz w:val="20"/>
                <w:szCs w:val="20"/>
                <w:color w:val="auto"/>
              </w:rPr>
            </w:pPr>
            <w:r>
              <w:rPr>
                <w:rFonts w:ascii="Arial" w:cs="Arial" w:eastAsia="Arial" w:hAnsi="Arial"/>
                <w:sz w:val="14"/>
                <w:szCs w:val="14"/>
                <w:b w:val="1"/>
                <w:bCs w:val="1"/>
                <w:color w:val="FFFFFF"/>
              </w:rPr>
              <w:t>Price ($)</w:t>
            </w:r>
          </w:p>
        </w:tc>
        <w:tc>
          <w:tcPr>
            <w:tcW w:w="10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 (3)</w:t>
            </w:r>
          </w:p>
        </w:tc>
        <w:tc>
          <w:tcPr>
            <w:tcW w:w="1000" w:type="dxa"/>
            <w:vAlign w:val="bottom"/>
            <w:shd w:val="clear" w:color="auto" w:fill="0071CE"/>
          </w:tcPr>
          <w:p>
            <w:pPr>
              <w:jc w:val="center"/>
              <w:ind w:left="108"/>
              <w:spacing w:after="0"/>
              <w:rPr>
                <w:sz w:val="20"/>
                <w:szCs w:val="20"/>
                <w:color w:val="auto"/>
              </w:rPr>
            </w:pPr>
            <w:r>
              <w:rPr>
                <w:rFonts w:ascii="Arial" w:cs="Arial" w:eastAsia="Arial" w:hAnsi="Arial"/>
                <w:sz w:val="14"/>
                <w:szCs w:val="14"/>
                <w:b w:val="1"/>
                <w:bCs w:val="1"/>
                <w:color w:val="FFFFFF"/>
                <w:w w:val="99"/>
              </w:rPr>
              <w:t>($) (4)</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 (2)</w:t>
            </w:r>
          </w:p>
        </w:tc>
        <w:tc>
          <w:tcPr>
            <w:tcW w:w="7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 (4)</w:t>
            </w:r>
          </w:p>
        </w:tc>
      </w:tr>
      <w:tr>
        <w:trPr>
          <w:trHeight w:val="275"/>
        </w:trPr>
        <w:tc>
          <w:tcPr>
            <w:tcW w:w="1560" w:type="dxa"/>
            <w:vAlign w:val="bottom"/>
          </w:tcPr>
          <w:p>
            <w:pPr>
              <w:ind w:left="60"/>
              <w:spacing w:after="0"/>
              <w:rPr>
                <w:sz w:val="20"/>
                <w:szCs w:val="20"/>
                <w:color w:val="auto"/>
              </w:rPr>
            </w:pPr>
            <w:r>
              <w:rPr>
                <w:rFonts w:ascii="Arial" w:cs="Arial" w:eastAsia="Arial" w:hAnsi="Arial"/>
                <w:sz w:val="14"/>
                <w:szCs w:val="14"/>
                <w:b w:val="1"/>
                <w:bCs w:val="1"/>
                <w:color w:val="0071CE"/>
              </w:rPr>
              <w:t>Patrick O’Brien</w:t>
            </w:r>
          </w:p>
        </w:tc>
        <w:tc>
          <w:tcPr>
            <w:tcW w:w="980" w:type="dxa"/>
            <w:vAlign w:val="bottom"/>
          </w:tcPr>
          <w:p>
            <w:pPr>
              <w:jc w:val="right"/>
              <w:spacing w:after="0"/>
              <w:rPr>
                <w:sz w:val="20"/>
                <w:szCs w:val="20"/>
                <w:color w:val="auto"/>
              </w:rPr>
            </w:pPr>
            <w:r>
              <w:rPr>
                <w:rFonts w:ascii="Arial" w:cs="Arial" w:eastAsia="Arial" w:hAnsi="Arial"/>
                <w:sz w:val="14"/>
                <w:szCs w:val="14"/>
                <w:color w:val="auto"/>
              </w:rPr>
              <w:t>12/2/2014</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84,375</w:t>
            </w:r>
          </w:p>
        </w:tc>
        <w:tc>
          <w:tcPr>
            <w:tcW w:w="1740" w:type="dxa"/>
            <w:vAlign w:val="bottom"/>
          </w:tcPr>
          <w:p>
            <w:pPr>
              <w:jc w:val="right"/>
              <w:ind w:right="748"/>
              <w:spacing w:after="0"/>
              <w:rPr>
                <w:sz w:val="20"/>
                <w:szCs w:val="20"/>
                <w:color w:val="auto"/>
              </w:rPr>
            </w:pPr>
            <w:r>
              <w:rPr>
                <w:rFonts w:ascii="Arial" w:cs="Arial" w:eastAsia="Arial" w:hAnsi="Arial"/>
                <w:sz w:val="14"/>
                <w:szCs w:val="14"/>
                <w:color w:val="auto"/>
              </w:rPr>
              <w:t>5,625</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5.22</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12/2/2024</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1/1/2016</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40,000</w:t>
            </w:r>
          </w:p>
        </w:tc>
        <w:tc>
          <w:tcPr>
            <w:tcW w:w="1740" w:type="dxa"/>
            <w:vAlign w:val="bottom"/>
          </w:tcPr>
          <w:p>
            <w:pPr>
              <w:jc w:val="right"/>
              <w:ind w:right="748"/>
              <w:spacing w:after="0"/>
              <w:rPr>
                <w:sz w:val="20"/>
                <w:szCs w:val="20"/>
                <w:color w:val="auto"/>
              </w:rPr>
            </w:pPr>
            <w:r>
              <w:rPr>
                <w:rFonts w:ascii="Arial" w:cs="Arial" w:eastAsia="Arial" w:hAnsi="Arial"/>
                <w:sz w:val="14"/>
                <w:szCs w:val="14"/>
                <w:color w:val="auto"/>
              </w:rPr>
              <w:t>20,000</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6.15</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1/1/2026</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1/1/2017</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145,000</w:t>
            </w:r>
          </w:p>
        </w:tc>
        <w:tc>
          <w:tcPr>
            <w:tcW w:w="1000" w:type="dxa"/>
            <w:vAlign w:val="bottom"/>
          </w:tcPr>
          <w:p>
            <w:pPr>
              <w:jc w:val="right"/>
              <w:spacing w:after="0"/>
              <w:rPr>
                <w:sz w:val="20"/>
                <w:szCs w:val="20"/>
                <w:color w:val="auto"/>
              </w:rPr>
            </w:pPr>
            <w:r>
              <w:rPr>
                <w:rFonts w:ascii="Arial" w:cs="Arial" w:eastAsia="Arial" w:hAnsi="Arial"/>
                <w:sz w:val="14"/>
                <w:szCs w:val="14"/>
                <w:color w:val="auto"/>
              </w:rPr>
              <w:t>2,779,650</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1/1/2018</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60,000</w:t>
            </w:r>
          </w:p>
        </w:tc>
        <w:tc>
          <w:tcPr>
            <w:tcW w:w="1000" w:type="dxa"/>
            <w:vAlign w:val="bottom"/>
          </w:tcPr>
          <w:p>
            <w:pPr>
              <w:jc w:val="right"/>
              <w:spacing w:after="0"/>
              <w:rPr>
                <w:sz w:val="20"/>
                <w:szCs w:val="20"/>
                <w:color w:val="auto"/>
              </w:rPr>
            </w:pPr>
            <w:r>
              <w:rPr>
                <w:rFonts w:ascii="Arial" w:cs="Arial" w:eastAsia="Arial" w:hAnsi="Arial"/>
                <w:sz w:val="14"/>
                <w:szCs w:val="14"/>
                <w:color w:val="auto"/>
              </w:rPr>
              <w:t>1,150,200</w:t>
            </w:r>
          </w:p>
        </w:tc>
        <w:tc>
          <w:tcPr>
            <w:tcW w:w="840" w:type="dxa"/>
            <w:vAlign w:val="bottom"/>
          </w:tcPr>
          <w:p>
            <w:pPr>
              <w:ind w:left="42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48"/>
        </w:trPr>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5"/>
        </w:trPr>
        <w:tc>
          <w:tcPr>
            <w:tcW w:w="15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0071CE"/>
              </w:rPr>
              <w:t>Zhen Li</w:t>
            </w: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3/27/2014</w:t>
            </w:r>
          </w:p>
        </w:tc>
        <w:tc>
          <w:tcPr>
            <w:tcW w:w="11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60,000</w:t>
            </w:r>
          </w:p>
        </w:tc>
        <w:tc>
          <w:tcPr>
            <w:tcW w:w="174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16.33</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3/27/2024</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12/10/2014</w:t>
            </w:r>
          </w:p>
        </w:tc>
        <w:tc>
          <w:tcPr>
            <w:tcW w:w="11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43,750</w:t>
            </w:r>
          </w:p>
        </w:tc>
        <w:tc>
          <w:tcPr>
            <w:tcW w:w="174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3,750</w:t>
            </w:r>
          </w:p>
        </w:tc>
        <w:tc>
          <w:tcPr>
            <w:tcW w:w="7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5.45</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12/10/2024</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1/1/2016</w:t>
            </w:r>
          </w:p>
        </w:tc>
        <w:tc>
          <w:tcPr>
            <w:tcW w:w="11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33,333</w:t>
            </w:r>
          </w:p>
        </w:tc>
        <w:tc>
          <w:tcPr>
            <w:tcW w:w="174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16,667</w:t>
            </w:r>
          </w:p>
        </w:tc>
        <w:tc>
          <w:tcPr>
            <w:tcW w:w="7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6.15</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1/1/2026</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5E5"/>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r>
      <w:tr>
        <w:trPr>
          <w:trHeight w:val="243"/>
        </w:trPr>
        <w:tc>
          <w:tcPr>
            <w:tcW w:w="156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1/1/2017</w:t>
            </w:r>
          </w:p>
        </w:tc>
        <w:tc>
          <w:tcPr>
            <w:tcW w:w="110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74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85,000</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1,629,450</w:t>
            </w:r>
          </w:p>
        </w:tc>
        <w:tc>
          <w:tcPr>
            <w:tcW w:w="840" w:type="dxa"/>
            <w:vAlign w:val="bottom"/>
            <w:shd w:val="clear" w:color="auto" w:fill="E5E5E5"/>
          </w:tcPr>
          <w:p>
            <w:pPr>
              <w:ind w:left="42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r>
      <w:tr>
        <w:trPr>
          <w:trHeight w:val="271"/>
        </w:trPr>
        <w:tc>
          <w:tcPr>
            <w:tcW w:w="1560" w:type="dxa"/>
            <w:vAlign w:val="bottom"/>
            <w:tcBorders>
              <w:bottom w:val="single" w:sz="8" w:color="E5E5E5"/>
            </w:tcBorders>
            <w:shd w:val="clear" w:color="auto" w:fill="E5E5E5"/>
          </w:tcPr>
          <w:p>
            <w:pPr>
              <w:spacing w:after="0"/>
              <w:rPr>
                <w:sz w:val="23"/>
                <w:szCs w:val="23"/>
                <w:color w:val="auto"/>
              </w:rPr>
            </w:pPr>
          </w:p>
        </w:tc>
        <w:tc>
          <w:tcPr>
            <w:tcW w:w="9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1/1/2018</w:t>
            </w:r>
          </w:p>
        </w:tc>
        <w:tc>
          <w:tcPr>
            <w:tcW w:w="110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E5E5E5"/>
            </w:tcBorders>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5E5E5"/>
            </w:tcBorders>
            <w:shd w:val="clear" w:color="auto" w:fill="E5E5E5"/>
          </w:tcPr>
          <w:p>
            <w:pPr>
              <w:jc w:val="right"/>
              <w:ind w:right="168"/>
              <w:spacing w:after="0"/>
              <w:rPr>
                <w:sz w:val="20"/>
                <w:szCs w:val="20"/>
                <w:color w:val="auto"/>
              </w:rPr>
            </w:pPr>
            <w:r>
              <w:rPr>
                <w:rFonts w:ascii="Arial" w:cs="Arial" w:eastAsia="Arial" w:hAnsi="Arial"/>
                <w:sz w:val="14"/>
                <w:szCs w:val="14"/>
                <w:color w:val="auto"/>
              </w:rPr>
              <w:t>65,000</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1,246,050</w:t>
            </w:r>
          </w:p>
        </w:tc>
        <w:tc>
          <w:tcPr>
            <w:tcW w:w="84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4"/>
                <w:szCs w:val="14"/>
                <w:color w:val="auto"/>
              </w:rPr>
              <w:t>—</w:t>
            </w:r>
          </w:p>
        </w:tc>
      </w:tr>
      <w:tr>
        <w:trPr>
          <w:trHeight w:val="20"/>
        </w:trPr>
        <w:tc>
          <w:tcPr>
            <w:tcW w:w="1560" w:type="dxa"/>
            <w:vAlign w:val="bottom"/>
            <w:shd w:val="clear" w:color="auto" w:fill="0071CE"/>
          </w:tcPr>
          <w:p>
            <w:pPr>
              <w:spacing w:after="0" w:line="20" w:lineRule="exact"/>
              <w:rPr>
                <w:sz w:val="1"/>
                <w:szCs w:val="1"/>
                <w:color w:val="auto"/>
              </w:rPr>
            </w:pPr>
          </w:p>
        </w:tc>
        <w:tc>
          <w:tcPr>
            <w:tcW w:w="980" w:type="dxa"/>
            <w:vAlign w:val="bottom"/>
            <w:shd w:val="clear" w:color="auto" w:fill="0071CE"/>
          </w:tcPr>
          <w:p>
            <w:pPr>
              <w:spacing w:after="0" w:line="20" w:lineRule="exact"/>
              <w:rPr>
                <w:sz w:val="1"/>
                <w:szCs w:val="1"/>
                <w:color w:val="auto"/>
              </w:rPr>
            </w:pPr>
          </w:p>
        </w:tc>
        <w:tc>
          <w:tcPr>
            <w:tcW w:w="1100" w:type="dxa"/>
            <w:vAlign w:val="bottom"/>
            <w:shd w:val="clear" w:color="auto" w:fill="0071CE"/>
          </w:tcPr>
          <w:p>
            <w:pPr>
              <w:spacing w:after="0" w:line="20" w:lineRule="exact"/>
              <w:rPr>
                <w:sz w:val="1"/>
                <w:szCs w:val="1"/>
                <w:color w:val="auto"/>
              </w:rPr>
            </w:pPr>
          </w:p>
        </w:tc>
        <w:tc>
          <w:tcPr>
            <w:tcW w:w="1740" w:type="dxa"/>
            <w:vAlign w:val="bottom"/>
            <w:shd w:val="clear" w:color="auto" w:fill="0071CE"/>
          </w:tcPr>
          <w:p>
            <w:pPr>
              <w:spacing w:after="0" w:line="20" w:lineRule="exact"/>
              <w:rPr>
                <w:sz w:val="1"/>
                <w:szCs w:val="1"/>
                <w:color w:val="auto"/>
              </w:rPr>
            </w:pPr>
          </w:p>
        </w:tc>
        <w:tc>
          <w:tcPr>
            <w:tcW w:w="780" w:type="dxa"/>
            <w:vAlign w:val="bottom"/>
            <w:shd w:val="clear" w:color="auto" w:fill="0071CE"/>
          </w:tcPr>
          <w:p>
            <w:pPr>
              <w:spacing w:after="0" w:line="20" w:lineRule="exact"/>
              <w:rPr>
                <w:sz w:val="1"/>
                <w:szCs w:val="1"/>
                <w:color w:val="auto"/>
              </w:rPr>
            </w:pPr>
          </w:p>
        </w:tc>
        <w:tc>
          <w:tcPr>
            <w:tcW w:w="1080" w:type="dxa"/>
            <w:vAlign w:val="bottom"/>
            <w:shd w:val="clear" w:color="auto" w:fill="0071CE"/>
          </w:tcPr>
          <w:p>
            <w:pPr>
              <w:spacing w:after="0" w:line="20" w:lineRule="exact"/>
              <w:rPr>
                <w:sz w:val="1"/>
                <w:szCs w:val="1"/>
                <w:color w:val="auto"/>
              </w:rPr>
            </w:pPr>
          </w:p>
        </w:tc>
        <w:tc>
          <w:tcPr>
            <w:tcW w:w="1140" w:type="dxa"/>
            <w:vAlign w:val="bottom"/>
            <w:shd w:val="clear" w:color="auto" w:fill="0071CE"/>
          </w:tcPr>
          <w:p>
            <w:pPr>
              <w:spacing w:after="0" w:line="20" w:lineRule="exact"/>
              <w:rPr>
                <w:sz w:val="1"/>
                <w:szCs w:val="1"/>
                <w:color w:val="auto"/>
              </w:rPr>
            </w:pPr>
          </w:p>
        </w:tc>
        <w:tc>
          <w:tcPr>
            <w:tcW w:w="1000" w:type="dxa"/>
            <w:vAlign w:val="bottom"/>
            <w:shd w:val="clear" w:color="auto" w:fill="0071CE"/>
          </w:tcPr>
          <w:p>
            <w:pPr>
              <w:spacing w:after="0" w:line="20" w:lineRule="exact"/>
              <w:rPr>
                <w:sz w:val="1"/>
                <w:szCs w:val="1"/>
                <w:color w:val="auto"/>
              </w:rPr>
            </w:pPr>
          </w:p>
        </w:tc>
        <w:tc>
          <w:tcPr>
            <w:tcW w:w="840" w:type="dxa"/>
            <w:vAlign w:val="bottom"/>
            <w:shd w:val="clear" w:color="auto" w:fill="0071CE"/>
          </w:tcPr>
          <w:p>
            <w:pPr>
              <w:spacing w:after="0" w:line="20" w:lineRule="exact"/>
              <w:rPr>
                <w:sz w:val="1"/>
                <w:szCs w:val="1"/>
                <w:color w:val="auto"/>
              </w:rPr>
            </w:pPr>
          </w:p>
        </w:tc>
        <w:tc>
          <w:tcPr>
            <w:tcW w:w="780" w:type="dxa"/>
            <w:vAlign w:val="bottom"/>
            <w:shd w:val="clear" w:color="auto" w:fill="0071C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-3185795</wp:posOffset>
            </wp:positionV>
            <wp:extent cx="53365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36540" cy="8255"/>
                    </a:xfrm>
                    <a:prstGeom prst="rect">
                      <a:avLst/>
                    </a:prstGeom>
                    <a:noFill/>
                  </pic:spPr>
                </pic:pic>
              </a:graphicData>
            </a:graphic>
          </wp:anchor>
        </w:drawing>
      </w:r>
    </w:p>
    <w:p>
      <w:pPr>
        <w:spacing w:after="0" w:line="88" w:lineRule="exact"/>
        <w:rPr>
          <w:sz w:val="20"/>
          <w:szCs w:val="20"/>
          <w:color w:val="auto"/>
        </w:rPr>
      </w:pPr>
    </w:p>
    <w:p>
      <w:pPr>
        <w:ind w:left="540" w:right="340" w:hanging="330"/>
        <w:spacing w:after="0" w:line="290"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w:t>
      </w:r>
    </w:p>
    <w:p>
      <w:pPr>
        <w:spacing w:after="0" w:line="15" w:lineRule="exact"/>
        <w:rPr>
          <w:rFonts w:ascii="Arial" w:cs="Arial" w:eastAsia="Arial" w:hAnsi="Arial"/>
          <w:sz w:val="14"/>
          <w:szCs w:val="14"/>
          <w:color w:val="auto"/>
        </w:rPr>
      </w:pPr>
    </w:p>
    <w:p>
      <w:pPr>
        <w:jc w:val="both"/>
        <w:ind w:left="540" w:right="120" w:hanging="330"/>
        <w:spacing w:after="0" w:line="290"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2016, April 2017, and January 2018 awards that contain performance-based vesting conditions. These awards and their vesting conditions are described above in the “Compensation Discussion and Analysis” under the heading “Equity Compensation”.</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four equal annual installments beginning 1 year from the grant date.</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 is based on the Company’s Common Stock closing price of $19.17 on September 30, 2018.</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Options Exercised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220"/>
        <w:spacing w:after="0" w:line="291" w:lineRule="auto"/>
        <w:rPr>
          <w:sz w:val="20"/>
          <w:szCs w:val="20"/>
          <w:color w:val="auto"/>
        </w:rPr>
      </w:pPr>
      <w:r>
        <w:rPr>
          <w:rFonts w:ascii="Arial" w:cs="Arial" w:eastAsia="Arial" w:hAnsi="Arial"/>
          <w:sz w:val="16"/>
          <w:szCs w:val="16"/>
          <w:color w:val="auto"/>
        </w:rPr>
        <w:t>The following table provides information, with respect to the Named Executive Officers, concerning options exercised or RSUs or PRSUs vested during fiscal 2018.</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020" w:type="dxa"/>
            <w:vAlign w:val="bottom"/>
            <w:shd w:val="clear" w:color="auto" w:fill="0071CE"/>
          </w:tcPr>
          <w:p>
            <w:pPr>
              <w:spacing w:after="0"/>
              <w:rPr>
                <w:sz w:val="14"/>
                <w:szCs w:val="14"/>
                <w:color w:val="auto"/>
              </w:rPr>
            </w:pPr>
          </w:p>
        </w:tc>
        <w:tc>
          <w:tcPr>
            <w:tcW w:w="1820" w:type="dxa"/>
            <w:vAlign w:val="bottom"/>
            <w:shd w:val="clear" w:color="auto" w:fill="0071CE"/>
          </w:tcPr>
          <w:p>
            <w:pPr>
              <w:spacing w:after="0"/>
              <w:rPr>
                <w:sz w:val="14"/>
                <w:szCs w:val="14"/>
                <w:color w:val="auto"/>
              </w:rPr>
            </w:pPr>
          </w:p>
        </w:tc>
        <w:tc>
          <w:tcPr>
            <w:tcW w:w="2680" w:type="dxa"/>
            <w:vAlign w:val="bottom"/>
            <w:shd w:val="clear" w:color="auto" w:fill="0071CE"/>
          </w:tcPr>
          <w:p>
            <w:pPr>
              <w:jc w:val="right"/>
              <w:ind w:right="1582"/>
              <w:spacing w:after="0"/>
              <w:rPr>
                <w:sz w:val="20"/>
                <w:szCs w:val="20"/>
                <w:color w:val="auto"/>
              </w:rPr>
            </w:pPr>
            <w:r>
              <w:rPr>
                <w:rFonts w:ascii="Arial" w:cs="Arial" w:eastAsia="Arial" w:hAnsi="Arial"/>
                <w:sz w:val="14"/>
                <w:szCs w:val="14"/>
                <w:b w:val="1"/>
                <w:bCs w:val="1"/>
                <w:color w:val="FFFFFF"/>
              </w:rPr>
              <w:t>Option Awards</w:t>
            </w:r>
          </w:p>
        </w:tc>
        <w:tc>
          <w:tcPr>
            <w:tcW w:w="1800" w:type="dxa"/>
            <w:vAlign w:val="bottom"/>
            <w:shd w:val="clear" w:color="auto" w:fill="0071CE"/>
          </w:tcPr>
          <w:p>
            <w:pPr>
              <w:spacing w:after="0"/>
              <w:rPr>
                <w:sz w:val="14"/>
                <w:szCs w:val="14"/>
                <w:color w:val="auto"/>
              </w:rPr>
            </w:pPr>
          </w:p>
        </w:tc>
        <w:tc>
          <w:tcPr>
            <w:tcW w:w="1300" w:type="dxa"/>
            <w:vAlign w:val="bottom"/>
            <w:shd w:val="clear" w:color="auto" w:fill="0071CE"/>
          </w:tcPr>
          <w:p>
            <w:pPr>
              <w:jc w:val="right"/>
              <w:ind w:right="223"/>
              <w:spacing w:after="0"/>
              <w:rPr>
                <w:sz w:val="20"/>
                <w:szCs w:val="20"/>
                <w:color w:val="auto"/>
              </w:rPr>
            </w:pPr>
            <w:r>
              <w:rPr>
                <w:rFonts w:ascii="Arial" w:cs="Arial" w:eastAsia="Arial" w:hAnsi="Arial"/>
                <w:sz w:val="14"/>
                <w:szCs w:val="14"/>
                <w:b w:val="1"/>
                <w:bCs w:val="1"/>
                <w:color w:val="FFFFFF"/>
              </w:rPr>
              <w:t>Stock Awards</w:t>
            </w:r>
          </w:p>
        </w:tc>
        <w:tc>
          <w:tcPr>
            <w:tcW w:w="1380" w:type="dxa"/>
            <w:vAlign w:val="bottom"/>
            <w:shd w:val="clear" w:color="auto" w:fill="0071CE"/>
          </w:tcPr>
          <w:p>
            <w:pPr>
              <w:spacing w:after="0"/>
              <w:rPr>
                <w:sz w:val="14"/>
                <w:szCs w:val="14"/>
                <w:color w:val="auto"/>
              </w:rPr>
            </w:pPr>
          </w:p>
        </w:tc>
      </w:tr>
      <w:tr>
        <w:trPr>
          <w:trHeight w:val="243"/>
        </w:trPr>
        <w:tc>
          <w:tcPr>
            <w:tcW w:w="2020" w:type="dxa"/>
            <w:vAlign w:val="bottom"/>
            <w:shd w:val="clear" w:color="auto" w:fill="0071CE"/>
          </w:tcPr>
          <w:p>
            <w:pPr>
              <w:spacing w:after="0"/>
              <w:rPr>
                <w:sz w:val="21"/>
                <w:szCs w:val="21"/>
                <w:color w:val="auto"/>
              </w:rPr>
            </w:pPr>
          </w:p>
        </w:tc>
        <w:tc>
          <w:tcPr>
            <w:tcW w:w="1820" w:type="dxa"/>
            <w:vAlign w:val="bottom"/>
            <w:shd w:val="clear" w:color="auto" w:fill="0071CE"/>
          </w:tcPr>
          <w:p>
            <w:pPr>
              <w:jc w:val="center"/>
              <w:ind w:left="462"/>
              <w:spacing w:after="0"/>
              <w:rPr>
                <w:sz w:val="20"/>
                <w:szCs w:val="20"/>
                <w:color w:val="auto"/>
              </w:rPr>
            </w:pPr>
            <w:r>
              <w:rPr>
                <w:rFonts w:ascii="Arial" w:cs="Arial" w:eastAsia="Arial" w:hAnsi="Arial"/>
                <w:sz w:val="14"/>
                <w:szCs w:val="14"/>
                <w:b w:val="1"/>
                <w:bCs w:val="1"/>
                <w:color w:val="FFFFFF"/>
              </w:rPr>
              <w:t>Number of Shares</w:t>
            </w:r>
          </w:p>
        </w:tc>
        <w:tc>
          <w:tcPr>
            <w:tcW w:w="2680" w:type="dxa"/>
            <w:vAlign w:val="bottom"/>
            <w:shd w:val="clear" w:color="auto" w:fill="0071CE"/>
          </w:tcPr>
          <w:p>
            <w:pPr>
              <w:spacing w:after="0"/>
              <w:rPr>
                <w:sz w:val="21"/>
                <w:szCs w:val="21"/>
                <w:color w:val="auto"/>
              </w:rPr>
            </w:pPr>
          </w:p>
        </w:tc>
        <w:tc>
          <w:tcPr>
            <w:tcW w:w="1800" w:type="dxa"/>
            <w:vAlign w:val="bottom"/>
            <w:shd w:val="clear" w:color="auto" w:fill="0071CE"/>
          </w:tcPr>
          <w:p>
            <w:pPr>
              <w:jc w:val="center"/>
              <w:ind w:left="362"/>
              <w:spacing w:after="0"/>
              <w:rPr>
                <w:sz w:val="20"/>
                <w:szCs w:val="20"/>
                <w:color w:val="auto"/>
              </w:rPr>
            </w:pPr>
            <w:r>
              <w:rPr>
                <w:rFonts w:ascii="Arial" w:cs="Arial" w:eastAsia="Arial" w:hAnsi="Arial"/>
                <w:sz w:val="14"/>
                <w:szCs w:val="14"/>
                <w:b w:val="1"/>
                <w:bCs w:val="1"/>
                <w:color w:val="FFFFFF"/>
              </w:rPr>
              <w:t>Number of Shares</w:t>
            </w:r>
          </w:p>
        </w:tc>
        <w:tc>
          <w:tcPr>
            <w:tcW w:w="1300" w:type="dxa"/>
            <w:vAlign w:val="bottom"/>
            <w:shd w:val="clear" w:color="auto" w:fill="0071CE"/>
          </w:tcPr>
          <w:p>
            <w:pPr>
              <w:spacing w:after="0"/>
              <w:rPr>
                <w:sz w:val="21"/>
                <w:szCs w:val="21"/>
                <w:color w:val="auto"/>
              </w:rPr>
            </w:pPr>
          </w:p>
        </w:tc>
        <w:tc>
          <w:tcPr>
            <w:tcW w:w="1380" w:type="dxa"/>
            <w:vAlign w:val="bottom"/>
            <w:shd w:val="clear" w:color="auto" w:fill="0071CE"/>
          </w:tcPr>
          <w:p>
            <w:pPr>
              <w:spacing w:after="0"/>
              <w:rPr>
                <w:sz w:val="21"/>
                <w:szCs w:val="21"/>
                <w:color w:val="auto"/>
              </w:rPr>
            </w:pPr>
          </w:p>
        </w:tc>
      </w:tr>
      <w:tr>
        <w:trPr>
          <w:trHeight w:val="162"/>
        </w:trPr>
        <w:tc>
          <w:tcPr>
            <w:tcW w:w="202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left="462"/>
              <w:spacing w:after="0"/>
              <w:rPr>
                <w:sz w:val="20"/>
                <w:szCs w:val="20"/>
                <w:color w:val="auto"/>
              </w:rPr>
            </w:pPr>
            <w:r>
              <w:rPr>
                <w:rFonts w:ascii="Arial" w:cs="Arial" w:eastAsia="Arial" w:hAnsi="Arial"/>
                <w:sz w:val="14"/>
                <w:szCs w:val="14"/>
                <w:b w:val="1"/>
                <w:bCs w:val="1"/>
                <w:color w:val="FFFFFF"/>
              </w:rPr>
              <w:t>Acquired on</w:t>
            </w:r>
          </w:p>
        </w:tc>
        <w:tc>
          <w:tcPr>
            <w:tcW w:w="2680" w:type="dxa"/>
            <w:vAlign w:val="bottom"/>
            <w:shd w:val="clear" w:color="auto" w:fill="0071CE"/>
          </w:tcPr>
          <w:p>
            <w:pPr>
              <w:jc w:val="right"/>
              <w:ind w:right="442"/>
              <w:spacing w:after="0"/>
              <w:rPr>
                <w:sz w:val="20"/>
                <w:szCs w:val="20"/>
                <w:color w:val="auto"/>
              </w:rPr>
            </w:pPr>
            <w:r>
              <w:rPr>
                <w:rFonts w:ascii="Arial" w:cs="Arial" w:eastAsia="Arial" w:hAnsi="Arial"/>
                <w:sz w:val="14"/>
                <w:szCs w:val="14"/>
                <w:b w:val="1"/>
                <w:bCs w:val="1"/>
                <w:color w:val="FFFFFF"/>
              </w:rPr>
              <w:t>Value Realized on</w:t>
            </w:r>
          </w:p>
        </w:tc>
        <w:tc>
          <w:tcPr>
            <w:tcW w:w="1800" w:type="dxa"/>
            <w:vAlign w:val="bottom"/>
            <w:shd w:val="clear" w:color="auto" w:fill="0071CE"/>
          </w:tcPr>
          <w:p>
            <w:pPr>
              <w:jc w:val="center"/>
              <w:ind w:left="362"/>
              <w:spacing w:after="0"/>
              <w:rPr>
                <w:sz w:val="20"/>
                <w:szCs w:val="20"/>
                <w:color w:val="auto"/>
              </w:rPr>
            </w:pPr>
            <w:r>
              <w:rPr>
                <w:rFonts w:ascii="Arial" w:cs="Arial" w:eastAsia="Arial" w:hAnsi="Arial"/>
                <w:sz w:val="14"/>
                <w:szCs w:val="14"/>
                <w:b w:val="1"/>
                <w:bCs w:val="1"/>
                <w:color w:val="FFFFFF"/>
              </w:rPr>
              <w:t>Acquired on</w:t>
            </w:r>
          </w:p>
        </w:tc>
        <w:tc>
          <w:tcPr>
            <w:tcW w:w="2680" w:type="dxa"/>
            <w:vAlign w:val="bottom"/>
            <w:gridSpan w:val="2"/>
            <w:shd w:val="clear" w:color="auto" w:fill="0071CE"/>
          </w:tcPr>
          <w:p>
            <w:pPr>
              <w:jc w:val="right"/>
              <w:ind w:right="419"/>
              <w:spacing w:after="0"/>
              <w:rPr>
                <w:sz w:val="20"/>
                <w:szCs w:val="20"/>
                <w:color w:val="auto"/>
              </w:rPr>
            </w:pPr>
            <w:r>
              <w:rPr>
                <w:rFonts w:ascii="Arial" w:cs="Arial" w:eastAsia="Arial" w:hAnsi="Arial"/>
                <w:sz w:val="14"/>
                <w:szCs w:val="14"/>
                <w:b w:val="1"/>
                <w:bCs w:val="1"/>
                <w:color w:val="FFFFFF"/>
              </w:rPr>
              <w:t>Value Realized on</w:t>
            </w:r>
          </w:p>
        </w:tc>
      </w:tr>
      <w:tr>
        <w:trPr>
          <w:trHeight w:val="189"/>
        </w:trPr>
        <w:tc>
          <w:tcPr>
            <w:tcW w:w="2020" w:type="dxa"/>
            <w:vAlign w:val="bottom"/>
            <w:shd w:val="clear" w:color="auto" w:fill="0071CE"/>
          </w:tcPr>
          <w:p>
            <w:pPr>
              <w:ind w:left="220"/>
              <w:spacing w:after="0"/>
              <w:rPr>
                <w:sz w:val="20"/>
                <w:szCs w:val="20"/>
                <w:color w:val="auto"/>
              </w:rPr>
            </w:pPr>
            <w:r>
              <w:rPr>
                <w:rFonts w:ascii="Arial" w:cs="Arial" w:eastAsia="Arial" w:hAnsi="Arial"/>
                <w:sz w:val="14"/>
                <w:szCs w:val="14"/>
                <w:b w:val="1"/>
                <w:bCs w:val="1"/>
                <w:color w:val="FFFFFF"/>
              </w:rPr>
              <w:t>Name</w:t>
            </w:r>
          </w:p>
        </w:tc>
        <w:tc>
          <w:tcPr>
            <w:tcW w:w="1820" w:type="dxa"/>
            <w:vAlign w:val="bottom"/>
            <w:shd w:val="clear" w:color="auto" w:fill="0071CE"/>
          </w:tcPr>
          <w:p>
            <w:pPr>
              <w:jc w:val="center"/>
              <w:ind w:left="482"/>
              <w:spacing w:after="0"/>
              <w:rPr>
                <w:sz w:val="20"/>
                <w:szCs w:val="20"/>
                <w:color w:val="auto"/>
              </w:rPr>
            </w:pPr>
            <w:r>
              <w:rPr>
                <w:rFonts w:ascii="Arial" w:cs="Arial" w:eastAsia="Arial" w:hAnsi="Arial"/>
                <w:sz w:val="14"/>
                <w:szCs w:val="14"/>
                <w:b w:val="1"/>
                <w:bCs w:val="1"/>
                <w:color w:val="FFFFFF"/>
              </w:rPr>
              <w:t>Exercise</w:t>
            </w:r>
          </w:p>
        </w:tc>
        <w:tc>
          <w:tcPr>
            <w:tcW w:w="2680" w:type="dxa"/>
            <w:vAlign w:val="bottom"/>
            <w:shd w:val="clear" w:color="auto" w:fill="0071CE"/>
          </w:tcPr>
          <w:p>
            <w:pPr>
              <w:jc w:val="right"/>
              <w:ind w:right="642"/>
              <w:spacing w:after="0"/>
              <w:rPr>
                <w:sz w:val="20"/>
                <w:szCs w:val="20"/>
                <w:color w:val="auto"/>
              </w:rPr>
            </w:pPr>
            <w:r>
              <w:rPr>
                <w:rFonts w:ascii="Arial" w:cs="Arial" w:eastAsia="Arial" w:hAnsi="Arial"/>
                <w:sz w:val="14"/>
                <w:szCs w:val="14"/>
                <w:b w:val="1"/>
                <w:bCs w:val="1"/>
                <w:color w:val="FFFFFF"/>
              </w:rPr>
              <w:t>Exercise (1)</w:t>
            </w:r>
          </w:p>
        </w:tc>
        <w:tc>
          <w:tcPr>
            <w:tcW w:w="1800" w:type="dxa"/>
            <w:vAlign w:val="bottom"/>
            <w:shd w:val="clear" w:color="auto" w:fill="0071CE"/>
          </w:tcPr>
          <w:p>
            <w:pPr>
              <w:jc w:val="center"/>
              <w:ind w:left="362"/>
              <w:spacing w:after="0"/>
              <w:rPr>
                <w:sz w:val="20"/>
                <w:szCs w:val="20"/>
                <w:color w:val="auto"/>
              </w:rPr>
            </w:pPr>
            <w:r>
              <w:rPr>
                <w:rFonts w:ascii="Arial" w:cs="Arial" w:eastAsia="Arial" w:hAnsi="Arial"/>
                <w:sz w:val="14"/>
                <w:szCs w:val="14"/>
                <w:b w:val="1"/>
                <w:bCs w:val="1"/>
                <w:color w:val="FFFFFF"/>
              </w:rPr>
              <w:t>Vesting</w:t>
            </w:r>
          </w:p>
        </w:tc>
        <w:tc>
          <w:tcPr>
            <w:tcW w:w="2680" w:type="dxa"/>
            <w:vAlign w:val="bottom"/>
            <w:gridSpan w:val="2"/>
            <w:shd w:val="clear" w:color="auto" w:fill="0071CE"/>
          </w:tcPr>
          <w:p>
            <w:pPr>
              <w:jc w:val="right"/>
              <w:ind w:right="619"/>
              <w:spacing w:after="0"/>
              <w:rPr>
                <w:sz w:val="20"/>
                <w:szCs w:val="20"/>
                <w:color w:val="auto"/>
              </w:rPr>
            </w:pPr>
            <w:r>
              <w:rPr>
                <w:rFonts w:ascii="Arial" w:cs="Arial" w:eastAsia="Arial" w:hAnsi="Arial"/>
                <w:sz w:val="14"/>
                <w:szCs w:val="14"/>
                <w:b w:val="1"/>
                <w:bCs w:val="1"/>
                <w:color w:val="FFFFFF"/>
              </w:rPr>
              <w:t>Vesting (2)</w:t>
            </w:r>
          </w:p>
        </w:tc>
      </w:tr>
      <w:tr>
        <w:trPr>
          <w:trHeight w:val="290"/>
        </w:trPr>
        <w:tc>
          <w:tcPr>
            <w:tcW w:w="20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6"/>
                <w:szCs w:val="16"/>
                <w:color w:val="auto"/>
              </w:rPr>
              <w:t>Christopher Anzalone</w:t>
            </w:r>
          </w:p>
        </w:tc>
        <w:tc>
          <w:tcPr>
            <w:tcW w:w="182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981,667</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9,578,525</w:t>
            </w:r>
          </w:p>
        </w:tc>
      </w:tr>
      <w:tr>
        <w:trPr>
          <w:trHeight w:val="268"/>
        </w:trPr>
        <w:tc>
          <w:tcPr>
            <w:tcW w:w="2020" w:type="dxa"/>
            <w:vAlign w:val="bottom"/>
          </w:tcPr>
          <w:p>
            <w:pPr>
              <w:ind w:left="200"/>
              <w:spacing w:after="0"/>
              <w:rPr>
                <w:sz w:val="20"/>
                <w:szCs w:val="20"/>
                <w:color w:val="auto"/>
              </w:rPr>
            </w:pPr>
            <w:r>
              <w:rPr>
                <w:rFonts w:ascii="Arial" w:cs="Arial" w:eastAsia="Arial" w:hAnsi="Arial"/>
                <w:sz w:val="16"/>
                <w:szCs w:val="16"/>
                <w:color w:val="auto"/>
              </w:rPr>
              <w:t>Kenneth Myszkowski</w:t>
            </w:r>
          </w:p>
        </w:tc>
        <w:tc>
          <w:tcPr>
            <w:tcW w:w="1820" w:type="dxa"/>
            <w:vAlign w:val="bottom"/>
          </w:tcPr>
          <w:p>
            <w:pPr>
              <w:jc w:val="right"/>
              <w:ind w:right="282"/>
              <w:spacing w:after="0"/>
              <w:rPr>
                <w:sz w:val="20"/>
                <w:szCs w:val="20"/>
                <w:color w:val="auto"/>
              </w:rPr>
            </w:pPr>
            <w:r>
              <w:rPr>
                <w:rFonts w:ascii="Arial" w:cs="Arial" w:eastAsia="Arial" w:hAnsi="Arial"/>
                <w:sz w:val="16"/>
                <w:szCs w:val="16"/>
                <w:color w:val="auto"/>
              </w:rPr>
              <w:t>99,000</w:t>
            </w:r>
          </w:p>
        </w:tc>
        <w:tc>
          <w:tcPr>
            <w:tcW w:w="2680" w:type="dxa"/>
            <w:vAlign w:val="bottom"/>
          </w:tcPr>
          <w:p>
            <w:pPr>
              <w:jc w:val="right"/>
              <w:ind w:right="642"/>
              <w:spacing w:after="0"/>
              <w:rPr>
                <w:sz w:val="20"/>
                <w:szCs w:val="20"/>
                <w:color w:val="auto"/>
              </w:rPr>
            </w:pPr>
            <w:r>
              <w:rPr>
                <w:rFonts w:ascii="Arial" w:cs="Arial" w:eastAsia="Arial" w:hAnsi="Arial"/>
                <w:sz w:val="16"/>
                <w:szCs w:val="16"/>
                <w:color w:val="auto"/>
              </w:rPr>
              <w:t>1,195,360</w:t>
            </w:r>
          </w:p>
        </w:tc>
        <w:tc>
          <w:tcPr>
            <w:tcW w:w="1800" w:type="dxa"/>
            <w:vAlign w:val="bottom"/>
          </w:tcPr>
          <w:p>
            <w:pPr>
              <w:jc w:val="right"/>
              <w:ind w:right="282"/>
              <w:spacing w:after="0"/>
              <w:rPr>
                <w:sz w:val="20"/>
                <w:szCs w:val="20"/>
                <w:color w:val="auto"/>
              </w:rPr>
            </w:pPr>
            <w:r>
              <w:rPr>
                <w:rFonts w:ascii="Arial" w:cs="Arial" w:eastAsia="Arial" w:hAnsi="Arial"/>
                <w:sz w:val="16"/>
                <w:szCs w:val="16"/>
                <w:color w:val="auto"/>
              </w:rPr>
              <w:t>33,333</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59"/>
              <w:spacing w:after="0"/>
              <w:rPr>
                <w:sz w:val="20"/>
                <w:szCs w:val="20"/>
                <w:color w:val="auto"/>
              </w:rPr>
            </w:pPr>
            <w:r>
              <w:rPr>
                <w:rFonts w:ascii="Arial" w:cs="Arial" w:eastAsia="Arial" w:hAnsi="Arial"/>
                <w:sz w:val="16"/>
                <w:szCs w:val="16"/>
                <w:color w:val="auto"/>
              </w:rPr>
              <w:t>172,330</w:t>
            </w:r>
          </w:p>
        </w:tc>
      </w:tr>
      <w:tr>
        <w:trPr>
          <w:trHeight w:val="42"/>
        </w:trPr>
        <w:tc>
          <w:tcPr>
            <w:tcW w:w="20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0"/>
        </w:trPr>
        <w:tc>
          <w:tcPr>
            <w:tcW w:w="20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6"/>
                <w:szCs w:val="16"/>
                <w:color w:val="auto"/>
              </w:rPr>
              <w:t>Bruce D. Given</w:t>
            </w:r>
          </w:p>
        </w:tc>
        <w:tc>
          <w:tcPr>
            <w:tcW w:w="182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100,000</w:t>
            </w:r>
          </w:p>
        </w:tc>
        <w:tc>
          <w:tcPr>
            <w:tcW w:w="13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517,000</w:t>
            </w:r>
          </w:p>
        </w:tc>
      </w:tr>
      <w:tr>
        <w:trPr>
          <w:trHeight w:val="268"/>
        </w:trPr>
        <w:tc>
          <w:tcPr>
            <w:tcW w:w="2020" w:type="dxa"/>
            <w:vAlign w:val="bottom"/>
          </w:tcPr>
          <w:p>
            <w:pPr>
              <w:ind w:left="200"/>
              <w:spacing w:after="0"/>
              <w:rPr>
                <w:sz w:val="20"/>
                <w:szCs w:val="20"/>
                <w:color w:val="auto"/>
              </w:rPr>
            </w:pPr>
            <w:r>
              <w:rPr>
                <w:rFonts w:ascii="Arial" w:cs="Arial" w:eastAsia="Arial" w:hAnsi="Arial"/>
                <w:sz w:val="16"/>
                <w:szCs w:val="16"/>
                <w:color w:val="auto"/>
              </w:rPr>
              <w:t>Patrick O’Brien</w:t>
            </w:r>
          </w:p>
        </w:tc>
        <w:tc>
          <w:tcPr>
            <w:tcW w:w="18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268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82"/>
              <w:spacing w:after="0"/>
              <w:rPr>
                <w:sz w:val="20"/>
                <w:szCs w:val="20"/>
                <w:color w:val="auto"/>
              </w:rPr>
            </w:pPr>
            <w:r>
              <w:rPr>
                <w:rFonts w:ascii="Arial" w:cs="Arial" w:eastAsia="Arial" w:hAnsi="Arial"/>
                <w:sz w:val="16"/>
                <w:szCs w:val="16"/>
                <w:color w:val="auto"/>
              </w:rPr>
              <w:t>10,000</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59"/>
              <w:spacing w:after="0"/>
              <w:rPr>
                <w:sz w:val="20"/>
                <w:szCs w:val="20"/>
                <w:color w:val="auto"/>
              </w:rPr>
            </w:pPr>
            <w:r>
              <w:rPr>
                <w:rFonts w:ascii="Arial" w:cs="Arial" w:eastAsia="Arial" w:hAnsi="Arial"/>
                <w:sz w:val="16"/>
                <w:szCs w:val="16"/>
                <w:color w:val="auto"/>
              </w:rPr>
              <w:t>34,900</w:t>
            </w:r>
          </w:p>
        </w:tc>
      </w:tr>
      <w:tr>
        <w:trPr>
          <w:trHeight w:val="42"/>
        </w:trPr>
        <w:tc>
          <w:tcPr>
            <w:tcW w:w="20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0"/>
        </w:trPr>
        <w:tc>
          <w:tcPr>
            <w:tcW w:w="20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6"/>
                <w:szCs w:val="16"/>
                <w:color w:val="auto"/>
              </w:rPr>
              <w:t>Zhen Li</w:t>
            </w:r>
          </w:p>
        </w:tc>
        <w:tc>
          <w:tcPr>
            <w:tcW w:w="182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E5E5E5"/>
            </w:tcBorders>
            <w:shd w:val="clear" w:color="auto" w:fill="E5E5E5"/>
          </w:tcPr>
          <w:p>
            <w:pPr>
              <w:jc w:val="right"/>
              <w:ind w:right="64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5E5E5"/>
            </w:tcBorders>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spacing w:after="0"/>
              <w:rPr>
                <w:sz w:val="24"/>
                <w:szCs w:val="24"/>
                <w:color w:val="auto"/>
              </w:rPr>
            </w:pPr>
          </w:p>
        </w:tc>
        <w:tc>
          <w:tcPr>
            <w:tcW w:w="1380" w:type="dxa"/>
            <w:vAlign w:val="bottom"/>
            <w:tcBorders>
              <w:bottom w:val="single" w:sz="8" w:color="E5E5E5"/>
            </w:tcBorders>
            <w:shd w:val="clear" w:color="auto" w:fill="E5E5E5"/>
          </w:tcPr>
          <w:p>
            <w:pPr>
              <w:jc w:val="right"/>
              <w:ind w:right="559"/>
              <w:spacing w:after="0"/>
              <w:rPr>
                <w:sz w:val="20"/>
                <w:szCs w:val="20"/>
                <w:color w:val="auto"/>
              </w:rPr>
            </w:pPr>
            <w:r>
              <w:rPr>
                <w:rFonts w:ascii="Arial" w:cs="Arial" w:eastAsia="Arial" w:hAnsi="Arial"/>
                <w:sz w:val="16"/>
                <w:szCs w:val="16"/>
                <w:color w:val="auto"/>
              </w:rPr>
              <w:t>—</w:t>
            </w:r>
          </w:p>
        </w:tc>
      </w:tr>
      <w:tr>
        <w:trPr>
          <w:trHeight w:val="20"/>
        </w:trPr>
        <w:tc>
          <w:tcPr>
            <w:tcW w:w="2020" w:type="dxa"/>
            <w:vAlign w:val="bottom"/>
            <w:shd w:val="clear" w:color="auto" w:fill="0071CE"/>
          </w:tcPr>
          <w:p>
            <w:pPr>
              <w:spacing w:after="0" w:line="20" w:lineRule="exact"/>
              <w:rPr>
                <w:sz w:val="1"/>
                <w:szCs w:val="1"/>
                <w:color w:val="auto"/>
              </w:rPr>
            </w:pPr>
          </w:p>
        </w:tc>
        <w:tc>
          <w:tcPr>
            <w:tcW w:w="1820" w:type="dxa"/>
            <w:vAlign w:val="bottom"/>
            <w:shd w:val="clear" w:color="auto" w:fill="0071CE"/>
          </w:tcPr>
          <w:p>
            <w:pPr>
              <w:spacing w:after="0" w:line="20" w:lineRule="exact"/>
              <w:rPr>
                <w:sz w:val="1"/>
                <w:szCs w:val="1"/>
                <w:color w:val="auto"/>
              </w:rPr>
            </w:pPr>
          </w:p>
        </w:tc>
        <w:tc>
          <w:tcPr>
            <w:tcW w:w="2680" w:type="dxa"/>
            <w:vAlign w:val="bottom"/>
            <w:shd w:val="clear" w:color="auto" w:fill="0071CE"/>
          </w:tcPr>
          <w:p>
            <w:pPr>
              <w:spacing w:after="0" w:line="20" w:lineRule="exact"/>
              <w:rPr>
                <w:sz w:val="1"/>
                <w:szCs w:val="1"/>
                <w:color w:val="auto"/>
              </w:rPr>
            </w:pPr>
          </w:p>
        </w:tc>
        <w:tc>
          <w:tcPr>
            <w:tcW w:w="1800" w:type="dxa"/>
            <w:vAlign w:val="bottom"/>
            <w:shd w:val="clear" w:color="auto" w:fill="0071CE"/>
          </w:tcPr>
          <w:p>
            <w:pPr>
              <w:spacing w:after="0" w:line="20" w:lineRule="exact"/>
              <w:rPr>
                <w:sz w:val="1"/>
                <w:szCs w:val="1"/>
                <w:color w:val="auto"/>
              </w:rPr>
            </w:pPr>
          </w:p>
        </w:tc>
        <w:tc>
          <w:tcPr>
            <w:tcW w:w="1300" w:type="dxa"/>
            <w:vAlign w:val="bottom"/>
            <w:shd w:val="clear" w:color="auto" w:fill="0071CE"/>
          </w:tcPr>
          <w:p>
            <w:pPr>
              <w:spacing w:after="0" w:line="20" w:lineRule="exact"/>
              <w:rPr>
                <w:sz w:val="1"/>
                <w:szCs w:val="1"/>
                <w:color w:val="auto"/>
              </w:rPr>
            </w:pPr>
          </w:p>
        </w:tc>
        <w:tc>
          <w:tcPr>
            <w:tcW w:w="1380" w:type="dxa"/>
            <w:vAlign w:val="bottom"/>
            <w:shd w:val="clear" w:color="auto" w:fill="0071C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-1369695</wp:posOffset>
            </wp:positionV>
            <wp:extent cx="5507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07990" cy="8255"/>
                    </a:xfrm>
                    <a:prstGeom prst="rect">
                      <a:avLst/>
                    </a:prstGeom>
                    <a:noFill/>
                  </pic:spPr>
                </pic:pic>
              </a:graphicData>
            </a:graphic>
          </wp:anchor>
        </w:drawing>
      </w:r>
    </w:p>
    <w:p>
      <w:pPr>
        <w:spacing w:after="0" w:line="48" w:lineRule="exact"/>
        <w:rPr>
          <w:sz w:val="20"/>
          <w:szCs w:val="20"/>
          <w:color w:val="auto"/>
        </w:rPr>
      </w:pPr>
    </w:p>
    <w:p>
      <w:pPr>
        <w:ind w:left="540" w:hanging="330"/>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exercise, less the exercise price, multiplied by the number of shares exercised.</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Value is calculated as the price of the Company’s Common Stock upon vesting, multiplied by the number of shares vested.</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the following severance or change of control arrangements with its Named Executive Officers: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25" w:lineRule="exact"/>
        <w:rPr>
          <w:sz w:val="20"/>
          <w:szCs w:val="20"/>
          <w:color w:val="auto"/>
        </w:rPr>
      </w:pPr>
    </w:p>
    <w:p>
      <w:pPr>
        <w:jc w:val="both"/>
        <w:ind w:left="220" w:right="240"/>
        <w:spacing w:after="0" w:line="255" w:lineRule="auto"/>
        <w:rPr>
          <w:sz w:val="20"/>
          <w:szCs w:val="20"/>
          <w:color w:val="auto"/>
        </w:rPr>
      </w:pPr>
      <w:r>
        <w:rPr>
          <w:rFonts w:ascii="Arial" w:cs="Arial" w:eastAsia="Arial" w:hAnsi="Arial"/>
          <w:sz w:val="16"/>
          <w:szCs w:val="16"/>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80645</wp:posOffset>
            </wp:positionV>
            <wp:extent cx="98488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6"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35</w:t>
      </w:r>
    </w:p>
    <w:p>
      <w:pPr>
        <w:sectPr>
          <w:pgSz w:w="11900" w:h="16838" w:orient="portrait"/>
          <w:cols w:equalWidth="0" w:num="1">
            <w:col w:w="11220"/>
          </w:cols>
          <w:pgMar w:left="24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purposes of Dr. Anzalone’s employment agreement:</w:t>
      </w:r>
    </w:p>
    <w:p>
      <w:pPr>
        <w:spacing w:after="0" w:line="111" w:lineRule="exact"/>
        <w:rPr>
          <w:sz w:val="20"/>
          <w:szCs w:val="20"/>
          <w:color w:val="auto"/>
        </w:rPr>
      </w:pPr>
    </w:p>
    <w:p>
      <w:pPr>
        <w:ind w:left="220" w:right="4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75" w:lineRule="exact"/>
        <w:rPr>
          <w:sz w:val="20"/>
          <w:szCs w:val="20"/>
          <w:color w:val="auto"/>
        </w:rPr>
      </w:pPr>
    </w:p>
    <w:p>
      <w:pPr>
        <w:ind w:left="22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77" w:lineRule="exact"/>
        <w:rPr>
          <w:sz w:val="20"/>
          <w:szCs w:val="20"/>
          <w:color w:val="auto"/>
        </w:rPr>
      </w:pPr>
    </w:p>
    <w:p>
      <w:pPr>
        <w:ind w:left="220" w:right="300"/>
        <w:spacing w:after="0" w:line="291"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47" w:lineRule="exact"/>
        <w:rPr>
          <w:sz w:val="20"/>
          <w:szCs w:val="20"/>
          <w:color w:val="auto"/>
        </w:rPr>
      </w:pPr>
    </w:p>
    <w:p>
      <w:pPr>
        <w:ind w:left="220" w:right="680"/>
        <w:spacing w:after="0" w:line="291"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cause only upon change of control as defined in the Company’s 2013 Incentive Plan.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not entered into a severance arrangement with Dr. Given or Dr. Li.</w:t>
      </w:r>
    </w:p>
    <w:p>
      <w:pPr>
        <w:spacing w:after="0" w:line="221" w:lineRule="exact"/>
        <w:rPr>
          <w:sz w:val="20"/>
          <w:szCs w:val="20"/>
          <w:color w:val="auto"/>
        </w:rPr>
      </w:pPr>
    </w:p>
    <w:p>
      <w:pPr>
        <w:ind w:left="220"/>
        <w:spacing w:after="0" w:line="264" w:lineRule="auto"/>
        <w:rPr>
          <w:sz w:val="20"/>
          <w:szCs w:val="20"/>
          <w:color w:val="auto"/>
        </w:rPr>
      </w:pPr>
      <w:r>
        <w:rPr>
          <w:rFonts w:ascii="Arial" w:cs="Arial" w:eastAsia="Arial" w:hAnsi="Arial"/>
          <w:sz w:val="16"/>
          <w:szCs w:val="16"/>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 and except with respect to the outstanding awards held by the CEO whose awards will only become fully vested upon a qualifying termination of employment following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200025</wp:posOffset>
            </wp:positionV>
            <wp:extent cx="98488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3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36</w:t>
      </w:r>
    </w:p>
    <w:p>
      <w:pPr>
        <w:sectPr>
          <w:pgSz w:w="11900" w:h="16838" w:orient="portrait"/>
          <w:cols w:equalWidth="0" w:num="1">
            <w:col w:w="11180"/>
          </w:cols>
          <w:pgMar w:left="24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7580"/>
        <w:spacing w:after="0"/>
        <w:tabs>
          <w:tab w:leader="none" w:pos="948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146" w:lineRule="exact"/>
        <w:rPr>
          <w:sz w:val="20"/>
          <w:szCs w:val="20"/>
          <w:color w:val="auto"/>
        </w:rPr>
      </w:pPr>
    </w:p>
    <w:p>
      <w:pPr>
        <w:ind w:left="220" w:right="660"/>
        <w:spacing w:after="0" w:line="291"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2018:</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371"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6080" w:type="dxa"/>
            <w:vAlign w:val="bottom"/>
            <w:shd w:val="clear" w:color="auto" w:fill="0071CE"/>
          </w:tcPr>
          <w:p>
            <w:pPr>
              <w:spacing w:after="0"/>
              <w:rPr>
                <w:sz w:val="15"/>
                <w:szCs w:val="15"/>
                <w:color w:val="auto"/>
              </w:rPr>
            </w:pPr>
          </w:p>
        </w:tc>
        <w:tc>
          <w:tcPr>
            <w:tcW w:w="1000" w:type="dxa"/>
            <w:vAlign w:val="bottom"/>
            <w:shd w:val="clear" w:color="auto" w:fill="0071CE"/>
          </w:tcPr>
          <w:p>
            <w:pPr>
              <w:spacing w:after="0"/>
              <w:rPr>
                <w:sz w:val="15"/>
                <w:szCs w:val="15"/>
                <w:color w:val="auto"/>
              </w:rPr>
            </w:pPr>
          </w:p>
        </w:tc>
        <w:tc>
          <w:tcPr>
            <w:tcW w:w="880" w:type="dxa"/>
            <w:vAlign w:val="bottom"/>
            <w:shd w:val="clear" w:color="auto" w:fill="0071CE"/>
          </w:tcPr>
          <w:p>
            <w:pPr>
              <w:spacing w:after="0"/>
              <w:rPr>
                <w:sz w:val="15"/>
                <w:szCs w:val="15"/>
                <w:color w:val="auto"/>
              </w:rPr>
            </w:pPr>
          </w:p>
        </w:tc>
        <w:tc>
          <w:tcPr>
            <w:tcW w:w="1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Option</w:t>
            </w:r>
          </w:p>
        </w:tc>
        <w:tc>
          <w:tcPr>
            <w:tcW w:w="104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r>
      <w:tr>
        <w:trPr>
          <w:trHeight w:val="162"/>
        </w:trPr>
        <w:tc>
          <w:tcPr>
            <w:tcW w:w="6080" w:type="dxa"/>
            <w:vAlign w:val="bottom"/>
            <w:shd w:val="clear" w:color="auto" w:fill="0071CE"/>
          </w:tcPr>
          <w:p>
            <w:pPr>
              <w:spacing w:after="0"/>
              <w:rPr>
                <w:sz w:val="14"/>
                <w:szCs w:val="14"/>
                <w:color w:val="auto"/>
              </w:rPr>
            </w:pPr>
          </w:p>
        </w:tc>
        <w:tc>
          <w:tcPr>
            <w:tcW w:w="1000" w:type="dxa"/>
            <w:vAlign w:val="bottom"/>
            <w:shd w:val="clear" w:color="auto" w:fill="0071CE"/>
          </w:tcPr>
          <w:p>
            <w:pPr>
              <w:jc w:val="right"/>
              <w:ind w:right="180"/>
              <w:spacing w:after="0"/>
              <w:rPr>
                <w:sz w:val="20"/>
                <w:szCs w:val="20"/>
                <w:color w:val="auto"/>
              </w:rPr>
            </w:pPr>
            <w:r>
              <w:rPr>
                <w:rFonts w:ascii="Arial" w:cs="Arial" w:eastAsia="Arial" w:hAnsi="Arial"/>
                <w:sz w:val="14"/>
                <w:szCs w:val="14"/>
                <w:b w:val="1"/>
                <w:bCs w:val="1"/>
                <w:color w:val="FFFFFF"/>
              </w:rPr>
              <w:t>Salary</w:t>
            </w:r>
          </w:p>
        </w:tc>
        <w:tc>
          <w:tcPr>
            <w:tcW w:w="880" w:type="dxa"/>
            <w:vAlign w:val="bottom"/>
            <w:shd w:val="clear" w:color="auto" w:fill="0071CE"/>
          </w:tcPr>
          <w:p>
            <w:pPr>
              <w:jc w:val="right"/>
              <w:ind w:right="100"/>
              <w:spacing w:after="0"/>
              <w:rPr>
                <w:sz w:val="20"/>
                <w:szCs w:val="20"/>
                <w:color w:val="auto"/>
              </w:rPr>
            </w:pPr>
            <w:r>
              <w:rPr>
                <w:rFonts w:ascii="Arial" w:cs="Arial" w:eastAsia="Arial" w:hAnsi="Arial"/>
                <w:sz w:val="14"/>
                <w:szCs w:val="14"/>
                <w:b w:val="1"/>
                <w:bCs w:val="1"/>
                <w:color w:val="FFFFFF"/>
              </w:rPr>
              <w:t>Benefits</w:t>
            </w:r>
          </w:p>
        </w:tc>
        <w:tc>
          <w:tcPr>
            <w:tcW w:w="11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w:t>
            </w:r>
          </w:p>
        </w:tc>
        <w:tc>
          <w:tcPr>
            <w:tcW w:w="104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184"/>
        </w:trPr>
        <w:tc>
          <w:tcPr>
            <w:tcW w:w="6080" w:type="dxa"/>
            <w:vAlign w:val="bottom"/>
            <w:tcBorders>
              <w:bottom w:val="single" w:sz="8" w:color="0071CE"/>
            </w:tcBorders>
            <w:shd w:val="clear" w:color="auto" w:fill="0071CE"/>
          </w:tcPr>
          <w:p>
            <w:pPr>
              <w:ind w:left="220"/>
              <w:spacing w:after="0"/>
              <w:rPr>
                <w:sz w:val="20"/>
                <w:szCs w:val="20"/>
                <w:color w:val="auto"/>
              </w:rPr>
            </w:pPr>
            <w:r>
              <w:rPr>
                <w:rFonts w:ascii="Arial" w:cs="Arial" w:eastAsia="Arial" w:hAnsi="Arial"/>
                <w:sz w:val="14"/>
                <w:szCs w:val="14"/>
                <w:b w:val="1"/>
                <w:bCs w:val="1"/>
                <w:color w:val="FFFFFF"/>
              </w:rPr>
              <w:t>Triggering Event</w:t>
            </w:r>
          </w:p>
        </w:tc>
        <w:tc>
          <w:tcPr>
            <w:tcW w:w="100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(1)($)</w:t>
            </w:r>
          </w:p>
        </w:tc>
        <w:tc>
          <w:tcPr>
            <w:tcW w:w="8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w:t>
            </w:r>
          </w:p>
        </w:tc>
        <w:tc>
          <w:tcPr>
            <w:tcW w:w="1040" w:type="dxa"/>
            <w:vAlign w:val="bottom"/>
            <w:tcBorders>
              <w:bottom w:val="single" w:sz="8" w:color="0071CE"/>
            </w:tcBorders>
            <w:shd w:val="clear" w:color="auto" w:fill="0071CE"/>
          </w:tcPr>
          <w:p>
            <w:pPr>
              <w:jc w:val="right"/>
              <w:ind w:right="300"/>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71CE"/>
            </w:tcBorders>
            <w:shd w:val="clear" w:color="auto" w:fill="0071CE"/>
          </w:tcPr>
          <w:p>
            <w:pPr>
              <w:spacing w:after="0"/>
              <w:rPr>
                <w:sz w:val="16"/>
                <w:szCs w:val="16"/>
                <w:color w:val="auto"/>
              </w:rPr>
            </w:pPr>
          </w:p>
        </w:tc>
      </w:tr>
      <w:tr>
        <w:trPr>
          <w:trHeight w:val="243"/>
        </w:trPr>
        <w:tc>
          <w:tcPr>
            <w:tcW w:w="6080" w:type="dxa"/>
            <w:vAlign w:val="bottom"/>
            <w:shd w:val="clear" w:color="auto" w:fill="E5E5E5"/>
          </w:tcPr>
          <w:p>
            <w:pPr>
              <w:ind w:left="200"/>
              <w:spacing w:after="0"/>
              <w:rPr>
                <w:sz w:val="20"/>
                <w:szCs w:val="20"/>
                <w:color w:val="auto"/>
              </w:rPr>
            </w:pPr>
            <w:r>
              <w:rPr>
                <w:rFonts w:ascii="Arial" w:cs="Arial" w:eastAsia="Arial" w:hAnsi="Arial"/>
                <w:sz w:val="16"/>
                <w:szCs w:val="16"/>
                <w:color w:val="auto"/>
              </w:rPr>
              <w:t>Termination by Employer without Cause</w:t>
            </w:r>
          </w:p>
        </w:tc>
        <w:tc>
          <w:tcPr>
            <w:tcW w:w="100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Christopher Anzalone (2)</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54,167</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1,697</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55,864</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100,000</w:t>
            </w: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6,849</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106,849</w:t>
            </w: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Bruce D. Given</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Zhen Li</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200"/>
              <w:spacing w:after="0"/>
              <w:rPr>
                <w:sz w:val="20"/>
                <w:szCs w:val="20"/>
                <w:color w:val="auto"/>
              </w:rPr>
            </w:pPr>
            <w:r>
              <w:rPr>
                <w:rFonts w:ascii="Arial" w:cs="Arial" w:eastAsia="Arial" w:hAnsi="Arial"/>
                <w:sz w:val="16"/>
                <w:szCs w:val="16"/>
                <w:color w:val="auto"/>
              </w:rPr>
              <w:t>Change in Control</w:t>
            </w:r>
          </w:p>
        </w:tc>
        <w:tc>
          <w:tcPr>
            <w:tcW w:w="100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Christopher Anzalone</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Kenneth Myszkowski</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100,000</w:t>
            </w: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6,849</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4,536,906</w:t>
            </w:r>
          </w:p>
        </w:tc>
        <w:tc>
          <w:tcPr>
            <w:tcW w:w="8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244,984</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4,888,739</w:t>
            </w: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Bruce D. Given</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11,597,850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346,050</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11,943,900</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480"/>
              <w:spacing w:after="0"/>
              <w:rPr>
                <w:sz w:val="20"/>
                <w:szCs w:val="20"/>
                <w:color w:val="auto"/>
              </w:rPr>
            </w:pPr>
            <w:r>
              <w:rPr>
                <w:rFonts w:ascii="Arial" w:cs="Arial" w:eastAsia="Arial" w:hAnsi="Arial"/>
                <w:sz w:val="16"/>
                <w:szCs w:val="16"/>
                <w:color w:val="auto"/>
              </w:rPr>
              <w:t>Patrick O’Brien</w:t>
            </w:r>
          </w:p>
        </w:tc>
        <w:tc>
          <w:tcPr>
            <w:tcW w:w="100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81"/>
              <w:spacing w:after="0"/>
              <w:rPr>
                <w:sz w:val="20"/>
                <w:szCs w:val="20"/>
                <w:color w:val="auto"/>
              </w:rPr>
            </w:pPr>
            <w:r>
              <w:rPr>
                <w:rFonts w:ascii="Arial" w:cs="Arial" w:eastAsia="Arial" w:hAnsi="Arial"/>
                <w:sz w:val="16"/>
                <w:szCs w:val="16"/>
                <w:color w:val="auto"/>
              </w:rPr>
              <w:t>3,929,850</w:t>
            </w:r>
          </w:p>
        </w:tc>
        <w:tc>
          <w:tcPr>
            <w:tcW w:w="86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338,869</w:t>
            </w:r>
          </w:p>
        </w:tc>
        <w:tc>
          <w:tcPr>
            <w:tcW w:w="10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4,268,719</w:t>
            </w: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Zhen Li</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2,875,500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268,454</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3,143,954</w:t>
            </w:r>
          </w:p>
        </w:tc>
        <w:tc>
          <w:tcPr>
            <w:tcW w:w="20" w:type="dxa"/>
            <w:vAlign w:val="bottom"/>
          </w:tcPr>
          <w:p>
            <w:pPr>
              <w:spacing w:after="0"/>
              <w:rPr>
                <w:sz w:val="20"/>
                <w:szCs w:val="20"/>
                <w:color w:val="auto"/>
              </w:rPr>
            </w:pPr>
          </w:p>
        </w:tc>
      </w:tr>
      <w:tr>
        <w:trPr>
          <w:trHeight w:val="251"/>
        </w:trPr>
        <w:tc>
          <w:tcPr>
            <w:tcW w:w="6080" w:type="dxa"/>
            <w:vAlign w:val="bottom"/>
            <w:shd w:val="clear" w:color="auto" w:fill="E5E5E5"/>
          </w:tcPr>
          <w:p>
            <w:pPr>
              <w:ind w:left="200"/>
              <w:spacing w:after="0"/>
              <w:rPr>
                <w:sz w:val="20"/>
                <w:szCs w:val="20"/>
                <w:color w:val="auto"/>
              </w:rPr>
            </w:pPr>
            <w:r>
              <w:rPr>
                <w:rFonts w:ascii="Arial" w:cs="Arial" w:eastAsia="Arial" w:hAnsi="Arial"/>
                <w:sz w:val="16"/>
                <w:szCs w:val="16"/>
                <w:color w:val="auto"/>
              </w:rPr>
              <w:t>Involuntary Termination Following a Change in Control</w:t>
            </w:r>
          </w:p>
        </w:tc>
        <w:tc>
          <w:tcPr>
            <w:tcW w:w="100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080" w:type="dxa"/>
            <w:vAlign w:val="bottom"/>
          </w:tcPr>
          <w:p>
            <w:pPr>
              <w:ind w:left="480"/>
              <w:spacing w:after="0"/>
              <w:rPr>
                <w:sz w:val="20"/>
                <w:szCs w:val="20"/>
                <w:color w:val="auto"/>
              </w:rPr>
            </w:pPr>
            <w:r>
              <w:rPr>
                <w:rFonts w:ascii="Arial" w:cs="Arial" w:eastAsia="Arial" w:hAnsi="Arial"/>
                <w:sz w:val="16"/>
                <w:szCs w:val="16"/>
                <w:color w:val="auto"/>
              </w:rPr>
              <w:t>Patrick O’Brien</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205,000</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205,000</w:t>
            </w:r>
          </w:p>
        </w:tc>
        <w:tc>
          <w:tcPr>
            <w:tcW w:w="20" w:type="dxa"/>
            <w:vAlign w:val="bottom"/>
          </w:tcPr>
          <w:p>
            <w:pPr>
              <w:spacing w:after="0"/>
              <w:rPr>
                <w:sz w:val="20"/>
                <w:szCs w:val="20"/>
                <w:color w:val="auto"/>
              </w:rPr>
            </w:pPr>
          </w:p>
        </w:tc>
      </w:tr>
      <w:tr>
        <w:trPr>
          <w:trHeight w:val="244"/>
        </w:trPr>
        <w:tc>
          <w:tcPr>
            <w:tcW w:w="6080" w:type="dxa"/>
            <w:vAlign w:val="bottom"/>
            <w:tcBorders>
              <w:bottom w:val="single" w:sz="8" w:color="0071CE"/>
            </w:tcBorders>
            <w:shd w:val="clear" w:color="auto" w:fill="E5E5E5"/>
          </w:tcPr>
          <w:p>
            <w:pPr>
              <w:ind w:left="480"/>
              <w:spacing w:after="0"/>
              <w:rPr>
                <w:sz w:val="20"/>
                <w:szCs w:val="20"/>
                <w:color w:val="auto"/>
              </w:rPr>
            </w:pPr>
            <w:r>
              <w:rPr>
                <w:rFonts w:ascii="Arial" w:cs="Arial" w:eastAsia="Arial" w:hAnsi="Arial"/>
                <w:sz w:val="16"/>
                <w:szCs w:val="16"/>
                <w:color w:val="auto"/>
              </w:rPr>
              <w:t>Christopher Anzalone</w:t>
            </w:r>
          </w:p>
        </w:tc>
        <w:tc>
          <w:tcPr>
            <w:tcW w:w="1000" w:type="dxa"/>
            <w:vAlign w:val="bottom"/>
            <w:tcBorders>
              <w:bottom w:val="single" w:sz="8" w:color="0071CE"/>
            </w:tcBorders>
            <w:shd w:val="clear" w:color="auto" w:fill="E5E5E5"/>
          </w:tcPr>
          <w:p>
            <w:pPr>
              <w:jc w:val="right"/>
              <w:ind w:right="60"/>
              <w:spacing w:after="0"/>
              <w:rPr>
                <w:sz w:val="20"/>
                <w:szCs w:val="20"/>
                <w:color w:val="auto"/>
              </w:rPr>
            </w:pPr>
            <w:r>
              <w:rPr>
                <w:rFonts w:ascii="Arial" w:cs="Arial" w:eastAsia="Arial" w:hAnsi="Arial"/>
                <w:sz w:val="16"/>
                <w:szCs w:val="16"/>
                <w:color w:val="auto"/>
              </w:rPr>
              <w:t>54,167</w:t>
            </w:r>
          </w:p>
        </w:tc>
        <w:tc>
          <w:tcPr>
            <w:tcW w:w="880" w:type="dxa"/>
            <w:vAlign w:val="bottom"/>
            <w:tcBorders>
              <w:bottom w:val="single" w:sz="8" w:color="0071CE"/>
            </w:tcBorders>
            <w:shd w:val="clear" w:color="auto" w:fill="E5E5E5"/>
          </w:tcPr>
          <w:p>
            <w:pPr>
              <w:jc w:val="right"/>
              <w:ind w:right="100"/>
              <w:spacing w:after="0"/>
              <w:rPr>
                <w:sz w:val="20"/>
                <w:szCs w:val="20"/>
                <w:color w:val="auto"/>
              </w:rPr>
            </w:pPr>
            <w:r>
              <w:rPr>
                <w:rFonts w:ascii="Arial" w:cs="Arial" w:eastAsia="Arial" w:hAnsi="Arial"/>
                <w:sz w:val="16"/>
                <w:szCs w:val="16"/>
                <w:color w:val="auto"/>
              </w:rPr>
              <w:t>1,697</w:t>
            </w:r>
          </w:p>
        </w:tc>
        <w:tc>
          <w:tcPr>
            <w:tcW w:w="1140" w:type="dxa"/>
            <w:vAlign w:val="bottom"/>
            <w:tcBorders>
              <w:bottom w:val="single" w:sz="8" w:color="0071CE"/>
            </w:tcBorders>
            <w:shd w:val="clear" w:color="auto" w:fill="E5E5E5"/>
          </w:tcPr>
          <w:p>
            <w:pPr>
              <w:jc w:val="right"/>
              <w:ind w:right="81"/>
              <w:spacing w:after="0"/>
              <w:rPr>
                <w:sz w:val="20"/>
                <w:szCs w:val="20"/>
                <w:color w:val="auto"/>
              </w:rPr>
            </w:pPr>
            <w:r>
              <w:rPr>
                <w:rFonts w:ascii="Arial" w:cs="Arial" w:eastAsia="Arial" w:hAnsi="Arial"/>
                <w:sz w:val="16"/>
                <w:szCs w:val="16"/>
                <w:color w:val="auto"/>
              </w:rPr>
              <w:t>16,415,904</w:t>
            </w:r>
          </w:p>
        </w:tc>
        <w:tc>
          <w:tcPr>
            <w:tcW w:w="860" w:type="dxa"/>
            <w:vAlign w:val="bottom"/>
            <w:tcBorders>
              <w:bottom w:val="single" w:sz="8" w:color="0071CE"/>
            </w:tcBorders>
            <w:shd w:val="clear" w:color="auto" w:fill="E5E5E5"/>
          </w:tcPr>
          <w:p>
            <w:pPr>
              <w:jc w:val="right"/>
              <w:ind w:right="21"/>
              <w:spacing w:after="0"/>
              <w:rPr>
                <w:sz w:val="20"/>
                <w:szCs w:val="20"/>
                <w:color w:val="auto"/>
              </w:rPr>
            </w:pPr>
            <w:r>
              <w:rPr>
                <w:rFonts w:ascii="Arial" w:cs="Arial" w:eastAsia="Arial" w:hAnsi="Arial"/>
                <w:sz w:val="16"/>
                <w:szCs w:val="16"/>
                <w:color w:val="auto"/>
              </w:rPr>
              <w:t>347,204</w:t>
            </w:r>
          </w:p>
        </w:tc>
        <w:tc>
          <w:tcPr>
            <w:tcW w:w="1040" w:type="dxa"/>
            <w:vAlign w:val="bottom"/>
            <w:tcBorders>
              <w:bottom w:val="single" w:sz="8" w:color="0071CE"/>
            </w:tcBorders>
            <w:shd w:val="clear" w:color="auto" w:fill="E5E5E5"/>
          </w:tcPr>
          <w:p>
            <w:pPr>
              <w:jc w:val="right"/>
              <w:ind w:right="40"/>
              <w:spacing w:after="0"/>
              <w:rPr>
                <w:sz w:val="20"/>
                <w:szCs w:val="20"/>
                <w:color w:val="auto"/>
              </w:rPr>
            </w:pPr>
            <w:r>
              <w:rPr>
                <w:rFonts w:ascii="Arial" w:cs="Arial" w:eastAsia="Arial" w:hAnsi="Arial"/>
                <w:sz w:val="16"/>
                <w:szCs w:val="16"/>
                <w:color w:val="auto"/>
              </w:rPr>
              <w:t>16,818,972</w:t>
            </w:r>
          </w:p>
        </w:tc>
        <w:tc>
          <w:tcPr>
            <w:tcW w:w="20" w:type="dxa"/>
            <w:vAlign w:val="bottom"/>
          </w:tcPr>
          <w:p>
            <w:pPr>
              <w:spacing w:after="0"/>
              <w:rPr>
                <w:sz w:val="21"/>
                <w:szCs w:val="21"/>
                <w:color w:val="auto"/>
              </w:rPr>
            </w:pPr>
          </w:p>
        </w:tc>
      </w:tr>
    </w:tbl>
    <w:p>
      <w:pPr>
        <w:spacing w:after="0" w:line="68" w:lineRule="exact"/>
        <w:rPr>
          <w:sz w:val="20"/>
          <w:szCs w:val="20"/>
          <w:color w:val="auto"/>
        </w:rPr>
      </w:pPr>
    </w:p>
    <w:p>
      <w:pPr>
        <w:ind w:left="540" w:right="20" w:hanging="330"/>
        <w:spacing w:after="0" w:line="266"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2018 of $19.17. For option awards the value is calculated as the number of shares issuable upon unvested options multiplied by the difference between the Company’s closing stock price at September 30, 2017 of $19.17 less the applicable exercise price.</w:t>
      </w:r>
    </w:p>
    <w:p>
      <w:pPr>
        <w:spacing w:after="0" w:line="31" w:lineRule="exact"/>
        <w:rPr>
          <w:rFonts w:ascii="Arial" w:cs="Arial" w:eastAsia="Arial" w:hAnsi="Arial"/>
          <w:sz w:val="14"/>
          <w:szCs w:val="14"/>
          <w:color w:val="auto"/>
        </w:rPr>
      </w:pPr>
    </w:p>
    <w:p>
      <w:pPr>
        <w:ind w:left="540" w:right="520" w:hanging="330"/>
        <w:spacing w:after="0" w:line="290"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right="100"/>
        <w:spacing w:after="0" w:line="291" w:lineRule="auto"/>
        <w:rPr>
          <w:sz w:val="20"/>
          <w:szCs w:val="20"/>
          <w:color w:val="auto"/>
        </w:rPr>
      </w:pPr>
      <w:r>
        <w:rPr>
          <w:rFonts w:ascii="Arial" w:cs="Arial" w:eastAsia="Arial" w:hAnsi="Arial"/>
          <w:sz w:val="16"/>
          <w:szCs w:val="16"/>
          <w:color w:val="auto"/>
        </w:rPr>
        <w:t>Pursuant to Item 402(u) of Regulation S-K, we are required to calculate and disclose the median annual compensation of all of our employees (excluding our CEO, Dr. Anzalone), the annual compensation of Dr. Anzalone, and the ratio of these two amounts.</w:t>
      </w:r>
    </w:p>
    <w:p>
      <w:pPr>
        <w:spacing w:after="0" w:line="147" w:lineRule="exact"/>
        <w:rPr>
          <w:sz w:val="20"/>
          <w:szCs w:val="20"/>
          <w:color w:val="auto"/>
        </w:rPr>
      </w:pPr>
    </w:p>
    <w:p>
      <w:pPr>
        <w:ind w:left="220" w:right="60"/>
        <w:spacing w:after="0" w:line="261" w:lineRule="auto"/>
        <w:rPr>
          <w:sz w:val="20"/>
          <w:szCs w:val="20"/>
          <w:color w:val="auto"/>
        </w:rPr>
      </w:pPr>
      <w:r>
        <w:rPr>
          <w:rFonts w:ascii="Arial" w:cs="Arial" w:eastAsia="Arial" w:hAnsi="Arial"/>
          <w:sz w:val="16"/>
          <w:szCs w:val="16"/>
          <w:color w:val="auto"/>
        </w:rPr>
        <w:t>Our median employee was identified using the entire population of our employees as of September 30, 2018 based on a consistently applied compensation measure, or CACM, that reasonably reflects the annual compensation of employees. The CACM selected by us for our disclosure included annual base salary, overtime for the year-to-date period ended September 30, 2018, the cash bonus amount for fiscal 2018, the grant-date fair value for stock-based awards (calculated in accordance with requirements for the Summary Compensation Table), and welfare and health benefits for fiscal 2018.</w:t>
      </w:r>
    </w:p>
    <w:p>
      <w:pPr>
        <w:spacing w:after="0" w:line="171" w:lineRule="exact"/>
        <w:rPr>
          <w:sz w:val="20"/>
          <w:szCs w:val="20"/>
          <w:color w:val="auto"/>
        </w:rPr>
      </w:pPr>
    </w:p>
    <w:p>
      <w:pPr>
        <w:ind w:left="220" w:right="20"/>
        <w:spacing w:after="0" w:line="261"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2018 compensation for this selected employee in the same manner we determine the annual total compensation of our NEOs for purposes of the Summary Compensation Table. The median employee total compensation is $134,747. Dr. Anzalone’s 2018 compensation as disclosed in the Summary Compensation Table is $1,619,901. As a result, our CEO to median employee pay ratio for 2018 is 12:1.</w:t>
      </w:r>
    </w:p>
    <w:p>
      <w:pPr>
        <w:spacing w:after="0" w:line="171" w:lineRule="exact"/>
        <w:rPr>
          <w:sz w:val="20"/>
          <w:szCs w:val="20"/>
          <w:color w:val="auto"/>
        </w:rPr>
      </w:pPr>
    </w:p>
    <w:p>
      <w:pPr>
        <w:ind w:left="220" w:right="60"/>
        <w:spacing w:after="0" w:line="261"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77470</wp:posOffset>
            </wp:positionV>
            <wp:extent cx="98488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37</w:t>
      </w:r>
    </w:p>
    <w:p>
      <w:pPr>
        <w:sectPr>
          <w:pgSz w:w="11900" w:h="16838" w:orient="portrait"/>
          <w:cols w:equalWidth="0" w:num="1">
            <w:col w:w="11240"/>
          </w:cols>
          <w:pgMar w:left="240" w:top="455" w:right="4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Proposal Four — Ratification of Appointment of Independent Auditors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56" w:lineRule="exact"/>
        <w:rPr>
          <w:sz w:val="20"/>
          <w:szCs w:val="20"/>
          <w:color w:val="auto"/>
        </w:rPr>
      </w:pPr>
    </w:p>
    <w:p>
      <w:pPr>
        <w:ind w:left="220" w:right="560"/>
        <w:spacing w:after="0" w:line="293"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2019, and that selection is now being submitted to the stockholders.</w:t>
      </w:r>
    </w:p>
    <w:p>
      <w:pPr>
        <w:spacing w:after="0" w:line="146" w:lineRule="exact"/>
        <w:rPr>
          <w:sz w:val="20"/>
          <w:szCs w:val="20"/>
          <w:color w:val="auto"/>
        </w:rPr>
      </w:pPr>
    </w:p>
    <w:p>
      <w:pPr>
        <w:ind w:left="220" w:right="20"/>
        <w:spacing w:after="0" w:line="291" w:lineRule="auto"/>
        <w:rPr>
          <w:sz w:val="20"/>
          <w:szCs w:val="20"/>
          <w:color w:val="auto"/>
        </w:rPr>
      </w:pPr>
      <w:r>
        <w:rPr>
          <w:rFonts w:ascii="Arial" w:cs="Arial" w:eastAsia="Arial" w:hAnsi="Arial"/>
          <w:sz w:val="16"/>
          <w:szCs w:val="16"/>
          <w:color w:val="auto"/>
        </w:rPr>
        <w:t>A representative of RS&amp;J will be available at the Annual Meeting to respond to appropriate questions or make any other statements such representative deems appropriate.</w:t>
      </w:r>
    </w:p>
    <w:p>
      <w:pPr>
        <w:spacing w:after="0" w:line="147" w:lineRule="exact"/>
        <w:rPr>
          <w:sz w:val="20"/>
          <w:szCs w:val="20"/>
          <w:color w:val="auto"/>
        </w:rPr>
      </w:pPr>
    </w:p>
    <w:p>
      <w:pPr>
        <w:ind w:left="220" w:right="60"/>
        <w:spacing w:after="0" w:line="261" w:lineRule="auto"/>
        <w:rPr>
          <w:sz w:val="20"/>
          <w:szCs w:val="20"/>
          <w:color w:val="auto"/>
        </w:rPr>
      </w:pPr>
      <w:r>
        <w:rPr>
          <w:rFonts w:ascii="Arial" w:cs="Arial" w:eastAsia="Arial" w:hAnsi="Arial"/>
          <w:sz w:val="16"/>
          <w:szCs w:val="16"/>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6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18"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color w:val="auto"/>
        </w:rPr>
        <w:t>In order to be ratified, Proposal Four must be approved by a majority of Required Vote, assuming a quorum is present. For this purpose, abstentions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121920</wp:posOffset>
            </wp:positionV>
            <wp:extent cx="3503295" cy="539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03295" cy="539750"/>
                    </a:xfrm>
                    <a:prstGeom prst="rect">
                      <a:avLst/>
                    </a:prstGeom>
                    <a:noFill/>
                  </pic:spPr>
                </pic:pic>
              </a:graphicData>
            </a:graphic>
          </wp:anchor>
        </w:drawing>
      </w:r>
    </w:p>
    <w:p>
      <w:pPr>
        <w:spacing w:after="0" w:line="247" w:lineRule="exact"/>
        <w:rPr>
          <w:sz w:val="20"/>
          <w:szCs w:val="20"/>
          <w:color w:val="auto"/>
        </w:rPr>
      </w:pPr>
    </w:p>
    <w:p>
      <w:pPr>
        <w:ind w:left="4060" w:right="2940"/>
        <w:spacing w:after="0" w:line="292"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257810</wp:posOffset>
            </wp:positionV>
            <wp:extent cx="98488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38</w:t>
      </w:r>
    </w:p>
    <w:p>
      <w:pPr>
        <w:sectPr>
          <w:pgSz w:w="11900" w:h="16838" w:orient="portrait"/>
          <w:cols w:equalWidth="0" w:num="1">
            <w:col w:w="11080"/>
          </w:cols>
          <w:pgMar w:left="240" w:top="455" w:right="5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8560"/>
        <w:spacing w:after="0"/>
        <w:tabs>
          <w:tab w:leader="none" w:pos="1046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Audit Fees</w:t>
      </w:r>
    </w:p>
    <w:p>
      <w:pPr>
        <w:spacing w:after="0" w:line="358" w:lineRule="exact"/>
        <w:rPr>
          <w:sz w:val="20"/>
          <w:szCs w:val="20"/>
          <w:color w:val="auto"/>
        </w:rPr>
      </w:pPr>
    </w:p>
    <w:p>
      <w:pPr>
        <w:ind w:left="220" w:right="120"/>
        <w:spacing w:after="0" w:line="257"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2018 and 2017 were pre-approved by the audit committee.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2018 and September 30, 2017:</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8440" w:type="dxa"/>
            <w:vAlign w:val="bottom"/>
            <w:shd w:val="clear" w:color="auto" w:fill="0071CE"/>
          </w:tcPr>
          <w:p>
            <w:pPr>
              <w:spacing w:after="0"/>
              <w:rPr>
                <w:sz w:val="16"/>
                <w:szCs w:val="16"/>
                <w:color w:val="auto"/>
              </w:rPr>
            </w:pPr>
          </w:p>
        </w:tc>
        <w:tc>
          <w:tcPr>
            <w:tcW w:w="2560" w:type="dxa"/>
            <w:vAlign w:val="bottom"/>
            <w:gridSpan w:val="2"/>
            <w:shd w:val="clear" w:color="auto" w:fill="0071CE"/>
          </w:tcPr>
          <w:p>
            <w:pPr>
              <w:jc w:val="right"/>
              <w:ind w:right="193"/>
              <w:spacing w:after="0"/>
              <w:rPr>
                <w:sz w:val="20"/>
                <w:szCs w:val="20"/>
                <w:color w:val="auto"/>
              </w:rPr>
            </w:pPr>
            <w:r>
              <w:rPr>
                <w:rFonts w:ascii="Arial" w:cs="Arial" w:eastAsia="Arial" w:hAnsi="Arial"/>
                <w:sz w:val="14"/>
                <w:szCs w:val="14"/>
                <w:b w:val="1"/>
                <w:bCs w:val="1"/>
                <w:color w:val="FFFFFF"/>
              </w:rPr>
              <w:t>Year Ended September 30,</w:t>
            </w:r>
          </w:p>
        </w:tc>
        <w:tc>
          <w:tcPr>
            <w:tcW w:w="20" w:type="dxa"/>
            <w:vAlign w:val="bottom"/>
            <w:shd w:val="clear" w:color="auto" w:fill="0071CE"/>
          </w:tcPr>
          <w:p>
            <w:pPr>
              <w:spacing w:after="0"/>
              <w:rPr>
                <w:sz w:val="16"/>
                <w:szCs w:val="16"/>
                <w:color w:val="auto"/>
              </w:rPr>
            </w:pPr>
          </w:p>
        </w:tc>
      </w:tr>
      <w:tr>
        <w:trPr>
          <w:trHeight w:val="214"/>
        </w:trPr>
        <w:tc>
          <w:tcPr>
            <w:tcW w:w="8440" w:type="dxa"/>
            <w:vAlign w:val="bottom"/>
            <w:shd w:val="clear" w:color="auto" w:fill="0071CE"/>
          </w:tcPr>
          <w:p>
            <w:pPr>
              <w:spacing w:after="0"/>
              <w:rPr>
                <w:sz w:val="18"/>
                <w:szCs w:val="18"/>
                <w:color w:val="auto"/>
              </w:rPr>
            </w:pPr>
          </w:p>
        </w:tc>
        <w:tc>
          <w:tcPr>
            <w:tcW w:w="1380" w:type="dxa"/>
            <w:vAlign w:val="bottom"/>
            <w:shd w:val="clear" w:color="auto" w:fill="0071CE"/>
          </w:tcPr>
          <w:p>
            <w:pPr>
              <w:jc w:val="right"/>
              <w:ind w:right="215"/>
              <w:spacing w:after="0"/>
              <w:rPr>
                <w:sz w:val="20"/>
                <w:szCs w:val="20"/>
                <w:color w:val="auto"/>
              </w:rPr>
            </w:pPr>
            <w:r>
              <w:rPr>
                <w:rFonts w:ascii="Arial" w:cs="Arial" w:eastAsia="Arial" w:hAnsi="Arial"/>
                <w:sz w:val="14"/>
                <w:szCs w:val="14"/>
                <w:b w:val="1"/>
                <w:bCs w:val="1"/>
                <w:color w:val="FFFFFF"/>
              </w:rPr>
              <w:t>2018</w:t>
            </w:r>
          </w:p>
        </w:tc>
        <w:tc>
          <w:tcPr>
            <w:tcW w:w="1180" w:type="dxa"/>
            <w:vAlign w:val="bottom"/>
            <w:shd w:val="clear" w:color="auto" w:fill="0071CE"/>
          </w:tcPr>
          <w:p>
            <w:pPr>
              <w:jc w:val="right"/>
              <w:ind w:right="293"/>
              <w:spacing w:after="0"/>
              <w:rPr>
                <w:sz w:val="20"/>
                <w:szCs w:val="20"/>
                <w:color w:val="auto"/>
              </w:rPr>
            </w:pPr>
            <w:r>
              <w:rPr>
                <w:rFonts w:ascii="Arial" w:cs="Arial" w:eastAsia="Arial" w:hAnsi="Arial"/>
                <w:sz w:val="14"/>
                <w:szCs w:val="14"/>
                <w:b w:val="1"/>
                <w:bCs w:val="1"/>
                <w:color w:val="FFFFFF"/>
              </w:rPr>
              <w:t>2017</w:t>
            </w:r>
          </w:p>
        </w:tc>
        <w:tc>
          <w:tcPr>
            <w:tcW w:w="20" w:type="dxa"/>
            <w:vAlign w:val="bottom"/>
            <w:shd w:val="clear" w:color="auto" w:fill="0071CE"/>
          </w:tcPr>
          <w:p>
            <w:pPr>
              <w:spacing w:after="0"/>
              <w:rPr>
                <w:sz w:val="18"/>
                <w:szCs w:val="18"/>
                <w:color w:val="auto"/>
              </w:rPr>
            </w:pPr>
          </w:p>
        </w:tc>
      </w:tr>
      <w:tr>
        <w:trPr>
          <w:trHeight w:val="164"/>
        </w:trPr>
        <w:tc>
          <w:tcPr>
            <w:tcW w:w="8440" w:type="dxa"/>
            <w:vAlign w:val="bottom"/>
            <w:shd w:val="clear" w:color="auto" w:fill="0071CE"/>
          </w:tcPr>
          <w:p>
            <w:pPr>
              <w:spacing w:after="0"/>
              <w:rPr>
                <w:sz w:val="14"/>
                <w:szCs w:val="14"/>
                <w:color w:val="auto"/>
              </w:rPr>
            </w:pPr>
          </w:p>
        </w:tc>
        <w:tc>
          <w:tcPr>
            <w:tcW w:w="1380" w:type="dxa"/>
            <w:vAlign w:val="bottom"/>
            <w:shd w:val="clear" w:color="auto" w:fill="0071CE"/>
          </w:tcPr>
          <w:p>
            <w:pPr>
              <w:spacing w:after="0"/>
              <w:rPr>
                <w:sz w:val="14"/>
                <w:szCs w:val="14"/>
                <w:color w:val="auto"/>
              </w:rPr>
            </w:pPr>
          </w:p>
        </w:tc>
        <w:tc>
          <w:tcPr>
            <w:tcW w:w="1180" w:type="dxa"/>
            <w:vAlign w:val="bottom"/>
            <w:shd w:val="clear" w:color="auto" w:fill="0071CE"/>
          </w:tcPr>
          <w:p>
            <w:pPr>
              <w:spacing w:after="0"/>
              <w:rPr>
                <w:sz w:val="14"/>
                <w:szCs w:val="14"/>
                <w:color w:val="auto"/>
              </w:rPr>
            </w:pPr>
          </w:p>
        </w:tc>
        <w:tc>
          <w:tcPr>
            <w:tcW w:w="20" w:type="dxa"/>
            <w:vAlign w:val="bottom"/>
            <w:shd w:val="clear" w:color="auto" w:fill="0071CE"/>
          </w:tcPr>
          <w:p>
            <w:pPr>
              <w:spacing w:after="0"/>
              <w:rPr>
                <w:sz w:val="14"/>
                <w:szCs w:val="14"/>
                <w:color w:val="auto"/>
              </w:rPr>
            </w:pPr>
          </w:p>
        </w:tc>
      </w:tr>
      <w:tr>
        <w:trPr>
          <w:trHeight w:val="270"/>
        </w:trPr>
        <w:tc>
          <w:tcPr>
            <w:tcW w:w="8440" w:type="dxa"/>
            <w:vAlign w:val="bottom"/>
            <w:shd w:val="clear" w:color="auto" w:fill="E5E5E5"/>
          </w:tcPr>
          <w:p>
            <w:pPr>
              <w:ind w:left="60"/>
              <w:spacing w:after="0"/>
              <w:rPr>
                <w:sz w:val="20"/>
                <w:szCs w:val="20"/>
                <w:color w:val="auto"/>
              </w:rPr>
            </w:pPr>
            <w:r>
              <w:rPr>
                <w:rFonts w:ascii="Arial" w:cs="Arial" w:eastAsia="Arial" w:hAnsi="Arial"/>
                <w:sz w:val="18"/>
                <w:szCs w:val="18"/>
                <w:color w:val="auto"/>
              </w:rPr>
              <w:t>Audit fees (1)</w:t>
            </w:r>
          </w:p>
        </w:tc>
        <w:tc>
          <w:tcPr>
            <w:tcW w:w="13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$ 194,000</w:t>
            </w:r>
          </w:p>
        </w:tc>
        <w:tc>
          <w:tcPr>
            <w:tcW w:w="11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$ 195,000</w:t>
            </w:r>
          </w:p>
        </w:tc>
        <w:tc>
          <w:tcPr>
            <w:tcW w:w="20" w:type="dxa"/>
            <w:vAlign w:val="bottom"/>
          </w:tcPr>
          <w:p>
            <w:pPr>
              <w:spacing w:after="0"/>
              <w:rPr>
                <w:sz w:val="23"/>
                <w:szCs w:val="23"/>
                <w:color w:val="auto"/>
              </w:rPr>
            </w:pPr>
          </w:p>
        </w:tc>
      </w:tr>
      <w:tr>
        <w:trPr>
          <w:trHeight w:val="265"/>
        </w:trPr>
        <w:tc>
          <w:tcPr>
            <w:tcW w:w="8440" w:type="dxa"/>
            <w:vAlign w:val="bottom"/>
          </w:tcPr>
          <w:p>
            <w:pPr>
              <w:ind w:left="60"/>
              <w:spacing w:after="0"/>
              <w:rPr>
                <w:sz w:val="20"/>
                <w:szCs w:val="20"/>
                <w:color w:val="auto"/>
              </w:rPr>
            </w:pPr>
            <w:r>
              <w:rPr>
                <w:rFonts w:ascii="Arial" w:cs="Arial" w:eastAsia="Arial" w:hAnsi="Arial"/>
                <w:sz w:val="18"/>
                <w:szCs w:val="18"/>
                <w:color w:val="auto"/>
              </w:rPr>
              <w:t>Audit-related fees (2)</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59,500</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13,500</w:t>
            </w:r>
          </w:p>
        </w:tc>
        <w:tc>
          <w:tcPr>
            <w:tcW w:w="20" w:type="dxa"/>
            <w:vAlign w:val="bottom"/>
          </w:tcPr>
          <w:p>
            <w:pPr>
              <w:spacing w:after="0"/>
              <w:rPr>
                <w:sz w:val="23"/>
                <w:szCs w:val="23"/>
                <w:color w:val="auto"/>
              </w:rPr>
            </w:pPr>
          </w:p>
        </w:tc>
      </w:tr>
      <w:tr>
        <w:trPr>
          <w:trHeight w:val="275"/>
        </w:trPr>
        <w:tc>
          <w:tcPr>
            <w:tcW w:w="8440" w:type="dxa"/>
            <w:vAlign w:val="bottom"/>
            <w:shd w:val="clear" w:color="auto" w:fill="E5E5E5"/>
          </w:tcPr>
          <w:p>
            <w:pPr>
              <w:ind w:left="60"/>
              <w:spacing w:after="0"/>
              <w:rPr>
                <w:sz w:val="20"/>
                <w:szCs w:val="20"/>
                <w:color w:val="auto"/>
              </w:rPr>
            </w:pPr>
            <w:r>
              <w:rPr>
                <w:rFonts w:ascii="Arial" w:cs="Arial" w:eastAsia="Arial" w:hAnsi="Arial"/>
                <w:sz w:val="18"/>
                <w:szCs w:val="18"/>
                <w:color w:val="auto"/>
              </w:rPr>
              <w:t>Tax Fees</w:t>
            </w:r>
          </w:p>
        </w:tc>
        <w:tc>
          <w:tcPr>
            <w:tcW w:w="13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65"/>
        </w:trPr>
        <w:tc>
          <w:tcPr>
            <w:tcW w:w="8440" w:type="dxa"/>
            <w:vAlign w:val="bottom"/>
            <w:tcBorders>
              <w:bottom w:val="single" w:sz="8" w:color="E5E5E5"/>
            </w:tcBorders>
          </w:tcPr>
          <w:p>
            <w:pPr>
              <w:ind w:left="60"/>
              <w:spacing w:after="0"/>
              <w:rPr>
                <w:sz w:val="20"/>
                <w:szCs w:val="20"/>
                <w:color w:val="auto"/>
              </w:rPr>
            </w:pPr>
            <w:r>
              <w:rPr>
                <w:rFonts w:ascii="Arial" w:cs="Arial" w:eastAsia="Arial" w:hAnsi="Arial"/>
                <w:sz w:val="18"/>
                <w:szCs w:val="18"/>
                <w:color w:val="auto"/>
              </w:rPr>
              <w:t>All other fees</w:t>
            </w:r>
          </w:p>
        </w:tc>
        <w:tc>
          <w:tcPr>
            <w:tcW w:w="1380" w:type="dxa"/>
            <w:vAlign w:val="bottom"/>
            <w:tcBorders>
              <w:bottom w:val="single" w:sz="8" w:color="0071CE"/>
            </w:tcBorders>
          </w:tcPr>
          <w:p>
            <w:pPr>
              <w:jc w:val="right"/>
              <w:ind w:right="55"/>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0071CE"/>
            </w:tcBorders>
          </w:tcPr>
          <w:p>
            <w:pPr>
              <w:jc w:val="right"/>
              <w:ind w:right="1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50"/>
        </w:trPr>
        <w:tc>
          <w:tcPr>
            <w:tcW w:w="844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0071CE"/>
            </w:tcBorders>
            <w:shd w:val="clear" w:color="auto" w:fill="E5E5E5"/>
          </w:tcPr>
          <w:p>
            <w:pPr>
              <w:jc w:val="right"/>
              <w:ind w:right="55"/>
              <w:spacing w:after="0"/>
              <w:rPr>
                <w:sz w:val="20"/>
                <w:szCs w:val="20"/>
                <w:color w:val="auto"/>
              </w:rPr>
            </w:pPr>
            <w:r>
              <w:rPr>
                <w:rFonts w:ascii="Arial" w:cs="Arial" w:eastAsia="Arial" w:hAnsi="Arial"/>
                <w:sz w:val="18"/>
                <w:szCs w:val="18"/>
                <w:color w:val="auto"/>
              </w:rPr>
              <w:t>$ 253,500</w:t>
            </w:r>
          </w:p>
        </w:tc>
        <w:tc>
          <w:tcPr>
            <w:tcW w:w="1180" w:type="dxa"/>
            <w:vAlign w:val="bottom"/>
            <w:tcBorders>
              <w:bottom w:val="single" w:sz="8" w:color="0071CE"/>
            </w:tcBorders>
            <w:shd w:val="clear" w:color="auto" w:fill="E5E5E5"/>
          </w:tcPr>
          <w:p>
            <w:pPr>
              <w:jc w:val="right"/>
              <w:ind w:right="133"/>
              <w:spacing w:after="0"/>
              <w:rPr>
                <w:sz w:val="20"/>
                <w:szCs w:val="20"/>
                <w:color w:val="auto"/>
              </w:rPr>
            </w:pPr>
            <w:r>
              <w:rPr>
                <w:rFonts w:ascii="Arial" w:cs="Arial" w:eastAsia="Arial" w:hAnsi="Arial"/>
                <w:sz w:val="18"/>
                <w:szCs w:val="18"/>
                <w:color w:val="auto"/>
              </w:rPr>
              <w:t>$ 208,500</w:t>
            </w:r>
          </w:p>
        </w:tc>
        <w:tc>
          <w:tcPr>
            <w:tcW w:w="20" w:type="dxa"/>
            <w:vAlign w:val="bottom"/>
          </w:tcPr>
          <w:p>
            <w:pPr>
              <w:spacing w:after="0"/>
              <w:rPr>
                <w:sz w:val="21"/>
                <w:szCs w:val="21"/>
                <w:color w:val="auto"/>
              </w:rPr>
            </w:pPr>
          </w:p>
        </w:tc>
      </w:tr>
    </w:tbl>
    <w:p>
      <w:pPr>
        <w:spacing w:after="0" w:line="68" w:lineRule="exact"/>
        <w:rPr>
          <w:sz w:val="20"/>
          <w:szCs w:val="20"/>
          <w:color w:val="auto"/>
        </w:rPr>
      </w:pPr>
    </w:p>
    <w:p>
      <w:pPr>
        <w:ind w:left="540" w:hanging="330"/>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invoiced by RS&amp;J include year-end audit and periodic reviews of Forms 10-Q and 10-K.</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Fees invoiced by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102870</wp:posOffset>
            </wp:positionV>
            <wp:extent cx="98488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72"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39</w:t>
      </w:r>
    </w:p>
    <w:p>
      <w:pPr>
        <w:sectPr>
          <w:pgSz w:w="11900" w:h="16838" w:orient="portrait"/>
          <w:cols w:equalWidth="0" w:num="1">
            <w:col w:w="11240"/>
          </w:cols>
          <w:pgMar w:left="240" w:top="455" w:right="4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Report of the Audit Committee</w:t>
      </w:r>
    </w:p>
    <w:p>
      <w:pPr>
        <w:spacing w:after="0" w:line="358" w:lineRule="exact"/>
        <w:rPr>
          <w:sz w:val="20"/>
          <w:szCs w:val="20"/>
          <w:color w:val="auto"/>
        </w:rPr>
      </w:pPr>
    </w:p>
    <w:p>
      <w:pPr>
        <w:ind w:left="220"/>
        <w:spacing w:after="0" w:line="268"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2018, which include the consolidated balance sheets of the Company as of September 30, 2018 and September 30, 2017, and the related consolidated statements of operations, stockholders’ equity and cash flows for the fiscal years ended September 30, 2018, September 30, 2017 and September 30, 2016, and the notes thereto.</w:t>
      </w:r>
    </w:p>
    <w:p>
      <w:pPr>
        <w:spacing w:after="0" w:line="164" w:lineRule="exact"/>
        <w:rPr>
          <w:sz w:val="20"/>
          <w:szCs w:val="20"/>
          <w:color w:val="auto"/>
        </w:rPr>
      </w:pPr>
    </w:p>
    <w:p>
      <w:pPr>
        <w:jc w:val="both"/>
        <w:ind w:left="220"/>
        <w:spacing w:after="0" w:line="27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2018, The Audit Committee of the Board was comprised of three directors and operates under a written charter adopted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The members of the Audit Committee were William Waddill, Mauro Ferrari and Michael S. Perry. All members of the Audit Committee were “independent,” as defined in Rule 10A-3 under the Exchange Act and Rule 5605(c) of the Nasdaq Marketplace Rules, and are financially literate.</w:t>
      </w:r>
    </w:p>
    <w:p>
      <w:pPr>
        <w:spacing w:after="0" w:line="161" w:lineRule="exact"/>
        <w:rPr>
          <w:sz w:val="20"/>
          <w:szCs w:val="20"/>
          <w:color w:val="auto"/>
        </w:rPr>
      </w:pPr>
    </w:p>
    <w:p>
      <w:pPr>
        <w:ind w:left="220" w:right="80"/>
        <w:spacing w:after="0" w:line="262"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68"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7, 2018, the Audit Committee consisted of William</w:t>
      </w:r>
      <w:r>
        <w:rPr>
          <w:rFonts w:ascii="Arial" w:cs="Arial" w:eastAsia="Arial" w:hAnsi="Arial"/>
          <w:sz w:val="16"/>
          <w:szCs w:val="16"/>
          <w:b w:val="1"/>
          <w:bCs w:val="1"/>
          <w:color w:val="auto"/>
        </w:rPr>
        <w:t xml:space="preserve"> </w:t>
      </w:r>
      <w:r>
        <w:rPr>
          <w:rFonts w:ascii="Arial" w:cs="Arial" w:eastAsia="Arial" w:hAnsi="Arial"/>
          <w:sz w:val="16"/>
          <w:szCs w:val="16"/>
          <w:color w:val="auto"/>
        </w:rPr>
        <w:t>Waddill, Mauro Ferrari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75" w:lineRule="exact"/>
        <w:rPr>
          <w:sz w:val="20"/>
          <w:szCs w:val="20"/>
          <w:color w:val="auto"/>
        </w:rPr>
      </w:pPr>
    </w:p>
    <w:p>
      <w:pPr>
        <w:jc w:val="both"/>
        <w:ind w:left="220" w:right="60"/>
        <w:spacing w:after="0" w:line="262"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RS&amp;J,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2018, as filed with the SEC.</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William Waddill, Chairman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Mauro Ferrari</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95885</wp:posOffset>
            </wp:positionV>
            <wp:extent cx="98488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40</w:t>
      </w:r>
    </w:p>
    <w:p>
      <w:pPr>
        <w:sectPr>
          <w:pgSz w:w="11900" w:h="16838" w:orient="portrait"/>
          <w:cols w:equalWidth="0" w:num="1">
            <w:col w:w="11160"/>
          </w:cols>
          <w:pgMar w:left="240" w:top="455"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140"/>
        <w:spacing w:after="0"/>
        <w:tabs>
          <w:tab w:leader="none" w:pos="704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58" w:lineRule="exact"/>
        <w:rPr>
          <w:sz w:val="20"/>
          <w:szCs w:val="20"/>
          <w:color w:val="auto"/>
        </w:rPr>
      </w:pPr>
    </w:p>
    <w:p>
      <w:pPr>
        <w:ind w:left="220" w:right="20"/>
        <w:spacing w:after="0" w:line="255"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18, 2019,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225 South Lake Avenue, Suite 1050, Pasadena, California 91101 unless otherwise indicated.</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5%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-445770</wp:posOffset>
            </wp:positionV>
            <wp:extent cx="6989445" cy="4794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89445" cy="479425"/>
                    </a:xfrm>
                    <a:prstGeom prst="rect">
                      <a:avLst/>
                    </a:prstGeom>
                    <a:noFill/>
                  </pic:spPr>
                </pic:pic>
              </a:graphicData>
            </a:graphic>
          </wp:anchor>
        </w:drawing>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OppenheimerFunds, Inc. (2)</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225 Liberty Street 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6989445" cy="282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9445" cy="282575"/>
                    </a:xfrm>
                    <a:prstGeom prst="rect">
                      <a:avLst/>
                    </a:prstGeom>
                    <a:noFill/>
                  </pic:spPr>
                </pic:pic>
              </a:graphicData>
            </a:graphic>
          </wp:anchor>
        </w:drawing>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RTW Investments, LP (3)</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250 West 55th Street, 16th FL, Suite A, New York, NY 10019</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BlackRock Inc (4)</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55 East 52nd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6989445" cy="2825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9445" cy="282575"/>
                    </a:xfrm>
                    <a:prstGeom prst="rect">
                      <a:avLst/>
                    </a:prstGeom>
                    <a:noFill/>
                  </pic:spPr>
                </pic:pic>
              </a:graphicData>
            </a:graphic>
          </wp:anchor>
        </w:drawing>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First Manhattan Co (5)</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399 Park Avenue, New York, NY 10022</w:t>
      </w:r>
    </w:p>
    <w:p>
      <w:pPr>
        <w:spacing w:after="0" w:line="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State Street Corp (6)</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One Lincoln Street, Boston, MA 02111-2900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19050</wp:posOffset>
            </wp:positionV>
            <wp:extent cx="4051935"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51935" cy="179705"/>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Executive Officers and Directors</w:t>
      </w:r>
    </w:p>
    <w:p>
      <w:pPr>
        <w:spacing w:after="0" w:line="7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Christopher Anzalone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698944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Kenneth Myszkowski (8)</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Bruce D. Given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6989445"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Patrick O’Brien (10)</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Zhen Li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6989445"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Douglass Given (12)</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Michael S. Perry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698944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Mauro Ferrari (14)</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William Waddill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6989445"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89445" cy="162560"/>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Executive Officers and Directors as a group (9 persons)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31750</wp:posOffset>
            </wp:positionV>
            <wp:extent cx="4522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22470" cy="8255"/>
                    </a:xfrm>
                    <a:prstGeom prst="rect">
                      <a:avLst/>
                    </a:prstGeom>
                    <a:noFill/>
                  </pic:spPr>
                </pic:pic>
              </a:graphicData>
            </a:graphic>
          </wp:anchor>
        </w:drawing>
      </w:r>
    </w:p>
    <w:p>
      <w:pPr>
        <w:spacing w:after="0" w:line="111" w:lineRule="exact"/>
        <w:rPr>
          <w:sz w:val="20"/>
          <w:szCs w:val="20"/>
          <w:color w:val="auto"/>
        </w:rPr>
      </w:pPr>
    </w:p>
    <w:p>
      <w:pPr>
        <w:ind w:left="540" w:hanging="330"/>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299"/>
        <w:spacing w:after="0"/>
        <w:rPr>
          <w:sz w:val="20"/>
          <w:szCs w:val="20"/>
          <w:color w:val="auto"/>
        </w:rPr>
      </w:pPr>
      <w:r>
        <w:rPr>
          <w:rFonts w:ascii="Arial" w:cs="Arial" w:eastAsia="Arial" w:hAnsi="Arial"/>
          <w:sz w:val="14"/>
          <w:szCs w:val="14"/>
          <w:b w:val="1"/>
          <w:bCs w:val="1"/>
          <w:color w:val="FFFFFF"/>
        </w:rPr>
        <w:t>Number and Percentage of Shares</w:t>
      </w:r>
    </w:p>
    <w:p>
      <w:pPr>
        <w:spacing w:after="0" w:line="21" w:lineRule="exact"/>
        <w:rPr>
          <w:sz w:val="20"/>
          <w:szCs w:val="20"/>
          <w:color w:val="auto"/>
        </w:rPr>
      </w:pPr>
    </w:p>
    <w:p>
      <w:pPr>
        <w:jc w:val="center"/>
        <w:ind w:left="-299"/>
        <w:spacing w:after="0"/>
        <w:rPr>
          <w:sz w:val="20"/>
          <w:szCs w:val="20"/>
          <w:color w:val="auto"/>
        </w:rPr>
      </w:pPr>
      <w:r>
        <w:rPr>
          <w:rFonts w:ascii="Arial" w:cs="Arial" w:eastAsia="Arial" w:hAnsi="Arial"/>
          <w:sz w:val="14"/>
          <w:szCs w:val="14"/>
          <w:b w:val="1"/>
          <w:bCs w:val="1"/>
          <w:color w:val="FFFFFF"/>
        </w:rPr>
        <w:t>Beneficially Owned (1)</w:t>
      </w:r>
    </w:p>
    <w:p>
      <w:pPr>
        <w:spacing w:after="0" w:line="14" w:lineRule="exact"/>
        <w:rPr>
          <w:sz w:val="20"/>
          <w:szCs w:val="20"/>
          <w:color w:val="auto"/>
        </w:rPr>
      </w:pPr>
    </w:p>
    <w:p>
      <w:pPr>
        <w:ind w:left="1320"/>
        <w:spacing w:after="0"/>
        <w:tabs>
          <w:tab w:leader="none" w:pos="3480" w:val="left"/>
        </w:tabs>
        <w:rPr>
          <w:sz w:val="20"/>
          <w:szCs w:val="20"/>
          <w:color w:val="auto"/>
        </w:rPr>
      </w:pPr>
      <w:r>
        <w:rPr>
          <w:rFonts w:ascii="Arial" w:cs="Arial" w:eastAsia="Arial" w:hAnsi="Arial"/>
          <w:sz w:val="14"/>
          <w:szCs w:val="14"/>
          <w:b w:val="1"/>
          <w:bCs w:val="1"/>
          <w:color w:val="FFFFFF"/>
        </w:rPr>
        <w:t>Shares</w:t>
      </w:r>
      <w:r>
        <w:rPr>
          <w:sz w:val="20"/>
          <w:szCs w:val="20"/>
          <w:color w:val="auto"/>
        </w:rPr>
        <w:tab/>
      </w:r>
      <w:r>
        <w:rPr>
          <w:rFonts w:ascii="Arial" w:cs="Arial" w:eastAsia="Arial" w:hAnsi="Arial"/>
          <w:sz w:val="14"/>
          <w:szCs w:val="14"/>
          <w:b w:val="1"/>
          <w:bCs w:val="1"/>
          <w:color w:val="FFFFFF"/>
        </w:rPr>
        <w:t>Percentage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7,806,082</w:t>
            </w:r>
          </w:p>
        </w:tc>
        <w:tc>
          <w:tcPr>
            <w:tcW w:w="600" w:type="dxa"/>
            <w:vAlign w:val="bottom"/>
          </w:tcPr>
          <w:p>
            <w:pPr>
              <w:spacing w:after="0"/>
              <w:rPr>
                <w:sz w:val="19"/>
                <w:szCs w:val="19"/>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8.5%</w:t>
            </w:r>
          </w:p>
        </w:tc>
      </w:tr>
      <w:tr>
        <w:trPr>
          <w:trHeight w:val="445"/>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7,604,225</w:t>
            </w:r>
          </w:p>
        </w:tc>
        <w:tc>
          <w:tcPr>
            <w:tcW w:w="60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8.3%</w:t>
            </w:r>
          </w:p>
        </w:tc>
      </w:tr>
      <w:tr>
        <w:trPr>
          <w:trHeight w:val="445"/>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7,092,504</w:t>
            </w:r>
          </w:p>
        </w:tc>
        <w:tc>
          <w:tcPr>
            <w:tcW w:w="60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7.7%</w:t>
            </w:r>
          </w:p>
        </w:tc>
      </w:tr>
      <w:tr>
        <w:trPr>
          <w:trHeight w:val="445"/>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5,053,925</w:t>
            </w:r>
          </w:p>
        </w:tc>
        <w:tc>
          <w:tcPr>
            <w:tcW w:w="60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5.5%</w:t>
            </w:r>
          </w:p>
        </w:tc>
      </w:tr>
      <w:tr>
        <w:trPr>
          <w:trHeight w:val="445"/>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4,934,753</w:t>
            </w:r>
          </w:p>
        </w:tc>
        <w:tc>
          <w:tcPr>
            <w:tcW w:w="600" w:type="dxa"/>
            <w:vAlign w:val="bottom"/>
          </w:tcPr>
          <w:p>
            <w:pPr>
              <w:spacing w:after="0"/>
              <w:rPr>
                <w:sz w:val="24"/>
                <w:szCs w:val="24"/>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5.4%</w:t>
            </w:r>
          </w:p>
        </w:tc>
      </w:tr>
      <w:tr>
        <w:trPr>
          <w:trHeight w:val="137"/>
        </w:trPr>
        <w:tc>
          <w:tcPr>
            <w:tcW w:w="1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83"/>
        </w:trPr>
        <w:tc>
          <w:tcPr>
            <w:tcW w:w="1180" w:type="dxa"/>
            <w:vAlign w:val="bottom"/>
            <w:shd w:val="clear" w:color="auto" w:fill="E5E5E5"/>
          </w:tcPr>
          <w:p>
            <w:pPr>
              <w:spacing w:after="0"/>
              <w:rPr>
                <w:sz w:val="24"/>
                <w:szCs w:val="24"/>
                <w:color w:val="auto"/>
              </w:rPr>
            </w:pPr>
          </w:p>
        </w:tc>
        <w:tc>
          <w:tcPr>
            <w:tcW w:w="196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r>
      <w:tr>
        <w:trPr>
          <w:trHeight w:val="218"/>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2,366,421</w:t>
            </w:r>
          </w:p>
        </w:tc>
        <w:tc>
          <w:tcPr>
            <w:tcW w:w="600" w:type="dxa"/>
            <w:vAlign w:val="bottom"/>
          </w:tcPr>
          <w:p>
            <w:pPr>
              <w:spacing w:after="0"/>
              <w:rPr>
                <w:sz w:val="19"/>
                <w:szCs w:val="19"/>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2.5%</w:t>
            </w:r>
          </w:p>
        </w:tc>
      </w:tr>
      <w:tr>
        <w:trPr>
          <w:trHeight w:val="252"/>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404,023</w:t>
            </w:r>
          </w:p>
        </w:tc>
        <w:tc>
          <w:tcPr>
            <w:tcW w:w="600" w:type="dxa"/>
            <w:vAlign w:val="bottom"/>
          </w:tcPr>
          <w:p>
            <w:pPr>
              <w:spacing w:after="0"/>
              <w:rPr>
                <w:sz w:val="21"/>
                <w:szCs w:val="21"/>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841,690</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263,000</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231,283</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210,130</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262,000</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39,656</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16,500</w:t>
            </w:r>
          </w:p>
        </w:tc>
        <w:tc>
          <w:tcPr>
            <w:tcW w:w="600" w:type="dxa"/>
            <w:vAlign w:val="bottom"/>
          </w:tcPr>
          <w:p>
            <w:pPr>
              <w:spacing w:after="0"/>
              <w:rPr>
                <w:sz w:val="22"/>
                <w:szCs w:val="22"/>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3140" w:type="dxa"/>
            <w:vAlign w:val="bottom"/>
            <w:gridSpan w:val="2"/>
          </w:tcPr>
          <w:p>
            <w:pPr>
              <w:jc w:val="right"/>
              <w:ind w:right="1180"/>
              <w:spacing w:after="0"/>
              <w:rPr>
                <w:sz w:val="20"/>
                <w:szCs w:val="20"/>
                <w:color w:val="auto"/>
              </w:rPr>
            </w:pPr>
            <w:r>
              <w:rPr>
                <w:rFonts w:ascii="Arial" w:cs="Arial" w:eastAsia="Arial" w:hAnsi="Arial"/>
                <w:sz w:val="16"/>
                <w:szCs w:val="16"/>
                <w:color w:val="auto"/>
              </w:rPr>
              <w:t>4,634,703</w:t>
            </w:r>
          </w:p>
        </w:tc>
        <w:tc>
          <w:tcPr>
            <w:tcW w:w="600" w:type="dxa"/>
            <w:vAlign w:val="bottom"/>
          </w:tcPr>
          <w:p>
            <w:pPr>
              <w:spacing w:after="0"/>
              <w:rPr>
                <w:sz w:val="22"/>
                <w:szCs w:val="22"/>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color w:val="auto"/>
              </w:rPr>
              <w:t>4.8%</w:t>
            </w:r>
          </w:p>
        </w:tc>
      </w:tr>
      <w:tr>
        <w:trPr>
          <w:trHeight w:val="42"/>
        </w:trPr>
        <w:tc>
          <w:tcPr>
            <w:tcW w:w="1180" w:type="dxa"/>
            <w:vAlign w:val="bottom"/>
          </w:tcPr>
          <w:p>
            <w:pPr>
              <w:spacing w:after="0"/>
              <w:rPr>
                <w:sz w:val="3"/>
                <w:szCs w:val="3"/>
                <w:color w:val="auto"/>
              </w:rPr>
            </w:pPr>
          </w:p>
        </w:tc>
        <w:tc>
          <w:tcPr>
            <w:tcW w:w="1960" w:type="dxa"/>
            <w:vAlign w:val="bottom"/>
            <w:tcBorders>
              <w:bottom w:val="single" w:sz="8" w:color="0071CE"/>
            </w:tcBorders>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Borders>
              <w:bottom w:val="single" w:sz="8" w:color="0071CE"/>
            </w:tcBorders>
          </w:tcPr>
          <w:p>
            <w:pPr>
              <w:spacing w:after="0"/>
              <w:rPr>
                <w:sz w:val="3"/>
                <w:szCs w:val="3"/>
                <w:color w:val="auto"/>
              </w:rPr>
            </w:pPr>
          </w:p>
        </w:tc>
      </w:tr>
    </w:tbl>
    <w:p>
      <w:pPr>
        <w:spacing w:after="0" w:line="310" w:lineRule="exact"/>
        <w:rPr>
          <w:sz w:val="20"/>
          <w:szCs w:val="20"/>
          <w:color w:val="auto"/>
        </w:rPr>
      </w:pPr>
    </w:p>
    <w:p>
      <w:pPr>
        <w:sectPr>
          <w:pgSz w:w="11900" w:h="16838" w:orient="portrait"/>
          <w:cols w:equalWidth="0" w:num="2">
            <w:col w:w="5880" w:space="720"/>
            <w:col w:w="4620"/>
          </w:cols>
          <w:pgMar w:left="240" w:top="455" w:right="439" w:bottom="1440" w:gutter="0" w:footer="0" w:header="0"/>
          <w:type w:val="continuous"/>
        </w:sectPr>
      </w:pPr>
    </w:p>
    <w:p>
      <w:pPr>
        <w:ind w:left="540" w:right="80" w:hanging="330"/>
        <w:spacing w:after="0" w:line="266"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93,771,209 shares of Common Stock issued and outstanding as of January 18, 2019. Shares not outstanding but deemed beneficially owned by virtue of the right of a person to acquire them as of January 18, 2019, or within sixty days of such date are treated as outstanding only when determining the percentage owned by such individual and when determining the percentage owned by a group.</w:t>
      </w:r>
    </w:p>
    <w:p>
      <w:pPr>
        <w:spacing w:after="0" w:line="31" w:lineRule="exact"/>
        <w:rPr>
          <w:rFonts w:ascii="Arial" w:cs="Arial" w:eastAsia="Arial" w:hAnsi="Arial"/>
          <w:sz w:val="14"/>
          <w:szCs w:val="14"/>
          <w:color w:val="auto"/>
        </w:rPr>
      </w:pPr>
    </w:p>
    <w:p>
      <w:pPr>
        <w:ind w:left="540" w:right="380" w:hanging="330"/>
        <w:spacing w:after="0" w:line="290"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a Form 13G/A filed January 14, 2019 by OppenheimerFunds, Inc. According to the Form 13G/A, OppenheimerFunds, Inc. has shared voting and shared dispositive power with respect to all of the Arrowhead shares it beneficially holds.</w:t>
      </w:r>
    </w:p>
    <w:p>
      <w:pPr>
        <w:spacing w:after="0" w:line="15" w:lineRule="exact"/>
        <w:rPr>
          <w:rFonts w:ascii="Arial" w:cs="Arial" w:eastAsia="Arial" w:hAnsi="Arial"/>
          <w:sz w:val="14"/>
          <w:szCs w:val="14"/>
          <w:color w:val="auto"/>
        </w:rPr>
      </w:pPr>
    </w:p>
    <w:p>
      <w:pPr>
        <w:ind w:left="540" w:right="540" w:hanging="330"/>
        <w:spacing w:after="0" w:line="290"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a Form 13F-HR filed on November 14, 2018 by RTW Investments, LP. According to the Form 13F-HR, RTW Investments, LP has sole voting and sole dispositive power with respect to all of the Arrowhead shares it beneficially holds.</w:t>
      </w:r>
    </w:p>
    <w:p>
      <w:pPr>
        <w:spacing w:after="0" w:line="15" w:lineRule="exact"/>
        <w:rPr>
          <w:rFonts w:ascii="Arial" w:cs="Arial" w:eastAsia="Arial" w:hAnsi="Arial"/>
          <w:sz w:val="14"/>
          <w:szCs w:val="14"/>
          <w:color w:val="auto"/>
        </w:rPr>
      </w:pPr>
    </w:p>
    <w:p>
      <w:pPr>
        <w:ind w:left="540" w:right="100" w:hanging="330"/>
        <w:spacing w:after="0" w:line="290"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Form 13F-HR filed on November 9, 2018 by BlackRock, Inc. According to the Form 13F-HR, BlackRock, Inc has sole voting power with respect to 6,913,086 of the Arrowhead shares it beneficially holds and has sole dispositive power with respect to all of the Arrowhead shares it beneficially 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60960</wp:posOffset>
            </wp:positionV>
            <wp:extent cx="98488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0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0071CE"/>
        </w:rPr>
        <w:t>41</w:t>
      </w:r>
    </w:p>
    <w:p>
      <w:pPr>
        <w:sectPr>
          <w:pgSz w:w="11900" w:h="16838" w:orient="portrait"/>
          <w:cols w:equalWidth="0" w:num="1">
            <w:col w:w="11220"/>
          </w:cols>
          <w:pgMar w:left="240" w:top="455" w:right="4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32" w:lineRule="exact"/>
        <w:rPr>
          <w:sz w:val="20"/>
          <w:szCs w:val="20"/>
          <w:color w:val="auto"/>
        </w:rPr>
      </w:pPr>
    </w:p>
    <w:p>
      <w:pPr>
        <w:ind w:left="540" w:hanging="330"/>
        <w:spacing w:after="0" w:line="266"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Form 13F-HR filed on October 15, 2018 by First Manhattan Co. According to the Form 13F-HR, First Manhattan Co has sole voting power with respect to 3,941,650 of the Arrowhead shares it beneficially holds, shared voting power with respect to 1,077,025 of the Arrowhead shares it beneficially holds, and has sole dispositive power with respect to all of the Arrowhead shares its beneficially holds.</w:t>
      </w:r>
    </w:p>
    <w:p>
      <w:pPr>
        <w:spacing w:after="0" w:line="31" w:lineRule="exact"/>
        <w:rPr>
          <w:rFonts w:ascii="Arial" w:cs="Arial" w:eastAsia="Arial" w:hAnsi="Arial"/>
          <w:sz w:val="14"/>
          <w:szCs w:val="14"/>
          <w:color w:val="auto"/>
        </w:rPr>
      </w:pPr>
    </w:p>
    <w:p>
      <w:pPr>
        <w:ind w:left="540" w:right="220" w:hanging="330"/>
        <w:spacing w:after="0" w:line="290"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Form 13F-HR filed on October 15, 2018 by State Street Corp. According to the Form 13F-HR, State Street Corp has sole voting power with respect to 4,650,374 of the Arrowhead shares it beneficially holds and has shared dispositive power with respective to all of the Arrowhead shares it beneficially holds.</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1,157,299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239,666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538,334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145,000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153,333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65,000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77,000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20,000 shares issuable upon the exercise of stock options that are exercisable within 60 days of January 18, 2019.</w:t>
      </w:r>
    </w:p>
    <w:p>
      <w:pPr>
        <w:spacing w:after="0" w:line="81" w:lineRule="exact"/>
        <w:rPr>
          <w:rFonts w:ascii="Arial" w:cs="Arial" w:eastAsia="Arial" w:hAnsi="Arial"/>
          <w:sz w:val="14"/>
          <w:szCs w:val="14"/>
          <w:color w:val="auto"/>
        </w:rPr>
      </w:pPr>
    </w:p>
    <w:p>
      <w:pPr>
        <w:ind w:left="540" w:hanging="330"/>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2,395,632 shares issuable upon the exercise of stock options that are exercisable within 60 days of January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103505</wp:posOffset>
            </wp:positionV>
            <wp:extent cx="98488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42</w:t>
      </w:r>
    </w:p>
    <w:p>
      <w:pPr>
        <w:sectPr>
          <w:pgSz w:w="11900" w:h="16838" w:orient="portrait"/>
          <w:cols w:equalWidth="0" w:num="1">
            <w:col w:w="10900"/>
          </w:cols>
          <w:pgMar w:left="240" w:top="455" w:right="7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right"/>
        <w:ind w:right="20"/>
        <w:spacing w:after="0"/>
        <w:tabs>
          <w:tab w:leader="none" w:pos="266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358" w:lineRule="exact"/>
        <w:rPr>
          <w:sz w:val="20"/>
          <w:szCs w:val="20"/>
          <w:color w:val="auto"/>
        </w:rPr>
      </w:pPr>
    </w:p>
    <w:p>
      <w:pPr>
        <w:ind w:left="220" w:right="420"/>
        <w:spacing w:after="0" w:line="291" w:lineRule="auto"/>
        <w:rPr>
          <w:sz w:val="20"/>
          <w:szCs w:val="20"/>
          <w:color w:val="auto"/>
        </w:rPr>
      </w:pPr>
      <w:r>
        <w:rPr>
          <w:rFonts w:ascii="Arial" w:cs="Arial" w:eastAsia="Arial" w:hAnsi="Arial"/>
          <w:sz w:val="16"/>
          <w:szCs w:val="16"/>
          <w:color w:val="auto"/>
        </w:rPr>
        <w:t>The following table provides information as of September 30, 2018 with respect to shares of our Common Stock that may be issued under our equity compensation plans.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spacing w:after="0"/>
              <w:rPr>
                <w:sz w:val="14"/>
                <w:szCs w:val="14"/>
                <w:color w:val="auto"/>
              </w:rPr>
            </w:pPr>
          </w:p>
        </w:tc>
        <w:tc>
          <w:tcPr>
            <w:tcW w:w="3760" w:type="dxa"/>
            <w:vAlign w:val="bottom"/>
            <w:gridSpan w:val="2"/>
            <w:shd w:val="clear" w:color="auto" w:fill="0071CE"/>
          </w:tcPr>
          <w:p>
            <w:pPr>
              <w:jc w:val="right"/>
              <w:ind w:right="984"/>
              <w:spacing w:after="0"/>
              <w:rPr>
                <w:sz w:val="20"/>
                <w:szCs w:val="20"/>
                <w:color w:val="auto"/>
              </w:rPr>
            </w:pPr>
            <w:r>
              <w:rPr>
                <w:rFonts w:ascii="Arial" w:cs="Arial" w:eastAsia="Arial" w:hAnsi="Arial"/>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160"/>
        </w:trPr>
        <w:tc>
          <w:tcPr>
            <w:tcW w:w="5600" w:type="dxa"/>
            <w:vAlign w:val="bottom"/>
            <w:shd w:val="clear" w:color="auto" w:fill="0071CE"/>
          </w:tcPr>
          <w:p>
            <w:pPr>
              <w:spacing w:after="0"/>
              <w:rPr>
                <w:sz w:val="13"/>
                <w:szCs w:val="13"/>
                <w:color w:val="auto"/>
              </w:rPr>
            </w:pPr>
          </w:p>
        </w:tc>
        <w:tc>
          <w:tcPr>
            <w:tcW w:w="1640" w:type="dxa"/>
            <w:vAlign w:val="bottom"/>
            <w:shd w:val="clear" w:color="auto" w:fill="0071CE"/>
          </w:tcPr>
          <w:p>
            <w:pPr>
              <w:spacing w:after="0"/>
              <w:rPr>
                <w:sz w:val="13"/>
                <w:szCs w:val="13"/>
                <w:color w:val="auto"/>
              </w:rPr>
            </w:pPr>
          </w:p>
        </w:tc>
        <w:tc>
          <w:tcPr>
            <w:tcW w:w="2260" w:type="dxa"/>
            <w:vAlign w:val="bottom"/>
            <w:shd w:val="clear" w:color="auto" w:fill="0071CE"/>
          </w:tcPr>
          <w:p>
            <w:pPr>
              <w:spacing w:after="0"/>
              <w:rPr>
                <w:sz w:val="13"/>
                <w:szCs w:val="13"/>
                <w:color w:val="auto"/>
              </w:rPr>
            </w:pP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spacing w:after="0"/>
              <w:rPr>
                <w:sz w:val="14"/>
                <w:szCs w:val="14"/>
                <w:color w:val="auto"/>
              </w:rPr>
            </w:pPr>
          </w:p>
        </w:tc>
        <w:tc>
          <w:tcPr>
            <w:tcW w:w="2260" w:type="dxa"/>
            <w:vAlign w:val="bottom"/>
            <w:shd w:val="clear" w:color="auto" w:fill="0071CE"/>
          </w:tcPr>
          <w:p>
            <w:pPr>
              <w:spacing w:after="0"/>
              <w:rPr>
                <w:sz w:val="14"/>
                <w:szCs w:val="14"/>
                <w:color w:val="auto"/>
              </w:rPr>
            </w:pP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vMerge w:val="restart"/>
            <w:shd w:val="clear" w:color="auto" w:fill="0071CE"/>
          </w:tcPr>
          <w:p>
            <w:pPr>
              <w:jc w:val="center"/>
              <w:ind w:left="524"/>
              <w:spacing w:after="0"/>
              <w:rPr>
                <w:sz w:val="20"/>
                <w:szCs w:val="20"/>
                <w:color w:val="auto"/>
              </w:rPr>
            </w:pPr>
            <w:r>
              <w:rPr>
                <w:rFonts w:ascii="Arial" w:cs="Arial" w:eastAsia="Arial" w:hAnsi="Arial"/>
                <w:sz w:val="14"/>
                <w:szCs w:val="14"/>
                <w:b w:val="1"/>
                <w:bCs w:val="1"/>
                <w:color w:val="FFFFFF"/>
              </w:rPr>
              <w:t>Number of</w:t>
            </w:r>
          </w:p>
        </w:tc>
        <w:tc>
          <w:tcPr>
            <w:tcW w:w="2260" w:type="dxa"/>
            <w:vAlign w:val="bottom"/>
            <w:shd w:val="clear" w:color="auto" w:fill="0071CE"/>
          </w:tcPr>
          <w:p>
            <w:pPr>
              <w:spacing w:after="0"/>
              <w:rPr>
                <w:sz w:val="14"/>
                <w:szCs w:val="14"/>
                <w:color w:val="auto"/>
              </w:rPr>
            </w:pP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remaining</w:t>
            </w:r>
          </w:p>
        </w:tc>
        <w:tc>
          <w:tcPr>
            <w:tcW w:w="0" w:type="dxa"/>
            <w:vAlign w:val="bottom"/>
          </w:tcPr>
          <w:p>
            <w:pPr>
              <w:spacing w:after="0"/>
              <w:rPr>
                <w:sz w:val="1"/>
                <w:szCs w:val="1"/>
                <w:color w:val="auto"/>
              </w:rPr>
            </w:pPr>
          </w:p>
        </w:tc>
      </w:tr>
      <w:tr>
        <w:trPr>
          <w:trHeight w:val="150"/>
        </w:trPr>
        <w:tc>
          <w:tcPr>
            <w:tcW w:w="5600" w:type="dxa"/>
            <w:vAlign w:val="bottom"/>
            <w:shd w:val="clear" w:color="auto" w:fill="0071CE"/>
          </w:tcPr>
          <w:p>
            <w:pPr>
              <w:spacing w:after="0"/>
              <w:rPr>
                <w:sz w:val="13"/>
                <w:szCs w:val="13"/>
                <w:color w:val="auto"/>
              </w:rPr>
            </w:pPr>
          </w:p>
        </w:tc>
        <w:tc>
          <w:tcPr>
            <w:tcW w:w="1640" w:type="dxa"/>
            <w:vAlign w:val="bottom"/>
            <w:vMerge w:val="continue"/>
            <w:shd w:val="clear" w:color="auto" w:fill="0071CE"/>
          </w:tcPr>
          <w:p>
            <w:pPr>
              <w:spacing w:after="0"/>
              <w:rPr>
                <w:sz w:val="13"/>
                <w:szCs w:val="13"/>
                <w:color w:val="auto"/>
              </w:rPr>
            </w:pPr>
          </w:p>
        </w:tc>
        <w:tc>
          <w:tcPr>
            <w:tcW w:w="2260" w:type="dxa"/>
            <w:vAlign w:val="bottom"/>
            <w:shd w:val="clear" w:color="auto" w:fill="0071CE"/>
          </w:tcPr>
          <w:p>
            <w:pPr>
              <w:spacing w:after="0"/>
              <w:rPr>
                <w:sz w:val="13"/>
                <w:szCs w:val="13"/>
                <w:color w:val="auto"/>
              </w:rPr>
            </w:pPr>
          </w:p>
        </w:tc>
        <w:tc>
          <w:tcPr>
            <w:tcW w:w="1500" w:type="dxa"/>
            <w:vAlign w:val="bottom"/>
            <w:shd w:val="clear" w:color="auto" w:fill="0071CE"/>
          </w:tcPr>
          <w:p>
            <w:pPr>
              <w:jc w:val="center"/>
              <w:ind w:left="344"/>
              <w:spacing w:after="0" w:line="150" w:lineRule="exact"/>
              <w:rPr>
                <w:sz w:val="20"/>
                <w:szCs w:val="20"/>
                <w:color w:val="auto"/>
              </w:rPr>
            </w:pPr>
            <w:r>
              <w:rPr>
                <w:rFonts w:ascii="Arial" w:cs="Arial" w:eastAsia="Arial" w:hAnsi="Arial"/>
                <w:sz w:val="14"/>
                <w:szCs w:val="14"/>
                <w:b w:val="1"/>
                <w:bCs w:val="1"/>
                <w:color w:val="FFFFFF"/>
              </w:rPr>
              <w:t>available for</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04"/>
              <w:spacing w:after="0"/>
              <w:rPr>
                <w:sz w:val="20"/>
                <w:szCs w:val="20"/>
                <w:color w:val="auto"/>
              </w:rPr>
            </w:pPr>
            <w:r>
              <w:rPr>
                <w:rFonts w:ascii="Arial" w:cs="Arial" w:eastAsia="Arial" w:hAnsi="Arial"/>
                <w:sz w:val="14"/>
                <w:szCs w:val="14"/>
                <w:b w:val="1"/>
                <w:bCs w:val="1"/>
                <w:color w:val="FFFFFF"/>
              </w:rPr>
              <w:t>Shares to</w:t>
            </w:r>
          </w:p>
        </w:tc>
        <w:tc>
          <w:tcPr>
            <w:tcW w:w="2260" w:type="dxa"/>
            <w:vAlign w:val="bottom"/>
            <w:shd w:val="clear" w:color="auto" w:fill="0071CE"/>
          </w:tcPr>
          <w:p>
            <w:pPr>
              <w:spacing w:after="0"/>
              <w:rPr>
                <w:sz w:val="14"/>
                <w:szCs w:val="14"/>
                <w:color w:val="auto"/>
              </w:rPr>
            </w:pPr>
          </w:p>
        </w:tc>
        <w:tc>
          <w:tcPr>
            <w:tcW w:w="1500" w:type="dxa"/>
            <w:vAlign w:val="bottom"/>
            <w:shd w:val="clear" w:color="auto" w:fill="0071CE"/>
          </w:tcPr>
          <w:p>
            <w:pPr>
              <w:jc w:val="center"/>
              <w:ind w:left="364"/>
              <w:spacing w:after="0"/>
              <w:rPr>
                <w:sz w:val="20"/>
                <w:szCs w:val="20"/>
                <w:color w:val="auto"/>
              </w:rPr>
            </w:pPr>
            <w:r>
              <w:rPr>
                <w:rFonts w:ascii="Arial" w:cs="Arial" w:eastAsia="Arial" w:hAnsi="Arial"/>
                <w:sz w:val="14"/>
                <w:szCs w:val="14"/>
                <w:b w:val="1"/>
                <w:bCs w:val="1"/>
                <w:color w:val="FFFFFF"/>
              </w:rPr>
              <w:t>future issuance</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04"/>
              <w:spacing w:after="0"/>
              <w:rPr>
                <w:sz w:val="20"/>
                <w:szCs w:val="20"/>
                <w:color w:val="auto"/>
              </w:rPr>
            </w:pPr>
            <w:r>
              <w:rPr>
                <w:rFonts w:ascii="Arial" w:cs="Arial" w:eastAsia="Arial" w:hAnsi="Arial"/>
                <w:sz w:val="14"/>
                <w:szCs w:val="14"/>
                <w:b w:val="1"/>
                <w:bCs w:val="1"/>
                <w:color w:val="FFFFFF"/>
              </w:rPr>
              <w:t>be Issued</w:t>
            </w:r>
          </w:p>
        </w:tc>
        <w:tc>
          <w:tcPr>
            <w:tcW w:w="2260" w:type="dxa"/>
            <w:vAlign w:val="bottom"/>
            <w:shd w:val="clear" w:color="auto" w:fill="0071CE"/>
          </w:tcPr>
          <w:p>
            <w:pPr>
              <w:jc w:val="center"/>
              <w:ind w:left="303"/>
              <w:spacing w:after="0"/>
              <w:rPr>
                <w:sz w:val="20"/>
                <w:szCs w:val="20"/>
                <w:color w:val="auto"/>
              </w:rPr>
            </w:pPr>
            <w:r>
              <w:rPr>
                <w:rFonts w:ascii="Arial" w:cs="Arial" w:eastAsia="Arial" w:hAnsi="Arial"/>
                <w:sz w:val="14"/>
                <w:szCs w:val="14"/>
                <w:b w:val="1"/>
                <w:bCs w:val="1"/>
                <w:color w:val="FFFFFF"/>
              </w:rPr>
              <w:t>Weighted</w:t>
            </w:r>
          </w:p>
        </w:tc>
        <w:tc>
          <w:tcPr>
            <w:tcW w:w="1500" w:type="dxa"/>
            <w:vAlign w:val="bottom"/>
            <w:shd w:val="clear" w:color="auto" w:fill="0071CE"/>
          </w:tcPr>
          <w:p>
            <w:pPr>
              <w:jc w:val="center"/>
              <w:ind w:left="364"/>
              <w:spacing w:after="0"/>
              <w:rPr>
                <w:sz w:val="20"/>
                <w:szCs w:val="20"/>
                <w:color w:val="auto"/>
              </w:rPr>
            </w:pPr>
            <w:r>
              <w:rPr>
                <w:rFonts w:ascii="Arial" w:cs="Arial" w:eastAsia="Arial" w:hAnsi="Arial"/>
                <w:sz w:val="14"/>
                <w:szCs w:val="14"/>
                <w:b w:val="1"/>
                <w:bCs w:val="1"/>
                <w:color w:val="FFFFFF"/>
              </w:rPr>
              <w:t>under equity</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24"/>
              <w:spacing w:after="0"/>
              <w:rPr>
                <w:sz w:val="20"/>
                <w:szCs w:val="20"/>
                <w:color w:val="auto"/>
              </w:rPr>
            </w:pPr>
            <w:r>
              <w:rPr>
                <w:rFonts w:ascii="Arial" w:cs="Arial" w:eastAsia="Arial" w:hAnsi="Arial"/>
                <w:sz w:val="14"/>
                <w:szCs w:val="14"/>
                <w:b w:val="1"/>
                <w:bCs w:val="1"/>
                <w:color w:val="FFFFFF"/>
              </w:rPr>
              <w:t>upon</w:t>
            </w:r>
          </w:p>
        </w:tc>
        <w:tc>
          <w:tcPr>
            <w:tcW w:w="2260" w:type="dxa"/>
            <w:vAlign w:val="bottom"/>
            <w:shd w:val="clear" w:color="auto" w:fill="0071CE"/>
          </w:tcPr>
          <w:p>
            <w:pPr>
              <w:jc w:val="center"/>
              <w:ind w:left="283"/>
              <w:spacing w:after="0"/>
              <w:rPr>
                <w:sz w:val="20"/>
                <w:szCs w:val="20"/>
                <w:color w:val="auto"/>
              </w:rPr>
            </w:pPr>
            <w:r>
              <w:rPr>
                <w:rFonts w:ascii="Arial" w:cs="Arial" w:eastAsia="Arial" w:hAnsi="Arial"/>
                <w:sz w:val="14"/>
                <w:szCs w:val="14"/>
                <w:b w:val="1"/>
                <w:bCs w:val="1"/>
                <w:color w:val="FFFFFF"/>
              </w:rPr>
              <w:t>average</w:t>
            </w:r>
          </w:p>
        </w:tc>
        <w:tc>
          <w:tcPr>
            <w:tcW w:w="1500" w:type="dxa"/>
            <w:vAlign w:val="bottom"/>
            <w:shd w:val="clear" w:color="auto" w:fill="0071CE"/>
          </w:tcPr>
          <w:p>
            <w:pPr>
              <w:jc w:val="center"/>
              <w:ind w:left="364"/>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24"/>
              <w:spacing w:after="0"/>
              <w:rPr>
                <w:sz w:val="20"/>
                <w:szCs w:val="20"/>
                <w:color w:val="auto"/>
              </w:rPr>
            </w:pPr>
            <w:r>
              <w:rPr>
                <w:rFonts w:ascii="Arial" w:cs="Arial" w:eastAsia="Arial" w:hAnsi="Arial"/>
                <w:sz w:val="14"/>
                <w:szCs w:val="14"/>
                <w:b w:val="1"/>
                <w:bCs w:val="1"/>
                <w:color w:val="FFFFFF"/>
              </w:rPr>
              <w:t>exercise of</w:t>
            </w:r>
          </w:p>
        </w:tc>
        <w:tc>
          <w:tcPr>
            <w:tcW w:w="2260" w:type="dxa"/>
            <w:vAlign w:val="bottom"/>
            <w:shd w:val="clear" w:color="auto" w:fill="0071CE"/>
          </w:tcPr>
          <w:p>
            <w:pPr>
              <w:jc w:val="center"/>
              <w:ind w:left="303"/>
              <w:spacing w:after="0"/>
              <w:rPr>
                <w:sz w:val="20"/>
                <w:szCs w:val="20"/>
                <w:color w:val="auto"/>
              </w:rPr>
            </w:pPr>
            <w:r>
              <w:rPr>
                <w:rFonts w:ascii="Arial" w:cs="Arial" w:eastAsia="Arial" w:hAnsi="Arial"/>
                <w:sz w:val="14"/>
                <w:szCs w:val="14"/>
                <w:b w:val="1"/>
                <w:bCs w:val="1"/>
                <w:color w:val="FFFFFF"/>
              </w:rPr>
              <w:t>exercise price</w:t>
            </w:r>
          </w:p>
        </w:tc>
        <w:tc>
          <w:tcPr>
            <w:tcW w:w="1500" w:type="dxa"/>
            <w:vAlign w:val="bottom"/>
            <w:shd w:val="clear" w:color="auto" w:fill="0071CE"/>
          </w:tcPr>
          <w:p>
            <w:pPr>
              <w:jc w:val="center"/>
              <w:ind w:left="324"/>
              <w:spacing w:after="0"/>
              <w:rPr>
                <w:sz w:val="20"/>
                <w:szCs w:val="20"/>
                <w:color w:val="auto"/>
              </w:rPr>
            </w:pPr>
            <w:r>
              <w:rPr>
                <w:rFonts w:ascii="Arial" w:cs="Arial" w:eastAsia="Arial" w:hAnsi="Arial"/>
                <w:sz w:val="14"/>
                <w:szCs w:val="14"/>
                <w:b w:val="1"/>
                <w:bCs w:val="1"/>
                <w:color w:val="FFFFFF"/>
              </w:rPr>
              <w:t>plans</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04"/>
              <w:spacing w:after="0"/>
              <w:rPr>
                <w:sz w:val="20"/>
                <w:szCs w:val="20"/>
                <w:color w:val="auto"/>
              </w:rPr>
            </w:pPr>
            <w:r>
              <w:rPr>
                <w:rFonts w:ascii="Arial" w:cs="Arial" w:eastAsia="Arial" w:hAnsi="Arial"/>
                <w:sz w:val="14"/>
                <w:szCs w:val="14"/>
                <w:b w:val="1"/>
                <w:bCs w:val="1"/>
                <w:color w:val="FFFFFF"/>
              </w:rPr>
              <w:t>outstanding</w:t>
            </w:r>
          </w:p>
        </w:tc>
        <w:tc>
          <w:tcPr>
            <w:tcW w:w="2260" w:type="dxa"/>
            <w:vAlign w:val="bottom"/>
            <w:shd w:val="clear" w:color="auto" w:fill="0071CE"/>
          </w:tcPr>
          <w:p>
            <w:pPr>
              <w:jc w:val="center"/>
              <w:ind w:left="303"/>
              <w:spacing w:after="0"/>
              <w:rPr>
                <w:sz w:val="20"/>
                <w:szCs w:val="20"/>
                <w:color w:val="auto"/>
              </w:rPr>
            </w:pPr>
            <w:r>
              <w:rPr>
                <w:rFonts w:ascii="Arial" w:cs="Arial" w:eastAsia="Arial" w:hAnsi="Arial"/>
                <w:sz w:val="14"/>
                <w:szCs w:val="14"/>
                <w:b w:val="1"/>
                <w:bCs w:val="1"/>
                <w:color w:val="FFFFFF"/>
              </w:rPr>
              <w:t>of outstanding</w:t>
            </w: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(excluding</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24"/>
              <w:spacing w:after="0"/>
              <w:rPr>
                <w:sz w:val="20"/>
                <w:szCs w:val="20"/>
                <w:color w:val="auto"/>
              </w:rPr>
            </w:pPr>
            <w:r>
              <w:rPr>
                <w:rFonts w:ascii="Arial" w:cs="Arial" w:eastAsia="Arial" w:hAnsi="Arial"/>
                <w:sz w:val="14"/>
                <w:szCs w:val="14"/>
                <w:b w:val="1"/>
                <w:bCs w:val="1"/>
                <w:color w:val="FFFFFF"/>
              </w:rPr>
              <w:t>options,</w:t>
            </w:r>
          </w:p>
        </w:tc>
        <w:tc>
          <w:tcPr>
            <w:tcW w:w="2260" w:type="dxa"/>
            <w:vAlign w:val="bottom"/>
            <w:shd w:val="clear" w:color="auto" w:fill="0071CE"/>
          </w:tcPr>
          <w:p>
            <w:pPr>
              <w:jc w:val="center"/>
              <w:ind w:left="303"/>
              <w:spacing w:after="0"/>
              <w:rPr>
                <w:sz w:val="20"/>
                <w:szCs w:val="20"/>
                <w:color w:val="auto"/>
              </w:rPr>
            </w:pPr>
            <w:r>
              <w:rPr>
                <w:rFonts w:ascii="Arial" w:cs="Arial" w:eastAsia="Arial" w:hAnsi="Arial"/>
                <w:sz w:val="14"/>
                <w:szCs w:val="14"/>
                <w:b w:val="1"/>
                <w:bCs w:val="1"/>
                <w:color w:val="FFFFFF"/>
              </w:rPr>
              <w:t>options,</w:t>
            </w: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securities</w:t>
            </w:r>
          </w:p>
        </w:tc>
        <w:tc>
          <w:tcPr>
            <w:tcW w:w="0" w:type="dxa"/>
            <w:vAlign w:val="bottom"/>
          </w:tcPr>
          <w:p>
            <w:pPr>
              <w:spacing w:after="0"/>
              <w:rPr>
                <w:sz w:val="1"/>
                <w:szCs w:val="1"/>
                <w:color w:val="auto"/>
              </w:rPr>
            </w:pPr>
          </w:p>
        </w:tc>
      </w:tr>
      <w:tr>
        <w:trPr>
          <w:trHeight w:val="162"/>
        </w:trPr>
        <w:tc>
          <w:tcPr>
            <w:tcW w:w="5600" w:type="dxa"/>
            <w:vAlign w:val="bottom"/>
            <w:shd w:val="clear" w:color="auto" w:fill="0071CE"/>
          </w:tcPr>
          <w:p>
            <w:pPr>
              <w:spacing w:after="0"/>
              <w:rPr>
                <w:sz w:val="14"/>
                <w:szCs w:val="14"/>
                <w:color w:val="auto"/>
              </w:rPr>
            </w:pPr>
          </w:p>
        </w:tc>
        <w:tc>
          <w:tcPr>
            <w:tcW w:w="1640" w:type="dxa"/>
            <w:vAlign w:val="bottom"/>
            <w:shd w:val="clear" w:color="auto" w:fill="0071CE"/>
          </w:tcPr>
          <w:p>
            <w:pPr>
              <w:jc w:val="center"/>
              <w:ind w:left="524"/>
              <w:spacing w:after="0"/>
              <w:rPr>
                <w:sz w:val="20"/>
                <w:szCs w:val="20"/>
                <w:color w:val="auto"/>
              </w:rPr>
            </w:pPr>
            <w:r>
              <w:rPr>
                <w:rFonts w:ascii="Arial" w:cs="Arial" w:eastAsia="Arial" w:hAnsi="Arial"/>
                <w:sz w:val="14"/>
                <w:szCs w:val="14"/>
                <w:b w:val="1"/>
                <w:bCs w:val="1"/>
                <w:color w:val="FFFFFF"/>
              </w:rPr>
              <w:t>warrants</w:t>
            </w:r>
          </w:p>
        </w:tc>
        <w:tc>
          <w:tcPr>
            <w:tcW w:w="2260" w:type="dxa"/>
            <w:vAlign w:val="bottom"/>
            <w:shd w:val="clear" w:color="auto" w:fill="0071CE"/>
          </w:tcPr>
          <w:p>
            <w:pPr>
              <w:jc w:val="center"/>
              <w:ind w:left="283"/>
              <w:spacing w:after="0"/>
              <w:rPr>
                <w:sz w:val="20"/>
                <w:szCs w:val="20"/>
                <w:color w:val="auto"/>
              </w:rPr>
            </w:pPr>
            <w:r>
              <w:rPr>
                <w:rFonts w:ascii="Arial" w:cs="Arial" w:eastAsia="Arial" w:hAnsi="Arial"/>
                <w:sz w:val="14"/>
                <w:szCs w:val="14"/>
                <w:b w:val="1"/>
                <w:bCs w:val="1"/>
                <w:color w:val="FFFFFF"/>
              </w:rPr>
              <w:t>warrants and</w:t>
            </w: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reflected in</w:t>
            </w:r>
          </w:p>
        </w:tc>
        <w:tc>
          <w:tcPr>
            <w:tcW w:w="0" w:type="dxa"/>
            <w:vAlign w:val="bottom"/>
          </w:tcPr>
          <w:p>
            <w:pPr>
              <w:spacing w:after="0"/>
              <w:rPr>
                <w:sz w:val="1"/>
                <w:szCs w:val="1"/>
                <w:color w:val="auto"/>
              </w:rPr>
            </w:pPr>
          </w:p>
        </w:tc>
      </w:tr>
      <w:tr>
        <w:trPr>
          <w:trHeight w:val="189"/>
        </w:trPr>
        <w:tc>
          <w:tcPr>
            <w:tcW w:w="5600" w:type="dxa"/>
            <w:vAlign w:val="bottom"/>
            <w:shd w:val="clear" w:color="auto" w:fill="0071CE"/>
          </w:tcPr>
          <w:p>
            <w:pPr>
              <w:spacing w:after="0"/>
              <w:rPr>
                <w:sz w:val="16"/>
                <w:szCs w:val="16"/>
                <w:color w:val="auto"/>
              </w:rPr>
            </w:pPr>
          </w:p>
        </w:tc>
        <w:tc>
          <w:tcPr>
            <w:tcW w:w="1640" w:type="dxa"/>
            <w:vAlign w:val="bottom"/>
            <w:shd w:val="clear" w:color="auto" w:fill="0071CE"/>
          </w:tcPr>
          <w:p>
            <w:pPr>
              <w:jc w:val="center"/>
              <w:ind w:left="504"/>
              <w:spacing w:after="0"/>
              <w:rPr>
                <w:sz w:val="20"/>
                <w:szCs w:val="20"/>
                <w:color w:val="auto"/>
              </w:rPr>
            </w:pPr>
            <w:r>
              <w:rPr>
                <w:rFonts w:ascii="Arial" w:cs="Arial" w:eastAsia="Arial" w:hAnsi="Arial"/>
                <w:sz w:val="14"/>
                <w:szCs w:val="14"/>
                <w:b w:val="1"/>
                <w:bCs w:val="1"/>
                <w:color w:val="FFFFFF"/>
              </w:rPr>
              <w:t>and rights</w:t>
            </w:r>
          </w:p>
        </w:tc>
        <w:tc>
          <w:tcPr>
            <w:tcW w:w="2260" w:type="dxa"/>
            <w:vAlign w:val="bottom"/>
            <w:shd w:val="clear" w:color="auto" w:fill="0071CE"/>
          </w:tcPr>
          <w:p>
            <w:pPr>
              <w:jc w:val="center"/>
              <w:ind w:left="303"/>
              <w:spacing w:after="0"/>
              <w:rPr>
                <w:sz w:val="20"/>
                <w:szCs w:val="20"/>
                <w:color w:val="auto"/>
              </w:rPr>
            </w:pPr>
            <w:r>
              <w:rPr>
                <w:rFonts w:ascii="Arial" w:cs="Arial" w:eastAsia="Arial" w:hAnsi="Arial"/>
                <w:sz w:val="14"/>
                <w:szCs w:val="14"/>
                <w:b w:val="1"/>
                <w:bCs w:val="1"/>
                <w:color w:val="FFFFFF"/>
              </w:rPr>
              <w:t>rights</w:t>
            </w:r>
          </w:p>
        </w:tc>
        <w:tc>
          <w:tcPr>
            <w:tcW w:w="1500" w:type="dxa"/>
            <w:vAlign w:val="bottom"/>
            <w:shd w:val="clear" w:color="auto" w:fill="0071CE"/>
          </w:tcPr>
          <w:p>
            <w:pPr>
              <w:jc w:val="center"/>
              <w:ind w:left="344"/>
              <w:spacing w:after="0"/>
              <w:rPr>
                <w:sz w:val="20"/>
                <w:szCs w:val="20"/>
                <w:color w:val="auto"/>
              </w:rPr>
            </w:pPr>
            <w:r>
              <w:rPr>
                <w:rFonts w:ascii="Arial" w:cs="Arial" w:eastAsia="Arial" w:hAnsi="Arial"/>
                <w:sz w:val="14"/>
                <w:szCs w:val="14"/>
                <w:b w:val="1"/>
                <w:bCs w:val="1"/>
                <w:color w:val="FFFFFF"/>
              </w:rPr>
              <w:t>column (a)) (3)</w:t>
            </w:r>
          </w:p>
        </w:tc>
        <w:tc>
          <w:tcPr>
            <w:tcW w:w="0" w:type="dxa"/>
            <w:vAlign w:val="bottom"/>
          </w:tcPr>
          <w:p>
            <w:pPr>
              <w:spacing w:after="0"/>
              <w:rPr>
                <w:sz w:val="1"/>
                <w:szCs w:val="1"/>
                <w:color w:val="auto"/>
              </w:rPr>
            </w:pPr>
          </w:p>
        </w:tc>
      </w:tr>
      <w:tr>
        <w:trPr>
          <w:trHeight w:val="270"/>
        </w:trPr>
        <w:tc>
          <w:tcPr>
            <w:tcW w:w="5600" w:type="dxa"/>
            <w:vAlign w:val="bottom"/>
            <w:shd w:val="clear" w:color="auto" w:fill="E5E5E5"/>
          </w:tcPr>
          <w:p>
            <w:pPr>
              <w:ind w:left="60"/>
              <w:spacing w:after="0"/>
              <w:rPr>
                <w:sz w:val="20"/>
                <w:szCs w:val="20"/>
                <w:color w:val="auto"/>
              </w:rPr>
            </w:pPr>
            <w:r>
              <w:rPr>
                <w:rFonts w:ascii="Arial" w:cs="Arial" w:eastAsia="Arial" w:hAnsi="Arial"/>
                <w:sz w:val="18"/>
                <w:szCs w:val="18"/>
                <w:color w:val="auto"/>
              </w:rPr>
              <w:t>Equity compensation plans approved by security holders (1)</w:t>
            </w:r>
          </w:p>
        </w:tc>
        <w:tc>
          <w:tcPr>
            <w:tcW w:w="1640" w:type="dxa"/>
            <w:vAlign w:val="bottom"/>
            <w:shd w:val="clear" w:color="auto" w:fill="E5E5E5"/>
          </w:tcPr>
          <w:p>
            <w:pPr>
              <w:jc w:val="right"/>
              <w:ind w:right="4"/>
              <w:spacing w:after="0"/>
              <w:rPr>
                <w:sz w:val="20"/>
                <w:szCs w:val="20"/>
                <w:color w:val="auto"/>
              </w:rPr>
            </w:pPr>
            <w:r>
              <w:rPr>
                <w:rFonts w:ascii="Arial" w:cs="Arial" w:eastAsia="Arial" w:hAnsi="Arial"/>
                <w:sz w:val="18"/>
                <w:szCs w:val="18"/>
                <w:color w:val="auto"/>
              </w:rPr>
              <w:t>7,806,590</w:t>
            </w:r>
          </w:p>
        </w:tc>
        <w:tc>
          <w:tcPr>
            <w:tcW w:w="2260" w:type="dxa"/>
            <w:vAlign w:val="bottom"/>
            <w:shd w:val="clear" w:color="auto" w:fill="E5E5E5"/>
          </w:tcPr>
          <w:p>
            <w:pPr>
              <w:jc w:val="center"/>
              <w:ind w:left="283"/>
              <w:spacing w:after="0"/>
              <w:rPr>
                <w:sz w:val="20"/>
                <w:szCs w:val="20"/>
                <w:color w:val="auto"/>
              </w:rPr>
            </w:pPr>
            <w:r>
              <w:rPr>
                <w:rFonts w:ascii="Arial" w:cs="Arial" w:eastAsia="Arial" w:hAnsi="Arial"/>
                <w:sz w:val="18"/>
                <w:szCs w:val="18"/>
                <w:color w:val="auto"/>
              </w:rPr>
              <w:t>$5.77</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239,670</w:t>
            </w:r>
          </w:p>
        </w:tc>
        <w:tc>
          <w:tcPr>
            <w:tcW w:w="0" w:type="dxa"/>
            <w:vAlign w:val="bottom"/>
          </w:tcPr>
          <w:p>
            <w:pPr>
              <w:spacing w:after="0"/>
              <w:rPr>
                <w:sz w:val="1"/>
                <w:szCs w:val="1"/>
                <w:color w:val="auto"/>
              </w:rPr>
            </w:pPr>
          </w:p>
        </w:tc>
      </w:tr>
      <w:tr>
        <w:trPr>
          <w:trHeight w:val="265"/>
        </w:trPr>
        <w:tc>
          <w:tcPr>
            <w:tcW w:w="5600" w:type="dxa"/>
            <w:vAlign w:val="bottom"/>
            <w:tcBorders>
              <w:bottom w:val="single" w:sz="8" w:color="E5E5E5"/>
            </w:tcBorders>
          </w:tcPr>
          <w:p>
            <w:pPr>
              <w:ind w:left="60"/>
              <w:spacing w:after="0"/>
              <w:rPr>
                <w:sz w:val="20"/>
                <w:szCs w:val="20"/>
                <w:color w:val="auto"/>
              </w:rPr>
            </w:pPr>
            <w:r>
              <w:rPr>
                <w:rFonts w:ascii="Arial" w:cs="Arial" w:eastAsia="Arial" w:hAnsi="Arial"/>
                <w:sz w:val="18"/>
                <w:szCs w:val="18"/>
                <w:color w:val="auto"/>
              </w:rPr>
              <w:t>Equity compensation plans not approved by security holders (2)</w:t>
            </w:r>
          </w:p>
        </w:tc>
        <w:tc>
          <w:tcPr>
            <w:tcW w:w="1640" w:type="dxa"/>
            <w:vAlign w:val="bottom"/>
            <w:tcBorders>
              <w:bottom w:val="single" w:sz="8" w:color="0071CE"/>
            </w:tcBorders>
          </w:tcPr>
          <w:p>
            <w:pPr>
              <w:jc w:val="right"/>
              <w:ind w:right="4"/>
              <w:spacing w:after="0"/>
              <w:rPr>
                <w:sz w:val="20"/>
                <w:szCs w:val="20"/>
                <w:color w:val="auto"/>
              </w:rPr>
            </w:pPr>
            <w:r>
              <w:rPr>
                <w:rFonts w:ascii="Arial" w:cs="Arial" w:eastAsia="Arial" w:hAnsi="Arial"/>
                <w:sz w:val="18"/>
                <w:szCs w:val="18"/>
                <w:color w:val="auto"/>
              </w:rPr>
              <w:t>686,309</w:t>
            </w:r>
          </w:p>
        </w:tc>
        <w:tc>
          <w:tcPr>
            <w:tcW w:w="2260" w:type="dxa"/>
            <w:vAlign w:val="bottom"/>
            <w:tcBorders>
              <w:bottom w:val="single" w:sz="8" w:color="0071CE"/>
            </w:tcBorders>
          </w:tcPr>
          <w:p>
            <w:pPr>
              <w:jc w:val="center"/>
              <w:ind w:left="283"/>
              <w:spacing w:after="0"/>
              <w:rPr>
                <w:sz w:val="20"/>
                <w:szCs w:val="20"/>
                <w:color w:val="auto"/>
              </w:rPr>
            </w:pPr>
            <w:r>
              <w:rPr>
                <w:rFonts w:ascii="Arial" w:cs="Arial" w:eastAsia="Arial" w:hAnsi="Arial"/>
                <w:sz w:val="18"/>
                <w:szCs w:val="18"/>
                <w:color w:val="auto"/>
              </w:rPr>
              <w:t>$8.78</w:t>
            </w:r>
          </w:p>
        </w:tc>
        <w:tc>
          <w:tcPr>
            <w:tcW w:w="1500" w:type="dxa"/>
            <w:vAlign w:val="bottom"/>
            <w:tcBorders>
              <w:bottom w:val="single" w:sz="8" w:color="0071CE"/>
            </w:tcBorders>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0071CE"/>
            </w:tcBorders>
            <w:shd w:val="clear" w:color="auto" w:fill="E5E5E5"/>
          </w:tcPr>
          <w:p>
            <w:pPr>
              <w:jc w:val="right"/>
              <w:ind w:right="4"/>
              <w:spacing w:after="0"/>
              <w:rPr>
                <w:sz w:val="20"/>
                <w:szCs w:val="20"/>
                <w:color w:val="auto"/>
              </w:rPr>
            </w:pPr>
            <w:r>
              <w:rPr>
                <w:rFonts w:ascii="Arial" w:cs="Arial" w:eastAsia="Arial" w:hAnsi="Arial"/>
                <w:sz w:val="18"/>
                <w:szCs w:val="18"/>
                <w:color w:val="auto"/>
              </w:rPr>
              <w:t>8,492,899</w:t>
            </w:r>
          </w:p>
        </w:tc>
        <w:tc>
          <w:tcPr>
            <w:tcW w:w="2260" w:type="dxa"/>
            <w:vAlign w:val="bottom"/>
            <w:tcBorders>
              <w:bottom w:val="single" w:sz="8" w:color="0071CE"/>
            </w:tcBorders>
            <w:shd w:val="clear" w:color="auto" w:fill="E5E5E5"/>
          </w:tcPr>
          <w:p>
            <w:pPr>
              <w:jc w:val="center"/>
              <w:ind w:left="283"/>
              <w:spacing w:after="0"/>
              <w:rPr>
                <w:sz w:val="20"/>
                <w:szCs w:val="20"/>
                <w:color w:val="auto"/>
              </w:rPr>
            </w:pPr>
            <w:r>
              <w:rPr>
                <w:rFonts w:ascii="Arial" w:cs="Arial" w:eastAsia="Arial" w:hAnsi="Arial"/>
                <w:sz w:val="18"/>
                <w:szCs w:val="18"/>
                <w:color w:val="auto"/>
              </w:rPr>
              <w:t>$6.14</w:t>
            </w:r>
          </w:p>
        </w:tc>
        <w:tc>
          <w:tcPr>
            <w:tcW w:w="150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239,670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-1764030</wp:posOffset>
            </wp:positionV>
            <wp:extent cx="3014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14980" cy="8255"/>
                    </a:xfrm>
                    <a:prstGeom prst="rect">
                      <a:avLst/>
                    </a:prstGeom>
                    <a:noFill/>
                  </pic:spPr>
                </pic:pic>
              </a:graphicData>
            </a:graphic>
          </wp:anchor>
        </w:drawing>
      </w:r>
    </w:p>
    <w:p>
      <w:pPr>
        <w:spacing w:after="0" w:line="48" w:lineRule="exact"/>
        <w:rPr>
          <w:sz w:val="20"/>
          <w:szCs w:val="20"/>
          <w:color w:val="auto"/>
        </w:rPr>
      </w:pPr>
    </w:p>
    <w:p>
      <w:pPr>
        <w:ind w:left="540" w:right="500" w:hanging="330"/>
        <w:spacing w:after="0" w:line="290"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options outstanding representing 1,783,568 and 3,057,022 shares of Common Stock under the 2004 Equity Incentive Plan and the 2013 Incentive Plan, respectively. Also includes 2,966,000 restricted stock units subject to the 2013 Incentive Plan.</w:t>
      </w:r>
    </w:p>
    <w:p>
      <w:pPr>
        <w:spacing w:after="0" w:line="15" w:lineRule="exact"/>
        <w:rPr>
          <w:rFonts w:ascii="Arial" w:cs="Arial" w:eastAsia="Arial" w:hAnsi="Arial"/>
          <w:sz w:val="14"/>
          <w:szCs w:val="14"/>
          <w:color w:val="auto"/>
        </w:rPr>
      </w:pPr>
    </w:p>
    <w:p>
      <w:pPr>
        <w:ind w:left="540" w:hanging="330"/>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683,809 inducement option grants and 2,500 inducement restricted stock unit grants issued to newly hired employees.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260"/>
        <w:spacing w:after="0" w:line="291" w:lineRule="auto"/>
        <w:rPr>
          <w:sz w:val="20"/>
          <w:szCs w:val="20"/>
          <w:color w:val="auto"/>
        </w:rPr>
      </w:pPr>
      <w:r>
        <w:rPr>
          <w:rFonts w:ascii="Arial" w:cs="Arial" w:eastAsia="Arial" w:hAnsi="Arial"/>
          <w:sz w:val="16"/>
          <w:szCs w:val="16"/>
          <w:color w:val="auto"/>
        </w:rPr>
        <w:t>The names, ages and positions of our current executive officers serving as of January 18, 2019 are provided below. Biographical information regarding these officers is set forth under the following table, except for Dr. Anzalone, whose biography is set forth above with our other directors.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3140" w:type="dxa"/>
            <w:vAlign w:val="bottom"/>
            <w:tcBorders>
              <w:bottom w:val="single" w:sz="8" w:color="0071CE"/>
            </w:tcBorders>
            <w:shd w:val="clear" w:color="auto" w:fill="0071CE"/>
          </w:tcPr>
          <w:p>
            <w:pPr>
              <w:ind w:left="60"/>
              <w:spacing w:after="0"/>
              <w:rPr>
                <w:sz w:val="20"/>
                <w:szCs w:val="20"/>
                <w:color w:val="auto"/>
              </w:rPr>
            </w:pPr>
            <w:r>
              <w:rPr>
                <w:rFonts w:ascii="Arial" w:cs="Arial" w:eastAsia="Arial" w:hAnsi="Arial"/>
                <w:sz w:val="14"/>
                <w:szCs w:val="14"/>
                <w:b w:val="1"/>
                <w:bCs w:val="1"/>
                <w:color w:val="FFFFFF"/>
              </w:rPr>
              <w:t>Name</w:t>
            </w:r>
          </w:p>
        </w:tc>
        <w:tc>
          <w:tcPr>
            <w:tcW w:w="900" w:type="dxa"/>
            <w:vAlign w:val="bottom"/>
            <w:tcBorders>
              <w:bottom w:val="single" w:sz="8" w:color="0071CE"/>
            </w:tcBorders>
            <w:shd w:val="clear" w:color="auto" w:fill="0071CE"/>
          </w:tcPr>
          <w:p>
            <w:pPr>
              <w:jc w:val="right"/>
              <w:ind w:right="193"/>
              <w:spacing w:after="0"/>
              <w:rPr>
                <w:sz w:val="20"/>
                <w:szCs w:val="20"/>
                <w:color w:val="auto"/>
              </w:rPr>
            </w:pPr>
            <w:r>
              <w:rPr>
                <w:rFonts w:ascii="Arial" w:cs="Arial" w:eastAsia="Arial" w:hAnsi="Arial"/>
                <w:sz w:val="14"/>
                <w:szCs w:val="14"/>
                <w:b w:val="1"/>
                <w:bCs w:val="1"/>
                <w:color w:val="FFFFFF"/>
              </w:rPr>
              <w:t>Age</w:t>
            </w:r>
          </w:p>
        </w:tc>
        <w:tc>
          <w:tcPr>
            <w:tcW w:w="6960" w:type="dxa"/>
            <w:vAlign w:val="bottom"/>
            <w:tcBorders>
              <w:bottom w:val="single" w:sz="8" w:color="0071CE"/>
            </w:tcBorders>
            <w:shd w:val="clear" w:color="auto" w:fill="0071CE"/>
          </w:tcPr>
          <w:p>
            <w:pPr>
              <w:ind w:left="2720"/>
              <w:spacing w:after="0"/>
              <w:rPr>
                <w:sz w:val="20"/>
                <w:szCs w:val="20"/>
                <w:color w:val="auto"/>
              </w:rPr>
            </w:pPr>
            <w:r>
              <w:rPr>
                <w:rFonts w:ascii="Arial" w:cs="Arial" w:eastAsia="Arial" w:hAnsi="Arial"/>
                <w:sz w:val="14"/>
                <w:szCs w:val="14"/>
                <w:b w:val="1"/>
                <w:bCs w:val="1"/>
                <w:color w:val="FFFFFF"/>
              </w:rPr>
              <w:t>Position with Arrowhead</w:t>
            </w:r>
          </w:p>
        </w:tc>
        <w:tc>
          <w:tcPr>
            <w:tcW w:w="20" w:type="dxa"/>
            <w:vAlign w:val="bottom"/>
            <w:tcBorders>
              <w:bottom w:val="single" w:sz="8" w:color="0071CE"/>
            </w:tcBorders>
            <w:shd w:val="clear" w:color="auto" w:fill="0071CE"/>
          </w:tcPr>
          <w:p>
            <w:pPr>
              <w:spacing w:after="0"/>
              <w:rPr>
                <w:sz w:val="21"/>
                <w:szCs w:val="21"/>
                <w:color w:val="auto"/>
              </w:rPr>
            </w:pPr>
          </w:p>
        </w:tc>
      </w:tr>
      <w:tr>
        <w:trPr>
          <w:trHeight w:val="270"/>
        </w:trPr>
        <w:tc>
          <w:tcPr>
            <w:tcW w:w="3140" w:type="dxa"/>
            <w:vAlign w:val="bottom"/>
            <w:shd w:val="clear" w:color="auto" w:fill="E5E5E5"/>
          </w:tcPr>
          <w:p>
            <w:pPr>
              <w:ind w:left="60"/>
              <w:spacing w:after="0"/>
              <w:rPr>
                <w:sz w:val="20"/>
                <w:szCs w:val="20"/>
                <w:color w:val="auto"/>
              </w:rPr>
            </w:pPr>
            <w:r>
              <w:rPr>
                <w:rFonts w:ascii="Arial" w:cs="Arial" w:eastAsia="Arial" w:hAnsi="Arial"/>
                <w:sz w:val="18"/>
                <w:szCs w:val="18"/>
                <w:color w:val="auto"/>
              </w:rPr>
              <w:t>Christopher Anzalone</w:t>
            </w: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49</w:t>
            </w:r>
          </w:p>
        </w:tc>
        <w:tc>
          <w:tcPr>
            <w:tcW w:w="69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Chief Executive Officer &amp; President and Director</w:t>
            </w:r>
          </w:p>
        </w:tc>
        <w:tc>
          <w:tcPr>
            <w:tcW w:w="20" w:type="dxa"/>
            <w:vAlign w:val="bottom"/>
          </w:tcPr>
          <w:p>
            <w:pPr>
              <w:spacing w:after="0"/>
              <w:rPr>
                <w:sz w:val="23"/>
                <w:szCs w:val="23"/>
                <w:color w:val="auto"/>
              </w:rPr>
            </w:pPr>
          </w:p>
        </w:tc>
      </w:tr>
      <w:tr>
        <w:trPr>
          <w:trHeight w:val="265"/>
        </w:trPr>
        <w:tc>
          <w:tcPr>
            <w:tcW w:w="3140" w:type="dxa"/>
            <w:vAlign w:val="bottom"/>
          </w:tcPr>
          <w:p>
            <w:pPr>
              <w:ind w:left="60"/>
              <w:spacing w:after="0"/>
              <w:rPr>
                <w:sz w:val="20"/>
                <w:szCs w:val="20"/>
                <w:color w:val="auto"/>
              </w:rPr>
            </w:pPr>
            <w:r>
              <w:rPr>
                <w:rFonts w:ascii="Arial" w:cs="Arial" w:eastAsia="Arial" w:hAnsi="Arial"/>
                <w:sz w:val="18"/>
                <w:szCs w:val="18"/>
                <w:color w:val="auto"/>
              </w:rPr>
              <w:t>Kenneth A. Myszkowski</w:t>
            </w: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52</w:t>
            </w:r>
          </w:p>
        </w:tc>
        <w:tc>
          <w:tcPr>
            <w:tcW w:w="696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3"/>
                <w:szCs w:val="23"/>
                <w:color w:val="auto"/>
              </w:rPr>
            </w:pPr>
          </w:p>
        </w:tc>
      </w:tr>
      <w:tr>
        <w:trPr>
          <w:trHeight w:val="275"/>
        </w:trPr>
        <w:tc>
          <w:tcPr>
            <w:tcW w:w="3140" w:type="dxa"/>
            <w:vAlign w:val="bottom"/>
            <w:shd w:val="clear" w:color="auto" w:fill="E5E5E5"/>
          </w:tcPr>
          <w:p>
            <w:pPr>
              <w:ind w:left="60"/>
              <w:spacing w:after="0"/>
              <w:rPr>
                <w:sz w:val="20"/>
                <w:szCs w:val="20"/>
                <w:color w:val="auto"/>
              </w:rPr>
            </w:pPr>
            <w:r>
              <w:rPr>
                <w:rFonts w:ascii="Arial" w:cs="Arial" w:eastAsia="Arial" w:hAnsi="Arial"/>
                <w:sz w:val="18"/>
                <w:szCs w:val="18"/>
                <w:color w:val="auto"/>
              </w:rPr>
              <w:t>Bruce Given</w:t>
            </w: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64</w:t>
            </w:r>
          </w:p>
        </w:tc>
        <w:tc>
          <w:tcPr>
            <w:tcW w:w="69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Chief Operating Officer</w:t>
            </w:r>
          </w:p>
        </w:tc>
        <w:tc>
          <w:tcPr>
            <w:tcW w:w="20" w:type="dxa"/>
            <w:vAlign w:val="bottom"/>
          </w:tcPr>
          <w:p>
            <w:pPr>
              <w:spacing w:after="0"/>
              <w:rPr>
                <w:sz w:val="23"/>
                <w:szCs w:val="23"/>
                <w:color w:val="auto"/>
              </w:rPr>
            </w:pPr>
          </w:p>
        </w:tc>
      </w:tr>
      <w:tr>
        <w:trPr>
          <w:trHeight w:val="265"/>
        </w:trPr>
        <w:tc>
          <w:tcPr>
            <w:tcW w:w="3140" w:type="dxa"/>
            <w:vAlign w:val="bottom"/>
          </w:tcPr>
          <w:p>
            <w:pPr>
              <w:ind w:left="60"/>
              <w:spacing w:after="0"/>
              <w:rPr>
                <w:sz w:val="20"/>
                <w:szCs w:val="20"/>
                <w:color w:val="auto"/>
              </w:rPr>
            </w:pPr>
            <w:r>
              <w:rPr>
                <w:rFonts w:ascii="Arial" w:cs="Arial" w:eastAsia="Arial" w:hAnsi="Arial"/>
                <w:sz w:val="18"/>
                <w:szCs w:val="18"/>
                <w:color w:val="auto"/>
              </w:rPr>
              <w:t>Patrick O’Brien</w:t>
            </w: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55</w:t>
            </w:r>
          </w:p>
        </w:tc>
        <w:tc>
          <w:tcPr>
            <w:tcW w:w="6960" w:type="dxa"/>
            <w:vAlign w:val="bottom"/>
          </w:tcPr>
          <w:p>
            <w:pPr>
              <w:ind w:left="260"/>
              <w:spacing w:after="0"/>
              <w:rPr>
                <w:sz w:val="20"/>
                <w:szCs w:val="20"/>
                <w:color w:val="auto"/>
              </w:rPr>
            </w:pPr>
            <w:r>
              <w:rPr>
                <w:rFonts w:ascii="Arial" w:cs="Arial" w:eastAsia="Arial" w:hAnsi="Arial"/>
                <w:sz w:val="18"/>
                <w:szCs w:val="18"/>
                <w:color w:val="auto"/>
              </w:rPr>
              <w:t>General Counsel</w:t>
            </w:r>
          </w:p>
        </w:tc>
        <w:tc>
          <w:tcPr>
            <w:tcW w:w="20" w:type="dxa"/>
            <w:vAlign w:val="bottom"/>
          </w:tcPr>
          <w:p>
            <w:pPr>
              <w:spacing w:after="0"/>
              <w:rPr>
                <w:sz w:val="23"/>
                <w:szCs w:val="23"/>
                <w:color w:val="auto"/>
              </w:rPr>
            </w:pPr>
          </w:p>
        </w:tc>
      </w:tr>
      <w:tr>
        <w:trPr>
          <w:trHeight w:val="270"/>
        </w:trPr>
        <w:tc>
          <w:tcPr>
            <w:tcW w:w="3140" w:type="dxa"/>
            <w:vAlign w:val="bottom"/>
            <w:tcBorders>
              <w:bottom w:val="single" w:sz="8" w:color="0071CE"/>
            </w:tcBorders>
            <w:shd w:val="clear" w:color="auto" w:fill="E5E5E5"/>
          </w:tcPr>
          <w:p>
            <w:pPr>
              <w:ind w:left="60"/>
              <w:spacing w:after="0"/>
              <w:rPr>
                <w:sz w:val="20"/>
                <w:szCs w:val="20"/>
                <w:color w:val="auto"/>
              </w:rPr>
            </w:pPr>
            <w:r>
              <w:rPr>
                <w:rFonts w:ascii="Arial" w:cs="Arial" w:eastAsia="Arial" w:hAnsi="Arial"/>
                <w:sz w:val="18"/>
                <w:szCs w:val="18"/>
                <w:color w:val="auto"/>
              </w:rPr>
              <w:t>Zhen Li</w:t>
            </w:r>
          </w:p>
        </w:tc>
        <w:tc>
          <w:tcPr>
            <w:tcW w:w="900" w:type="dxa"/>
            <w:vAlign w:val="bottom"/>
            <w:tcBorders>
              <w:bottom w:val="single" w:sz="8" w:color="0071CE"/>
            </w:tcBorders>
            <w:shd w:val="clear" w:color="auto" w:fill="E5E5E5"/>
          </w:tcPr>
          <w:p>
            <w:pPr>
              <w:jc w:val="right"/>
              <w:ind w:right="173"/>
              <w:spacing w:after="0"/>
              <w:rPr>
                <w:sz w:val="20"/>
                <w:szCs w:val="20"/>
                <w:color w:val="auto"/>
              </w:rPr>
            </w:pPr>
            <w:r>
              <w:rPr>
                <w:rFonts w:ascii="Arial" w:cs="Arial" w:eastAsia="Arial" w:hAnsi="Arial"/>
                <w:sz w:val="18"/>
                <w:szCs w:val="18"/>
                <w:color w:val="auto"/>
              </w:rPr>
              <w:t>58</w:t>
            </w:r>
          </w:p>
        </w:tc>
        <w:tc>
          <w:tcPr>
            <w:tcW w:w="6960" w:type="dxa"/>
            <w:vAlign w:val="bottom"/>
            <w:tcBorders>
              <w:bottom w:val="single" w:sz="8" w:color="0071CE"/>
            </w:tcBorders>
            <w:shd w:val="clear" w:color="auto" w:fill="E5E5E5"/>
          </w:tcPr>
          <w:p>
            <w:pPr>
              <w:ind w:left="260"/>
              <w:spacing w:after="0"/>
              <w:rPr>
                <w:sz w:val="20"/>
                <w:szCs w:val="20"/>
                <w:color w:val="auto"/>
              </w:rPr>
            </w:pPr>
            <w:r>
              <w:rPr>
                <w:rFonts w:ascii="Arial" w:cs="Arial" w:eastAsia="Arial" w:hAnsi="Arial"/>
                <w:sz w:val="18"/>
                <w:szCs w:val="18"/>
                <w:color w:val="auto"/>
              </w:rPr>
              <w:t>Senior Vice President, Chemistry &amp; Non-Clinical Development</w:t>
            </w:r>
          </w:p>
        </w:tc>
        <w:tc>
          <w:tcPr>
            <w:tcW w:w="20" w:type="dxa"/>
            <w:vAlign w:val="bottom"/>
          </w:tcPr>
          <w:p>
            <w:pPr>
              <w:spacing w:after="0"/>
              <w:rPr>
                <w:sz w:val="23"/>
                <w:szCs w:val="23"/>
                <w:color w:val="auto"/>
              </w:rPr>
            </w:pPr>
          </w:p>
        </w:tc>
      </w:tr>
    </w:tbl>
    <w:p>
      <w:pPr>
        <w:spacing w:after="0" w:line="196" w:lineRule="exact"/>
        <w:rPr>
          <w:sz w:val="20"/>
          <w:szCs w:val="20"/>
          <w:color w:val="auto"/>
        </w:rPr>
      </w:pPr>
    </w:p>
    <w:p>
      <w:pPr>
        <w:ind w:left="220" w:right="240"/>
        <w:spacing w:after="0" w:line="255"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2" w:lineRule="exact"/>
        <w:rPr>
          <w:sz w:val="20"/>
          <w:szCs w:val="20"/>
          <w:color w:val="auto"/>
        </w:rPr>
      </w:pPr>
    </w:p>
    <w:p>
      <w:pPr>
        <w:ind w:left="220" w:right="140"/>
        <w:spacing w:after="0" w:line="251"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76" w:lineRule="exact"/>
        <w:rPr>
          <w:sz w:val="20"/>
          <w:szCs w:val="20"/>
          <w:color w:val="auto"/>
        </w:rPr>
      </w:pPr>
    </w:p>
    <w:p>
      <w:pPr>
        <w:ind w:left="220" w:right="100"/>
        <w:spacing w:after="0" w:line="253"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Dr. Given was a member of the Board of Directors for ICON, plc. from 2004 until his</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in 2013 and Chairman of its Board of Directors from 2010 to 2013. Dr. Given served as the President and Chief Executive Officer, and as a member of the Board of Directors of Encysive Pharmaceuticals, an R&amp;D-based commercial pharmaceutical company, roles he held from 2002 through 2007. Subsequent to his tenure at Encysive until 2011, Dr. Given was President of Bruce Given Consulting, a firm that provides consulting services to biotech companies. Since October 1, 2009, Dr. Given has been a director of Calando Pharmaceuticals, Inc., and from February 2010 until its dissolution in October 2014, Dr. Given was the Chief Executive Officer of Leonardo Biosystems, Inc., in which Arrowhead held a minority equity interest. Prior to his tenure at Encysive, Dr. Given held several senior executive roles at Johnson and Johnson, Sandoz Pharmaceuticals and Schering-Plough. Dr. Given obtained his bachelor of sciences degree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81280</wp:posOffset>
            </wp:positionV>
            <wp:extent cx="98488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7"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43</w:t>
      </w:r>
    </w:p>
    <w:p>
      <w:pPr>
        <w:sectPr>
          <w:pgSz w:w="11900" w:h="16838" w:orient="portrait"/>
          <w:cols w:equalWidth="0" w:num="1">
            <w:col w:w="11240"/>
          </w:cols>
          <w:pgMar w:left="240" w:top="455" w:right="41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146" w:lineRule="exact"/>
        <w:rPr>
          <w:sz w:val="20"/>
          <w:szCs w:val="20"/>
          <w:color w:val="auto"/>
        </w:rPr>
      </w:pPr>
    </w:p>
    <w:p>
      <w:pPr>
        <w:ind w:left="220" w:right="200"/>
        <w:spacing w:after="0" w:line="261" w:lineRule="auto"/>
        <w:rPr>
          <w:sz w:val="20"/>
          <w:szCs w:val="20"/>
          <w:color w:val="auto"/>
        </w:rPr>
      </w:pPr>
      <w:r>
        <w:rPr>
          <w:rFonts w:ascii="Arial" w:cs="Arial" w:eastAsia="Arial" w:hAnsi="Arial"/>
          <w:sz w:val="16"/>
          <w:szCs w:val="16"/>
          <w:color w:val="auto"/>
        </w:rPr>
        <w:t>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69" w:lineRule="exact"/>
        <w:rPr>
          <w:sz w:val="20"/>
          <w:szCs w:val="20"/>
          <w:color w:val="auto"/>
        </w:rPr>
      </w:pPr>
    </w:p>
    <w:p>
      <w:pPr>
        <w:ind w:left="220"/>
        <w:spacing w:after="0" w:line="253"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General Counsel, joined the Company in December 2014. Mr. O’Brien has practiced in the healthcare legal field for over 25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 2010, Mr. O’Brien was a partner in Burke O’Neil LLC. From 2001 —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75" w:lineRule="exact"/>
        <w:rPr>
          <w:sz w:val="20"/>
          <w:szCs w:val="20"/>
          <w:color w:val="auto"/>
        </w:rPr>
      </w:pPr>
    </w:p>
    <w:p>
      <w:pPr>
        <w:ind w:left="220" w:right="20"/>
        <w:spacing w:after="0" w:line="253" w:lineRule="auto"/>
        <w:rPr>
          <w:sz w:val="20"/>
          <w:szCs w:val="20"/>
          <w:color w:val="auto"/>
        </w:rPr>
      </w:pPr>
      <w:r>
        <w:rPr>
          <w:rFonts w:ascii="Arial" w:cs="Arial" w:eastAsia="Arial" w:hAnsi="Arial"/>
          <w:sz w:val="16"/>
          <w:szCs w:val="16"/>
          <w:b w:val="1"/>
          <w:bCs w:val="1"/>
          <w:color w:val="auto"/>
        </w:rPr>
        <w:t>Dr. Zhen Li</w:t>
      </w:r>
      <w:r>
        <w:rPr>
          <w:rFonts w:ascii="Arial" w:cs="Arial" w:eastAsia="Arial" w:hAnsi="Arial"/>
          <w:sz w:val="16"/>
          <w:szCs w:val="16"/>
          <w:color w:val="auto"/>
        </w:rPr>
        <w:t>, Senior Vice President, Chemistry &amp; Manufacturing, joined the Company in March 2014. Prior to joining Arrowhead Pharmaceuticals,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Chemistry, RNAi therapeutics, Process Chemistry at Merck, a global pharmaceutical company, from 2009 to 2013. Prior to her tenure at Merck, she held leadership positions at Schering-Plough and Novartis, and led teams in drug discovery and process development in small molecule pharmaceuticals as well as RNAi therapeutics covering a range of disease areas. Dr. Zhen Li was Director of Chemistry at Merck Research Laboratory and led a team in research and development in the field of siRNA. She led multiple development programs from early to late stage at Schering-Plough. Dr. Zhen Li served as the Head of Process and Analytical Research &amp; Development at Novartis Chuangshu. She began her pharmaceutical career at Merck where she did research in medicinal chemistry and process development. Dr. Zhen Li received her bachelor of science degree from Peking University and her Ph.D. from Harvard University.</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right="180"/>
        <w:spacing w:after="0" w:line="257"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2018, all of its officers, directors and significant stockholders complied with all applicable filing requirements under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80010</wp:posOffset>
            </wp:positionV>
            <wp:extent cx="984885"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44</w:t>
      </w:r>
    </w:p>
    <w:p>
      <w:pPr>
        <w:sectPr>
          <w:pgSz w:w="11900" w:h="16838" w:orient="portrait"/>
          <w:cols w:equalWidth="0" w:num="1">
            <w:col w:w="11220"/>
          </w:cols>
          <w:pgMar w:left="24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780"/>
        <w:spacing w:after="0"/>
        <w:tabs>
          <w:tab w:leader="none" w:pos="766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58" w:lineRule="exact"/>
        <w:rPr>
          <w:sz w:val="20"/>
          <w:szCs w:val="20"/>
          <w:color w:val="auto"/>
        </w:rPr>
      </w:pPr>
    </w:p>
    <w:p>
      <w:pPr>
        <w:ind w:left="220"/>
        <w:spacing w:after="0" w:line="261" w:lineRule="auto"/>
        <w:rPr>
          <w:sz w:val="20"/>
          <w:szCs w:val="20"/>
          <w:color w:val="auto"/>
        </w:rPr>
      </w:pPr>
      <w:r>
        <w:rPr>
          <w:rFonts w:ascii="Arial" w:cs="Arial" w:eastAsia="Arial" w:hAnsi="Arial"/>
          <w:sz w:val="16"/>
          <w:szCs w:val="16"/>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1" w:lineRule="exact"/>
        <w:rPr>
          <w:sz w:val="20"/>
          <w:szCs w:val="20"/>
          <w:color w:val="auto"/>
        </w:rPr>
      </w:pPr>
    </w:p>
    <w:p>
      <w:pPr>
        <w:ind w:left="220" w:right="60"/>
        <w:spacing w:after="0" w:line="252"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81" w:lineRule="exact"/>
        <w:rPr>
          <w:sz w:val="20"/>
          <w:szCs w:val="20"/>
          <w:color w:val="auto"/>
        </w:rPr>
      </w:pPr>
    </w:p>
    <w:p>
      <w:pPr>
        <w:ind w:left="220" w:right="120"/>
        <w:spacing w:after="0" w:line="251" w:lineRule="auto"/>
        <w:rPr>
          <w:sz w:val="20"/>
          <w:szCs w:val="20"/>
          <w:color w:val="auto"/>
        </w:rPr>
      </w:pPr>
      <w:r>
        <w:rPr>
          <w:rFonts w:ascii="Arial" w:cs="Arial" w:eastAsia="Arial" w:hAnsi="Arial"/>
          <w:sz w:val="16"/>
          <w:szCs w:val="16"/>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85090</wp:posOffset>
            </wp:positionV>
            <wp:extent cx="98488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44"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0071CE"/>
        </w:rPr>
        <w:t>45</w:t>
      </w:r>
    </w:p>
    <w:p>
      <w:pPr>
        <w:sectPr>
          <w:pgSz w:w="11900" w:h="16838" w:orient="portrait"/>
          <w:cols w:equalWidth="0" w:num="1">
            <w:col w:w="11220"/>
          </w:cols>
          <w:pgMar w:left="24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4"/>
          <w:szCs w:val="14"/>
          <w:b w:val="1"/>
          <w:bCs w:val="1"/>
          <w:color w:val="0071CE"/>
        </w:rPr>
        <w:t>2019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122" w:lineRule="exact"/>
        <w:rPr>
          <w:sz w:val="20"/>
          <w:szCs w:val="20"/>
          <w:color w:val="auto"/>
        </w:rPr>
      </w:pPr>
    </w:p>
    <w:p>
      <w:pPr>
        <w:ind w:left="220" w:right="1560"/>
        <w:spacing w:after="0" w:line="305"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168" w:lineRule="exact"/>
        <w:rPr>
          <w:sz w:val="20"/>
          <w:szCs w:val="20"/>
          <w:color w:val="auto"/>
        </w:rPr>
      </w:pPr>
    </w:p>
    <w:p>
      <w:pPr>
        <w:ind w:left="220" w:right="180"/>
        <w:spacing w:after="0" w:line="261" w:lineRule="auto"/>
        <w:rPr>
          <w:sz w:val="20"/>
          <w:szCs w:val="20"/>
          <w:color w:val="auto"/>
        </w:rPr>
      </w:pPr>
      <w:r>
        <w:rPr>
          <w:rFonts w:ascii="Arial" w:cs="Arial" w:eastAsia="Arial" w:hAnsi="Arial"/>
          <w:sz w:val="16"/>
          <w:szCs w:val="16"/>
          <w:color w:val="auto"/>
        </w:rPr>
        <w:t>As of September 30, 2018,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71" w:lineRule="exact"/>
        <w:rPr>
          <w:sz w:val="20"/>
          <w:szCs w:val="20"/>
          <w:color w:val="auto"/>
        </w:rPr>
      </w:pPr>
    </w:p>
    <w:p>
      <w:pPr>
        <w:jc w:val="both"/>
        <w:ind w:left="220" w:right="60"/>
        <w:spacing w:after="0" w:line="255" w:lineRule="auto"/>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$218,266, $228,461 and $260,996 during fiscal years 2016, 2017 and 2018, respectively. His current base salary is $231,000. In January 2017, Mr. Anzalone was awarded 65,000 restricted stock units, and this award vests two years from the anniversary date of the grant. The grant date fair value of this award is $100,750. In January 2018, Mr. Anzalone was awarded 35,000 restricted stock units, and this award vests in four annual tranches from the grant date. The grant date fair value of this award is $128,800. In January 2019, Mr. Anzalone was awarded 40,000 restricted stock units, and this award vests in four annual tranches from the grant date. The grant date fair value of this award is $496,800.</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50" w:lineRule="exact"/>
        <w:rPr>
          <w:sz w:val="20"/>
          <w:szCs w:val="20"/>
          <w:color w:val="auto"/>
        </w:rPr>
      </w:pPr>
    </w:p>
    <w:p>
      <w:pPr>
        <w:ind w:left="220"/>
        <w:spacing w:after="0" w:line="268" w:lineRule="auto"/>
        <w:rPr>
          <w:sz w:val="20"/>
          <w:szCs w:val="20"/>
          <w:color w:val="auto"/>
        </w:rPr>
      </w:pPr>
      <w:r>
        <w:rPr>
          <w:rFonts w:ascii="Arial" w:cs="Arial" w:eastAsia="Arial" w:hAnsi="Arial"/>
          <w:sz w:val="16"/>
          <w:szCs w:val="16"/>
          <w:u w:val="single" w:color="auto"/>
          <w:color w:val="auto"/>
        </w:rPr>
        <w:t>The Company will mail, without charge to any stockholder upon written request, a copy of the Company’s Annual Report on Form 10-K for the year ended September 30, 2018 including the financial statements, schedules and a list of exhibits. Requests should be sent to Arrowhead Pharmaceuticals, Inc., 225 S. Lake Avenue, Suite 1050, Pasadena, CA 91101, Attn: Corporate Secretary, Phone (626) 304-3400.</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Arrowhead Pharmaceuticals, Inc.</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225 S. Lake Avenue, Suite 1050</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Pasadena CA 91101</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Attn: Corporate Secretary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Phone (626) 304-3400</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59690</wp:posOffset>
            </wp:positionV>
            <wp:extent cx="69894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89445" cy="8255"/>
                    </a:xfrm>
                    <a:prstGeom prst="rect">
                      <a:avLst/>
                    </a:prstGeom>
                    <a:noFill/>
                  </pic:spPr>
                </pic:pic>
              </a:graphicData>
            </a:graphic>
          </wp:anchor>
        </w:drawing>
      </w:r>
    </w:p>
    <w:p>
      <w:pPr>
        <w:spacing w:after="0" w:line="137" w:lineRule="exact"/>
        <w:rPr>
          <w:sz w:val="20"/>
          <w:szCs w:val="20"/>
          <w:color w:val="auto"/>
        </w:rPr>
      </w:pPr>
    </w:p>
    <w:p>
      <w:pPr>
        <w:ind w:left="220" w:right="80"/>
        <w:spacing w:after="0" w:line="291"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ORDER OF THE BOARD OF DIRECTORS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Jane Davidson</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Jane Davidson,</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Secretary</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Pasadena, California</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January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98425</wp:posOffset>
            </wp:positionV>
            <wp:extent cx="98488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4885" cy="205740"/>
                    </a:xfrm>
                    <a:prstGeom prst="rect">
                      <a:avLst/>
                    </a:prstGeom>
                    <a:noFill/>
                  </pic:spPr>
                </pic:pic>
              </a:graphicData>
            </a:graphic>
          </wp:anchor>
        </w:drawing>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71CE"/>
        </w:rPr>
        <w:t>46</w:t>
      </w:r>
    </w:p>
    <w:p>
      <w:pPr>
        <w:sectPr>
          <w:pgSz w:w="11900" w:h="16838" w:orient="portrait"/>
          <w:cols w:equalWidth="0" w:num="1">
            <w:col w:w="11200"/>
          </w:cols>
          <w:pgMar w:left="24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7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VOTE BY INTERNET</w:t>
            </w:r>
          </w:p>
        </w:tc>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ARROWHEAD PHARMACEUTICALS, INC.</w:t>
            </w:r>
          </w:p>
        </w:tc>
        <w:tc>
          <w:tcPr>
            <w:tcW w:w="5760" w:type="dxa"/>
            <w:vAlign w:val="bottom"/>
            <w:gridSpan w:val="5"/>
          </w:tcPr>
          <w:p>
            <w:pPr>
              <w:ind w:left="380"/>
              <w:spacing w:after="0" w:line="159" w:lineRule="exact"/>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www.proxyvote.com</w:t>
            </w: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20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40" w:type="dxa"/>
            <w:vAlign w:val="bottom"/>
            <w:vMerge w:val="continue"/>
          </w:tcPr>
          <w:p>
            <w:pPr>
              <w:spacing w:after="0"/>
              <w:rPr>
                <w:sz w:val="18"/>
                <w:szCs w:val="18"/>
                <w:color w:val="auto"/>
              </w:rPr>
            </w:pPr>
          </w:p>
        </w:tc>
        <w:tc>
          <w:tcPr>
            <w:tcW w:w="57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84"/>
        </w:trPr>
        <w:tc>
          <w:tcPr>
            <w:tcW w:w="524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225 SOUTH LAKE AVENUE, SUITE 1050</w:t>
            </w:r>
          </w:p>
        </w:tc>
        <w:tc>
          <w:tcPr>
            <w:tcW w:w="57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5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PASADENA, CA 91101</w:t>
            </w:r>
          </w:p>
        </w:tc>
        <w:tc>
          <w:tcPr>
            <w:tcW w:w="5760" w:type="dxa"/>
            <w:vAlign w:val="bottom"/>
            <w:gridSpan w:val="5"/>
          </w:tcPr>
          <w:p>
            <w:pPr>
              <w:ind w:left="380"/>
              <w:spacing w:after="0" w:line="99" w:lineRule="exact"/>
              <w:rPr>
                <w:sz w:val="20"/>
                <w:szCs w:val="20"/>
                <w:color w:val="auto"/>
              </w:rPr>
            </w:pPr>
            <w:r>
              <w:rPr>
                <w:rFonts w:ascii="Times New Roman" w:cs="Times New Roman" w:eastAsia="Times New Roman" w:hAnsi="Times New Roman"/>
                <w:sz w:val="11"/>
                <w:szCs w:val="11"/>
                <w:color w:val="auto"/>
              </w:rPr>
              <w:t>information up until 11:59 p.m. Eastern Time the day before the cut-off date or meeting date.</w:t>
            </w:r>
          </w:p>
        </w:tc>
        <w:tc>
          <w:tcPr>
            <w:tcW w:w="0" w:type="dxa"/>
            <w:vAlign w:val="bottom"/>
          </w:tcPr>
          <w:p>
            <w:pPr>
              <w:spacing w:after="0"/>
              <w:rPr>
                <w:sz w:val="1"/>
                <w:szCs w:val="1"/>
                <w:color w:val="auto"/>
              </w:rPr>
            </w:pPr>
          </w:p>
        </w:tc>
      </w:tr>
      <w:tr>
        <w:trPr>
          <w:trHeight w:val="148"/>
        </w:trPr>
        <w:tc>
          <w:tcPr>
            <w:tcW w:w="5240" w:type="dxa"/>
            <w:vAlign w:val="bottom"/>
            <w:vMerge w:val="continue"/>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Have your proxy card in hand when you access the web site and follow the instructions to</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576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347"/>
        </w:trPr>
        <w:tc>
          <w:tcPr>
            <w:tcW w:w="5240" w:type="dxa"/>
            <w:vAlign w:val="bottom"/>
          </w:tcPr>
          <w:p>
            <w:pPr>
              <w:spacing w:after="0"/>
              <w:rPr>
                <w:sz w:val="24"/>
                <w:szCs w:val="24"/>
                <w:color w:val="auto"/>
              </w:rPr>
            </w:pPr>
          </w:p>
        </w:tc>
        <w:tc>
          <w:tcPr>
            <w:tcW w:w="5760" w:type="dxa"/>
            <w:vAlign w:val="bottom"/>
            <w:gridSpan w:val="5"/>
          </w:tcPr>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www.virtualshareholdermeeting.com/ARWR2019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60" w:type="dxa"/>
            <w:vAlign w:val="bottom"/>
            <w:gridSpan w:val="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240" w:type="dxa"/>
            <w:vAlign w:val="bottom"/>
          </w:tcPr>
          <w:p>
            <w:pPr>
              <w:spacing w:after="0"/>
              <w:rPr>
                <w:sz w:val="24"/>
                <w:szCs w:val="24"/>
                <w:color w:val="auto"/>
              </w:rPr>
            </w:pPr>
          </w:p>
        </w:tc>
        <w:tc>
          <w:tcPr>
            <w:tcW w:w="576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instructions.</w:t>
            </w: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40" w:type="dxa"/>
            <w:vAlign w:val="bottom"/>
          </w:tcPr>
          <w:p>
            <w:pPr>
              <w:spacing w:after="0"/>
              <w:rPr>
                <w:sz w:val="24"/>
                <w:szCs w:val="24"/>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Time the day before the cut-off date or meeting date. Have your proxy card in hand when</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you call and then follow the instructions.</w:t>
            </w: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5240" w:type="dxa"/>
            <w:vAlign w:val="bottom"/>
          </w:tcPr>
          <w:p>
            <w:pPr>
              <w:spacing w:after="0"/>
              <w:rPr>
                <w:sz w:val="24"/>
                <w:szCs w:val="24"/>
                <w:color w:val="auto"/>
              </w:rPr>
            </w:pPr>
          </w:p>
        </w:tc>
        <w:tc>
          <w:tcPr>
            <w:tcW w:w="28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VOTE BY MAIL</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5760" w:type="dxa"/>
            <w:vAlign w:val="bottom"/>
            <w:gridSpan w:val="5"/>
          </w:tcPr>
          <w:p>
            <w:pPr>
              <w:ind w:left="380"/>
              <w:spacing w:after="0" w:line="149" w:lineRule="exact"/>
              <w:rPr>
                <w:sz w:val="20"/>
                <w:szCs w:val="20"/>
                <w:color w:val="auto"/>
              </w:rPr>
            </w:pPr>
            <w:r>
              <w:rPr>
                <w:rFonts w:ascii="Times New Roman" w:cs="Times New Roman" w:eastAsia="Times New Roman" w:hAnsi="Times New Roman"/>
                <w:sz w:val="14"/>
                <w:szCs w:val="14"/>
                <w:color w:val="auto"/>
              </w:rPr>
              <w:t>provided or return it to Vote Processing, c/o Broadridge, 51 Mercedes Way, Edgewood, NY</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11717.</w:t>
            </w: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7"/>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tc>
        <w:tc>
          <w:tcPr>
            <w:tcW w:w="28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E55205-P16097</w:t>
            </w:r>
          </w:p>
        </w:tc>
        <w:tc>
          <w:tcPr>
            <w:tcW w:w="29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KEEP THIS PORTION FOR YOUR RECORDS</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47625</wp:posOffset>
            </wp:positionV>
            <wp:extent cx="6989445" cy="4316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89445" cy="4316730"/>
                    </a:xfrm>
                    <a:prstGeom prst="rect">
                      <a:avLst/>
                    </a:prstGeom>
                    <a:noFill/>
                  </pic:spPr>
                </pic:pic>
              </a:graphicData>
            </a:graphic>
          </wp:anchor>
        </w:drawing>
      </w:r>
    </w:p>
    <w:p>
      <w:pPr>
        <w:sectPr>
          <w:pgSz w:w="11900" w:h="16838" w:orient="portrait"/>
          <w:cols w:equalWidth="0" w:num="1">
            <w:col w:w="11220"/>
          </w:cols>
          <w:pgMar w:left="240" w:top="455" w:right="439" w:bottom="1440" w:gutter="0" w:footer="0" w:header="0"/>
        </w:sectPr>
      </w:pPr>
    </w:p>
    <w:p>
      <w:pPr>
        <w:spacing w:after="0" w:line="172" w:lineRule="exact"/>
        <w:rPr>
          <w:sz w:val="20"/>
          <w:szCs w:val="20"/>
          <w:color w:val="auto"/>
        </w:rPr>
      </w:pPr>
    </w:p>
    <w:p>
      <w:pPr>
        <w:ind w:left="360"/>
        <w:spacing w:after="0"/>
        <w:tabs>
          <w:tab w:leader="none" w:pos="4080" w:val="left"/>
        </w:tabs>
        <w:rPr>
          <w:sz w:val="20"/>
          <w:szCs w:val="20"/>
          <w:color w:val="auto"/>
        </w:rPr>
      </w:pPr>
      <w:r>
        <w:rPr>
          <w:rFonts w:ascii="Times New Roman" w:cs="Times New Roman" w:eastAsia="Times New Roman" w:hAnsi="Times New Roman"/>
          <w:sz w:val="14"/>
          <w:szCs w:val="14"/>
          <w:b w:val="1"/>
          <w:bCs w:val="1"/>
          <w:color w:val="auto"/>
        </w:rPr>
        <w:t>ARROWHEAD PHARMACEUTICALS, INC.</w:t>
      </w:r>
      <w:r>
        <w:rPr>
          <w:sz w:val="20"/>
          <w:szCs w:val="20"/>
          <w:color w:val="auto"/>
        </w:rPr>
        <w:tab/>
      </w:r>
      <w:r>
        <w:rPr>
          <w:rFonts w:ascii="Times New Roman" w:cs="Times New Roman" w:eastAsia="Times New Roman" w:hAnsi="Times New Roman"/>
          <w:sz w:val="14"/>
          <w:szCs w:val="14"/>
          <w:b w:val="1"/>
          <w:bCs w:val="1"/>
          <w:color w:val="auto"/>
        </w:rPr>
        <w:t>For Withhold For All</w:t>
      </w:r>
    </w:p>
    <w:p>
      <w:pPr>
        <w:spacing w:after="0" w:line="5" w:lineRule="exact"/>
        <w:rPr>
          <w:sz w:val="20"/>
          <w:szCs w:val="20"/>
          <w:color w:val="auto"/>
        </w:rPr>
      </w:pPr>
    </w:p>
    <w:p>
      <w:pPr>
        <w:ind w:left="4120"/>
        <w:spacing w:after="0"/>
        <w:tabs>
          <w:tab w:leader="none" w:pos="4560" w:val="left"/>
          <w:tab w:leader="none" w:pos="5040" w:val="left"/>
        </w:tabs>
        <w:rPr>
          <w:sz w:val="20"/>
          <w:szCs w:val="20"/>
          <w:color w:val="auto"/>
        </w:rPr>
      </w:pPr>
      <w:r>
        <w:rPr>
          <w:rFonts w:ascii="Times New Roman" w:cs="Times New Roman" w:eastAsia="Times New Roman" w:hAnsi="Times New Roman"/>
          <w:sz w:val="14"/>
          <w:szCs w:val="14"/>
          <w:b w:val="1"/>
          <w:bCs w:val="1"/>
          <w:color w:val="auto"/>
        </w:rPr>
        <w:t>All</w:t>
      </w:r>
      <w:r>
        <w:rPr>
          <w:sz w:val="20"/>
          <w:szCs w:val="20"/>
          <w:color w:val="auto"/>
        </w:rPr>
        <w:tab/>
      </w:r>
      <w:r>
        <w:rPr>
          <w:rFonts w:ascii="Times New Roman" w:cs="Times New Roman" w:eastAsia="Times New Roman" w:hAnsi="Times New Roman"/>
          <w:sz w:val="14"/>
          <w:szCs w:val="14"/>
          <w:b w:val="1"/>
          <w:bCs w:val="1"/>
          <w:color w:val="auto"/>
        </w:rPr>
        <w:t>All</w:t>
      </w:r>
      <w:r>
        <w:rPr>
          <w:sz w:val="20"/>
          <w:szCs w:val="20"/>
          <w:color w:val="auto"/>
        </w:rPr>
        <w:tab/>
      </w:r>
      <w:r>
        <w:rPr>
          <w:rFonts w:ascii="Times New Roman" w:cs="Times New Roman" w:eastAsia="Times New Roman" w:hAnsi="Times New Roman"/>
          <w:sz w:val="14"/>
          <w:szCs w:val="14"/>
          <w:b w:val="1"/>
          <w:bCs w:val="1"/>
          <w:color w:val="auto"/>
        </w:rPr>
        <w:t>Except</w:t>
      </w:r>
    </w:p>
    <w:p>
      <w:pPr>
        <w:spacing w:after="0" w:line="43" w:lineRule="exact"/>
        <w:rPr>
          <w:sz w:val="20"/>
          <w:szCs w:val="20"/>
          <w:color w:val="auto"/>
        </w:rPr>
      </w:pPr>
    </w:p>
    <w:p>
      <w:pPr>
        <w:ind w:left="560"/>
        <w:spacing w:after="0" w:line="161" w:lineRule="exact"/>
        <w:tabs>
          <w:tab w:leader="none" w:pos="4120" w:val="left"/>
          <w:tab w:leader="none" w:pos="4600" w:val="left"/>
          <w:tab w:leader="none" w:pos="5180" w:val="left"/>
        </w:tabs>
        <w:rPr>
          <w:sz w:val="20"/>
          <w:szCs w:val="20"/>
          <w:color w:val="auto"/>
        </w:rPr>
      </w:pPr>
      <w:r>
        <w:rPr>
          <w:rFonts w:ascii="Times New Roman" w:cs="Times New Roman" w:eastAsia="Times New Roman" w:hAnsi="Times New Roman"/>
          <w:sz w:val="14"/>
          <w:szCs w:val="14"/>
          <w:b w:val="1"/>
          <w:bCs w:val="1"/>
          <w:color w:val="auto"/>
        </w:rPr>
        <w:t>The Board of Directors recommends you vote FOR ALL</w:t>
      </w:r>
      <w:r>
        <w:rPr>
          <w:sz w:val="20"/>
          <w:szCs w:val="20"/>
          <w:color w:val="auto"/>
        </w:rPr>
        <w:tab/>
      </w:r>
      <w:r>
        <w:rPr>
          <w:rFonts w:ascii="MS PGothic" w:cs="MS PGothic" w:eastAsia="MS PGothic" w:hAnsi="MS PGothic"/>
          <w:sz w:val="14"/>
          <w:szCs w:val="14"/>
          <w:color w:val="4C4C4C"/>
        </w:rPr>
        <w:t>☐</w:t>
      </w:r>
      <w:r>
        <w:rPr>
          <w:sz w:val="20"/>
          <w:szCs w:val="20"/>
          <w:color w:val="auto"/>
        </w:rPr>
        <w:tab/>
      </w:r>
      <w:r>
        <w:rPr>
          <w:rFonts w:ascii="MS PGothic" w:cs="MS PGothic" w:eastAsia="MS PGothic" w:hAnsi="MS PGothic"/>
          <w:sz w:val="14"/>
          <w:szCs w:val="14"/>
          <w:color w:val="4C4C4C"/>
        </w:rPr>
        <w:t>☐</w:t>
      </w:r>
      <w:r>
        <w:rPr>
          <w:sz w:val="20"/>
          <w:szCs w:val="20"/>
          <w:color w:val="auto"/>
        </w:rPr>
        <w:tab/>
      </w:r>
      <w:r>
        <w:rPr>
          <w:rFonts w:ascii="MS PGothic" w:cs="MS PGothic" w:eastAsia="MS PGothic" w:hAnsi="MS PGothic"/>
          <w:sz w:val="12"/>
          <w:szCs w:val="12"/>
          <w:color w:val="4C4C4C"/>
        </w:rPr>
        <w:t>☐</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the following director nominees:</w:t>
      </w:r>
    </w:p>
    <w:p>
      <w:pPr>
        <w:spacing w:after="0" w:line="39" w:lineRule="exact"/>
        <w:rPr>
          <w:sz w:val="20"/>
          <w:szCs w:val="20"/>
          <w:color w:val="auto"/>
        </w:rPr>
      </w:pPr>
    </w:p>
    <w:p>
      <w:pPr>
        <w:ind w:left="560"/>
        <w:spacing w:after="0"/>
        <w:tabs>
          <w:tab w:leader="none" w:pos="800" w:val="left"/>
        </w:tabs>
        <w:rPr>
          <w:sz w:val="20"/>
          <w:szCs w:val="20"/>
          <w:color w:val="auto"/>
        </w:rPr>
      </w:pPr>
      <w:r>
        <w:rPr>
          <w:rFonts w:ascii="Times New Roman" w:cs="Times New Roman" w:eastAsia="Times New Roman" w:hAnsi="Times New Roman"/>
          <w:sz w:val="14"/>
          <w:szCs w:val="14"/>
          <w:color w:val="auto"/>
        </w:rPr>
        <w:t>1.</w:t>
        <w:tab/>
        <w:t>Election of Directors</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70" w:lineRule="exact"/>
        <w:rPr>
          <w:sz w:val="20"/>
          <w:szCs w:val="20"/>
          <w:color w:val="auto"/>
        </w:rPr>
      </w:pPr>
    </w:p>
    <w:p>
      <w:pPr>
        <w:ind w:left="820"/>
        <w:spacing w:after="0"/>
        <w:tabs>
          <w:tab w:leader="none" w:pos="1100" w:val="left"/>
          <w:tab w:leader="none" w:pos="2640" w:val="left"/>
          <w:tab w:leader="none" w:pos="2980" w:val="left"/>
        </w:tabs>
        <w:rPr>
          <w:sz w:val="20"/>
          <w:szCs w:val="20"/>
          <w:color w:val="auto"/>
        </w:rPr>
      </w:pPr>
      <w:r>
        <w:rPr>
          <w:rFonts w:ascii="Times New Roman" w:cs="Times New Roman" w:eastAsia="Times New Roman" w:hAnsi="Times New Roman"/>
          <w:sz w:val="14"/>
          <w:szCs w:val="14"/>
          <w:color w:val="auto"/>
        </w:rPr>
        <w:t>01)</w:t>
        <w:tab/>
        <w:t>Christopher Anzalone</w:t>
      </w:r>
      <w:r>
        <w:rPr>
          <w:sz w:val="20"/>
          <w:szCs w:val="20"/>
          <w:color w:val="auto"/>
        </w:rPr>
        <w:tab/>
      </w:r>
      <w:r>
        <w:rPr>
          <w:rFonts w:ascii="Times New Roman" w:cs="Times New Roman" w:eastAsia="Times New Roman" w:hAnsi="Times New Roman"/>
          <w:sz w:val="14"/>
          <w:szCs w:val="14"/>
          <w:color w:val="auto"/>
        </w:rPr>
        <w:t>04)</w:t>
        <w:tab/>
        <w:t>Michael S. Perry</w:t>
      </w:r>
    </w:p>
    <w:p>
      <w:pPr>
        <w:spacing w:after="0" w:line="55" w:lineRule="exact"/>
        <w:rPr>
          <w:sz w:val="20"/>
          <w:szCs w:val="20"/>
          <w:color w:val="auto"/>
        </w:rPr>
      </w:pPr>
    </w:p>
    <w:p>
      <w:pPr>
        <w:ind w:left="820"/>
        <w:spacing w:after="0"/>
        <w:tabs>
          <w:tab w:leader="none" w:pos="1100" w:val="left"/>
          <w:tab w:leader="none" w:pos="2660" w:val="left"/>
          <w:tab w:leader="none" w:pos="3000" w:val="left"/>
        </w:tabs>
        <w:rPr>
          <w:sz w:val="20"/>
          <w:szCs w:val="20"/>
          <w:color w:val="auto"/>
        </w:rPr>
      </w:pPr>
      <w:r>
        <w:rPr>
          <w:rFonts w:ascii="Times New Roman" w:cs="Times New Roman" w:eastAsia="Times New Roman" w:hAnsi="Times New Roman"/>
          <w:sz w:val="14"/>
          <w:szCs w:val="14"/>
          <w:color w:val="auto"/>
        </w:rPr>
        <w:t>02)</w:t>
        <w:tab/>
        <w:t>Mauro Ferrari</w:t>
      </w:r>
      <w:r>
        <w:rPr>
          <w:sz w:val="20"/>
          <w:szCs w:val="20"/>
          <w:color w:val="auto"/>
        </w:rPr>
        <w:tab/>
      </w:r>
      <w:r>
        <w:rPr>
          <w:rFonts w:ascii="Times New Roman" w:cs="Times New Roman" w:eastAsia="Times New Roman" w:hAnsi="Times New Roman"/>
          <w:sz w:val="14"/>
          <w:szCs w:val="14"/>
          <w:color w:val="auto"/>
        </w:rPr>
        <w:t>05)</w:t>
        <w:tab/>
        <w:t>William Waddill</w:t>
      </w:r>
    </w:p>
    <w:p>
      <w:pPr>
        <w:spacing w:after="0" w:line="55" w:lineRule="exact"/>
        <w:rPr>
          <w:sz w:val="20"/>
          <w:szCs w:val="20"/>
          <w:color w:val="auto"/>
        </w:rPr>
      </w:pPr>
    </w:p>
    <w:p>
      <w:pPr>
        <w:ind w:left="820"/>
        <w:spacing w:after="0"/>
        <w:tabs>
          <w:tab w:leader="none" w:pos="1100" w:val="left"/>
        </w:tabs>
        <w:rPr>
          <w:sz w:val="20"/>
          <w:szCs w:val="20"/>
          <w:color w:val="auto"/>
        </w:rPr>
      </w:pPr>
      <w:r>
        <w:rPr>
          <w:rFonts w:ascii="Times New Roman" w:cs="Times New Roman" w:eastAsia="Times New Roman" w:hAnsi="Times New Roman"/>
          <w:sz w:val="14"/>
          <w:szCs w:val="14"/>
          <w:color w:val="auto"/>
        </w:rPr>
        <w:t>03)</w:t>
        <w:tab/>
        <w:t>Douglass Given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right="1560"/>
        <w:spacing w:after="0" w:line="241" w:lineRule="auto"/>
        <w:rPr>
          <w:sz w:val="20"/>
          <w:szCs w:val="20"/>
          <w:color w:val="auto"/>
        </w:rPr>
      </w:pPr>
      <w:r>
        <w:rPr>
          <w:rFonts w:ascii="Times New Roman" w:cs="Times New Roman" w:eastAsia="Times New Roman" w:hAnsi="Times New Roman"/>
          <w:sz w:val="14"/>
          <w:szCs w:val="14"/>
          <w:color w:val="auto"/>
        </w:rPr>
        <w:t>To withhold authority to vote for any individual nominee(s), mark “For All Except” and write the number(s) of the nominee(s) on the line below.</w:t>
      </w:r>
    </w:p>
    <w:p>
      <w:pPr>
        <w:spacing w:after="0" w:line="1494" w:lineRule="exact"/>
        <w:rPr>
          <w:sz w:val="20"/>
          <w:szCs w:val="20"/>
          <w:color w:val="auto"/>
        </w:rPr>
      </w:pPr>
    </w:p>
    <w:p>
      <w:pPr>
        <w:sectPr>
          <w:pgSz w:w="11900" w:h="16838" w:orient="portrait"/>
          <w:cols w:equalWidth="0" w:num="2">
            <w:col w:w="5480" w:space="340"/>
            <w:col w:w="5400"/>
          </w:cols>
          <w:pgMar w:left="240" w:top="455" w:right="439" w:bottom="1440" w:gutter="0" w:footer="0" w:header="0"/>
          <w:type w:val="continuous"/>
        </w:sectPr>
      </w:pPr>
    </w:p>
    <w:p>
      <w:pPr>
        <w:spacing w:after="0" w:line="10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8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proposals 2 and 4 and “1 year” on proposal 3:</w:t>
            </w:r>
          </w:p>
        </w:tc>
        <w:tc>
          <w:tcPr>
            <w:tcW w:w="5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6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 approve, in an advisory (non-binding) vote, the compensation paid to the Company’s named executive officers, as disclosed pursuant to Item</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8"/>
        </w:trPr>
        <w:tc>
          <w:tcPr>
            <w:tcW w:w="200" w:type="dxa"/>
            <w:vAlign w:val="bottom"/>
          </w:tcPr>
          <w:p>
            <w:pPr>
              <w:spacing w:after="0"/>
              <w:rPr>
                <w:sz w:val="16"/>
                <w:szCs w:val="16"/>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402 of Regulation S-K, including the compensation tables and narrative discussion.</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0"/>
        </w:trPr>
        <w:tc>
          <w:tcPr>
            <w:tcW w:w="20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85"/>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recommend, in an advisory (non-binding) vote, the frequency of an advisory vote to approve the compensation paid to the Company’s</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8"/>
        </w:trPr>
        <w:tc>
          <w:tcPr>
            <w:tcW w:w="200" w:type="dxa"/>
            <w:vAlign w:val="bottom"/>
          </w:tcPr>
          <w:p>
            <w:pPr>
              <w:spacing w:after="0"/>
              <w:rPr>
                <w:sz w:val="16"/>
                <w:szCs w:val="16"/>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named executive officers.</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7"/>
        </w:trPr>
        <w:tc>
          <w:tcPr>
            <w:tcW w:w="20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199"/>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ratify the selection of Rose, Snyder &amp; Jacobs LLP as independent auditors of the Company for the fiscal year ending September 30,</w:t>
            </w:r>
          </w:p>
        </w:tc>
        <w:tc>
          <w:tcPr>
            <w:tcW w:w="520" w:type="dxa"/>
            <w:vAlign w:val="bottom"/>
          </w:tcPr>
          <w:p>
            <w:pPr>
              <w:spacing w:after="0"/>
              <w:rPr>
                <w:sz w:val="17"/>
                <w:szCs w:val="17"/>
                <w:color w:val="auto"/>
              </w:rPr>
            </w:pP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8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8"/>
        </w:trPr>
        <w:tc>
          <w:tcPr>
            <w:tcW w:w="200" w:type="dxa"/>
            <w:vAlign w:val="bottom"/>
          </w:tcPr>
          <w:p>
            <w:pPr>
              <w:spacing w:after="0"/>
              <w:rPr>
                <w:sz w:val="16"/>
                <w:szCs w:val="16"/>
                <w:color w:val="auto"/>
              </w:rPr>
            </w:pPr>
          </w:p>
        </w:tc>
        <w:tc>
          <w:tcPr>
            <w:tcW w:w="8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2019.</w:t>
            </w: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w:t>
      </w:r>
    </w:p>
    <w:p>
      <w:pPr>
        <w:ind w:left="500"/>
        <w:spacing w:after="0" w:line="226" w:lineRule="auto"/>
        <w:rPr>
          <w:sz w:val="20"/>
          <w:szCs w:val="20"/>
          <w:color w:val="auto"/>
        </w:rPr>
      </w:pPr>
      <w:r>
        <w:rPr>
          <w:rFonts w:ascii="Times New Roman" w:cs="Times New Roman" w:eastAsia="Times New Roman" w:hAnsi="Times New Roman"/>
          <w:sz w:val="14"/>
          <w:szCs w:val="14"/>
          <w:color w:val="auto"/>
        </w:rPr>
        <w:t>executor, administrator, or other fiduciary, please give full title as such. Joint owners</w:t>
      </w:r>
    </w:p>
    <w:p>
      <w:pPr>
        <w:ind w:left="500"/>
        <w:spacing w:after="0" w:line="221" w:lineRule="auto"/>
        <w:rPr>
          <w:sz w:val="20"/>
          <w:szCs w:val="20"/>
          <w:color w:val="auto"/>
        </w:rPr>
      </w:pPr>
      <w:r>
        <w:rPr>
          <w:rFonts w:ascii="Times New Roman" w:cs="Times New Roman" w:eastAsia="Times New Roman" w:hAnsi="Times New Roman"/>
          <w:sz w:val="14"/>
          <w:szCs w:val="14"/>
          <w:color w:val="auto"/>
        </w:rPr>
        <w:t>should each sign personally. All holders must sign. If a corporation or partnership,</w:t>
      </w:r>
    </w:p>
    <w:p>
      <w:pPr>
        <w:ind w:left="500"/>
        <w:spacing w:after="0"/>
        <w:rPr>
          <w:sz w:val="20"/>
          <w:szCs w:val="20"/>
          <w:color w:val="auto"/>
        </w:rPr>
      </w:pPr>
      <w:r>
        <w:rPr>
          <w:rFonts w:ascii="Times New Roman" w:cs="Times New Roman" w:eastAsia="Times New Roman" w:hAnsi="Times New Roman"/>
          <w:sz w:val="14"/>
          <w:szCs w:val="14"/>
          <w:color w:val="auto"/>
        </w:rPr>
        <w:t>please sign in full corporate or partnership name by authorized officer.</w:t>
      </w:r>
    </w:p>
    <w:p>
      <w:pPr>
        <w:spacing w:after="0" w:line="200" w:lineRule="exact"/>
        <w:rPr>
          <w:sz w:val="20"/>
          <w:szCs w:val="20"/>
          <w:color w:val="auto"/>
        </w:rPr>
      </w:pPr>
    </w:p>
    <w:p>
      <w:pPr>
        <w:spacing w:after="0" w:line="365" w:lineRule="exact"/>
        <w:rPr>
          <w:sz w:val="20"/>
          <w:szCs w:val="20"/>
          <w:color w:val="auto"/>
        </w:rPr>
      </w:pPr>
    </w:p>
    <w:p>
      <w:pPr>
        <w:ind w:left="500"/>
        <w:spacing w:after="0"/>
        <w:tabs>
          <w:tab w:leader="none" w:pos="3520" w:val="left"/>
          <w:tab w:leader="none" w:pos="5580" w:val="left"/>
          <w:tab w:leader="none" w:pos="8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3"/>
          <w:szCs w:val="13"/>
          <w:color w:val="auto"/>
        </w:rPr>
        <w:t>Date</w:t>
      </w:r>
    </w:p>
    <w:p>
      <w:pPr>
        <w:sectPr>
          <w:pgSz w:w="11900" w:h="16838" w:orient="portrait"/>
          <w:cols w:equalWidth="0" w:num="1">
            <w:col w:w="11220"/>
          </w:cols>
          <w:pgMar w:left="240" w:top="455" w:right="4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1774825</wp:posOffset>
            </wp:positionV>
            <wp:extent cx="701484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484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E55206-P16097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57785</wp:posOffset>
            </wp:positionV>
            <wp:extent cx="6989445" cy="41795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89445" cy="417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ARROWHEAD PHARMACEUTICALS, INC.</w:t>
      </w:r>
    </w:p>
    <w:p>
      <w:pPr>
        <w:spacing w:after="0" w:line="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jc w:val="center"/>
        <w:ind w:right="-319"/>
        <w:spacing w:after="0" w:line="230" w:lineRule="auto"/>
        <w:rPr>
          <w:sz w:val="20"/>
          <w:szCs w:val="20"/>
          <w:color w:val="auto"/>
        </w:rPr>
      </w:pPr>
      <w:r>
        <w:rPr>
          <w:rFonts w:ascii="Times New Roman" w:cs="Times New Roman" w:eastAsia="Times New Roman" w:hAnsi="Times New Roman"/>
          <w:sz w:val="22"/>
          <w:szCs w:val="22"/>
          <w:b w:val="1"/>
          <w:bCs w:val="1"/>
          <w:color w:val="auto"/>
        </w:rPr>
        <w:t>March 14, 2019 10:00 AM, PT</w:t>
      </w: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w:t>
      </w:r>
    </w:p>
    <w:p>
      <w:pPr>
        <w:spacing w:after="0" w:line="218" w:lineRule="exact"/>
        <w:rPr>
          <w:sz w:val="20"/>
          <w:szCs w:val="20"/>
          <w:color w:val="auto"/>
        </w:rPr>
      </w:pPr>
    </w:p>
    <w:p>
      <w:pPr>
        <w:ind w:left="560" w:right="540"/>
        <w:spacing w:after="0" w:line="258" w:lineRule="auto"/>
        <w:rPr>
          <w:sz w:val="20"/>
          <w:szCs w:val="20"/>
          <w:color w:val="auto"/>
        </w:rPr>
      </w:pPr>
      <w:r>
        <w:rPr>
          <w:rFonts w:ascii="Times New Roman" w:cs="Times New Roman" w:eastAsia="Times New Roman" w:hAnsi="Times New Roman"/>
          <w:sz w:val="18"/>
          <w:szCs w:val="18"/>
          <w:color w:val="auto"/>
        </w:rPr>
        <w:t>The stockholder(s) hereby appoint(s) Christopher Anzalone and Jane Davidson, or either of them, as proxies, each with the power to appoint (his/her) substitute, and hereby authorize(s) them to represent and to vote, as designated on the reverse side of this ballot, all of the shares of Common Stock of ARROWHEAD PHARMACEUTICALS, INC. that the stockholder(s) is/are entitled to vote at the Annual Meeting of Stockholders to be held at 10:00 AM, PT on March 14, 2019, online at WWW.VirtualShareholderMeeting.com/ARWR2019, and any adjournment or postponement thereof.</w:t>
      </w:r>
    </w:p>
    <w:p>
      <w:pPr>
        <w:spacing w:after="0" w:line="205" w:lineRule="exact"/>
        <w:rPr>
          <w:sz w:val="20"/>
          <w:szCs w:val="20"/>
          <w:color w:val="auto"/>
        </w:rPr>
      </w:pPr>
    </w:p>
    <w:p>
      <w:pPr>
        <w:ind w:left="560" w:right="2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ectPr>
          <w:pgSz w:w="11900" w:h="16838" w:orient="portrait"/>
          <w:cols w:equalWidth="0" w:num="1">
            <w:col w:w="11220"/>
          </w:cols>
          <w:pgMar w:left="24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sectPr>
      <w:pgSz w:w="11900" w:h="16838" w:orient="portrait"/>
      <w:cols w:equalWidth="0" w:num="1">
        <w:col w:w="11220"/>
      </w:cols>
      <w:pgMar w:left="24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lvl w:ilvl="1">
      <w:lvlJc w:val="left"/>
      <w:lvlText w:val="(%2)"/>
      <w:numFmt w:val="decimal"/>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3"/>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lvl w:ilvl="1">
      <w:lvlJc w:val="left"/>
      <w:lvlText w:val="%2."/>
      <w:numFmt w:val="lowerLetter"/>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lvl w:ilvl="1">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6"/>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2019-12-05T00:24:09Z</dcterms:created>
  <dcterms:modified xsi:type="dcterms:W3CDTF">2019-12-05T00:24:09Z</dcterms:modified>
</cp:coreProperties>
</file>