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RESEARCH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-2878455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-2586990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-1875155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-1583690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-442595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MONDAY, AUGUST 8,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165"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NOTICE IS HEREBY GIVEN that the Annual Meeting of Stockholders of Arrowhead Research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on August 8, 2011, at 10:00 a.m., local time, at the Sheraton Pasadena, 303 E. Cordova Street, Pasadena, California 91101, for the following purposes:</w:t>
      </w:r>
    </w:p>
    <w:p>
      <w:pPr>
        <w:spacing w:after="0" w:line="57" w:lineRule="exact"/>
        <w:rPr>
          <w:sz w:val="20"/>
          <w:szCs w:val="20"/>
          <w:color w:val="auto"/>
        </w:rPr>
      </w:pPr>
    </w:p>
    <w:p>
      <w:pPr>
        <w:ind w:left="900" w:right="5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(6) directors to serve as members of the Company’s Board of Directors until the next Annual Meeting or until their successors are elected;</w:t>
      </w:r>
    </w:p>
    <w:p>
      <w:pPr>
        <w:spacing w:after="0" w:line="50" w:lineRule="exact"/>
        <w:rPr>
          <w:rFonts w:ascii="Arial" w:cs="Arial" w:eastAsia="Arial" w:hAnsi="Arial"/>
          <w:sz w:val="18"/>
          <w:szCs w:val="18"/>
          <w:color w:val="auto"/>
        </w:rPr>
      </w:pPr>
    </w:p>
    <w:p>
      <w:pPr>
        <w:jc w:val="both"/>
        <w:ind w:left="900" w:right="540" w:hanging="446"/>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an amendment to the Company’s certificate of incorporation, as further described in Proposal Number 2, and to grant the Board of Directors the authority to effect a reverse split of our Common Stock at a specific whole number ratio within a range from 1-for-2 to 1-for-15;</w:t>
      </w: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as independent auditors of the Company for the fiscal year ending September 30, 2011;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adjourn the Annual Meeting, if necessary, to solicit additional proxies, if there are not sufficient votes in favor of the foregoing proposals.</w:t>
      </w:r>
    </w:p>
    <w:p>
      <w:pPr>
        <w:spacing w:after="0" w:line="19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1 relates solely to the election of the six (6)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June 14, 2011, are entitled to notice of and to vote at the Annual Meeting.</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stockholders of record are cordially invited to attend the Annual Meeting in person. However, to ensure your representation at the meeting, you are urged to vote via the Internet or telephone as instructed in the Notice Regarding the Internet Availability of Proxy Materials, or to mark, sign, date and return the proxy card as promptly as possible in the postage-prepaid envelope enclosed for that purpose. Any stockholder of record attending the Annual Meeting may vote in person even if such stockholder has previously returned a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Monday, August 8,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2011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2011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2010;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stamped return envelope provided. Beneficial holders are urged to vote via telephone or the Internet. Voting promptly will help avoid the additional expense of further solicitation to assure a quorum at the meeting.</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MONDAY, AUGUST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August 8, 2011, at 10:00 a.m., local time, and at any adjournment(s) thereof, for the purposes set forth herein and in the accompanying Notice of Annual Meeting of Stockholders. The Annual Meeting will be held at the Sheraton Pasadena, 303 E. Cordova Street, Pasadena, CA 91101.</w:t>
      </w:r>
    </w:p>
    <w:p>
      <w:pPr>
        <w:spacing w:after="0" w:line="14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July 1, 2011,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Only holders of record of voting stock at the close of business on June 14, 2011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71,833,693 shares of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will not be able to attend the Annual Meeting to vote in person, you may vote your shares via the Internet or by telephone or by mail as set forth in the Notice.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to proxy solicitation by a proxy solicitor engaged by the Company,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ectPr>
          <w:pgSz w:w="11900" w:h="16838" w:orient="portrait"/>
          <w:cols w:equalWidth="0" w:num="1">
            <w:col w:w="11400"/>
          </w:cols>
          <w:pgMar w:left="240" w:top="274" w:right="259" w:bottom="1440" w:gutter="0" w:footer="0" w:header="0"/>
        </w:sectPr>
      </w:pPr>
    </w:p>
    <w:bookmarkStart w:id="3" w:name="page4"/>
    <w:bookmarkEnd w:id="3"/>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Shares subject to a broker non-vote are counted as present for the purpose of determining the presence or absence of a quorum for the transaction of business; the effect of abstentions and broker non-votes on the proposals presented herein is discussed below.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six directors, will be elected.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regard to Proposal Two, a majority of the shares outstanding as of the Record Date must vote in favor of this proposal for it to be approved.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abstentions and broker non-votes will have the same effect as a vote against this proposal.</w:t>
      </w:r>
    </w:p>
    <w:p>
      <w:pPr>
        <w:spacing w:after="0" w:line="16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With regard to Proposals Three and Four, the affirmative vote of a majority of the Votes Cast is required for approval. With regard to these proposals, abstentions will be counted in tabulations of the votes cast on each such proposal and will have the same effect as a vote against the proposal, whereas broker non-votes will be excluded from the vote and will have no effect on its outcome.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“Exchange Act”) who intends to present a proposal at the Company’s 2012 Annual Meeting of Stockholders must ensure that the proposal is received by the Corporate Secretary at Arrowhead Research Corporation, 225 South Lake Avenue, Suite 300, Pasadena, CA 91101, not later than January 3, 2012, in order to be considered for inclusion in our proxy materials for that meeting. Proposals received after that date may be excluded from the Company’s proxy statement.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Our Bylaws, as amended to date, provide for additional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2011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2012 annual meeting date is advanced by more than 30 days before or delayed by more than 60 days after the anniversary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2011 Annual Meeting, then stockholders must provide notice within time periods specified in our Bylaws. Our Bylaws also specify requirements as to the form and content of a stockholder’s notice.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Board has nominated the following six persons as directors to serve until their successors have been duly elected. Each of the nominees is currently a director of Arrowhead. None of the nominees is related by blood, marriage or adoption to any other nominee or any executive officer of the Company. The six nominees receiving the greatest numbers of votes at the meeting will be elected to the six director positions. Unless otherwise instructed, the proxy holders will vote the proxies received by them for the Board’s six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1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Christopher Anzalone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&amp; President, 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Charles P. McKenney*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Mauro Ferrari**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Douglass Given*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4680" w:firstLine="8"/>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 ** Member of the Compensation Committee and Nomination Committee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nominee, if elected at the Annual Meeting, will serve as a director until the earlier of the 2012 Annual Meeting of the Company’s stockholders or until their successors are duly elected.</w:t>
      </w:r>
    </w:p>
    <w:p>
      <w:pPr>
        <w:spacing w:after="0" w:line="1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We believe Mr. Stewart’s qualifications to serve on the Board include his long tenure as Chief Executive Officer and as a member of the Board during which time he gained an extensive understanding of the Company’s operations, strategy and finances, as well as his extensive experience in the field of finance.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Christopher Anzalone</w:t>
      </w:r>
      <w:r>
        <w:rPr>
          <w:rFonts w:ascii="Arial" w:cs="Arial" w:eastAsia="Arial" w:hAnsi="Arial"/>
          <w:sz w:val="16"/>
          <w:szCs w:val="16"/>
          <w:color w:val="auto"/>
        </w:rPr>
        <w:t>, Ph.D., has been President, Chief Executive Officer and Director of the Company since December 1, 2007. In 2005, Dr. Anzalone</w:t>
      </w:r>
      <w:r>
        <w:rPr>
          <w:rFonts w:ascii="Arial" w:cs="Arial" w:eastAsia="Arial" w:hAnsi="Arial"/>
          <w:sz w:val="16"/>
          <w:szCs w:val="16"/>
          <w:b w:val="1"/>
          <w:bCs w:val="1"/>
          <w:color w:val="auto"/>
        </w:rPr>
        <w:t xml:space="preserve"> </w:t>
      </w:r>
      <w:r>
        <w:rPr>
          <w:rFonts w:ascii="Arial" w:cs="Arial" w:eastAsia="Arial" w:hAnsi="Arial"/>
          <w:sz w:val="16"/>
          <w:szCs w:val="16"/>
          <w:color w:val="auto"/>
        </w:rPr>
        <w:t>formed and served as CEO of the Benet Group LLC, a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remains CEO of Nanotope. Prior to his tenure at Benet Group, from 1999 until 2003, he was a partner at the Washington, DC-based private equity firm Galway Partners, LLC, where he was in charge of sourcing, structuring, and building new business ventures, and was founding CEO of NanoInk, Inc., a leading nanolithography company. Dr. Anzalone holds a Ph.D. in Biology from UCLA and a B.A. in Government from Lawrence University. We believe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Anzalone’s qualifications to serve on the Board include his deep understanding of the business through his role as Chief Executive Officer; in addition, Dr. Anzalone has extensive experience in nanotechnology, biotechnology, company-building and venture capital.</w:t>
      </w:r>
    </w:p>
    <w:p>
      <w:pPr>
        <w:spacing w:after="0" w:line="12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740"/>
        <w:spacing w:after="0" w:line="300" w:lineRule="auto"/>
        <w:rPr>
          <w:sz w:val="20"/>
          <w:szCs w:val="20"/>
          <w:color w:val="auto"/>
        </w:rPr>
      </w:pPr>
      <w:r>
        <w:rPr>
          <w:rFonts w:ascii="Arial" w:cs="Arial" w:eastAsia="Arial" w:hAnsi="Arial"/>
          <w:sz w:val="15"/>
          <w:szCs w:val="15"/>
          <w:color w:val="auto"/>
        </w:rPr>
        <w:t>Mr. Frykman was a director of Arrowhead’s predecessor company since its inception in May 2003 until January 2004, when he became a director of the Company. Mr. Frykman is also a director of Acacia Research Corporation, a publicly-held corporation based in Newport Beach, California. We believe</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We believe 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13"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b w:val="1"/>
          <w:bCs w:val="1"/>
          <w:color w:val="auto"/>
        </w:rPr>
        <w:t>Mauro Ferrari</w:t>
      </w:r>
      <w:r>
        <w:rPr>
          <w:rFonts w:ascii="Arial" w:cs="Arial" w:eastAsia="Arial" w:hAnsi="Arial"/>
          <w:sz w:val="16"/>
          <w:szCs w:val="16"/>
          <w:color w:val="auto"/>
        </w:rPr>
        <w:t>, Ph.D. was appointed to the Arrowhead Board of Directors in 2010. Dr. Ferrari is the President and CEO of The Methodist Hospital</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Institute (TMHRI).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From 2003 to 2005, he served as Special Expert on Nanotechnology and Eminent Scholar at The National Cancer Institute, where he led the development of the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startup companies.</w:t>
      </w:r>
    </w:p>
    <w:p>
      <w:pPr>
        <w:spacing w:after="0" w:line="138"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b w:val="1"/>
          <w:bCs w:val="1"/>
          <w:color w:val="auto"/>
        </w:rPr>
        <w:t>Douglass Given</w:t>
      </w:r>
      <w:r>
        <w:rPr>
          <w:rFonts w:ascii="Arial" w:cs="Arial" w:eastAsia="Arial" w:hAnsi="Arial"/>
          <w:sz w:val="16"/>
          <w:szCs w:val="16"/>
          <w:color w:val="auto"/>
        </w:rPr>
        <w:t>, M.D., Ph.D., M.B.A., was appointed to the Arrowhead Board of Directors in 2010 and is an Investment Partner at Bay City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where he has been with the firm since October 2000. He was formerly Chief Executive Officer and a director of NeoRx, Corporate Senior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w:t>
      </w:r>
    </w:p>
    <w:p>
      <w:pPr>
        <w:spacing w:after="0" w:line="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Dr. Given is the Chairman of VIA Pharmaceuticals, and Chairman &amp; CEO of Vivaldi Biosciences. He is Chairman of the Visiting Committee to the Division of Biological Sciences and the Pritzker School of Medicine at the University of Chicago, a member of the Johns Hopkins Bloomberg School of Public Health Advisory Board, and a member of the Harvard School of Public Health AIDS Initiative International Advisory Council.</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Dr. Given holds an M.D. with honors and a Ph.D. from the University of Chicago, and an MBA from the Wharton School, University of Pennsylvania. He was a fellow in Internal Medicine and Infectious Diseases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Mr. Stewart and Dr. Anzalone. Independent directors do not receive consulting, legal or other fees from the Company, other than Board and Committee compensation.</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directors meet separately on a regular basis to discuss matters relating to the Company and the Board, without members of the management team present.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Research Corporation, 225 South Lake Avenue, Suite 300,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held a total of eight meetings during the fiscal year ended September 30, 2010. The Board has three standing committees: an Audit Committee, a Compensation Committee, and a Nomination Committee. Current committee members are listed below.</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and to review any related party transactions. The Audit Committee met four times during fiscal 2010. The current members of the Audit Committee are Edward W. Frykman, Chairman, Charles P. McKenney, and Douglass Given. The Board has determined that all members of the Audit Committee are independent directors under the Rules of the SEC and the listing standards of The NASDAQ Stock Market. The Board has determined that Mr. Frykman and Dr. Given are “audit committee financial experts” in accordance with the applicable regulations. The Audit Committee Charter is available on the Company’s website at www.arrowheadresearch.com.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 w:name="page8"/>
    <w:bookmarkEnd w:id="7"/>
    <w:p>
      <w:pPr>
        <w:ind w:right="1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functions of the Compensation Committee are to review the goals and achievements of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for the prior year and approve the goals of the CEO for the next year,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and the 2000 Stock Option Plan (the “</w:t>
      </w:r>
      <w:r>
        <w:rPr>
          <w:rFonts w:ascii="Arial" w:cs="Arial" w:eastAsia="Arial" w:hAnsi="Arial"/>
          <w:sz w:val="16"/>
          <w:szCs w:val="16"/>
          <w:b w:val="1"/>
          <w:bCs w:val="1"/>
          <w:color w:val="auto"/>
        </w:rPr>
        <w:t>2000 Option Plan</w:t>
      </w:r>
      <w:r>
        <w:rPr>
          <w:rFonts w:ascii="Arial" w:cs="Arial" w:eastAsia="Arial" w:hAnsi="Arial"/>
          <w:sz w:val="16"/>
          <w:szCs w:val="16"/>
          <w:color w:val="auto"/>
        </w:rPr>
        <w:t>”). The Compensation Committee is specifically responsible for determining the compensation of the CEO. The Compensation Committee reviews compensation recommendations made by the CEO for other senior executives of the Company at least annually. The Compensation Committee did not retain the services of a compensation consultant in fiscal 2010, but may do so in the future. The Compensation Committee met seven times during fiscal 2010. The current members of the Compensation Committee are Douglass Given, Chairman, Edward Frykman, Charles P. McKenney, and Mauro Ferrari. The Board has determined that all members of the Compensation Committee are independent directors under the Rules of the SEC and the listing standards of The NASDAQ Stock Market. The Compensation Committee’s charter is available on the Company’s website at www.arrowheadresearch.com. The Committee has not delegated any of its responsibilities or authorities granted under its charter to anyone else.</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Nomination Committee is responsible for proposing a slate of directors for election by the stockholders at each Annual Stockholders Meeting and for proposing candidates to fill any vacancies. The Nomination Committee met one time during fiscal 2010. The current members of the Nomination Committee are Mauro Ferrari, Chairman, Edward Frykman, Charles P. McKenney and Douglass Given.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a new member(s) and, if so, the appropriate skills and characteristics required for the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Candidates for independent Board member positions have typically been found through recommendations from directors or others associated with the Company. Arrowhead stockholders may also recommend candidates by sending the candidate’s name and resume to the Nomination Committee pursuant to the procedures, set forth above, for communication with the Board. Our Bylaws also provide for separate notice procedures to recommend a person for nomination as a director to be considered by stockholders at a meeting, including requirements as to the form and content of a stockholder’s notice.</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2010, and (ii) the total number of meetings held by all committees of the Board during fiscal 2010 on which such person served.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all directors attended the 2010 Annual Meeting of Stockholders. It is the Company’s policy to encourage, but not require, that all directors attend our annual stockholder meetings.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2010 NON-EMPLOYEE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receive an automatic grant of non-qualified stock options to purchase 40,000 shares of common stock upon re-election each year. Dr. Ferrari and</w:t>
      </w:r>
    </w:p>
    <w:p>
      <w:pPr>
        <w:spacing w:after="0" w:line="1"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Dr. Given have each waived his right to cash compensation and waived his right to receive stock option grants while employed at The Methodist Hospital Research Institute and Bay City Capital, respectively. The following table sets forth the total compensation paid to our non-employee directors in fiscal 2010.</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Fee Earned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or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Option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52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 (1)</w:t>
            </w:r>
          </w:p>
        </w:tc>
        <w:tc>
          <w:tcPr>
            <w:tcW w:w="5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4"/>
                <w:szCs w:val="14"/>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26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3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$80,735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100,735</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Leroy Rahn (4)</w:t>
            </w:r>
          </w:p>
        </w:tc>
        <w:tc>
          <w:tcPr>
            <w:tcW w:w="268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360" w:type="dxa"/>
            <w:vAlign w:val="bottom"/>
            <w:gridSpan w:val="4"/>
          </w:tcPr>
          <w:p>
            <w:pPr>
              <w:ind w:left="520"/>
              <w:spacing w:after="0"/>
              <w:rPr>
                <w:sz w:val="20"/>
                <w:szCs w:val="20"/>
                <w:color w:val="auto"/>
              </w:rPr>
            </w:pPr>
            <w:r>
              <w:rPr>
                <w:rFonts w:ascii="Arial" w:cs="Arial" w:eastAsia="Arial" w:hAnsi="Arial"/>
                <w:sz w:val="18"/>
                <w:szCs w:val="18"/>
                <w:color w:val="auto"/>
              </w:rPr>
              <w:t>$80,735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100,735</w:t>
            </w: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26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3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$90,560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110,560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268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 (5)</w:t>
            </w:r>
          </w:p>
        </w:tc>
        <w:tc>
          <w:tcPr>
            <w:tcW w:w="26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non-employee director received $5,000 per quarter for his service as a director. There are no additional payments for being a member of a committee. Dr. Ferrari and Dr. Given have declined to receive cash compensation.</w:t>
      </w:r>
    </w:p>
    <w:p>
      <w:pPr>
        <w:jc w:val="both"/>
        <w:ind w:left="460" w:right="1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included under Options Awards reflect the grant date fair value of stock options granted during fiscal 2010, computed in accordance with FASB ASC 718. The assumptions used to calculate the value of option awards are set forth under Note 9 to the Consolidated Financial Statements included with the Company’s Annual Report on Form 10-K for the year ended September 30, 2010.</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Annual option grants to non-employee directors vest one year from date of grant. At September 30, 2010, Mr. Frykman had outstanding option grants to purchase 265,000 shares at prices ranging from $0.49 to $2.02; Mr. Rahn had outstanding option grants to purchase 265,000 shares at prices ranging from $0.49 to $2.02; Mr. McKenney has outstanding option grants to purchase 240,000 shares at prices ranging from $0.49 to $2.02; and Mr. Ferrari had outstanding option grants to purchase 248,438 shares at prices ranging from $0.96 to $2.87.</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Rahn resigned as a director of the Company on August 17,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Given was appointed to the Board of Directors on November 23, 2010.</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six nominees receiving the greatest numbers of votes at the meeting, assuming a quorum is present, will be elected to the six director positions to serve until the next annual meeting of stockholders or until their successors have been duly elected and qualified. Because directors are elected by plurality, abstentions from voting and broker non-votes will be entirely excluded from the vote and will have no effect on its outcome.</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DIRECTOR IN PROPOSAL ONE.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TO THE COMPANY’S CERTIFICATE OF INCORPORATION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A REVERSE STOCK SPLIT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is recommending that the stockholders approve an amendment to the Company’s 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to effect a reverse stock split of the Company’s outstanding shares of Common Stock at a whole number ratio within a range of 1-for-2 to 1-for-15 and to grant the Board discretionary authority, within twelve months from the date of the 2011 Annual Meeting, to determine whether to effect the split and the exact whole number ratio within the range at which the split will be effected. If the Board decides to implement the split, it will become effective upon the filing of the amendment to the Company’s Charter with the Secretary of State of the State of Delaware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If the reverse split is implemented, the number of issued and outstanding shares of Common Stock would be reduced in accordance with the exchange ratio selected by the Board. The total number of authorized shares of Common Stock would not, however, be affected. The form of amendment to the Company’s Charter to effect the reverse split is attached as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4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Board may not elect to implement a reverse split. However, the Board believes that having the time-limited authority to take such an action is an important proactive step to maintain and build stockholder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Background of the Reverse Split</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Board’s primary objective in asking for the authority to effect a reverse split is to raise the per share trading price of our Common Stock. The Board believes that having the ability to implement a reverse split would better enable the Company to maintain the listing of its Common Stock on The NASDAQ Capital Market. Also, if the reverse split is implemented, the Board believes it would facilitate higher levels of institutional stock ownership, where investment policies generally prohibit investments in lower-priced securities and better enable the Company to raise funds to finance development and operations.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Company’s Common Stock is currently quoted on The NASDAQ Capital Market. In order for the Common Stock to continue to be quoted on The NASDAQ Capital Market, the Company must satisfy various listing standards established by NASDAQ. Among other things, if the closing bid price of the Company’s Common Stock is under $1.00 per share for 30 consecutive trading days and does not thereafter reach $1.00 per share or higher for a minimum of ten consecutive business days during the 180 calendar days following notification by NASDAQ, NASDAQ may delist the Common Stock from trading. The closing sale price of the Company’s Common Stock on the Record Date was $0.51 per share and the Company’s Common Stock has closed below $1.00 per share continuously since January 5, 2011. The Company has sought and received from NASDAQ a 180-day extension from delisting based on the Company’s assurance that it will seek stockholder approval to implement a reverse split, if necessary, to regain compliance. The extension expires on December 5, 2011. If a delisting from The NASDAQ Capital Market were to occur, the Common Stock would trade on the OTC Bulletin Board or in the “pink sheets.” These alternative markets are generally considered to be less efficient than, and not as broad as, The NASDAQ Capital Market. Additionally, the Company is obligated contractually to use reasonable efforts to maintain the listing of the Common Stock on NASDAQ and the Board believes that it may be necessary to effect a reverse stock split in order to maintain this listing.</w:t>
      </w:r>
    </w:p>
    <w:p>
      <w:pPr>
        <w:spacing w:after="0" w:line="12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Board further believes that an increased stock price may encourage investor interest and improve the marketability of the Company’s Common Stock to a broader range of investors, and thus improve liquidity.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believes that the anticipated higher market price resulting from a reverse stock split may enable institutional investors and brokerage firms with policies and practices such as those described above to invest in the Company’s Common Stock.</w:t>
      </w:r>
    </w:p>
    <w:p>
      <w:pPr>
        <w:spacing w:after="0" w:line="10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purpose of seeking stockholder approval of a range of whole number exchange ratios from 1-for-2 to 1-for-15 (rather than a fixed exchange ratio) is to provide the Company with the flexibility to achieve the desired results of the reverse stock split. If the stockholders approve this proposal, the Board would effect a reverse stock split only upon the Board determination that a reverse stock split would be in the best interests of the Company 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 w:name="page11"/>
    <w:bookmarkEnd w:id="10"/>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time. If the Board were to effect a reverse stock split, the Board would set the timing for such a split and select the specific ratio within the permitted range. No further action on the part of stockholders would be required to either implement or abandon the reverse stock split. If the stockholders approve the proposal, and the Board determines to effect the reverse stock split, we would communicate to the public, prior to the Effective Date, additional details regarding the reverse split, including the specific ratio selected by the Board. If the Board does not implement the reverse stock split within twelve months from the Annual Meeting, the authority granted in this proposal to implement the reverse stock split will terminate. The Board reserves its right to elect not to proceed with the reverse stock split if it determines, in its sole discretion, that this proposal is no longer in the best interests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Effects of Proposed Reverse Stock Split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believes that the reverse split will increase the price level of the Company’s Common Stock, which is expected to help ensure continued compliance with the NASDAQ minimum bid price listing standard. The Board cannot predict, however, the actual effect of the reverse split upon the market price for the Common Stock, and the history of similar reverse stock splits for companies in like circumstances is varied. The market price per share of Common Stock after the reverse split may not rise in proportion to the reduction in the number of shares of Common Stock outstanding resulting from the reverse split, which would reduce the market capitalization of the Company. The market price per post-reverse split share may not remain in excess of the $1.00 minimum bid price as required by NASDAQ, or the Company may not otherwise meet the requirements for continued listing on The NASDAQ Capital Market, including the stockholders’ equity requirements. The market price of the Common Stock will also be based on our performance and other factors, the effect of which the Board cannot predict.</w:t>
      </w:r>
    </w:p>
    <w:p>
      <w:pPr>
        <w:spacing w:after="0" w:line="1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reverse split will affect all stockholders of the Company uniformly and will not affect any stockholder’s percentage ownership interests or proportionate voting power, except to the extent that the reverse split results in any of the stockholders owning a fractional share of Common Stock. In lieu of issuing fractional shares, the Company may either (i) directly pay each stockholder who would otherwise have been entitled to a fraction of a share an amount in cash equal to the closing sale price of the Common Stock, as quoted on NASDAQ on the Effective Date, multiplied by the fractional share amount, or (ii) make arrangements with the Company’s transfer agent or exchange agent to aggregate all fractional shares otherwise issuable in the reverse stock split and sell these whole shares as soon as possible after the Effective Date at then prevailing market prices on the open market on behalf of those holders, and then pay each such holder his, her or its pro rata portion of the sale proceeds.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principal effects of the reverse split will be that (i) the number of shares of Common Stock issued and outstanding will be reduced from approximately 71,833,693 shares as of the Record Date to a range of 35,916,846 to 4,788,913 shares, depending on the exact split ratio chosen by the Board, (ii) all outstanding options and warrants entitling the holders thereof to purchase shares of Common Stock will enable such holders to purchase, upon exercise of their options or warrants, from one-half to one-fifteenth of the number of shares of Common Stock which such holders would have been able to purchase upon exercise of their options or warrants immediately preceding the reverse split, at an exercise price equal to two to fifteen times the exercise price specified before the reverse split, resulting in the same aggregate price being required to be paid upon exercise thereof immediately preceding the reverse split, and (iii) the number of shares reserved for issuance pursuant to our 2000 Stock Option Plan and 2004 Equity Incentive Plan will be similarly reduced to one-half to one-fifteenth of the number of shares currently included in each such plan.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reverse split will not affect the par value of the Common Stock. As a result, on the Effective Date, the stated capital on the Company’s balance sheet attributable to the Common Stock will be reduced by a fractional proportion equal to the split ratio and the additional paid-in capital account will be credited with the amount by which the stated capital is reduced. The per share net income or loss and the per-share net book value of the Common Stock will be retroactively adjusted for each period because there will be fewer shares of Common Stock outstanding.</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amendment will not change the terms of the Common Stock. After the reverse split, the shares of common stock will have the same voting rights and rights to dividends and distributions and will be identical in all other respects to the Common Stock now authorized. Each stockholder’s percentage ownership of the new Common Stock will not be altered except for the effect of eliminating fractional shares. The Common Stock issued pursuant to the reverse split will remain fully paid and non-assessable. The reverse split is not intended as, and will not have the effect of, a “going private transaction” covered by Rule 13e-3 under the Securities Exchange Act of 1934. Following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reverse split, the Company will continue to be subject to the periodic reporting requirements of the Securities Exchange Act of 1934.</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Because the Company will not reduce the number of authorized shares of Common Stock, the overall effect will be an increase in authorized but unissued shares of Common Stock as a result of the reverse stock split. The Company has no current plans for the issuance of any shares that would become available as a result of this effective increase in authorized shares following the implementation of the reverse stock split. The Company does expect that it will need to raise additional capital and will do so through the issuance of common stock that would become available by this proposal, but there are no current offering terms that are being contemplated.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applicable Delaware law, our stockholders are not entitled to dissenter’s rights with respect to the reverse stock split, and we will not independently provide stockholders with any such right.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Split and Exchange of Stock Certificates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If the reverse split is approved by the Company’s stockholders, and the Board determines it is in the best interests of the Company to effect the split, the reverse stock split would become effective at such time as the amendment to the Company’s Charter, the form of which is attached as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 is filed with the Secretary of State of Delaware. Upon the filing of the amendment, all of the Company’s existing Common Stock will be subdivided into fewer shares of Common Stock as set forth in the amendment.</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As soon as practicable after the Effective Date, stockholders will be notified that the reverse split has been effected. ComputerShare, Inc., the Company’s transfer agent, will act as exchange agent for purposes of implementing the exchange of stock certificates. Holders of pre-reverse split shares will be asked to surrender to the exchange agent certificates representing pre-reverse split shares and will be issued certificates representing post-reverse split shares in accordance with the procedures to be set forth in a letter of transmittal delivered to the Company’s stockholders. No new certificates will be issued to a stockholder until the stockholder has surrendered to the exchange agent his, her or its outstanding certificate(s) together with the properly completed and executed letter of transmittal.</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STOCKHOLDERS SHOULD NOT DESTROY ANY STOCK CERTIFICATES AND SHOULD NOT SUBMIT ANY CERTIFICATES UNTIL REQUESTED TO DO SO. Stockholders whose shares are held by their stockbroker do not need to submit old share certificates for exchange. These shares will automatically reflect the new quantity of shares based on the reverse split. Beginning on the Effective Date, each certificate representing pre-reverse split shares will be deemed for all corporate purposes to evidence ownership of post-reverse split shares. Unclaimed certificates for the post-split shares may be tendered to state authorities by the transfer agent under applicable unclaimed property or “escheat” laws, in which case the stockholder would need to obtain the post-split shares from the relevant state authority.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jc w:val="both"/>
        <w:ind w:right="80" w:firstLine="456"/>
        <w:spacing w:after="0" w:line="318" w:lineRule="auto"/>
        <w:rPr>
          <w:sz w:val="20"/>
          <w:szCs w:val="20"/>
          <w:color w:val="auto"/>
        </w:rPr>
      </w:pPr>
      <w:r>
        <w:rPr>
          <w:rFonts w:ascii="Arial" w:cs="Arial" w:eastAsia="Arial" w:hAnsi="Arial"/>
          <w:sz w:val="15"/>
          <w:szCs w:val="15"/>
          <w:color w:val="auto"/>
        </w:rPr>
        <w:t>The Company will not issue fractional shares in connection with the reverse split. In lieu of issuing fractional shares, the Company may either (i) directly pay each stockholder who would otherwise have been entitled to a fraction of a share an amount in cash equal to the closing sale price of the Common Stock, as quoted on NASDAQ on the Effective Date, multiplied by the fractional share amount, or (ii) make arrangements with the Company’s transfer agent or exchange agent to aggregate all fractional shares otherwise issuable in the reverse stock split and sell these whole shares as soon as possible after the Effective Date at then prevailing market prices on the open market on behalf of those holders, and then pay each such holder his, her or its pro rata portion of the sale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 Relating to the Reverse Split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certain U.S. federal income tax considerations relating to the reverse stock split as of the date hereof. Except where noted, this summary deals only with a stockholder who holds Common Stock as a capital asset.</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For purposes of this summary, a “U.S. holder” means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(1) its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 w:name="page13"/>
    <w:bookmarkEnd w:id="12"/>
    <w:p>
      <w:pPr>
        <w:jc w:val="both"/>
        <w:ind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is subject to the primary supervision of a court within the United States and one or more U.S. persons have the authority to control all of its substantial decisions, or (2) it has a valid election in effect under applicable U.S. Treasury regulations to be treated as a U.S. person. A non-U.S. holder of Common Stock is a stockholder who is not a U.S. holder.</w:t>
      </w:r>
    </w:p>
    <w:p>
      <w:pPr>
        <w:spacing w:after="0" w:line="13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summary is based upon provisions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regulations, rulings and judicial decisions as of the date hereof. Those authorities may be changed, perhaps retroactively, and may be subject to differing interpretations, so as to result in U.S. federal income tax considerations different from those summarized below. This summary does not represent a detailed description of the U.S. federal income tax consequences to a stockholder in light of his, her or its particular circumstances. In addition, it does not represent a description of the U.S. federal income tax consequences to a stockholder who is subject to special treatment under the U.S. federal income tax laws and does not address the tax considerations applicable to stockholders who may be subject to special tax rules, such as:</w:t>
      </w:r>
    </w:p>
    <w:p>
      <w:pPr>
        <w:spacing w:after="0" w:line="3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who hold Common Stock as part of a position in a straddle or as part of a hedging, conversion or integrated transaction for U.S. federal income tax purposes or U.S. holders that have a functional currency other than the U.S. dollar;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who actually or constructively own 10 percent or more of the Company’s voting stock;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non-U.S. holder who is a U.S. expatriate, “controlled foreign corporation” or “passive foreign investment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Moreover, this description does not address the U.S. federal estate and gift tax, alternative minimum tax or other tax consequences of the reverse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split.</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 entity classified as a partnership for U.S. federal income tax purposes holds Common Stock, the tax treatment of a partner will generally depend on the status of the partner and the activities of the partnership.</w:t>
      </w:r>
    </w:p>
    <w:p>
      <w:pPr>
        <w:spacing w:after="0" w:line="132"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Each stockholder should consult his, her or its own tax advisers concerning the particular U.S. federal tax consequences of the reverse stock split, as well as the consequences arising under the laws of any other taxing jurisdiction, including any state, local or foreign income tax consequences.</w:t>
      </w:r>
    </w:p>
    <w:p>
      <w:pPr>
        <w:spacing w:after="0" w:line="6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b w:val="1"/>
          <w:bCs w:val="1"/>
          <w:i w:val="1"/>
          <w:iCs w:val="1"/>
          <w:color w:val="auto"/>
        </w:rPr>
        <w:t>To ensure compliance with Treasury Department Circular 230, each holder of Common Stock is hereby notified that: (a) any discussion of U.S. federal tax issues in this proxy statement is not intended or written to be used, and cannot be used, by such holder for the purpose of avoiding penalties that may be imposed on such holder under the Code; (b) any such discussion has been included by the Company in furtherance of the reverse stock split on the terms described herein; and (c) each such holder should seek advice based on its particular circumstances from an independent tax advisor.</w:t>
      </w:r>
    </w:p>
    <w:p>
      <w:pPr>
        <w:spacing w:after="0" w:line="9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U.S. Holders. </w:t>
      </w:r>
      <w:r>
        <w:rPr>
          <w:rFonts w:ascii="Arial" w:cs="Arial" w:eastAsia="Arial" w:hAnsi="Arial"/>
          <w:sz w:val="18"/>
          <w:szCs w:val="18"/>
          <w:color w:val="auto"/>
        </w:rPr>
        <w:t>Generally, a reverse stock split will not result in the recognition of gain or loss by a U.S. holder for U.S. federal income tax purposes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of cash received in lieu of a fractional share). The aggregate adjusted basis of the new shares of Common Stock will be the same as the aggregate adjusted basis of the Common Stock exchanged for such new shares, reduced by the amount of the adjusted basis of any Common Stock exchanged for such new shares that is allocated to the fractional share for which cash is received. The holding period of the new, post-reverse split shares of the Common Stock resulting from implementation of the reverse stock split will include a U.S. holder’s holding periods for the pre-reverse split shares. A stockholder who receives cash in lieu</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fractional share of new Common Stock generally will recognize taxable gain or loss equal to the difference, if any, between the amount of cash received and the portion of the stockholder’s aggregate adjusted tax basis in the shares of old common stock allocated to the fractional share. If the shares of old Common Stock allocated to the fractional shares were held by the stockholder as capital assets, the gain or loss resulting from the payment of cash in lieu of the issuance of a fractional share will be taxed as capital gain or loss. Such capital gain or loss will be short term if the pre-reverse split shares were held for one year or less and long term if held more than one year.</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Non U.S. Holders. </w:t>
      </w:r>
      <w:r>
        <w:rPr>
          <w:rFonts w:ascii="Arial" w:cs="Arial" w:eastAsia="Arial" w:hAnsi="Arial"/>
          <w:sz w:val="16"/>
          <w:szCs w:val="16"/>
          <w:color w:val="auto"/>
        </w:rPr>
        <w:t>A non-U.S. holder of the Company’s Common Stock generally will not be subject to U.S. federal income tax with respect to any gain</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as a result of cash received in lieu of a fractional share in connection with the reverse stock split; provided, however, that gain will be subject to tax if</w:t>
      </w:r>
    </w:p>
    <w:p>
      <w:pPr>
        <w:ind w:right="20" w:firstLine="8"/>
        <w:spacing w:after="0" w:line="292"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U.S. (in which case, for a non-U.S. holder that is a foreign corporation, the branch profits tax may also apply), and, where a tax treaty applies, is attributable to a U.S. permanent establishment of the non-U.S. holder, (ii) the gain is recognized by a non-U.S. holder who is present in the United States for 183 or more days in the taxable year of the reverse stock split and certain other conditions are met, or (iii) the Company is or has been a “U.S. real property holding corporation” for U.S. federal income tax purposes. The Company believes it currently is not and it does not anticipate becoming, a “U.S. real property holding corporation” for U.S. federal income tax purposes.</w:t>
      </w:r>
    </w:p>
    <w:p>
      <w:pPr>
        <w:spacing w:after="0" w:line="11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Payment of cash in lieu of fractional shares within the United States or conducted through certain U.S.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financial intermediaries is subject to both backup withholding and information reporting unless the beneficial owner certifies under penalties of perjury that it is not a U.S. holder (and the payor does not have actual knowledge or reason to know that the beneficial owner is a U.S. holder) or the stockholder otherwise establishes an exemption. Any amounts withheld under the backup withholding rules may be allowed as a refund or a credit against such stockholder’s U.S. federal income tax liability provided the required information is furnished to the Internal Revenue Service.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affirmative vote of a majority of the shares issued and outstanding on the Record Date is required to approve the amendment of the Company’s Charter to effect the reverse split of the Common Stock. Abstentions and “broker non-votes” will therefore have the same effect as negative votes.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33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2011, and that selection is now being submitted to the stockholders.</w:t>
      </w:r>
    </w:p>
    <w:p>
      <w:pPr>
        <w:spacing w:after="0" w:line="8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 Recommendation of the Board</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order to be ratified, proposal three must be approved by a majority of Votes Cast,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THREE.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2010 and 2009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2010, and September 30, 2009:</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Audit-related fees (2)</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76,300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All other fees (4)</w:t>
            </w:r>
          </w:p>
        </w:tc>
        <w:tc>
          <w:tcPr>
            <w:tcW w:w="2640" w:type="dxa"/>
            <w:vAlign w:val="bottom"/>
          </w:tcPr>
          <w:p>
            <w:pPr>
              <w:spacing w:after="0"/>
              <w:rPr>
                <w:sz w:val="19"/>
                <w:szCs w:val="19"/>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249,550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$ 364,900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invoiced by RS&amp;J related to Arrowhead Comfort Letter and Consents, and other agreed-upon procedures.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in 2009 related to Sarbanes-Oxley compliance work.</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fiscal 2010, which include the consolidated balance sheets of the Company as of September 30, 2010 and 2009, and the related consolidated statements of operations, stockholders’ equity and cash flows for each of the last two fiscal years, and the notes thereto.</w:t>
      </w:r>
    </w:p>
    <w:p>
      <w:pPr>
        <w:spacing w:after="0" w:line="134"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Committee are Edward W. Frykman, Charles P. McKenney, and Douglass Given. All members of the Audit Committee are “independent,” as defined in Rule 10A-3 under the Exchange Act and Rule 4200(a)(14) of the NASDAQ Marketplace Rules, and financially literate.</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Review with Management and independent registered public accounting firm. </w:t>
      </w:r>
      <w:r>
        <w:rPr>
          <w:rFonts w:ascii="Arial" w:cs="Arial" w:eastAsia="Arial" w:hAnsi="Arial"/>
          <w:sz w:val="18"/>
          <w:szCs w:val="18"/>
          <w:color w:val="auto"/>
        </w:rPr>
        <w:t>The Audit Committee has met separately to review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audited financial statements and held discussions with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 w:name="page16"/>
    <w:bookmarkEnd w:id="1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and RS&amp;J. Management represented to the Audit Committee that the Company’s consolidated financial statements were prepared in accordance with generally accepted accounting principles. The Audit Committee discussed with RS&amp;J matters required to be discussed by Statement on Auditing Standards No. 61, as amended, “Communication with Audit Committees.”</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01" w:lineRule="exact"/>
        <w:rPr>
          <w:sz w:val="20"/>
          <w:szCs w:val="20"/>
          <w:color w:val="auto"/>
        </w:rPr>
      </w:pPr>
    </w:p>
    <w:p>
      <w:pPr>
        <w:ind w:right="500" w:firstLine="456"/>
        <w:spacing w:after="0" w:line="310"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discussions with management and RS&amp;J, the Audit Committee’s review of the representations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the report of RS&amp;J to the Audit Committee, the Audit Committee recommended that the Board include the audited consolidated financial statements in the Company’s Annual Report on Form 10-K for the fiscal year ended September 30, 2010, as filed with the SEC.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Charles P. McKenney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Douglass Given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FOUR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OF THE ANNUAL MEETING, IF NECESSARY, TO SOLICIT ADDITIONAL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IF THERE ARE NOT SUFFICIENT VOTES IN FAVOR OF THE FOREGOING PROPOSALS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Annual Meeting and any adjournment or postponement thereof, our stockholders may be asked to consider and vote upon a proposal to adjourn the Annual Meeting, if necessary, to solicit additional proxies if there are not sufficient votes in favor of the adoption of the foregoing proposals. The Board may wish to adjourn the Annual Meeting if necessary to provide additional time to solicit proxies and doing so may save the Company the time and additional expense needed with preparing and filing a new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order to be adopted, proposal four must be approved by a majority of Votes Cast, assuming a quorum is present. For this purpose, abstentions will be counted as a vote against the proposal, while broker non-votes will have no effect on the outcome of the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June 14, 2011, by (i) by each of the named executive officers named in the table under “Executive Compensation and Related Information,” (ii) by each director, (iii) all current directors and executive officers as a group, and (iv) the sole holder of greater than 5% of our total shares outstanding known to us.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300, Pasadena, California 91101.</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5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Number and Percentage of Shares Beneficially</w:t>
            </w:r>
          </w:p>
        </w:tc>
      </w:tr>
      <w:tr>
        <w:trPr>
          <w:trHeight w:val="161"/>
        </w:trPr>
        <w:tc>
          <w:tcPr>
            <w:tcW w:w="5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80" w:type="dxa"/>
            <w:vAlign w:val="bottom"/>
            <w:gridSpan w:val="3"/>
          </w:tcPr>
          <w:p>
            <w:pPr>
              <w:jc w:val="right"/>
              <w:ind w:right="1560"/>
              <w:spacing w:after="0"/>
              <w:rPr>
                <w:sz w:val="20"/>
                <w:szCs w:val="20"/>
                <w:color w:val="auto"/>
              </w:rPr>
            </w:pPr>
            <w:r>
              <w:rPr>
                <w:rFonts w:ascii="Arial" w:cs="Arial" w:eastAsia="Arial" w:hAnsi="Arial"/>
                <w:sz w:val="14"/>
                <w:szCs w:val="14"/>
                <w:b w:val="1"/>
                <w:bCs w:val="1"/>
                <w:color w:val="auto"/>
              </w:rPr>
              <w:t>Owned (1)</w:t>
            </w:r>
          </w:p>
        </w:tc>
      </w:tr>
      <w:tr>
        <w:trPr>
          <w:trHeight w:val="142"/>
        </w:trPr>
        <w:tc>
          <w:tcPr>
            <w:tcW w:w="51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Shares</w:t>
            </w:r>
          </w:p>
        </w:tc>
        <w:tc>
          <w:tcPr>
            <w:tcW w:w="10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Beneficial Owners</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M. Robert Ching (2)</w:t>
            </w:r>
          </w:p>
        </w:tc>
        <w:tc>
          <w:tcPr>
            <w:tcW w:w="1280" w:type="dxa"/>
            <w:vAlign w:val="bottom"/>
          </w:tcPr>
          <w:p>
            <w:pPr>
              <w:jc w:val="right"/>
              <w:spacing w:after="0"/>
              <w:rPr>
                <w:sz w:val="20"/>
                <w:szCs w:val="20"/>
                <w:color w:val="auto"/>
              </w:rPr>
            </w:pPr>
            <w:r>
              <w:rPr>
                <w:rFonts w:ascii="Arial" w:cs="Arial" w:eastAsia="Arial" w:hAnsi="Arial"/>
                <w:sz w:val="18"/>
                <w:szCs w:val="18"/>
                <w:color w:val="auto"/>
              </w:rPr>
              <w:t>7,108,863</w:t>
            </w: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R. Bruce Stewart (3)</w:t>
            </w:r>
          </w:p>
        </w:tc>
        <w:tc>
          <w:tcPr>
            <w:tcW w:w="1280" w:type="dxa"/>
            <w:vAlign w:val="bottom"/>
          </w:tcPr>
          <w:p>
            <w:pPr>
              <w:jc w:val="right"/>
              <w:spacing w:after="0"/>
              <w:rPr>
                <w:sz w:val="20"/>
                <w:szCs w:val="20"/>
                <w:color w:val="auto"/>
              </w:rPr>
            </w:pPr>
            <w:r>
              <w:rPr>
                <w:rFonts w:ascii="Arial" w:cs="Arial" w:eastAsia="Arial" w:hAnsi="Arial"/>
                <w:sz w:val="18"/>
                <w:szCs w:val="18"/>
                <w:color w:val="auto"/>
              </w:rPr>
              <w:t>1,265,773</w:t>
            </w: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Chris Anzalone (4)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2,182,158</w:t>
            </w:r>
          </w:p>
        </w:tc>
        <w:tc>
          <w:tcPr>
            <w:tcW w:w="2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Kenneth Myszkowski (5)</w:t>
            </w:r>
          </w:p>
        </w:tc>
        <w:tc>
          <w:tcPr>
            <w:tcW w:w="1280" w:type="dxa"/>
            <w:vAlign w:val="bottom"/>
          </w:tcPr>
          <w:p>
            <w:pPr>
              <w:jc w:val="right"/>
              <w:spacing w:after="0"/>
              <w:rPr>
                <w:sz w:val="20"/>
                <w:szCs w:val="20"/>
                <w:color w:val="auto"/>
              </w:rPr>
            </w:pPr>
            <w:r>
              <w:rPr>
                <w:rFonts w:ascii="Arial" w:cs="Arial" w:eastAsia="Arial" w:hAnsi="Arial"/>
                <w:sz w:val="18"/>
                <w:szCs w:val="18"/>
                <w:color w:val="auto"/>
              </w:rPr>
              <w:t>203,222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 Tilley (6)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169,489</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Edward Frykman (7)</w:t>
            </w:r>
          </w:p>
        </w:tc>
        <w:tc>
          <w:tcPr>
            <w:tcW w:w="1280" w:type="dxa"/>
            <w:vAlign w:val="bottom"/>
          </w:tcPr>
          <w:p>
            <w:pPr>
              <w:jc w:val="right"/>
              <w:spacing w:after="0"/>
              <w:rPr>
                <w:sz w:val="20"/>
                <w:szCs w:val="20"/>
                <w:color w:val="auto"/>
              </w:rPr>
            </w:pPr>
            <w:r>
              <w:rPr>
                <w:rFonts w:ascii="Arial" w:cs="Arial" w:eastAsia="Arial" w:hAnsi="Arial"/>
                <w:sz w:val="18"/>
                <w:szCs w:val="18"/>
                <w:color w:val="auto"/>
              </w:rPr>
              <w:t>309,218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Charles McKenney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217,125</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Mauro Ferrari (9)</w:t>
            </w:r>
          </w:p>
        </w:tc>
        <w:tc>
          <w:tcPr>
            <w:tcW w:w="1280" w:type="dxa"/>
            <w:vAlign w:val="bottom"/>
          </w:tcPr>
          <w:p>
            <w:pPr>
              <w:jc w:val="right"/>
              <w:spacing w:after="0"/>
              <w:rPr>
                <w:sz w:val="20"/>
                <w:szCs w:val="20"/>
                <w:color w:val="auto"/>
              </w:rPr>
            </w:pPr>
            <w:r>
              <w:rPr>
                <w:rFonts w:ascii="Arial" w:cs="Arial" w:eastAsia="Arial" w:hAnsi="Arial"/>
                <w:sz w:val="18"/>
                <w:szCs w:val="18"/>
                <w:color w:val="auto"/>
              </w:rPr>
              <w:t>267,948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Douglass Given</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5120" w:type="dxa"/>
            <w:vAlign w:val="bottom"/>
          </w:tcPr>
          <w:p>
            <w:pPr>
              <w:ind w:left="440"/>
              <w:spacing w:after="0"/>
              <w:rPr>
                <w:sz w:val="20"/>
                <w:szCs w:val="20"/>
                <w:color w:val="auto"/>
              </w:rPr>
            </w:pPr>
            <w:r>
              <w:rPr>
                <w:rFonts w:ascii="Arial" w:cs="Arial" w:eastAsia="Arial" w:hAnsi="Arial"/>
                <w:sz w:val="18"/>
                <w:szCs w:val="18"/>
                <w:color w:val="auto"/>
              </w:rPr>
              <w:t>All executive officers and directors as a group (8</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120" w:type="dxa"/>
            <w:vAlign w:val="bottom"/>
          </w:tcPr>
          <w:p>
            <w:pPr>
              <w:ind w:left="640"/>
              <w:spacing w:after="0"/>
              <w:rPr>
                <w:sz w:val="20"/>
                <w:szCs w:val="20"/>
                <w:color w:val="auto"/>
              </w:rPr>
            </w:pPr>
            <w:r>
              <w:rPr>
                <w:rFonts w:ascii="Arial" w:cs="Arial" w:eastAsia="Arial" w:hAnsi="Arial"/>
                <w:sz w:val="18"/>
                <w:szCs w:val="18"/>
                <w:color w:val="auto"/>
              </w:rPr>
              <w:t>persons) (10)</w:t>
            </w:r>
          </w:p>
        </w:tc>
        <w:tc>
          <w:tcPr>
            <w:tcW w:w="1280" w:type="dxa"/>
            <w:vAlign w:val="bottom"/>
          </w:tcPr>
          <w:p>
            <w:pPr>
              <w:jc w:val="right"/>
              <w:spacing w:after="0"/>
              <w:rPr>
                <w:sz w:val="20"/>
                <w:szCs w:val="20"/>
                <w:color w:val="auto"/>
              </w:rPr>
            </w:pPr>
            <w:r>
              <w:rPr>
                <w:rFonts w:ascii="Arial" w:cs="Arial" w:eastAsia="Arial" w:hAnsi="Arial"/>
                <w:sz w:val="18"/>
                <w:szCs w:val="18"/>
                <w:color w:val="auto"/>
              </w:rPr>
              <w:t>4,614,933</w:t>
            </w: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jc w:val="both"/>
        <w:ind w:left="460" w:right="10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71,833,693 common shares issued and outstanding as of June 14, 2011. Shares not outstanding but deemed beneficially owned by virtue of the right of a person to acquire them as of June 14, 2011, or within sixty days of such date, are treated as outstanding only when determining the percentage owned by such individual and when determining the percentage owned by a group of which such individual is a member.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2,558,026 shares issuable upon the exercise of common stock purchase warrants that are exercisable within 60 days of June 14,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754,273 shares issuable upon the exercise of stock options that are exercisable within 60 days of June 14, 2011.</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1,518,700 shares issuable upon the exercise of stock options, and 321,729 shares issuable upon the exercise of common stock purchase warrants that are exercisable within 60 days of June 14, 2011.</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188,222 shares issuable upon the exercise of stock options that are exercisable within 60 days of June 14, 2011.</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164,089 shares issuable upon the exercise of stock options, and 5,400 shares issuable upon the exercise of common stock purchase warrants that are exercisable within 60 days of June 14, 2011. Unidym, Inc. was sold in January 2011 and Dr. Tilley is no longer employed by the Company.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239,218 shares issuable upon the exercise of stock options that are exercisable within 60 days of June 14,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206,925 shares issuable upon the exercise of stock options that are exercisable within 60 days of June 14,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248,459 shares issuable upon the exercise of stock options that are exercisable within 60 days of June 14, 2011.</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3,319,886 shares issuable upon the exercise of stock options, and 327,129 shares issuable upon the exercise of common stock purchase warrants that are exercisable within 60 days of June 14, 2011.</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274"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2010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44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w w:val="91"/>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34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34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warrants and rights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8,123,338</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8,123,338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6,591,338 shares subject to the 2004 Equity Incentive Plan and 1,532,000 shares subject to the 2000 Option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of the Registrant</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June 14, 2011 are provided below. Biographical information regarding these officers is set forth under the following table, except for Mr. Stewart and Dr. Anzalone, whose biographies are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Anzalone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R. Bruce Stewart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A. Myszkowski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brings to Arrowhead a broad range of finance and accounting experience spanning two decades in both</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and private sectors, including senior level positions at two publicly traded energy companies and, earlier in his career, in two early stage technology companies. Prior to joining Arrowhead, Mr. Myszkowski served as the corporate controller for Broadwind Energy, a $200 million public energy company which provides products and services to the wind energy industry. Previous to his position at Broadwind, Mr. Myszkowski was controller for Epcor USA, the U.S. headquarters for Epcor Utilities, Inc., a $4 billion public energy company. Prior to Epcor, Mr. Myszkowski was controller for two start-up ventures: NanoInk, specializing in Dip Pen Nanolithography, a nanofabrication technology, and Delphion, which provided on-line tools for intellectual property research.</w:t>
      </w:r>
    </w:p>
    <w:p>
      <w:pPr>
        <w:spacing w:after="0" w:line="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2010 and fiscal 2009 by our Chief Executive Officer, and our two most highly paid executive officers serving the Company as of September 30, 2010. We refer to those persons collectively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Bonus</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 (1)</w:t>
            </w: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28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Christopher Anzalone</w:t>
            </w:r>
          </w:p>
        </w:tc>
        <w:tc>
          <w:tcPr>
            <w:tcW w:w="36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400,000</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5"/>
              </w:rPr>
              <w:t>396,800</w:t>
            </w:r>
          </w:p>
        </w:tc>
        <w:tc>
          <w:tcPr>
            <w:tcW w:w="1120" w:type="dxa"/>
            <w:vAlign w:val="bottom"/>
            <w:gridSpan w:val="2"/>
            <w:shd w:val="clear" w:color="auto" w:fill="CCEEFF"/>
          </w:tcPr>
          <w:p>
            <w:pPr>
              <w:jc w:val="center"/>
              <w:ind w:left="139"/>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796,800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&amp; Chief Executive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394,485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737,294</w:t>
            </w:r>
          </w:p>
        </w:tc>
        <w:tc>
          <w:tcPr>
            <w:tcW w:w="11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1,131,779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Ken Myszkowski</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185,096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27,419</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95,232</w:t>
            </w:r>
          </w:p>
        </w:tc>
        <w:tc>
          <w:tcPr>
            <w:tcW w:w="1120" w:type="dxa"/>
            <w:vAlign w:val="bottom"/>
            <w:gridSpan w:val="2"/>
          </w:tcPr>
          <w:p>
            <w:pPr>
              <w:jc w:val="center"/>
              <w:ind w:left="99"/>
              <w:spacing w:after="0"/>
              <w:rPr>
                <w:sz w:val="20"/>
                <w:szCs w:val="20"/>
                <w:color w:val="auto"/>
              </w:rPr>
            </w:pPr>
            <w:r>
              <w:rPr>
                <w:rFonts w:ascii="Arial" w:cs="Arial" w:eastAsia="Arial" w:hAnsi="Arial"/>
                <w:sz w:val="18"/>
                <w:szCs w:val="18"/>
                <w:color w:val="auto"/>
                <w:w w:val="84"/>
              </w:rPr>
              <w:t>1,731</w:t>
            </w:r>
          </w:p>
        </w:tc>
        <w:tc>
          <w:tcPr>
            <w:tcW w:w="760" w:type="dxa"/>
            <w:vAlign w:val="bottom"/>
          </w:tcPr>
          <w:p>
            <w:pPr>
              <w:jc w:val="right"/>
              <w:spacing w:after="0"/>
              <w:rPr>
                <w:sz w:val="20"/>
                <w:szCs w:val="20"/>
                <w:color w:val="auto"/>
              </w:rPr>
            </w:pPr>
            <w:r>
              <w:rPr>
                <w:rFonts w:ascii="Arial" w:cs="Arial" w:eastAsia="Arial" w:hAnsi="Arial"/>
                <w:sz w:val="18"/>
                <w:szCs w:val="18"/>
                <w:color w:val="auto"/>
              </w:rPr>
              <w:t>309,478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153,940</w:t>
            </w:r>
          </w:p>
        </w:tc>
        <w:tc>
          <w:tcPr>
            <w:tcW w:w="1120" w:type="dxa"/>
            <w:vAlign w:val="bottom"/>
            <w:gridSpan w:val="2"/>
          </w:tcPr>
          <w:p>
            <w:pPr>
              <w:jc w:val="center"/>
              <w:ind w:left="13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Tilley</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192,000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95,232</w:t>
            </w:r>
          </w:p>
        </w:tc>
        <w:tc>
          <w:tcPr>
            <w:tcW w:w="112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4"/>
              </w:rPr>
              <w:t>1,538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President &amp; CEO of Unidym, Inc. (3)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170,665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103,878</w:t>
            </w:r>
          </w:p>
        </w:tc>
        <w:tc>
          <w:tcPr>
            <w:tcW w:w="11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included under Options Awards reflect the grant date fair value computed in accordance with FASB ASC 718. The assumptions used to calculate the value of the stock underlying the option awards are set forth in Note 9 of the Notes to the Consolidated Financial Statements included with the Company’s Annual Report on Form 10-K for the year ended September 30, 2010.</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Unidym, Inc. was sold in January 2011 and Dr. Tilley is no longer an employee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Option Awards (1)</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Options (#)</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Options (#)</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Anzalone</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2.13</w:t>
            </w:r>
          </w:p>
        </w:tc>
        <w:tc>
          <w:tcPr>
            <w:tcW w:w="10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6/11/2018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499,884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626,616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0.51</w:t>
            </w:r>
          </w:p>
        </w:tc>
        <w:tc>
          <w:tcPr>
            <w:tcW w:w="10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10/8/2019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140,813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422,437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0.52</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8"/>
              </w:rPr>
              <w:t>3/4/2020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10,417</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489,583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0.99</w:t>
            </w:r>
          </w:p>
        </w:tc>
        <w:tc>
          <w:tcPr>
            <w:tcW w:w="10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8/16/2020</w:t>
            </w:r>
          </w:p>
        </w:tc>
        <w:tc>
          <w:tcPr>
            <w:tcW w:w="0" w:type="dxa"/>
            <w:vAlign w:val="bottom"/>
          </w:tcPr>
          <w:p>
            <w:pPr>
              <w:spacing w:after="0"/>
              <w:rPr>
                <w:sz w:val="1"/>
                <w:szCs w:val="1"/>
                <w:color w:val="auto"/>
              </w:rPr>
            </w:pPr>
          </w:p>
        </w:tc>
      </w:tr>
      <w:tr>
        <w:trPr>
          <w:trHeight w:val="316"/>
        </w:trPr>
        <w:tc>
          <w:tcPr>
            <w:tcW w:w="6880" w:type="dxa"/>
            <w:vAlign w:val="bottom"/>
            <w:gridSpan w:val="3"/>
          </w:tcPr>
          <w:p>
            <w:pPr>
              <w:spacing w:after="0"/>
              <w:rPr>
                <w:sz w:val="20"/>
                <w:szCs w:val="20"/>
                <w:color w:val="auto"/>
              </w:rPr>
            </w:pPr>
            <w:r>
              <w:rPr>
                <w:rFonts w:ascii="Arial" w:cs="Arial" w:eastAsia="Arial" w:hAnsi="Arial"/>
                <w:sz w:val="18"/>
                <w:szCs w:val="18"/>
                <w:color w:val="auto"/>
              </w:rPr>
              <w:t>Ken Myszkowski</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44,268</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205,732</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0.70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8"/>
              </w:rPr>
              <w:t>11/16/19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20,000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60,000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0.52</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8"/>
              </w:rPr>
              <w:t>3/4/2020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117,500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0.99</w:t>
            </w:r>
          </w:p>
        </w:tc>
        <w:tc>
          <w:tcPr>
            <w:tcW w:w="104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8/16/2020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Tilley</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1.11</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62,569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78,431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0.51</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0.52</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117,500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0.99</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1/31/12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400" w:hanging="452"/>
        <w:spacing w:after="0" w:line="37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All option awards were granted under the 2000 Stock Option Plan or the 2004 Equity Incentive Plan of the Company. Options are priced at the market closing price on the day of the award. Options have various vesting parameters, but generally vest within 48 months or less after the award is granted.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in Fiscal Year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named executive officers exercised any options or had any restricted stock vest in fiscal year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2010, all of its officers, directors and significant stockholders complied with all applicable filing requirements under Section 16(a) except as follows: Form 3 for Ken Myszkowski was not filed timely to report his initial ownership position when he was appointed Chief Financial Officer of the Company, and Form 4s for Edward W. Frykman, Leroy T. Rahn and Charles P. McKenney were not filed timely for automatic director grants on June 16, 2010.</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REVIEW AND APPROVAL OF RELATED-PARTY TRANSACTIONS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8"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 majority of the members of the Board are independent directors, as defined by the NASDAQ Marketplace Rules. The Board has determined that all of the Company’s directors are independent, except Mr. Stewart, the Company’s Executive Chairman and former Chief Executive Officer, and Dr. Anzalone, the Company’s Chief Executive Officer. Independent directors do not receive consulting, legal or other fees from the Company, other than Board compensation.</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Nanotope and Leonardo were co-founded by the Company’s President and Chief Executive Officer, Dr. Christopher Anzalone, through The Benet Group, since dissolved, and Dr. Anzalone owns approximately 14.2%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0" w:name="page21"/>
    <w:bookmarkEnd w:id="20"/>
    <w:p>
      <w:pPr>
        <w:ind w:right="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15.9% of the outstanding voting securities of Nanotope and Leonardo, respectively. Dr. Anzalone does not hold options, warrants or any other rights to acquire securities of Nanotope or Leonardo. Dr. Anzalone has the right to appoint a representative to the Board of Directors of each Nanotope and Leonardo. Dr. Anzalone is serving as the President and Chief Executive Officer of Nanotope. Dr. Anzalone has not received any compensation for his work on behalf of Nanotope or Leonardo since joining the Company on December 1, 2007.</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11, 2009, the Company sold an aggregate of 5,083,430 units in a private placement transaction with accredited investors. Each unit consisted of one share of Arrowhead Common Stock and a warrant to purchase an additional share of Common Stock exercisable at $0.509 per share. The unit price was $0.634, based upon the closing bid price of the Company’s Common Stock on December 11, 2009, which was $0.509, plus $0.125 for the purchase of the warrant. Dr. Anzalone, Arrowhead’s President and CEO, participated in this transaction on the same terms, investing $100,000.</w:t>
      </w:r>
    </w:p>
    <w:p>
      <w:pPr>
        <w:spacing w:after="0" w:line="11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During fiscal 2010, a portion of Arrowhead employee salary costs, including Dr. Anzalone’s salary and administrative overhead was charged to Nanotope and Leonardo for management and administrative services provided by Arrowhead to Nanotope and Leonardo. During fiscal 2010, the charge for services provided to Nanotope and Leonardo were $166,204 and $250,190, respectively. In addition, Arrowhead made cash advances to Nanotope of $300,000 during fiscal 2010. The majority of the balance due Arrowhead is expected to be repaid in cash or converted to equity in fiscal 2011. In addition, the CEO of Leonardo, Bruce Given, is the brother of Douglass Given, a member of Arrowhead’s Board of Directors; Douglass Given has no financial interest in Leonardo.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will mail, without charge to any stockholder upon written request, a copy of the Company’s Annual Report on Form 10-K for the year ended September 30, 2010 including the financial statements, schedules and a list of exhibits. Requests should be sent to Arrowhead Research Corporation, 225 S. Lake Avenue, Suite 300 Pasadena, CA 91101, Attn: Corporate Secretary, Phone (626) 304-3400.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2011</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274" w:right="399" w:bottom="1440" w:gutter="0" w:footer="0" w:header="0"/>
        </w:sectPr>
      </w:pPr>
    </w:p>
    <w:bookmarkStart w:id="22" w:name="page23"/>
    <w:bookmarkEnd w:id="22"/>
    <w:p>
      <w:pPr>
        <w:ind w:left="53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Arrowhead Research Corporation (the “Corporation”), a corporation organized and existing under the General Corporation Law of the State of Delaware, does hereby certify:</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FIRST: That the Board of Directors of the Corporation has duly adopted resolutions (i) authorizing the Corporation to execute and file with the Secretary of State of the State of Delaware this Certificate of Amendment (the “Certificate of Amendment”) of Certificate of Incorporation, as amended (the “Certificate of</w:t>
      </w:r>
    </w:p>
    <w:p>
      <w:pPr>
        <w:ind w:right="280"/>
        <w:spacing w:after="0" w:line="255" w:lineRule="auto"/>
        <w:rPr>
          <w:sz w:val="20"/>
          <w:szCs w:val="20"/>
          <w:color w:val="auto"/>
        </w:rPr>
      </w:pPr>
      <w:r>
        <w:rPr>
          <w:rFonts w:ascii="Arial" w:cs="Arial" w:eastAsia="Arial" w:hAnsi="Arial"/>
          <w:sz w:val="18"/>
          <w:szCs w:val="18"/>
          <w:color w:val="auto"/>
        </w:rPr>
        <w:t>Incorporation”) to combine each [ ]</w:t>
      </w:r>
      <w:r>
        <w:rPr>
          <w:rFonts w:ascii="Arial" w:cs="Arial" w:eastAsia="Arial" w:hAnsi="Arial"/>
          <w:sz w:val="11"/>
          <w:szCs w:val="11"/>
          <w:color w:val="auto"/>
        </w:rPr>
        <w:t>1</w:t>
      </w:r>
      <w:r>
        <w:rPr>
          <w:rFonts w:ascii="Arial" w:cs="Arial" w:eastAsia="Arial" w:hAnsi="Arial"/>
          <w:sz w:val="18"/>
          <w:szCs w:val="18"/>
          <w:color w:val="auto"/>
        </w:rPr>
        <w:t xml:space="preserve"> outstanding shares of the Corporation’s Common Stock, par value $0.001 per share, into one (1) share of Common Stock, par value $0.001 per share; and (ii) declaring this Certificate of Amendment to be advisable and recommended for approval by the stockholders of the Corporation.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SECOND: That this Certificate of Amendment was duly adopted in accordance with the provisions of Section 242 of the General Corporation Law of the State of Delaware by the Board of Directors and stockholders of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That the capital of the Corporation shall not be reduced under or by reason of this Certificate of Amendment.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FOURTH: That upon the effectiveness of this Certificate of Amendment, Article Fourth of the Certificate of Incorporation is hereby amended such that, as amended, Article Fourth shall read in its entirety as follows:</w:t>
      </w:r>
    </w:p>
    <w:p>
      <w:pPr>
        <w:spacing w:after="0" w:line="51" w:lineRule="exact"/>
        <w:rPr>
          <w:sz w:val="20"/>
          <w:szCs w:val="20"/>
          <w:color w:val="auto"/>
        </w:rPr>
      </w:pPr>
    </w:p>
    <w:p>
      <w:pPr>
        <w:ind w:left="460" w:firstLine="438"/>
        <w:spacing w:after="0" w:line="285" w:lineRule="auto"/>
        <w:rPr>
          <w:sz w:val="20"/>
          <w:szCs w:val="20"/>
          <w:color w:val="auto"/>
        </w:rPr>
      </w:pPr>
      <w:r>
        <w:rPr>
          <w:rFonts w:ascii="Arial" w:cs="Arial" w:eastAsia="Arial" w:hAnsi="Arial"/>
          <w:sz w:val="16"/>
          <w:szCs w:val="16"/>
          <w:color w:val="auto"/>
        </w:rPr>
        <w:t>FOURTH: The total number of shares that the corporation shall have authority to issue is 150,000,000, of which 145,000,000 shares shall be common stock, $0.001 par value (“Common Stock”), and 5,000,000 shares shall be preferred stock, $0.001 par value (“Preferred Stock”). The Board of Directors is authorized, subject to the limitations prescribed by law and the provisions of this Article FOURTH, to provide for the issuance of the Preferred Stock in series, and by filing a certificate pursuant to the applicable laws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of Directors with respect to each such series shall include, but not be limited to, the determination of the following: (a) The number of shares constituting that series and the distinctive designation of that series; (b) The dividend rate, if any, on the shares of that series, whether dividends shall be cumulative, and, if so, from which date or dates, and the relative priority, if any, of payment of dividends on shares of that series; (c) Whether that series shall have voting rights, in addition to the voting rights expressly required by law, and, if so, the terms of such voting rights; (d) Whether that series shall have conversion privileges, and, if so, the terms and conditions of such conversion, including provisions for adjustment of the conversion rate in such events as the Board of Directors shall determine; (e) Whether or not the shares of that series shall be redeemable, and, if so, the terms and conditions of such redemption, including the date or dates upon or after which they shall be redeemable, and the amount per share payable in the case of redemption, which amount may vary under different conditions and at different redemption dates; (f) Whether that series shall have a sinking fund for the redemption or purchase of shares of that series, and, if so, the terms and amount of such sinking fund; (g) The rights of the shares of that series in the event of a voluntary or involuntary liquidation, dissolution or winding up of the corporation, and the relative rights of priority, if any, of payment of shares of that series; and (h) Any other relative rights, preferences and limitations of that series.</w:t>
      </w:r>
    </w:p>
    <w:p>
      <w:pPr>
        <w:spacing w:after="0" w:line="43"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color w:val="auto"/>
        </w:rPr>
        <w:t>Upon the filing of this Certificate of Amendment, each</w:t>
      </w:r>
      <w:r>
        <w:rPr>
          <w:sz w:val="20"/>
          <w:szCs w:val="20"/>
          <w:color w:val="auto"/>
        </w:rPr>
        <w:tab/>
      </w:r>
      <w:r>
        <w:rPr>
          <w:rFonts w:ascii="Arial" w:cs="Arial" w:eastAsia="Arial" w:hAnsi="Arial"/>
          <w:sz w:val="10"/>
          <w:szCs w:val="10"/>
          <w:color w:val="auto"/>
        </w:rPr>
        <w:t xml:space="preserve">1 </w:t>
      </w:r>
      <w:r>
        <w:rPr>
          <w:rFonts w:ascii="Arial" w:cs="Arial" w:eastAsia="Arial" w:hAnsi="Arial"/>
          <w:sz w:val="15"/>
          <w:szCs w:val="15"/>
          <w:color w:val="auto"/>
        </w:rPr>
        <w:t>shares of Common Stock issued and outstanding at such time shall be combined into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-13970</wp:posOffset>
            </wp:positionV>
            <wp:extent cx="3346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720" w:hanging="256"/>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 of Common Stock, par value $0.001 per share (the “Reverse Stock Split”).</w:t>
      </w:r>
    </w:p>
    <w:p>
      <w:pPr>
        <w:spacing w:after="0" w:line="333" w:lineRule="exact"/>
        <w:rPr>
          <w:rFonts w:ascii="Arial" w:cs="Arial" w:eastAsia="Arial" w:hAnsi="Arial"/>
          <w:sz w:val="18"/>
          <w:szCs w:val="18"/>
          <w:color w:val="auto"/>
        </w:rPr>
      </w:pPr>
    </w:p>
    <w:p>
      <w:pPr>
        <w:ind w:left="460" w:right="100" w:hanging="446"/>
        <w:spacing w:after="0" w:line="268" w:lineRule="auto"/>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Final split ratio, within a range of 1-for-2 to 1-for-15 to be determined by Board of Directors pursuant to authority granted by stockholders, as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3" w:name="page24"/>
    <w:bookmarkEnd w:id="2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fractional share shall be issued upon the Reverse Stock Split. All shares of Common Stock (including fractions thereof) issuable upon the Reverse Stock Split to a given holder shall be aggregated for purposes of determining whether the Reverse Stock Split would result in the issuance of any fractional share. If, after the aforementioned aggregation, the Reverse Stock Split would result in the issuance of a fraction of a share of Common Stock, the Corporation shall, in lieu of issuing any such fractional share, pay the holder otherwise entitled to such fraction a sum in cash equal to the fraction multiplied by the fair market value per share of the Common Stock as determined in a reasonable manner by the Board of Directors. Upon surrender by a holder of a certificate or certificates for Common Stock (including, for this purpose, a holder of shares of Common Stock issuable upon conversion of Preferred Stock), duly endorsed, at the office of the Corporation, the Corporation shall, as soon as practicable thereafter, issue and deliver to such holder, or to the nominee or assignee of such holder, a new certificate or certificates for the number of shares of Common Stock that such holder shall be entitled to following the Reverse Stock Split.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180" w:type="dxa"/>
            <w:vAlign w:val="bottom"/>
            <w:gridSpan w:val="8"/>
          </w:tcPr>
          <w:p>
            <w:pPr>
              <w:jc w:val="right"/>
              <w:spacing w:after="0"/>
              <w:rPr>
                <w:sz w:val="20"/>
                <w:szCs w:val="20"/>
                <w:color w:val="auto"/>
              </w:rPr>
            </w:pPr>
            <w:r>
              <w:rPr>
                <w:rFonts w:ascii="Arial" w:cs="Arial" w:eastAsia="Arial" w:hAnsi="Arial"/>
                <w:sz w:val="18"/>
                <w:szCs w:val="18"/>
                <w:color w:val="auto"/>
                <w:w w:val="90"/>
              </w:rPr>
              <w:t>IN WITNESS WHEREOF, the Corporation has caused this Certificate of Amendment of Amended and Restated Certificate of Incorporation to be executed</w:t>
            </w:r>
          </w:p>
        </w:tc>
      </w:tr>
      <w:tr>
        <w:trPr>
          <w:trHeight w:val="184"/>
        </w:trPr>
        <w:tc>
          <w:tcPr>
            <w:tcW w:w="220" w:type="dxa"/>
            <w:vAlign w:val="bottom"/>
          </w:tcPr>
          <w:p>
            <w:pPr>
              <w:spacing w:after="0" w:line="184" w:lineRule="exact"/>
              <w:rPr>
                <w:sz w:val="20"/>
                <w:szCs w:val="20"/>
                <w:color w:val="auto"/>
              </w:rPr>
            </w:pPr>
            <w:r>
              <w:rPr>
                <w:rFonts w:ascii="Arial" w:cs="Arial" w:eastAsia="Arial" w:hAnsi="Arial"/>
                <w:sz w:val="18"/>
                <w:szCs w:val="18"/>
                <w:color w:val="auto"/>
              </w:rPr>
              <w:t>by</w:t>
            </w:r>
          </w:p>
        </w:tc>
        <w:tc>
          <w:tcPr>
            <w:tcW w:w="880" w:type="dxa"/>
            <w:vAlign w:val="bottom"/>
          </w:tcPr>
          <w:p>
            <w:pPr>
              <w:spacing w:after="0"/>
              <w:rPr>
                <w:sz w:val="15"/>
                <w:szCs w:val="15"/>
                <w:color w:val="auto"/>
              </w:rPr>
            </w:pPr>
          </w:p>
        </w:tc>
        <w:tc>
          <w:tcPr>
            <w:tcW w:w="300" w:type="dxa"/>
            <w:vAlign w:val="bottom"/>
          </w:tcPr>
          <w:p>
            <w:pPr>
              <w:spacing w:after="0" w:line="184" w:lineRule="exact"/>
              <w:rPr>
                <w:sz w:val="20"/>
                <w:szCs w:val="20"/>
                <w:color w:val="auto"/>
              </w:rPr>
            </w:pPr>
            <w:r>
              <w:rPr>
                <w:rFonts w:ascii="Arial" w:cs="Arial" w:eastAsia="Arial" w:hAnsi="Arial"/>
                <w:sz w:val="18"/>
                <w:szCs w:val="18"/>
                <w:color w:val="auto"/>
                <w:w w:val="99"/>
              </w:rPr>
              <w:t>, its</w:t>
            </w:r>
          </w:p>
        </w:tc>
        <w:tc>
          <w:tcPr>
            <w:tcW w:w="880" w:type="dxa"/>
            <w:vAlign w:val="bottom"/>
          </w:tcPr>
          <w:p>
            <w:pPr>
              <w:spacing w:after="0"/>
              <w:rPr>
                <w:sz w:val="15"/>
                <w:szCs w:val="15"/>
                <w:color w:val="auto"/>
              </w:rPr>
            </w:pPr>
          </w:p>
        </w:tc>
        <w:tc>
          <w:tcPr>
            <w:tcW w:w="880" w:type="dxa"/>
            <w:vAlign w:val="bottom"/>
          </w:tcPr>
          <w:p>
            <w:pPr>
              <w:spacing w:after="0" w:line="184" w:lineRule="exact"/>
              <w:rPr>
                <w:sz w:val="20"/>
                <w:szCs w:val="20"/>
                <w:color w:val="auto"/>
              </w:rPr>
            </w:pPr>
            <w:r>
              <w:rPr>
                <w:rFonts w:ascii="Arial" w:cs="Arial" w:eastAsia="Arial" w:hAnsi="Arial"/>
                <w:sz w:val="18"/>
                <w:szCs w:val="18"/>
                <w:color w:val="auto"/>
                <w:w w:val="93"/>
              </w:rPr>
              <w:t>, this day of</w:t>
            </w:r>
          </w:p>
        </w:tc>
        <w:tc>
          <w:tcPr>
            <w:tcW w:w="8240" w:type="dxa"/>
            <w:vAlign w:val="bottom"/>
            <w:gridSpan w:val="4"/>
          </w:tcPr>
          <w:p>
            <w:pPr>
              <w:jc w:val="right"/>
              <w:ind w:right="6800"/>
              <w:spacing w:after="0" w:line="184" w:lineRule="exact"/>
              <w:rPr>
                <w:sz w:val="20"/>
                <w:szCs w:val="20"/>
                <w:color w:val="auto"/>
              </w:rPr>
            </w:pPr>
            <w:r>
              <w:rPr>
                <w:rFonts w:ascii="Arial" w:cs="Arial" w:eastAsia="Arial" w:hAnsi="Arial"/>
                <w:sz w:val="18"/>
                <w:szCs w:val="18"/>
                <w:color w:val="auto"/>
              </w:rPr>
              <w:t>, 201  .</w:t>
            </w: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21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10795</wp:posOffset>
            </wp:positionV>
            <wp:extent cx="2487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3"/>
          </w:tcPr>
          <w:p>
            <w:pPr>
              <w:spacing w:after="0"/>
              <w:rPr>
                <w:sz w:val="20"/>
                <w:szCs w:val="20"/>
                <w:color w:val="auto"/>
              </w:rPr>
            </w:pPr>
            <w:r>
              <w:rPr>
                <w:rFonts w:ascii="Arial" w:cs="Arial" w:eastAsia="Arial" w:hAnsi="Arial"/>
                <w:sz w:val="14"/>
                <w:szCs w:val="14"/>
                <w:color w:val="FFFFFF"/>
              </w:rPr>
              <w:t>Arrowhead Research Corporation</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IMPOR ANT ANNUAL MEETING INFORMATION 000004</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ENDORSEMENT_LINE SACKPACK</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MR</w:t>
            </w:r>
          </w:p>
        </w:tc>
        <w:tc>
          <w:tcPr>
            <w:tcW w:w="2660" w:type="dxa"/>
            <w:vAlign w:val="bottom"/>
            <w:gridSpan w:val="2"/>
          </w:tcPr>
          <w:p>
            <w:pPr>
              <w:ind w:left="140"/>
              <w:spacing w:after="0"/>
              <w:rPr>
                <w:sz w:val="20"/>
                <w:szCs w:val="20"/>
                <w:color w:val="auto"/>
              </w:rPr>
            </w:pPr>
            <w:r>
              <w:rPr>
                <w:rFonts w:ascii="Arial" w:cs="Arial" w:eastAsia="Arial" w:hAnsi="Arial"/>
                <w:sz w:val="3"/>
                <w:szCs w:val="3"/>
                <w:color w:val="FFFFFF"/>
              </w:rPr>
              <w:t>SAMPLE</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DESIGNATION (IF ANY) ADD 1 ADD 2 ADD 3 ADD 4 ADD 5 ADD 6</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900" w:type="dxa"/>
            <w:vAlign w:val="bottom"/>
            <w:gridSpan w:val="7"/>
          </w:tcPr>
          <w:p>
            <w:pPr>
              <w:spacing w:after="0"/>
              <w:rPr>
                <w:sz w:val="20"/>
                <w:szCs w:val="20"/>
                <w:color w:val="auto"/>
              </w:rPr>
            </w:pPr>
            <w:r>
              <w:rPr>
                <w:rFonts w:ascii="Arial" w:cs="Arial" w:eastAsia="Arial" w:hAnsi="Arial"/>
                <w:sz w:val="3"/>
                <w:szCs w:val="3"/>
                <w:color w:val="FFFFFF"/>
              </w:rPr>
              <w:t>Using a black ink pen, mark your votes with an X as shown in X this example. Please do not write outside the designated areas.</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C123456789</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900" w:type="dxa"/>
            <w:vAlign w:val="bottom"/>
            <w:gridSpan w:val="3"/>
          </w:tcPr>
          <w:p>
            <w:pPr>
              <w:spacing w:after="0" w:line="122" w:lineRule="exact"/>
              <w:rPr>
                <w:sz w:val="20"/>
                <w:szCs w:val="20"/>
                <w:color w:val="auto"/>
              </w:rPr>
            </w:pPr>
            <w:r>
              <w:rPr>
                <w:rFonts w:ascii="Arial" w:cs="Arial" w:eastAsia="Arial" w:hAnsi="Arial"/>
                <w:sz w:val="14"/>
                <w:szCs w:val="14"/>
                <w:color w:val="FFFFFF"/>
                <w:w w:val="99"/>
              </w:rPr>
              <w:t>000000000.000000 ext 000000000.000000 ext</w:t>
            </w: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Electronic Voting Instructions</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You can vote by Internet or telephone! Available 24 hours a day, 7 days a week!</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00" w:type="dxa"/>
            <w:vAlign w:val="bottom"/>
            <w:gridSpan w:val="6"/>
          </w:tcPr>
          <w:p>
            <w:pPr>
              <w:spacing w:after="0"/>
              <w:rPr>
                <w:sz w:val="20"/>
                <w:szCs w:val="20"/>
                <w:color w:val="auto"/>
              </w:rPr>
            </w:pPr>
            <w:r>
              <w:rPr>
                <w:rFonts w:ascii="Arial" w:cs="Arial" w:eastAsia="Arial" w:hAnsi="Arial"/>
                <w:sz w:val="3"/>
                <w:szCs w:val="3"/>
                <w:color w:val="FFFFFF"/>
              </w:rPr>
              <w:t>Instead of mailing your proxy, you may choose one of the two voting methods outlined below to vote your proxy.</w:t>
            </w: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VALIDATION DETAILS ARE LOCATED BELOW IN THE TITLE BAR.</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Proxies submitted by the Internet or telephone must be received by</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1:00 a.m., Central Time, on August 8, 2011.</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Vote by Internet</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 w:type="dxa"/>
            <w:vAlign w:val="bottom"/>
            <w:gridSpan w:val="2"/>
          </w:tcPr>
          <w:p>
            <w:pPr>
              <w:spacing w:after="0"/>
              <w:rPr>
                <w:sz w:val="20"/>
                <w:szCs w:val="20"/>
                <w:color w:val="auto"/>
              </w:rPr>
            </w:pPr>
            <w:r>
              <w:rPr>
                <w:rFonts w:ascii="Arial" w:cs="Arial" w:eastAsia="Arial" w:hAnsi="Arial"/>
                <w:sz w:val="3"/>
                <w:szCs w:val="3"/>
                <w:color w:val="FFFFFF"/>
              </w:rPr>
              <w:t>Log on</w:t>
            </w:r>
          </w:p>
        </w:tc>
        <w:tc>
          <w:tcPr>
            <w:tcW w:w="2360" w:type="dxa"/>
            <w:vAlign w:val="bottom"/>
          </w:tcPr>
          <w:p>
            <w:pPr>
              <w:ind w:left="20"/>
              <w:spacing w:after="0"/>
              <w:rPr>
                <w:sz w:val="20"/>
                <w:szCs w:val="20"/>
                <w:color w:val="auto"/>
              </w:rPr>
            </w:pPr>
            <w:r>
              <w:rPr>
                <w:rFonts w:ascii="Arial" w:cs="Arial" w:eastAsia="Arial" w:hAnsi="Arial"/>
                <w:sz w:val="3"/>
                <w:szCs w:val="3"/>
                <w:color w:val="FFFFFF"/>
              </w:rPr>
              <w:t>the Internet and go to</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www.investorvote.com/ARWR</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Follow the steps outlined on the secured website.</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Vote by telephone</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Call toll free 1-800-652-VOTE (8683) within the USA,</w:t>
            </w: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US territories &amp; Canada any time on a touch tone</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telephone. There is NO CHARGE to you for the call.</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Follow the instructions provided by the recorded message.</w:t>
            </w: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Annual Meeting Proxy Card 1234 5678 9012 345</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IF YOU HAVE NOT VOTED VIA THE INTERNET OR TELEPHONE, FOLD ALONG THE PERFORATION, DETACH AND RETURN THE BOTTOM PORTION IN THE ENCLOSED ENVELOPE.</w:t>
            </w:r>
          </w:p>
        </w:tc>
        <w:tc>
          <w:tcPr>
            <w:tcW w:w="0" w:type="dxa"/>
            <w:vAlign w:val="bottom"/>
          </w:tcPr>
          <w:p>
            <w:pPr>
              <w:spacing w:after="0"/>
              <w:rPr>
                <w:sz w:val="1"/>
                <w:szCs w:val="1"/>
                <w:color w:val="auto"/>
              </w:rPr>
            </w:pPr>
          </w:p>
        </w:tc>
      </w:tr>
      <w:tr>
        <w:trPr>
          <w:trHeight w:val="41"/>
        </w:trPr>
        <w:tc>
          <w:tcPr>
            <w:tcW w:w="6300" w:type="dxa"/>
            <w:vAlign w:val="bottom"/>
            <w:gridSpan w:val="6"/>
          </w:tcPr>
          <w:p>
            <w:pPr>
              <w:spacing w:after="0"/>
              <w:rPr>
                <w:sz w:val="20"/>
                <w:szCs w:val="20"/>
                <w:color w:val="auto"/>
              </w:rPr>
            </w:pPr>
            <w:r>
              <w:rPr>
                <w:rFonts w:ascii="Arial" w:cs="Arial" w:eastAsia="Arial" w:hAnsi="Arial"/>
                <w:sz w:val="3"/>
                <w:szCs w:val="3"/>
                <w:color w:val="FFFFFF"/>
              </w:rPr>
              <w:t>A Proposals — The Board of Directors recommends a vote FOR all the nominees listed and FOR Proposals 2 – 4.</w:t>
            </w: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1. ELECTION OF DIRECTORS. Director Nominees:</w:t>
            </w: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For Withhold</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ind w:left="80"/>
              <w:spacing w:after="0"/>
              <w:rPr>
                <w:sz w:val="20"/>
                <w:szCs w:val="20"/>
                <w:color w:val="auto"/>
              </w:rPr>
            </w:pPr>
            <w:r>
              <w:rPr>
                <w:rFonts w:ascii="Arial" w:cs="Arial" w:eastAsia="Arial" w:hAnsi="Arial"/>
                <w:sz w:val="3"/>
                <w:szCs w:val="3"/>
                <w:color w:val="FFFFFF"/>
              </w:rPr>
              <w:t>1</w:t>
            </w:r>
          </w:p>
        </w:tc>
        <w:tc>
          <w:tcPr>
            <w:tcW w:w="2660" w:type="dxa"/>
            <w:vAlign w:val="bottom"/>
            <w:gridSpan w:val="2"/>
          </w:tcPr>
          <w:p>
            <w:pPr>
              <w:ind w:left="20"/>
              <w:spacing w:after="0"/>
              <w:rPr>
                <w:sz w:val="20"/>
                <w:szCs w:val="20"/>
                <w:color w:val="auto"/>
              </w:rPr>
            </w:pPr>
            <w:r>
              <w:rPr>
                <w:rFonts w:ascii="Arial" w:cs="Arial" w:eastAsia="Arial" w:hAnsi="Arial"/>
                <w:sz w:val="3"/>
                <w:szCs w:val="3"/>
                <w:color w:val="FFFFFF"/>
              </w:rPr>
              <w:t>R. Bruce Stewart</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04 -</w:t>
            </w:r>
          </w:p>
        </w:tc>
        <w:tc>
          <w:tcPr>
            <w:tcW w:w="2660" w:type="dxa"/>
            <w:vAlign w:val="bottom"/>
            <w:gridSpan w:val="2"/>
          </w:tcPr>
          <w:p>
            <w:pPr>
              <w:ind w:left="20"/>
              <w:spacing w:after="0"/>
              <w:rPr>
                <w:sz w:val="20"/>
                <w:szCs w:val="20"/>
                <w:color w:val="auto"/>
              </w:rPr>
            </w:pPr>
            <w:r>
              <w:rPr>
                <w:rFonts w:ascii="Arial" w:cs="Arial" w:eastAsia="Arial" w:hAnsi="Arial"/>
                <w:sz w:val="3"/>
                <w:szCs w:val="3"/>
                <w:color w:val="FFFFFF"/>
              </w:rPr>
              <w:t>Charles P. McKenney</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For Withhold</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ind w:left="80"/>
              <w:spacing w:after="0"/>
              <w:rPr>
                <w:sz w:val="20"/>
                <w:szCs w:val="20"/>
                <w:color w:val="auto"/>
              </w:rPr>
            </w:pPr>
            <w:r>
              <w:rPr>
                <w:rFonts w:ascii="Arial" w:cs="Arial" w:eastAsia="Arial" w:hAnsi="Arial"/>
                <w:sz w:val="3"/>
                <w:szCs w:val="3"/>
                <w:color w:val="FFFFFF"/>
              </w:rPr>
              <w:t>2</w:t>
            </w:r>
          </w:p>
        </w:tc>
        <w:tc>
          <w:tcPr>
            <w:tcW w:w="2660" w:type="dxa"/>
            <w:vAlign w:val="bottom"/>
            <w:gridSpan w:val="2"/>
          </w:tcPr>
          <w:p>
            <w:pPr>
              <w:ind w:left="20"/>
              <w:spacing w:after="0"/>
              <w:rPr>
                <w:sz w:val="20"/>
                <w:szCs w:val="20"/>
                <w:color w:val="auto"/>
              </w:rPr>
            </w:pPr>
            <w:r>
              <w:rPr>
                <w:rFonts w:ascii="Arial" w:cs="Arial" w:eastAsia="Arial" w:hAnsi="Arial"/>
                <w:sz w:val="3"/>
                <w:szCs w:val="3"/>
                <w:color w:val="FFFFFF"/>
              </w:rPr>
              <w:t>Christopher Anzalone</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05 -</w:t>
            </w:r>
          </w:p>
        </w:tc>
        <w:tc>
          <w:tcPr>
            <w:tcW w:w="2660" w:type="dxa"/>
            <w:vAlign w:val="bottom"/>
            <w:gridSpan w:val="2"/>
          </w:tcPr>
          <w:p>
            <w:pPr>
              <w:ind w:left="20"/>
              <w:spacing w:after="0"/>
              <w:rPr>
                <w:sz w:val="20"/>
                <w:szCs w:val="20"/>
                <w:color w:val="auto"/>
              </w:rPr>
            </w:pPr>
            <w:r>
              <w:rPr>
                <w:rFonts w:ascii="Arial" w:cs="Arial" w:eastAsia="Arial" w:hAnsi="Arial"/>
                <w:sz w:val="3"/>
                <w:szCs w:val="3"/>
                <w:color w:val="FFFFFF"/>
              </w:rPr>
              <w:t>Mauro Ferrari</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For Withhold</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ind w:left="80"/>
              <w:spacing w:after="0"/>
              <w:rPr>
                <w:sz w:val="20"/>
                <w:szCs w:val="20"/>
                <w:color w:val="auto"/>
              </w:rPr>
            </w:pPr>
            <w:r>
              <w:rPr>
                <w:rFonts w:ascii="Arial" w:cs="Arial" w:eastAsia="Arial" w:hAnsi="Arial"/>
                <w:sz w:val="3"/>
                <w:szCs w:val="3"/>
                <w:color w:val="FFFFFF"/>
              </w:rPr>
              <w:t>3</w:t>
            </w:r>
          </w:p>
        </w:tc>
        <w:tc>
          <w:tcPr>
            <w:tcW w:w="2660" w:type="dxa"/>
            <w:vAlign w:val="bottom"/>
            <w:gridSpan w:val="2"/>
          </w:tcPr>
          <w:p>
            <w:pPr>
              <w:ind w:left="20"/>
              <w:spacing w:after="0"/>
              <w:rPr>
                <w:sz w:val="20"/>
                <w:szCs w:val="20"/>
                <w:color w:val="auto"/>
              </w:rPr>
            </w:pPr>
            <w:r>
              <w:rPr>
                <w:rFonts w:ascii="Arial" w:cs="Arial" w:eastAsia="Arial" w:hAnsi="Arial"/>
                <w:sz w:val="3"/>
                <w:szCs w:val="3"/>
                <w:color w:val="FFFFFF"/>
              </w:rPr>
              <w:t>Edward W. Frykman</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06 -</w:t>
            </w:r>
          </w:p>
        </w:tc>
        <w:tc>
          <w:tcPr>
            <w:tcW w:w="2660" w:type="dxa"/>
            <w:vAlign w:val="bottom"/>
            <w:gridSpan w:val="2"/>
          </w:tcPr>
          <w:p>
            <w:pPr>
              <w:ind w:left="20"/>
              <w:spacing w:after="0"/>
              <w:rPr>
                <w:sz w:val="20"/>
                <w:szCs w:val="20"/>
                <w:color w:val="auto"/>
              </w:rPr>
            </w:pPr>
            <w:r>
              <w:rPr>
                <w:rFonts w:ascii="Arial" w:cs="Arial" w:eastAsia="Arial" w:hAnsi="Arial"/>
                <w:sz w:val="3"/>
                <w:szCs w:val="3"/>
                <w:color w:val="FFFFFF"/>
              </w:rPr>
              <w:t>Douglass Given</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3400" w:type="dxa"/>
            <w:vAlign w:val="bottom"/>
            <w:gridSpan w:val="3"/>
            <w:vMerge w:val="restart"/>
          </w:tcPr>
          <w:p>
            <w:pPr>
              <w:ind w:left="40"/>
              <w:spacing w:after="0" w:line="81" w:lineRule="exact"/>
              <w:rPr>
                <w:sz w:val="20"/>
                <w:szCs w:val="20"/>
                <w:color w:val="auto"/>
              </w:rPr>
            </w:pPr>
            <w:r>
              <w:rPr>
                <w:rFonts w:ascii="Arial" w:cs="Arial" w:eastAsia="Arial" w:hAnsi="Arial"/>
                <w:sz w:val="9"/>
                <w:szCs w:val="9"/>
                <w:color w:val="FFFFFF"/>
              </w:rPr>
              <w:t>O THE COMPANY’S CERTIFICATE OF INCORPORA</w:t>
            </w:r>
          </w:p>
        </w:tc>
        <w:tc>
          <w:tcPr>
            <w:tcW w:w="5100" w:type="dxa"/>
            <w:vAlign w:val="bottom"/>
            <w:gridSpan w:val="2"/>
            <w:vMerge w:val="restart"/>
          </w:tcPr>
          <w:p>
            <w:pPr>
              <w:ind w:left="120"/>
              <w:spacing w:after="0" w:line="81" w:lineRule="exact"/>
              <w:rPr>
                <w:sz w:val="20"/>
                <w:szCs w:val="20"/>
                <w:color w:val="auto"/>
              </w:rPr>
            </w:pPr>
            <w:r>
              <w:rPr>
                <w:rFonts w:ascii="Arial" w:cs="Arial" w:eastAsia="Arial" w:hAnsi="Arial"/>
                <w:sz w:val="9"/>
                <w:szCs w:val="9"/>
                <w:color w:val="FFFFFF"/>
              </w:rPr>
              <w:t>AS FURTHER DESCRIBED IN PROPOSAL NUMBER 2, AND T  GRANT</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2. PROPOSAL  O APPROVE AN</w:t>
            </w:r>
          </w:p>
        </w:tc>
        <w:tc>
          <w:tcPr>
            <w:tcW w:w="3400" w:type="dxa"/>
            <w:vAlign w:val="bottom"/>
            <w:gridSpan w:val="3"/>
            <w:vMerge w:val="continue"/>
          </w:tcPr>
          <w:p>
            <w:pPr>
              <w:spacing w:after="0"/>
              <w:rPr>
                <w:sz w:val="3"/>
                <w:szCs w:val="3"/>
                <w:color w:val="auto"/>
              </w:rPr>
            </w:pPr>
          </w:p>
        </w:tc>
        <w:tc>
          <w:tcPr>
            <w:tcW w:w="5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BOARD OF DIRECTORS THE AUTHORITYAMENDMENTEFFECTO</w:t>
            </w:r>
          </w:p>
        </w:tc>
        <w:tc>
          <w:tcPr>
            <w:tcW w:w="8060" w:type="dxa"/>
            <w:vAlign w:val="bottom"/>
            <w:gridSpan w:val="4"/>
          </w:tcPr>
          <w:p>
            <w:pPr>
              <w:ind w:left="20"/>
              <w:spacing w:after="0"/>
              <w:rPr>
                <w:sz w:val="20"/>
                <w:szCs w:val="20"/>
                <w:color w:val="auto"/>
              </w:rPr>
            </w:pPr>
            <w:r>
              <w:rPr>
                <w:rFonts w:ascii="Arial" w:cs="Arial" w:eastAsia="Arial" w:hAnsi="Arial"/>
                <w:sz w:val="3"/>
                <w:szCs w:val="3"/>
                <w:color w:val="FFFFFF"/>
              </w:rPr>
              <w:t>A REVERSE SPLIT OF OUR COMMON STOCKTION,AA SPECIFIC WHOLE NUMBER RATIO WITHIN A RANGE FROM 1-FOR-2 THEO1-FOR-</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15.</w:t>
            </w:r>
          </w:p>
        </w:tc>
        <w:tc>
          <w:tcPr>
            <w:tcW w:w="3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80" w:type="dxa"/>
            <w:vAlign w:val="bottom"/>
            <w:gridSpan w:val="2"/>
            <w:vMerge w:val="restart"/>
          </w:tcPr>
          <w:p>
            <w:pPr>
              <w:ind w:left="100"/>
              <w:spacing w:after="0" w:line="81" w:lineRule="exact"/>
              <w:rPr>
                <w:sz w:val="20"/>
                <w:szCs w:val="20"/>
                <w:color w:val="auto"/>
              </w:rPr>
            </w:pPr>
            <w:r>
              <w:rPr>
                <w:rFonts w:ascii="Arial" w:cs="Arial" w:eastAsia="Arial" w:hAnsi="Arial"/>
                <w:sz w:val="9"/>
                <w:szCs w:val="9"/>
                <w:color w:val="FFFFFF"/>
              </w:rPr>
              <w:t>AS INDEPENDENT AUDITORS OF</w:t>
            </w:r>
          </w:p>
        </w:tc>
        <w:tc>
          <w:tcPr>
            <w:tcW w:w="45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COMPANY FOR THE FISCAL YEAR ENDING SEPTEMBER 30, 2011.</w:t>
            </w: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3. PROPOSAL T  RATIFY THE SELECTION OF ROSE, SNYDER &amp;</w:t>
            </w:r>
          </w:p>
        </w:tc>
        <w:tc>
          <w:tcPr>
            <w:tcW w:w="2480" w:type="dxa"/>
            <w:vAlign w:val="bottom"/>
            <w:gridSpan w:val="2"/>
            <w:vMerge w:val="continue"/>
          </w:tcPr>
          <w:p>
            <w:pPr>
              <w:spacing w:after="0"/>
              <w:rPr>
                <w:sz w:val="3"/>
                <w:szCs w:val="3"/>
                <w:color w:val="auto"/>
              </w:rPr>
            </w:pPr>
          </w:p>
        </w:tc>
        <w:tc>
          <w:tcPr>
            <w:tcW w:w="4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PROPOSAL T  ADJOURN THE ANNUAL MEETING, IF NECESSARY,JACOBSTSOLICIT ADDITIONAL PROXIES IF THERE ARE NOT</w:t>
            </w: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SUFFICIENT VOTES IN FAVOR OF THE FOREGOING PROPOSALS.</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B Non-Voting Items</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40" w:type="dxa"/>
            <w:vAlign w:val="bottom"/>
            <w:gridSpan w:val="4"/>
          </w:tcPr>
          <w:p>
            <w:pPr>
              <w:spacing w:after="0"/>
              <w:rPr>
                <w:sz w:val="20"/>
                <w:szCs w:val="20"/>
                <w:color w:val="auto"/>
              </w:rPr>
            </w:pPr>
            <w:r>
              <w:rPr>
                <w:rFonts w:ascii="Arial" w:cs="Arial" w:eastAsia="Arial" w:hAnsi="Arial"/>
                <w:sz w:val="3"/>
                <w:szCs w:val="3"/>
                <w:color w:val="FFFFFF"/>
              </w:rPr>
              <w:t>Change of Address — Please print new address below.</w:t>
            </w: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ind w:left="120"/>
              <w:spacing w:after="0"/>
              <w:rPr>
                <w:sz w:val="20"/>
                <w:szCs w:val="20"/>
                <w:color w:val="auto"/>
              </w:rPr>
            </w:pPr>
            <w:r>
              <w:rPr>
                <w:rFonts w:ascii="Arial" w:cs="Arial" w:eastAsia="Arial" w:hAnsi="Arial"/>
                <w:sz w:val="3"/>
                <w:szCs w:val="3"/>
                <w:color w:val="FFFFFF"/>
              </w:rPr>
              <w:t>eeting Attendance</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Mark b x to the right if you plan to attend the Annual Me ting.</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00" w:type="dxa"/>
            <w:vAlign w:val="bottom"/>
            <w:gridSpan w:val="6"/>
          </w:tcPr>
          <w:p>
            <w:pPr>
              <w:spacing w:after="0"/>
              <w:rPr>
                <w:sz w:val="20"/>
                <w:szCs w:val="20"/>
                <w:color w:val="auto"/>
              </w:rPr>
            </w:pPr>
            <w:r>
              <w:rPr>
                <w:rFonts w:ascii="Arial" w:cs="Arial" w:eastAsia="Arial" w:hAnsi="Arial"/>
                <w:sz w:val="3"/>
                <w:szCs w:val="3"/>
                <w:color w:val="FFFFFF"/>
              </w:rPr>
              <w:t>C Authorized Signatures — This section must be completed for your vote to be counted. — Date and Sign Below</w:t>
            </w: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(This Proxy should be marked, d ted and signed by the stockholder(s) exactly as his or her name appears hereon, and returned promptly in the enclosed envelope. Persons signing in a fiduciary</w:t>
            </w:r>
          </w:p>
        </w:tc>
        <w:tc>
          <w:tcPr>
            <w:tcW w:w="0" w:type="dxa"/>
            <w:vAlign w:val="bottom"/>
          </w:tcPr>
          <w:p>
            <w:pPr>
              <w:spacing w:after="0"/>
              <w:rPr>
                <w:sz w:val="1"/>
                <w:szCs w:val="1"/>
                <w:color w:val="auto"/>
              </w:rPr>
            </w:pPr>
          </w:p>
        </w:tc>
      </w:tr>
      <w:tr>
        <w:trPr>
          <w:trHeight w:val="41"/>
        </w:trPr>
        <w:tc>
          <w:tcPr>
            <w:tcW w:w="6300" w:type="dxa"/>
            <w:vAlign w:val="bottom"/>
            <w:gridSpan w:val="6"/>
          </w:tcPr>
          <w:p>
            <w:pPr>
              <w:spacing w:after="0"/>
              <w:rPr>
                <w:sz w:val="20"/>
                <w:szCs w:val="20"/>
                <w:color w:val="auto"/>
              </w:rPr>
            </w:pPr>
            <w:r>
              <w:rPr>
                <w:rFonts w:ascii="Arial" w:cs="Arial" w:eastAsia="Arial" w:hAnsi="Arial"/>
                <w:sz w:val="3"/>
                <w:szCs w:val="3"/>
                <w:color w:val="FFFFFF"/>
              </w:rPr>
              <w:t>capacity should so indicate. If shares are held by joint tenants or as community property, both should sign.)</w:t>
            </w: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Date (mm/dd/yyyy) — Please print date below.</w:t>
            </w: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540" w:type="dxa"/>
            <w:vAlign w:val="bottom"/>
            <w:gridSpan w:val="2"/>
          </w:tcPr>
          <w:p>
            <w:pPr>
              <w:spacing w:after="0" w:line="81" w:lineRule="exact"/>
              <w:rPr>
                <w:sz w:val="20"/>
                <w:szCs w:val="20"/>
                <w:color w:val="auto"/>
              </w:rPr>
            </w:pPr>
            <w:r>
              <w:rPr>
                <w:rFonts w:ascii="Arial" w:cs="Arial" w:eastAsia="Arial" w:hAnsi="Arial"/>
                <w:sz w:val="9"/>
                <w:szCs w:val="9"/>
                <w:color w:val="FFFFFF"/>
              </w:rPr>
              <w:t>Signature</w:t>
            </w:r>
          </w:p>
        </w:tc>
        <w:tc>
          <w:tcPr>
            <w:tcW w:w="2360" w:type="dxa"/>
            <w:vAlign w:val="bottom"/>
          </w:tcPr>
          <w:p>
            <w:pPr>
              <w:ind w:left="20"/>
              <w:spacing w:after="0" w:line="81" w:lineRule="exact"/>
              <w:rPr>
                <w:sz w:val="20"/>
                <w:szCs w:val="20"/>
                <w:color w:val="auto"/>
              </w:rPr>
            </w:pPr>
            <w:r>
              <w:rPr>
                <w:rFonts w:ascii="Arial" w:cs="Arial" w:eastAsia="Arial" w:hAnsi="Arial"/>
                <w:sz w:val="9"/>
                <w:szCs w:val="9"/>
                <w:color w:val="FFFFFF"/>
                <w:vertAlign w:val="superscript"/>
              </w:rPr>
              <w:t>1</w:t>
            </w:r>
            <w:r>
              <w:rPr>
                <w:rFonts w:ascii="Arial" w:cs="Arial" w:eastAsia="Arial" w:hAnsi="Arial"/>
                <w:sz w:val="7"/>
                <w:szCs w:val="7"/>
                <w:color w:val="FFFFFF"/>
              </w:rPr>
              <w:t xml:space="preserve"> — Please keep signature within the box.</w:t>
            </w:r>
          </w:p>
        </w:tc>
        <w:tc>
          <w:tcPr>
            <w:tcW w:w="3400" w:type="dxa"/>
            <w:vAlign w:val="bottom"/>
            <w:gridSpan w:val="3"/>
            <w:vMerge w:val="restart"/>
          </w:tcPr>
          <w:p>
            <w:pPr>
              <w:spacing w:after="0" w:line="122" w:lineRule="exact"/>
              <w:rPr>
                <w:sz w:val="20"/>
                <w:szCs w:val="20"/>
                <w:color w:val="auto"/>
              </w:rPr>
            </w:pPr>
            <w:r>
              <w:rPr>
                <w:rFonts w:ascii="Arial" w:cs="Arial" w:eastAsia="Arial" w:hAnsi="Arial"/>
                <w:sz w:val="14"/>
                <w:szCs w:val="14"/>
                <w:color w:val="FFFFFF"/>
              </w:rPr>
              <w:t>IS SET UP TO ACCOMMODATE</w:t>
            </w:r>
          </w:p>
        </w:tc>
        <w:tc>
          <w:tcPr>
            <w:tcW w:w="600" w:type="dxa"/>
            <w:vAlign w:val="bottom"/>
          </w:tcPr>
          <w:p>
            <w:pPr>
              <w:spacing w:after="0"/>
              <w:rPr>
                <w:sz w:val="7"/>
                <w:szCs w:val="7"/>
                <w:color w:val="auto"/>
              </w:rPr>
            </w:pP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C 1234567890 J N  MR A SAMPLE (THIS</w:t>
            </w:r>
          </w:p>
        </w:tc>
        <w:tc>
          <w:tcPr>
            <w:tcW w:w="34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140</w:t>
            </w:r>
          </w:p>
        </w:tc>
        <w:tc>
          <w:tcPr>
            <w:tcW w:w="300" w:type="dxa"/>
            <w:vAlign w:val="bottom"/>
          </w:tcPr>
          <w:p>
            <w:pPr>
              <w:spacing w:after="0"/>
              <w:rPr>
                <w:sz w:val="3"/>
                <w:szCs w:val="3"/>
                <w:color w:val="auto"/>
              </w:rPr>
            </w:pPr>
          </w:p>
        </w:tc>
        <w:tc>
          <w:tcPr>
            <w:tcW w:w="3880" w:type="dxa"/>
            <w:vAlign w:val="bottom"/>
            <w:gridSpan w:val="3"/>
          </w:tcPr>
          <w:p>
            <w:pPr>
              <w:ind w:left="680"/>
              <w:spacing w:after="0"/>
              <w:rPr>
                <w:sz w:val="20"/>
                <w:szCs w:val="20"/>
                <w:color w:val="auto"/>
              </w:rPr>
            </w:pPr>
            <w:r>
              <w:rPr>
                <w:rFonts w:ascii="Arial" w:cs="Arial" w:eastAsia="Arial" w:hAnsi="Arial"/>
                <w:sz w:val="3"/>
                <w:szCs w:val="3"/>
                <w:color w:val="FFFFFF"/>
              </w:rPr>
              <w:t>MR A SAMPLE AND MRAREASAMPLE AND</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20" w:type="dxa"/>
            <w:vAlign w:val="bottom"/>
            <w:gridSpan w:val="5"/>
          </w:tcPr>
          <w:p>
            <w:pPr>
              <w:spacing w:after="0"/>
              <w:rPr>
                <w:sz w:val="20"/>
                <w:szCs w:val="20"/>
                <w:color w:val="auto"/>
              </w:rPr>
            </w:pPr>
            <w:r>
              <w:rPr>
                <w:rFonts w:ascii="Arial" w:cs="Arial" w:eastAsia="Arial" w:hAnsi="Arial"/>
                <w:sz w:val="3"/>
                <w:szCs w:val="3"/>
                <w:color w:val="FFFFFF"/>
              </w:rPr>
              <w:t>MR CHARACTERS)SAMPLEAND MR A SAMPLE AND MR A SAMPLE AND</w:t>
            </w:r>
          </w:p>
        </w:tc>
        <w:tc>
          <w:tcPr>
            <w:tcW w:w="1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300" w:type="dxa"/>
            <w:vAlign w:val="bottom"/>
            <w:gridSpan w:val="6"/>
          </w:tcPr>
          <w:p>
            <w:pPr>
              <w:spacing w:after="0"/>
              <w:rPr>
                <w:sz w:val="20"/>
                <w:szCs w:val="20"/>
                <w:color w:val="auto"/>
              </w:rPr>
            </w:pPr>
            <w:r>
              <w:rPr>
                <w:rFonts w:ascii="Arial" w:cs="Arial" w:eastAsia="Arial" w:hAnsi="Arial"/>
                <w:sz w:val="14"/>
                <w:szCs w:val="14"/>
                <w:color w:val="FFFFFF"/>
              </w:rPr>
              <w:t>1 U P X 1 1 7 1 4 4 1 MR A SAMPLE AND MR A SAMPLE AND MR A SAMPLE AND</w:t>
            </w:r>
          </w:p>
        </w:tc>
        <w:tc>
          <w:tcPr>
            <w:tcW w:w="6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gridSpan w:val="3"/>
          </w:tcPr>
          <w:p>
            <w:pPr>
              <w:spacing w:after="0"/>
              <w:rPr>
                <w:sz w:val="20"/>
                <w:szCs w:val="20"/>
                <w:color w:val="auto"/>
              </w:rPr>
            </w:pPr>
            <w:r>
              <w:rPr>
                <w:rFonts w:ascii="Arial" w:cs="Arial" w:eastAsia="Arial" w:hAnsi="Arial"/>
                <w:sz w:val="14"/>
                <w:szCs w:val="14"/>
                <w:color w:val="FFFFFF"/>
              </w:rPr>
              <w:t>Important Notice Regarding the Availability of Proxy Materials for the Stockholder Meeting To Be Held on Monday, August 8, 2011</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You may</w:t>
            </w:r>
          </w:p>
        </w:tc>
        <w:tc>
          <w:tcPr>
            <w:tcW w:w="8720" w:type="dxa"/>
            <w:vAlign w:val="bottom"/>
            <w:gridSpan w:val="2"/>
          </w:tcPr>
          <w:p>
            <w:pPr>
              <w:ind w:left="240"/>
              <w:spacing w:after="0"/>
              <w:rPr>
                <w:sz w:val="20"/>
                <w:szCs w:val="20"/>
                <w:color w:val="auto"/>
              </w:rPr>
            </w:pPr>
            <w:r>
              <w:rPr>
                <w:rFonts w:ascii="Arial" w:cs="Arial" w:eastAsia="Arial" w:hAnsi="Arial"/>
                <w:sz w:val="3"/>
                <w:szCs w:val="3"/>
                <w:color w:val="FFFFFF"/>
              </w:rPr>
              <w:t>the following proxy materials at www.edocumentview.com/ARWR Notice of the 2011 Annual Meeting of Stockholders; Company’s 2011 Proxy Statement;</w:t>
            </w: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20" w:type="dxa"/>
            <w:vAlign w:val="bottom"/>
            <w:gridSpan w:val="2"/>
          </w:tcPr>
          <w:p>
            <w:pPr>
              <w:spacing w:after="0"/>
              <w:rPr>
                <w:sz w:val="20"/>
                <w:szCs w:val="20"/>
                <w:color w:val="auto"/>
              </w:rPr>
            </w:pPr>
            <w:r>
              <w:rPr>
                <w:rFonts w:ascii="Arial" w:cs="Arial" w:eastAsia="Arial" w:hAnsi="Arial"/>
                <w:sz w:val="3"/>
                <w:szCs w:val="3"/>
                <w:color w:val="FFFFFF"/>
              </w:rPr>
              <w:t>Company’accessAnnual Report on Form 10-K for the year ended September 30, 2010; and Form of Proxy Card</w:t>
            </w: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IF YOU HAVE NOT VOTED VIA THE INTERNET OR TELEPHONE, FOLD ALONG THE PERFORATION, DETACH AND RETURN THE BOTTOM PORTION IN THE ENCLOSED ENVELOPE.</w:t>
            </w:r>
          </w:p>
        </w:tc>
        <w:tc>
          <w:tcPr>
            <w:tcW w:w="0" w:type="dxa"/>
            <w:vAlign w:val="bottom"/>
          </w:tcPr>
          <w:p>
            <w:pPr>
              <w:spacing w:after="0"/>
              <w:rPr>
                <w:sz w:val="1"/>
                <w:szCs w:val="1"/>
                <w:color w:val="auto"/>
              </w:rPr>
            </w:pPr>
          </w:p>
        </w:tc>
      </w:tr>
      <w:tr>
        <w:trPr>
          <w:trHeight w:val="41"/>
        </w:trPr>
        <w:tc>
          <w:tcPr>
            <w:tcW w:w="6620" w:type="dxa"/>
            <w:vAlign w:val="bottom"/>
            <w:gridSpan w:val="2"/>
          </w:tcPr>
          <w:p>
            <w:pPr>
              <w:spacing w:after="0"/>
              <w:rPr>
                <w:sz w:val="20"/>
                <w:szCs w:val="20"/>
                <w:color w:val="auto"/>
              </w:rPr>
            </w:pPr>
            <w:r>
              <w:rPr>
                <w:rFonts w:ascii="Arial" w:cs="Arial" w:eastAsia="Arial" w:hAnsi="Arial"/>
                <w:sz w:val="3"/>
                <w:szCs w:val="3"/>
                <w:color w:val="FFFFFF"/>
              </w:rPr>
              <w:t>Proxy — ARROWHEAD RESEARCH CORPORATION</w:t>
            </w: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THIS</w:t>
            </w:r>
          </w:p>
        </w:tc>
        <w:tc>
          <w:tcPr>
            <w:tcW w:w="8720" w:type="dxa"/>
            <w:vAlign w:val="bottom"/>
            <w:gridSpan w:val="2"/>
          </w:tcPr>
          <w:p>
            <w:pPr>
              <w:ind w:left="180"/>
              <w:spacing w:after="0"/>
              <w:rPr>
                <w:sz w:val="20"/>
                <w:szCs w:val="20"/>
                <w:color w:val="auto"/>
              </w:rPr>
            </w:pPr>
            <w:r>
              <w:rPr>
                <w:rFonts w:ascii="Arial" w:cs="Arial" w:eastAsia="Arial" w:hAnsi="Arial"/>
                <w:sz w:val="3"/>
                <w:szCs w:val="3"/>
                <w:color w:val="FFFFFF"/>
              </w:rPr>
              <w:t>IS SOLICITED ON BEHALF OF THE BOARD OF DIRECTORS ANNUAL MEETING OF STOCKHOLDERS</w:t>
            </w: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20" w:type="dxa"/>
            <w:vAlign w:val="bottom"/>
            <w:gridSpan w:val="2"/>
          </w:tcPr>
          <w:p>
            <w:pPr>
              <w:spacing w:after="0"/>
              <w:rPr>
                <w:sz w:val="20"/>
                <w:szCs w:val="20"/>
                <w:color w:val="auto"/>
              </w:rPr>
            </w:pPr>
            <w:r>
              <w:rPr>
                <w:rFonts w:ascii="Arial" w:cs="Arial" w:eastAsia="Arial" w:hAnsi="Arial"/>
                <w:sz w:val="3"/>
                <w:szCs w:val="3"/>
                <w:color w:val="FFFFFF"/>
              </w:rPr>
              <w:t>MONDAPROXY,AUGUST 8, 2011</w:t>
            </w: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The und rsigned stockholder of ARROWHEAD RESEARCH CORPORATION,  Delaware corporation, hereby acknowledges receipt of the Notice of Annual Meeting of Stockholders and Proxy Statement,</w:t>
            </w:r>
          </w:p>
        </w:tc>
        <w:tc>
          <w:tcPr>
            <w:tcW w:w="0" w:type="dxa"/>
            <w:vAlign w:val="bottom"/>
          </w:tcPr>
          <w:p>
            <w:pPr>
              <w:spacing w:after="0"/>
              <w:rPr>
                <w:sz w:val="1"/>
                <w:szCs w:val="1"/>
                <w:color w:val="auto"/>
              </w:rPr>
            </w:pPr>
          </w:p>
        </w:tc>
      </w:tr>
      <w:tr>
        <w:trPr>
          <w:trHeight w:val="41"/>
        </w:trPr>
        <w:tc>
          <w:tcPr>
            <w:tcW w:w="6620" w:type="dxa"/>
            <w:vAlign w:val="bottom"/>
            <w:gridSpan w:val="2"/>
          </w:tcPr>
          <w:p>
            <w:pPr>
              <w:spacing w:after="0"/>
              <w:rPr>
                <w:sz w:val="20"/>
                <w:szCs w:val="20"/>
                <w:color w:val="auto"/>
              </w:rPr>
            </w:pPr>
            <w:r>
              <w:rPr>
                <w:rFonts w:ascii="Arial" w:cs="Arial" w:eastAsia="Arial" w:hAnsi="Arial"/>
                <w:sz w:val="3"/>
                <w:szCs w:val="3"/>
                <w:color w:val="FFFFFF"/>
              </w:rPr>
              <w:t>each dated June 27, 2011, and hereby appoints Christopher Anzalone and Jane Davidson, or any of them, proxies and</w:t>
            </w:r>
          </w:p>
        </w:tc>
        <w:tc>
          <w:tcPr>
            <w:tcW w:w="2760" w:type="dxa"/>
            <w:vAlign w:val="bottom"/>
          </w:tcPr>
          <w:p>
            <w:pPr>
              <w:ind w:left="260"/>
              <w:spacing w:after="0"/>
              <w:rPr>
                <w:sz w:val="20"/>
                <w:szCs w:val="20"/>
                <w:color w:val="auto"/>
              </w:rPr>
            </w:pPr>
            <w:r>
              <w:rPr>
                <w:rFonts w:ascii="Arial" w:cs="Arial" w:eastAsia="Arial" w:hAnsi="Arial"/>
                <w:sz w:val="3"/>
                <w:szCs w:val="3"/>
                <w:color w:val="FFFFFF"/>
              </w:rPr>
              <w:t>-in-fact with full power to each of</w:t>
            </w:r>
          </w:p>
        </w:tc>
        <w:tc>
          <w:tcPr>
            <w:tcW w:w="1900" w:type="dxa"/>
            <w:vAlign w:val="bottom"/>
            <w:gridSpan w:val="2"/>
          </w:tcPr>
          <w:p>
            <w:pPr>
              <w:ind w:left="60"/>
              <w:spacing w:after="0"/>
              <w:rPr>
                <w:sz w:val="20"/>
                <w:szCs w:val="20"/>
                <w:color w:val="auto"/>
              </w:rPr>
            </w:pPr>
            <w:r>
              <w:rPr>
                <w:rFonts w:ascii="Arial" w:cs="Arial" w:eastAsia="Arial" w:hAnsi="Arial"/>
                <w:sz w:val="3"/>
                <w:szCs w:val="3"/>
                <w:color w:val="FFFFFF"/>
              </w:rPr>
              <w:t>on behalf and in the name of the</w:t>
            </w: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undersigned, to represent the undersigned at the Annual Meeting of Stockholders of Arrowhead Research Corporationattorneysbeheld on Monday, August 8, 2011 at 10:00substitution,a.m.local time, at the Sheraton Pasadena,</w:t>
            </w: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303 E. Cordova Street, Pasadena, California 91101 and at any adjournment or adjournments thereof, and to vote all shares of capital stock that the undersigned would be entitled to vote if then and there</w:t>
            </w:r>
          </w:p>
        </w:tc>
        <w:tc>
          <w:tcPr>
            <w:tcW w:w="0" w:type="dxa"/>
            <w:vAlign w:val="bottom"/>
          </w:tcPr>
          <w:p>
            <w:pPr>
              <w:spacing w:after="0"/>
              <w:rPr>
                <w:sz w:val="1"/>
                <w:szCs w:val="1"/>
                <w:color w:val="auto"/>
              </w:rPr>
            </w:pPr>
          </w:p>
        </w:tc>
      </w:tr>
      <w:tr>
        <w:trPr>
          <w:trHeight w:val="41"/>
        </w:trPr>
        <w:tc>
          <w:tcPr>
            <w:tcW w:w="6620" w:type="dxa"/>
            <w:vAlign w:val="bottom"/>
            <w:gridSpan w:val="2"/>
          </w:tcPr>
          <w:p>
            <w:pPr>
              <w:spacing w:after="0"/>
              <w:rPr>
                <w:sz w:val="20"/>
                <w:szCs w:val="20"/>
                <w:color w:val="auto"/>
              </w:rPr>
            </w:pPr>
            <w:r>
              <w:rPr>
                <w:rFonts w:ascii="Arial" w:cs="Arial" w:eastAsia="Arial" w:hAnsi="Arial"/>
                <w:sz w:val="3"/>
                <w:szCs w:val="3"/>
                <w:color w:val="FFFFFF"/>
              </w:rPr>
              <w:t>personally present, on the matters set forth on the reverse side.</w:t>
            </w: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restart"/>
          </w:tcPr>
          <w:p>
            <w:pPr>
              <w:ind w:left="300"/>
              <w:spacing w:after="0"/>
              <w:rPr>
                <w:sz w:val="20"/>
                <w:szCs w:val="20"/>
                <w:color w:val="auto"/>
              </w:rPr>
            </w:pPr>
            <w:r>
              <w:rPr>
                <w:rFonts w:ascii="Arial" w:cs="Arial" w:eastAsia="Arial" w:hAnsi="Arial"/>
                <w:sz w:val="3"/>
                <w:szCs w:val="3"/>
                <w:color w:val="FFFFFF"/>
              </w:rPr>
              <w:t>and as the</w:t>
            </w:r>
          </w:p>
        </w:tc>
        <w:tc>
          <w:tcPr>
            <w:tcW w:w="0" w:type="dxa"/>
            <w:vAlign w:val="bottom"/>
          </w:tcPr>
          <w:p>
            <w:pPr>
              <w:spacing w:after="0"/>
              <w:rPr>
                <w:sz w:val="1"/>
                <w:szCs w:val="1"/>
                <w:color w:val="auto"/>
              </w:rPr>
            </w:pPr>
          </w:p>
        </w:tc>
      </w:tr>
      <w:tr>
        <w:trPr>
          <w:trHeight w:val="0"/>
        </w:trPr>
        <w:tc>
          <w:tcPr>
            <w:tcW w:w="10300" w:type="dxa"/>
            <w:vAlign w:val="bottom"/>
            <w:gridSpan w:val="4"/>
          </w:tcPr>
          <w:p>
            <w:pPr>
              <w:spacing w:after="0" w:line="80" w:lineRule="exact"/>
              <w:rPr>
                <w:sz w:val="20"/>
                <w:szCs w:val="20"/>
                <w:color w:val="auto"/>
              </w:rPr>
            </w:pPr>
            <w:r>
              <w:rPr>
                <w:rFonts w:ascii="Arial" w:cs="Arial" w:eastAsia="Arial" w:hAnsi="Arial"/>
                <w:sz w:val="9"/>
                <w:szCs w:val="9"/>
                <w:color w:val="FFFFFF"/>
              </w:rPr>
              <w:t>This Proxy, when properly executed, will be voted in the manner directed herein by the undersigned stockholder. If no direction is made, this consent will be IN FAVOR of the foregoing</w:t>
            </w: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proxy holders deem advisable on such other matters as may properly come before the meeting. This Proxy is revocable with respect to any Proposal at any time before the date on which atproposalsleastmajority of the outstanding shares of Common Stock have consented to that Proposal.</w:t>
      </w:r>
    </w:p>
    <w:p>
      <w:pPr>
        <w:spacing w:after="0" w:line="184" w:lineRule="auto"/>
        <w:rPr>
          <w:sz w:val="20"/>
          <w:szCs w:val="20"/>
          <w:color w:val="auto"/>
        </w:rPr>
      </w:pPr>
      <w:r>
        <w:rPr>
          <w:rFonts w:ascii="Arial" w:cs="Arial" w:eastAsia="Arial" w:hAnsi="Arial"/>
          <w:sz w:val="10"/>
          <w:szCs w:val="10"/>
          <w:color w:val="FFFFFF"/>
        </w:rPr>
        <w:t>SEE REVERSE SIDE</w:t>
      </w:r>
    </w:p>
    <w:p>
      <w:pPr>
        <w:spacing w:after="0"/>
        <w:rPr>
          <w:sz w:val="20"/>
          <w:szCs w:val="20"/>
          <w:color w:val="auto"/>
        </w:rPr>
      </w:pPr>
      <w:r>
        <w:rPr>
          <w:rFonts w:ascii="Arial" w:cs="Arial" w:eastAsia="Arial" w:hAnsi="Arial"/>
          <w:sz w:val="14"/>
          <w:szCs w:val="14"/>
          <w:color w:val="FFFFFF"/>
        </w:rPr>
        <w:t>CONTINUED AND TO BE SIGNED ON REVERSE SIDE</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2019-12-10T10:20:37Z</dcterms:created>
  <dcterms:modified xsi:type="dcterms:W3CDTF">2019-12-10T10:20:37Z</dcterms:modified>
</cp:coreProperties>
</file>